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3F1B" w14:textId="648B5779" w:rsidR="00B60421" w:rsidRPr="003278B0" w:rsidRDefault="00315035" w:rsidP="006D1C56">
      <w:pPr>
        <w:tabs>
          <w:tab w:val="center" w:pos="4230"/>
          <w:tab w:val="right" w:pos="9360"/>
        </w:tabs>
        <w:spacing w:line="240" w:lineRule="auto"/>
        <w:ind w:firstLine="0"/>
        <w:rPr>
          <w:b/>
          <w:bCs/>
        </w:rPr>
      </w:pPr>
      <w:bookmarkStart w:id="0" w:name="_GoBack"/>
      <w:bookmarkEnd w:id="0"/>
      <w:r>
        <w:t>COM</w:t>
      </w:r>
      <w:r w:rsidR="00DA7B5D">
        <w:t>/</w:t>
      </w:r>
      <w:r>
        <w:t>CR6</w:t>
      </w:r>
      <w:r w:rsidR="00DA7B5D">
        <w:t>/</w:t>
      </w:r>
      <w:r>
        <w:t>avs</w:t>
      </w:r>
      <w:r w:rsidR="00C2141D">
        <w:t>/jt2</w:t>
      </w:r>
      <w:r w:rsidR="00DF2673">
        <w:tab/>
      </w:r>
      <w:r w:rsidR="00DF2673">
        <w:tab/>
      </w:r>
      <w:r w:rsidR="00DF2673" w:rsidRPr="00DF2673">
        <w:rPr>
          <w:b/>
          <w:bCs/>
        </w:rPr>
        <w:t>Date of Issuance  1/22/2020</w:t>
      </w:r>
    </w:p>
    <w:p w14:paraId="197FD311" w14:textId="73ACBFD4" w:rsidR="00DA7B5D" w:rsidRPr="003278B0" w:rsidRDefault="00DA7B5D" w:rsidP="00632207">
      <w:pPr>
        <w:spacing w:line="240" w:lineRule="auto"/>
        <w:jc w:val="right"/>
        <w:rPr>
          <w:b/>
          <w:bCs/>
        </w:rPr>
      </w:pPr>
    </w:p>
    <w:p w14:paraId="57D0E800" w14:textId="29D2669D" w:rsidR="00DA7B5D" w:rsidRPr="003278B0" w:rsidRDefault="00DA7B5D" w:rsidP="00315035">
      <w:pPr>
        <w:ind w:firstLine="0"/>
        <w:jc w:val="right"/>
        <w:rPr>
          <w:b/>
          <w:bCs/>
        </w:rPr>
      </w:pPr>
    </w:p>
    <w:p w14:paraId="04612404" w14:textId="514C88F1" w:rsidR="00DA7B5D" w:rsidRPr="00EE3060" w:rsidRDefault="00DA7B5D" w:rsidP="00315035">
      <w:pPr>
        <w:spacing w:line="240" w:lineRule="auto"/>
        <w:ind w:left="1080" w:hanging="1080"/>
      </w:pPr>
      <w:r>
        <w:t>Decision</w:t>
      </w:r>
      <w:r w:rsidR="004D271A">
        <w:t xml:space="preserve"> 20</w:t>
      </w:r>
      <w:r w:rsidR="004D271A" w:rsidRPr="00540A8D">
        <w:noBreakHyphen/>
      </w:r>
      <w:r w:rsidR="004D271A">
        <w:t>01</w:t>
      </w:r>
      <w:r w:rsidR="004D271A" w:rsidRPr="00540A8D">
        <w:noBreakHyphen/>
      </w:r>
      <w:r w:rsidR="00605F90">
        <w:t>002</w:t>
      </w:r>
      <w:r w:rsidR="004D271A">
        <w:t xml:space="preserve">  January 16, 2020</w:t>
      </w:r>
    </w:p>
    <w:p w14:paraId="1DAF6307" w14:textId="77777777" w:rsidR="00DA7B5D" w:rsidRDefault="00DA7B5D" w:rsidP="00BB0243">
      <w:pPr>
        <w:spacing w:line="240" w:lineRule="auto"/>
        <w:jc w:val="center"/>
        <w:rPr>
          <w:u w:val="single"/>
        </w:rPr>
      </w:pPr>
    </w:p>
    <w:p w14:paraId="6C76D882" w14:textId="77777777" w:rsidR="00DA7B5D" w:rsidRDefault="00DA7B5D" w:rsidP="00BB0243">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14:paraId="265CF2AE" w14:textId="77777777" w:rsidR="00DA7B5D" w:rsidRDefault="00DA7B5D" w:rsidP="008F0116">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14:paraId="4D21349C" w14:textId="77777777" w:rsidTr="007C78CD">
        <w:tc>
          <w:tcPr>
            <w:tcW w:w="4675" w:type="dxa"/>
            <w:tcBorders>
              <w:top w:val="nil"/>
              <w:left w:val="nil"/>
              <w:bottom w:val="single" w:sz="4" w:space="0" w:color="auto"/>
              <w:right w:val="single" w:sz="4" w:space="0" w:color="auto"/>
            </w:tcBorders>
          </w:tcPr>
          <w:p w14:paraId="56D6D600" w14:textId="79260C39" w:rsidR="00DA7B5D" w:rsidRPr="00DA7B5D" w:rsidRDefault="00B702ED" w:rsidP="00C10B5F">
            <w:pPr>
              <w:spacing w:line="240" w:lineRule="auto"/>
              <w:ind w:firstLine="0"/>
              <w:rPr>
                <w:rFonts w:cs="Arial"/>
                <w:szCs w:val="26"/>
              </w:rPr>
            </w:pPr>
            <w:r w:rsidRPr="00B702ED">
              <w:rPr>
                <w:rFonts w:cs="Arial"/>
                <w:szCs w:val="26"/>
              </w:rPr>
              <w:t>Order Instituting Rulemaking to Develop a Risk</w:t>
            </w:r>
            <w:r w:rsidR="00FE5496">
              <w:rPr>
                <w:rFonts w:cs="Arial"/>
                <w:szCs w:val="26"/>
              </w:rPr>
              <w:noBreakHyphen/>
            </w:r>
            <w:r w:rsidRPr="00B702ED">
              <w:rPr>
                <w:rFonts w:cs="Arial"/>
                <w:szCs w:val="26"/>
              </w:rPr>
              <w:t>Based Decision</w:t>
            </w:r>
            <w:r w:rsidR="00FE5496">
              <w:rPr>
                <w:rFonts w:cs="Arial"/>
                <w:szCs w:val="26"/>
              </w:rPr>
              <w:noBreakHyphen/>
            </w:r>
            <w:r w:rsidRPr="00B702ED">
              <w:rPr>
                <w:rFonts w:cs="Arial"/>
                <w:szCs w:val="26"/>
              </w:rPr>
              <w:t>Making Framework to Evaluate Safety and Reliability Improvements and Revise the General Rate Case Plan for Energy Utilities.</w:t>
            </w:r>
            <w:r w:rsidR="00DA7B5D" w:rsidRPr="00DA7B5D">
              <w:rPr>
                <w:rFonts w:cs="Arial"/>
                <w:szCs w:val="26"/>
              </w:rPr>
              <w:br/>
            </w:r>
          </w:p>
        </w:tc>
        <w:tc>
          <w:tcPr>
            <w:tcW w:w="4675" w:type="dxa"/>
            <w:tcBorders>
              <w:top w:val="nil"/>
              <w:left w:val="single" w:sz="4" w:space="0" w:color="auto"/>
              <w:bottom w:val="nil"/>
              <w:right w:val="nil"/>
            </w:tcBorders>
            <w:vAlign w:val="center"/>
          </w:tcPr>
          <w:p w14:paraId="0ADCA135" w14:textId="26F1AE6C" w:rsidR="00DA7B5D" w:rsidRPr="00DA7B5D" w:rsidRDefault="00B702ED" w:rsidP="00412C83">
            <w:pPr>
              <w:spacing w:line="240" w:lineRule="auto"/>
              <w:ind w:firstLine="0"/>
              <w:jc w:val="center"/>
              <w:rPr>
                <w:rFonts w:cs="Arial"/>
                <w:szCs w:val="26"/>
              </w:rPr>
            </w:pPr>
            <w:r w:rsidRPr="00B702ED">
              <w:rPr>
                <w:rFonts w:cs="Arial"/>
                <w:szCs w:val="26"/>
              </w:rPr>
              <w:t>Rulemaking 13</w:t>
            </w:r>
            <w:r w:rsidR="00FE5496">
              <w:rPr>
                <w:rFonts w:cs="Arial"/>
                <w:szCs w:val="26"/>
              </w:rPr>
              <w:noBreakHyphen/>
            </w:r>
            <w:r w:rsidRPr="00B702ED">
              <w:rPr>
                <w:rFonts w:cs="Arial"/>
                <w:szCs w:val="26"/>
              </w:rPr>
              <w:t>11</w:t>
            </w:r>
            <w:r w:rsidR="00FE5496">
              <w:rPr>
                <w:rFonts w:cs="Arial"/>
                <w:szCs w:val="26"/>
              </w:rPr>
              <w:noBreakHyphen/>
            </w:r>
            <w:r w:rsidRPr="00B702ED">
              <w:rPr>
                <w:rFonts w:cs="Arial"/>
                <w:szCs w:val="26"/>
              </w:rPr>
              <w:t>006</w:t>
            </w:r>
          </w:p>
        </w:tc>
      </w:tr>
    </w:tbl>
    <w:p w14:paraId="0DEC3405" w14:textId="77777777" w:rsidR="00DA7B5D" w:rsidRDefault="00DA7B5D" w:rsidP="008F0116">
      <w:pPr>
        <w:spacing w:line="240" w:lineRule="auto"/>
        <w:ind w:firstLine="0"/>
        <w:rPr>
          <w:rFonts w:ascii="Arial" w:hAnsi="Arial" w:cs="Arial"/>
          <w:sz w:val="24"/>
          <w:szCs w:val="24"/>
        </w:rPr>
      </w:pPr>
    </w:p>
    <w:p w14:paraId="39945425" w14:textId="77777777" w:rsidR="00DA7B5D" w:rsidRDefault="00DA7B5D" w:rsidP="008F0116">
      <w:pPr>
        <w:spacing w:line="240" w:lineRule="auto"/>
        <w:ind w:firstLine="0"/>
        <w:rPr>
          <w:rFonts w:ascii="Arial" w:hAnsi="Arial" w:cs="Arial"/>
          <w:sz w:val="24"/>
          <w:szCs w:val="24"/>
        </w:rPr>
      </w:pPr>
    </w:p>
    <w:p w14:paraId="0A6CEF5A" w14:textId="1EE90C5C" w:rsidR="00F92385" w:rsidRDefault="00856D42" w:rsidP="001B7E48">
      <w:pPr>
        <w:pStyle w:val="Heading1"/>
        <w:numPr>
          <w:ilvl w:val="0"/>
          <w:numId w:val="0"/>
        </w:numPr>
        <w:ind w:right="0"/>
        <w:jc w:val="center"/>
      </w:pPr>
      <w:bookmarkStart w:id="1" w:name="_Toc20998441"/>
      <w:bookmarkStart w:id="2" w:name="_Toc29817386"/>
      <w:r w:rsidRPr="00856D42">
        <w:t xml:space="preserve">DECISION MODIFYING </w:t>
      </w:r>
      <w:r>
        <w:t>THE COMMISSION’S</w:t>
      </w:r>
      <w:r w:rsidR="001B7E48">
        <w:t xml:space="preserve"> </w:t>
      </w:r>
      <w:r>
        <w:t>RATE CASE PLAN FOR ENERGY UTILITIES</w:t>
      </w:r>
      <w:bookmarkEnd w:id="1"/>
      <w:bookmarkEnd w:id="2"/>
    </w:p>
    <w:p w14:paraId="1027165B" w14:textId="77777777" w:rsidR="006074B6" w:rsidRDefault="006074B6" w:rsidP="00856D42"/>
    <w:p w14:paraId="46915F8C" w14:textId="77777777" w:rsidR="00856D42" w:rsidRDefault="00856D42" w:rsidP="00856D42"/>
    <w:p w14:paraId="520B6A6E" w14:textId="77777777" w:rsidR="00A83396" w:rsidRPr="00D14898" w:rsidRDefault="00A83396" w:rsidP="00D14898">
      <w:pPr>
        <w:pStyle w:val="ListParagraph"/>
        <w:numPr>
          <w:ilvl w:val="0"/>
          <w:numId w:val="43"/>
        </w:numPr>
        <w:rPr>
          <w:highlight w:val="yellow"/>
        </w:rPr>
        <w:sectPr w:rsidR="00A83396" w:rsidRPr="00D14898" w:rsidSect="00BA7B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1AFEDF5F" w14:textId="77777777" w:rsidR="00D50119" w:rsidRPr="001E2A62" w:rsidRDefault="00D50119" w:rsidP="00F76650">
      <w:pPr>
        <w:pStyle w:val="Main"/>
        <w:rPr>
          <w:rFonts w:ascii="Book Antiqua" w:hAnsi="Book Antiqua"/>
        </w:rPr>
      </w:pPr>
      <w:r w:rsidRPr="001E2A62">
        <w:rPr>
          <w:rFonts w:ascii="Book Antiqua" w:hAnsi="Book Antiqua"/>
        </w:rPr>
        <w:lastRenderedPageBreak/>
        <w:t>TABLE OF CONTENTS</w:t>
      </w:r>
    </w:p>
    <w:p w14:paraId="3ECBF815" w14:textId="77777777" w:rsidR="00D50119" w:rsidRPr="00D50119" w:rsidRDefault="00D50119" w:rsidP="007E0FEE">
      <w:pPr>
        <w:tabs>
          <w:tab w:val="right" w:pos="9360"/>
        </w:tabs>
        <w:ind w:firstLine="0"/>
      </w:pPr>
      <w:r w:rsidRPr="00D50119">
        <w:rPr>
          <w:b/>
        </w:rPr>
        <w:t>Title</w:t>
      </w:r>
      <w:r>
        <w:tab/>
      </w:r>
      <w:r w:rsidRPr="00D50119">
        <w:rPr>
          <w:b/>
        </w:rPr>
        <w:t>Page</w:t>
      </w:r>
    </w:p>
    <w:sdt>
      <w:sdtPr>
        <w:rPr>
          <w:rFonts w:eastAsiaTheme="minorHAnsi" w:cstheme="minorBidi"/>
          <w:b/>
        </w:rPr>
        <w:id w:val="771522376"/>
        <w:docPartObj>
          <w:docPartGallery w:val="Table of Contents"/>
          <w:docPartUnique/>
        </w:docPartObj>
      </w:sdtPr>
      <w:sdtEndPr>
        <w:rPr>
          <w:rFonts w:eastAsiaTheme="minorEastAsia" w:cs="Times New Roman"/>
          <w:b w:val="0"/>
          <w:bCs/>
          <w:noProof/>
          <w:sz w:val="2"/>
          <w:szCs w:val="2"/>
        </w:rPr>
      </w:sdtEndPr>
      <w:sdtContent>
        <w:p w14:paraId="5415D212" w14:textId="422A8076" w:rsidR="00EC0EA8" w:rsidRDefault="001B7E48" w:rsidP="00632EAC">
          <w:pPr>
            <w:pStyle w:val="TOC1"/>
            <w:tabs>
              <w:tab w:val="right" w:leader="dot" w:pos="9350"/>
            </w:tabs>
            <w:ind w:left="0" w:firstLine="0"/>
            <w:rPr>
              <w:rFonts w:asciiTheme="minorHAnsi" w:hAnsiTheme="minorHAnsi" w:cstheme="minorBidi"/>
              <w:noProof/>
              <w:sz w:val="22"/>
            </w:rPr>
          </w:pPr>
          <w:r>
            <w:fldChar w:fldCharType="begin"/>
          </w:r>
          <w:r>
            <w:instrText xml:space="preserve"> TOC \o "2-4" \h \z \t "Heading 1,1" </w:instrText>
          </w:r>
          <w:r>
            <w:fldChar w:fldCharType="separate"/>
          </w:r>
          <w:hyperlink w:anchor="_Toc29817386" w:history="1">
            <w:r w:rsidR="00EC0EA8" w:rsidRPr="00646D72">
              <w:rPr>
                <w:rStyle w:val="Hyperlink"/>
                <w:noProof/>
              </w:rPr>
              <w:t>DECISION MODIFYING THE COMMISSION’S RATE CASE PLAN FOR ENERGY UTILITIES</w:t>
            </w:r>
            <w:r w:rsidR="00EC0EA8">
              <w:rPr>
                <w:noProof/>
                <w:webHidden/>
              </w:rPr>
              <w:tab/>
            </w:r>
            <w:r w:rsidR="00EC0EA8">
              <w:rPr>
                <w:noProof/>
                <w:webHidden/>
              </w:rPr>
              <w:fldChar w:fldCharType="begin"/>
            </w:r>
            <w:r w:rsidR="00EC0EA8">
              <w:rPr>
                <w:noProof/>
                <w:webHidden/>
              </w:rPr>
              <w:instrText xml:space="preserve"> PAGEREF _Toc29817386 \h </w:instrText>
            </w:r>
            <w:r w:rsidR="00EC0EA8">
              <w:rPr>
                <w:noProof/>
                <w:webHidden/>
              </w:rPr>
            </w:r>
            <w:r w:rsidR="00EC0EA8">
              <w:rPr>
                <w:noProof/>
                <w:webHidden/>
              </w:rPr>
              <w:fldChar w:fldCharType="separate"/>
            </w:r>
            <w:r w:rsidR="002F6A7F">
              <w:rPr>
                <w:noProof/>
                <w:webHidden/>
              </w:rPr>
              <w:t>1</w:t>
            </w:r>
            <w:r w:rsidR="00EC0EA8">
              <w:rPr>
                <w:noProof/>
                <w:webHidden/>
              </w:rPr>
              <w:fldChar w:fldCharType="end"/>
            </w:r>
          </w:hyperlink>
        </w:p>
        <w:p w14:paraId="6428E4FD" w14:textId="4A669DC2" w:rsidR="00EC0EA8" w:rsidRDefault="002F6A7F">
          <w:pPr>
            <w:pStyle w:val="TOC1"/>
            <w:tabs>
              <w:tab w:val="right" w:leader="dot" w:pos="9350"/>
            </w:tabs>
            <w:rPr>
              <w:rFonts w:asciiTheme="minorHAnsi" w:hAnsiTheme="minorHAnsi" w:cstheme="minorBidi"/>
              <w:noProof/>
              <w:sz w:val="22"/>
            </w:rPr>
          </w:pPr>
          <w:hyperlink w:anchor="_Toc29817387" w:history="1">
            <w:r w:rsidR="00EC0EA8" w:rsidRPr="00646D72">
              <w:rPr>
                <w:rStyle w:val="Hyperlink"/>
                <w:noProof/>
              </w:rPr>
              <w:t>1.</w:t>
            </w:r>
            <w:r w:rsidR="00EC0EA8">
              <w:rPr>
                <w:rFonts w:asciiTheme="minorHAnsi" w:hAnsiTheme="minorHAnsi" w:cstheme="minorBidi"/>
                <w:noProof/>
                <w:sz w:val="22"/>
              </w:rPr>
              <w:tab/>
            </w:r>
            <w:r w:rsidR="00EC0EA8" w:rsidRPr="00646D72">
              <w:rPr>
                <w:rStyle w:val="Hyperlink"/>
                <w:noProof/>
              </w:rPr>
              <w:t>Background</w:t>
            </w:r>
            <w:r w:rsidR="00EC0EA8">
              <w:rPr>
                <w:noProof/>
                <w:webHidden/>
              </w:rPr>
              <w:tab/>
            </w:r>
            <w:r w:rsidR="00EC0EA8">
              <w:rPr>
                <w:noProof/>
                <w:webHidden/>
              </w:rPr>
              <w:fldChar w:fldCharType="begin"/>
            </w:r>
            <w:r w:rsidR="00EC0EA8">
              <w:rPr>
                <w:noProof/>
                <w:webHidden/>
              </w:rPr>
              <w:instrText xml:space="preserve"> PAGEREF _Toc29817387 \h </w:instrText>
            </w:r>
            <w:r w:rsidR="00EC0EA8">
              <w:rPr>
                <w:noProof/>
                <w:webHidden/>
              </w:rPr>
            </w:r>
            <w:r w:rsidR="00EC0EA8">
              <w:rPr>
                <w:noProof/>
                <w:webHidden/>
              </w:rPr>
              <w:fldChar w:fldCharType="separate"/>
            </w:r>
            <w:r>
              <w:rPr>
                <w:noProof/>
                <w:webHidden/>
              </w:rPr>
              <w:t>4</w:t>
            </w:r>
            <w:r w:rsidR="00EC0EA8">
              <w:rPr>
                <w:noProof/>
                <w:webHidden/>
              </w:rPr>
              <w:fldChar w:fldCharType="end"/>
            </w:r>
          </w:hyperlink>
        </w:p>
        <w:p w14:paraId="0FE59FB2" w14:textId="66A39135" w:rsidR="00EC0EA8" w:rsidRDefault="002F6A7F">
          <w:pPr>
            <w:pStyle w:val="TOC1"/>
            <w:tabs>
              <w:tab w:val="right" w:leader="dot" w:pos="9350"/>
            </w:tabs>
            <w:rPr>
              <w:rFonts w:asciiTheme="minorHAnsi" w:hAnsiTheme="minorHAnsi" w:cstheme="minorBidi"/>
              <w:noProof/>
              <w:sz w:val="22"/>
            </w:rPr>
          </w:pPr>
          <w:hyperlink w:anchor="_Toc29817388" w:history="1">
            <w:r w:rsidR="00EC0EA8" w:rsidRPr="00646D72">
              <w:rPr>
                <w:rStyle w:val="Hyperlink"/>
                <w:noProof/>
              </w:rPr>
              <w:t>2.</w:t>
            </w:r>
            <w:r w:rsidR="00EC0EA8">
              <w:rPr>
                <w:rFonts w:asciiTheme="minorHAnsi" w:hAnsiTheme="minorHAnsi" w:cstheme="minorBidi"/>
                <w:noProof/>
                <w:sz w:val="22"/>
              </w:rPr>
              <w:tab/>
            </w:r>
            <w:r w:rsidR="00EC0EA8" w:rsidRPr="00646D72">
              <w:rPr>
                <w:rStyle w:val="Hyperlink"/>
                <w:noProof/>
              </w:rPr>
              <w:t>The Commission’s Rate Case Plan for Energy Utilities</w:t>
            </w:r>
            <w:r w:rsidR="00EC0EA8">
              <w:rPr>
                <w:noProof/>
                <w:webHidden/>
              </w:rPr>
              <w:tab/>
            </w:r>
            <w:r w:rsidR="00EC0EA8">
              <w:rPr>
                <w:noProof/>
                <w:webHidden/>
              </w:rPr>
              <w:fldChar w:fldCharType="begin"/>
            </w:r>
            <w:r w:rsidR="00EC0EA8">
              <w:rPr>
                <w:noProof/>
                <w:webHidden/>
              </w:rPr>
              <w:instrText xml:space="preserve"> PAGEREF _Toc29817388 \h </w:instrText>
            </w:r>
            <w:r w:rsidR="00EC0EA8">
              <w:rPr>
                <w:noProof/>
                <w:webHidden/>
              </w:rPr>
            </w:r>
            <w:r w:rsidR="00EC0EA8">
              <w:rPr>
                <w:noProof/>
                <w:webHidden/>
              </w:rPr>
              <w:fldChar w:fldCharType="separate"/>
            </w:r>
            <w:r>
              <w:rPr>
                <w:noProof/>
                <w:webHidden/>
              </w:rPr>
              <w:t>8</w:t>
            </w:r>
            <w:r w:rsidR="00EC0EA8">
              <w:rPr>
                <w:noProof/>
                <w:webHidden/>
              </w:rPr>
              <w:fldChar w:fldCharType="end"/>
            </w:r>
          </w:hyperlink>
        </w:p>
        <w:p w14:paraId="772C24B6" w14:textId="55F1F0A7" w:rsidR="00EC0EA8" w:rsidRDefault="002F6A7F">
          <w:pPr>
            <w:pStyle w:val="TOC1"/>
            <w:tabs>
              <w:tab w:val="right" w:leader="dot" w:pos="9350"/>
            </w:tabs>
            <w:rPr>
              <w:rFonts w:asciiTheme="minorHAnsi" w:hAnsiTheme="minorHAnsi" w:cstheme="minorBidi"/>
              <w:noProof/>
              <w:sz w:val="22"/>
            </w:rPr>
          </w:pPr>
          <w:hyperlink w:anchor="_Toc29817389" w:history="1">
            <w:r w:rsidR="00EC0EA8" w:rsidRPr="00646D72">
              <w:rPr>
                <w:rStyle w:val="Hyperlink"/>
                <w:noProof/>
              </w:rPr>
              <w:t>3.</w:t>
            </w:r>
            <w:r w:rsidR="00EC0EA8">
              <w:rPr>
                <w:rFonts w:asciiTheme="minorHAnsi" w:hAnsiTheme="minorHAnsi" w:cstheme="minorBidi"/>
                <w:noProof/>
                <w:sz w:val="22"/>
              </w:rPr>
              <w:tab/>
            </w:r>
            <w:r w:rsidR="00EC0EA8" w:rsidRPr="00646D72">
              <w:rPr>
                <w:rStyle w:val="Hyperlink"/>
                <w:noProof/>
              </w:rPr>
              <w:t>The Energy Division Workshop</w:t>
            </w:r>
            <w:r w:rsidR="00EC0EA8">
              <w:rPr>
                <w:noProof/>
                <w:webHidden/>
              </w:rPr>
              <w:tab/>
            </w:r>
            <w:r w:rsidR="00EC0EA8">
              <w:rPr>
                <w:noProof/>
                <w:webHidden/>
              </w:rPr>
              <w:fldChar w:fldCharType="begin"/>
            </w:r>
            <w:r w:rsidR="00EC0EA8">
              <w:rPr>
                <w:noProof/>
                <w:webHidden/>
              </w:rPr>
              <w:instrText xml:space="preserve"> PAGEREF _Toc29817389 \h </w:instrText>
            </w:r>
            <w:r w:rsidR="00EC0EA8">
              <w:rPr>
                <w:noProof/>
                <w:webHidden/>
              </w:rPr>
            </w:r>
            <w:r w:rsidR="00EC0EA8">
              <w:rPr>
                <w:noProof/>
                <w:webHidden/>
              </w:rPr>
              <w:fldChar w:fldCharType="separate"/>
            </w:r>
            <w:r>
              <w:rPr>
                <w:noProof/>
                <w:webHidden/>
              </w:rPr>
              <w:t>19</w:t>
            </w:r>
            <w:r w:rsidR="00EC0EA8">
              <w:rPr>
                <w:noProof/>
                <w:webHidden/>
              </w:rPr>
              <w:fldChar w:fldCharType="end"/>
            </w:r>
          </w:hyperlink>
        </w:p>
        <w:p w14:paraId="73894B08" w14:textId="5A8B1FD3" w:rsidR="00EC0EA8" w:rsidRDefault="002F6A7F">
          <w:pPr>
            <w:pStyle w:val="TOC1"/>
            <w:tabs>
              <w:tab w:val="right" w:leader="dot" w:pos="9350"/>
            </w:tabs>
            <w:rPr>
              <w:rFonts w:asciiTheme="minorHAnsi" w:hAnsiTheme="minorHAnsi" w:cstheme="minorBidi"/>
              <w:noProof/>
              <w:sz w:val="22"/>
            </w:rPr>
          </w:pPr>
          <w:hyperlink w:anchor="_Toc29817390" w:history="1">
            <w:r w:rsidR="00EC0EA8" w:rsidRPr="00646D72">
              <w:rPr>
                <w:rStyle w:val="Hyperlink"/>
                <w:noProof/>
              </w:rPr>
              <w:t>4.</w:t>
            </w:r>
            <w:r w:rsidR="00EC0EA8">
              <w:rPr>
                <w:rFonts w:asciiTheme="minorHAnsi" w:hAnsiTheme="minorHAnsi" w:cstheme="minorBidi"/>
                <w:noProof/>
                <w:sz w:val="22"/>
              </w:rPr>
              <w:tab/>
            </w:r>
            <w:r w:rsidR="00EC0EA8" w:rsidRPr="00646D72">
              <w:rPr>
                <w:rStyle w:val="Hyperlink"/>
                <w:noProof/>
              </w:rPr>
              <w:t>Energy Division Recommendations</w:t>
            </w:r>
            <w:r w:rsidR="00EC0EA8">
              <w:rPr>
                <w:noProof/>
                <w:webHidden/>
              </w:rPr>
              <w:tab/>
            </w:r>
            <w:r w:rsidR="00EC0EA8">
              <w:rPr>
                <w:noProof/>
                <w:webHidden/>
              </w:rPr>
              <w:fldChar w:fldCharType="begin"/>
            </w:r>
            <w:r w:rsidR="00EC0EA8">
              <w:rPr>
                <w:noProof/>
                <w:webHidden/>
              </w:rPr>
              <w:instrText xml:space="preserve"> PAGEREF _Toc29817390 \h </w:instrText>
            </w:r>
            <w:r w:rsidR="00EC0EA8">
              <w:rPr>
                <w:noProof/>
                <w:webHidden/>
              </w:rPr>
            </w:r>
            <w:r w:rsidR="00EC0EA8">
              <w:rPr>
                <w:noProof/>
                <w:webHidden/>
              </w:rPr>
              <w:fldChar w:fldCharType="separate"/>
            </w:r>
            <w:r>
              <w:rPr>
                <w:noProof/>
                <w:webHidden/>
              </w:rPr>
              <w:t>21</w:t>
            </w:r>
            <w:r w:rsidR="00EC0EA8">
              <w:rPr>
                <w:noProof/>
                <w:webHidden/>
              </w:rPr>
              <w:fldChar w:fldCharType="end"/>
            </w:r>
          </w:hyperlink>
        </w:p>
        <w:p w14:paraId="751067EA" w14:textId="02381222" w:rsidR="00EC0EA8" w:rsidRDefault="002F6A7F">
          <w:pPr>
            <w:pStyle w:val="TOC1"/>
            <w:tabs>
              <w:tab w:val="right" w:leader="dot" w:pos="9350"/>
            </w:tabs>
            <w:rPr>
              <w:rFonts w:asciiTheme="minorHAnsi" w:hAnsiTheme="minorHAnsi" w:cstheme="minorBidi"/>
              <w:noProof/>
              <w:sz w:val="22"/>
            </w:rPr>
          </w:pPr>
          <w:hyperlink w:anchor="_Toc29817391" w:history="1">
            <w:r w:rsidR="00EC0EA8" w:rsidRPr="00646D72">
              <w:rPr>
                <w:rStyle w:val="Hyperlink"/>
                <w:noProof/>
              </w:rPr>
              <w:t>5.</w:t>
            </w:r>
            <w:r w:rsidR="00EC0EA8">
              <w:rPr>
                <w:rFonts w:asciiTheme="minorHAnsi" w:hAnsiTheme="minorHAnsi" w:cstheme="minorBidi"/>
                <w:noProof/>
                <w:sz w:val="22"/>
              </w:rPr>
              <w:tab/>
            </w:r>
            <w:r w:rsidR="00EC0EA8" w:rsidRPr="00646D72">
              <w:rPr>
                <w:rStyle w:val="Hyperlink"/>
                <w:noProof/>
              </w:rPr>
              <w:t>Discussion</w:t>
            </w:r>
            <w:r w:rsidR="00EC0EA8">
              <w:rPr>
                <w:noProof/>
                <w:webHidden/>
              </w:rPr>
              <w:tab/>
            </w:r>
            <w:r w:rsidR="00EC0EA8">
              <w:rPr>
                <w:noProof/>
                <w:webHidden/>
              </w:rPr>
              <w:fldChar w:fldCharType="begin"/>
            </w:r>
            <w:r w:rsidR="00EC0EA8">
              <w:rPr>
                <w:noProof/>
                <w:webHidden/>
              </w:rPr>
              <w:instrText xml:space="preserve"> PAGEREF _Toc29817391 \h </w:instrText>
            </w:r>
            <w:r w:rsidR="00EC0EA8">
              <w:rPr>
                <w:noProof/>
                <w:webHidden/>
              </w:rPr>
            </w:r>
            <w:r w:rsidR="00EC0EA8">
              <w:rPr>
                <w:noProof/>
                <w:webHidden/>
              </w:rPr>
              <w:fldChar w:fldCharType="separate"/>
            </w:r>
            <w:r>
              <w:rPr>
                <w:noProof/>
                <w:webHidden/>
              </w:rPr>
              <w:t>22</w:t>
            </w:r>
            <w:r w:rsidR="00EC0EA8">
              <w:rPr>
                <w:noProof/>
                <w:webHidden/>
              </w:rPr>
              <w:fldChar w:fldCharType="end"/>
            </w:r>
          </w:hyperlink>
        </w:p>
        <w:p w14:paraId="116F7F83" w14:textId="372DCFCA" w:rsidR="00EC0EA8" w:rsidRDefault="002F6A7F" w:rsidP="00632EAC">
          <w:pPr>
            <w:pStyle w:val="TOC2"/>
            <w:tabs>
              <w:tab w:val="right" w:leader="dot" w:pos="9350"/>
            </w:tabs>
            <w:ind w:left="630" w:hanging="630"/>
            <w:rPr>
              <w:rFonts w:asciiTheme="minorHAnsi" w:hAnsiTheme="minorHAnsi" w:cstheme="minorBidi"/>
              <w:noProof/>
              <w:sz w:val="22"/>
            </w:rPr>
          </w:pPr>
          <w:hyperlink w:anchor="_Toc29817392" w:history="1">
            <w:r w:rsidR="00EC0EA8" w:rsidRPr="00646D72">
              <w:rPr>
                <w:rStyle w:val="Hyperlink"/>
                <w:noProof/>
              </w:rPr>
              <w:t>5.1.</w:t>
            </w:r>
            <w:r w:rsidR="00EC0EA8">
              <w:rPr>
                <w:rFonts w:asciiTheme="minorHAnsi" w:hAnsiTheme="minorHAnsi" w:cstheme="minorBidi"/>
                <w:noProof/>
                <w:sz w:val="22"/>
              </w:rPr>
              <w:tab/>
            </w:r>
            <w:r w:rsidR="00EC0EA8" w:rsidRPr="00646D72">
              <w:rPr>
                <w:rStyle w:val="Hyperlink"/>
                <w:noProof/>
              </w:rPr>
              <w:t>Retention or Change of the Three</w:t>
            </w:r>
            <w:r w:rsidR="00EC0EA8" w:rsidRPr="00646D72">
              <w:rPr>
                <w:rStyle w:val="Hyperlink"/>
                <w:noProof/>
              </w:rPr>
              <w:noBreakHyphen/>
              <w:t>Year GRC Cycle</w:t>
            </w:r>
            <w:r w:rsidR="00EC0EA8">
              <w:rPr>
                <w:noProof/>
                <w:webHidden/>
              </w:rPr>
              <w:tab/>
            </w:r>
            <w:r w:rsidR="00EC0EA8">
              <w:rPr>
                <w:noProof/>
                <w:webHidden/>
              </w:rPr>
              <w:fldChar w:fldCharType="begin"/>
            </w:r>
            <w:r w:rsidR="00EC0EA8">
              <w:rPr>
                <w:noProof/>
                <w:webHidden/>
              </w:rPr>
              <w:instrText xml:space="preserve"> PAGEREF _Toc29817392 \h </w:instrText>
            </w:r>
            <w:r w:rsidR="00EC0EA8">
              <w:rPr>
                <w:noProof/>
                <w:webHidden/>
              </w:rPr>
            </w:r>
            <w:r w:rsidR="00EC0EA8">
              <w:rPr>
                <w:noProof/>
                <w:webHidden/>
              </w:rPr>
              <w:fldChar w:fldCharType="separate"/>
            </w:r>
            <w:r>
              <w:rPr>
                <w:noProof/>
                <w:webHidden/>
              </w:rPr>
              <w:t>28</w:t>
            </w:r>
            <w:r w:rsidR="00EC0EA8">
              <w:rPr>
                <w:noProof/>
                <w:webHidden/>
              </w:rPr>
              <w:fldChar w:fldCharType="end"/>
            </w:r>
          </w:hyperlink>
        </w:p>
        <w:p w14:paraId="7D7B6FAC" w14:textId="63457E87" w:rsidR="00EC0EA8" w:rsidRDefault="002F6A7F" w:rsidP="00632EAC">
          <w:pPr>
            <w:pStyle w:val="TOC2"/>
            <w:tabs>
              <w:tab w:val="right" w:leader="dot" w:pos="9350"/>
            </w:tabs>
            <w:ind w:left="630" w:hanging="630"/>
            <w:rPr>
              <w:rFonts w:asciiTheme="minorHAnsi" w:hAnsiTheme="minorHAnsi" w:cstheme="minorBidi"/>
              <w:noProof/>
              <w:sz w:val="22"/>
            </w:rPr>
          </w:pPr>
          <w:hyperlink w:anchor="_Toc29817393" w:history="1">
            <w:r w:rsidR="00EC0EA8" w:rsidRPr="00646D72">
              <w:rPr>
                <w:rStyle w:val="Hyperlink"/>
                <w:noProof/>
              </w:rPr>
              <w:t>5.2.</w:t>
            </w:r>
            <w:r w:rsidR="00EC0EA8">
              <w:rPr>
                <w:rFonts w:asciiTheme="minorHAnsi" w:hAnsiTheme="minorHAnsi" w:cstheme="minorBidi"/>
                <w:noProof/>
                <w:sz w:val="22"/>
              </w:rPr>
              <w:tab/>
            </w:r>
            <w:r w:rsidR="00EC0EA8" w:rsidRPr="00646D72">
              <w:rPr>
                <w:rStyle w:val="Hyperlink"/>
                <w:noProof/>
              </w:rPr>
              <w:t>Combining PG&amp;E’s GT&amp;S and GRC Proceedings</w:t>
            </w:r>
            <w:r w:rsidR="00EC0EA8">
              <w:rPr>
                <w:noProof/>
                <w:webHidden/>
              </w:rPr>
              <w:tab/>
            </w:r>
            <w:r w:rsidR="00EC0EA8">
              <w:rPr>
                <w:noProof/>
                <w:webHidden/>
              </w:rPr>
              <w:fldChar w:fldCharType="begin"/>
            </w:r>
            <w:r w:rsidR="00EC0EA8">
              <w:rPr>
                <w:noProof/>
                <w:webHidden/>
              </w:rPr>
              <w:instrText xml:space="preserve"> PAGEREF _Toc29817393 \h </w:instrText>
            </w:r>
            <w:r w:rsidR="00EC0EA8">
              <w:rPr>
                <w:noProof/>
                <w:webHidden/>
              </w:rPr>
            </w:r>
            <w:r w:rsidR="00EC0EA8">
              <w:rPr>
                <w:noProof/>
                <w:webHidden/>
              </w:rPr>
              <w:fldChar w:fldCharType="separate"/>
            </w:r>
            <w:r>
              <w:rPr>
                <w:noProof/>
                <w:webHidden/>
              </w:rPr>
              <w:t>41</w:t>
            </w:r>
            <w:r w:rsidR="00EC0EA8">
              <w:rPr>
                <w:noProof/>
                <w:webHidden/>
              </w:rPr>
              <w:fldChar w:fldCharType="end"/>
            </w:r>
          </w:hyperlink>
        </w:p>
        <w:p w14:paraId="03780456" w14:textId="769A9CFD" w:rsidR="00EC0EA8" w:rsidRDefault="002F6A7F" w:rsidP="00632EAC">
          <w:pPr>
            <w:pStyle w:val="TOC2"/>
            <w:tabs>
              <w:tab w:val="right" w:leader="dot" w:pos="9350"/>
            </w:tabs>
            <w:ind w:left="630" w:hanging="630"/>
            <w:rPr>
              <w:rFonts w:asciiTheme="minorHAnsi" w:hAnsiTheme="minorHAnsi" w:cstheme="minorBidi"/>
              <w:noProof/>
              <w:sz w:val="22"/>
            </w:rPr>
          </w:pPr>
          <w:hyperlink w:anchor="_Toc29817394" w:history="1">
            <w:r w:rsidR="00EC0EA8" w:rsidRPr="00646D72">
              <w:rPr>
                <w:rStyle w:val="Hyperlink"/>
                <w:noProof/>
              </w:rPr>
              <w:t>5.3.</w:t>
            </w:r>
            <w:r w:rsidR="00EC0EA8">
              <w:rPr>
                <w:rFonts w:asciiTheme="minorHAnsi" w:hAnsiTheme="minorHAnsi" w:cstheme="minorBidi"/>
                <w:noProof/>
                <w:sz w:val="22"/>
              </w:rPr>
              <w:tab/>
            </w:r>
            <w:r w:rsidR="00EC0EA8" w:rsidRPr="00646D72">
              <w:rPr>
                <w:rStyle w:val="Hyperlink"/>
                <w:noProof/>
              </w:rPr>
              <w:t xml:space="preserve">Moving the Due Date for the Public Advocates Office’s Opening </w:t>
            </w:r>
            <w:r w:rsidR="008E524B">
              <w:rPr>
                <w:rStyle w:val="Hyperlink"/>
                <w:noProof/>
              </w:rPr>
              <w:br/>
            </w:r>
            <w:r w:rsidR="00EC0EA8" w:rsidRPr="00646D72">
              <w:rPr>
                <w:rStyle w:val="Hyperlink"/>
                <w:noProof/>
              </w:rPr>
              <w:t>Testimony</w:t>
            </w:r>
            <w:r w:rsidR="00EC0EA8">
              <w:rPr>
                <w:noProof/>
                <w:webHidden/>
              </w:rPr>
              <w:tab/>
            </w:r>
            <w:r w:rsidR="00EC0EA8">
              <w:rPr>
                <w:noProof/>
                <w:webHidden/>
              </w:rPr>
              <w:fldChar w:fldCharType="begin"/>
            </w:r>
            <w:r w:rsidR="00EC0EA8">
              <w:rPr>
                <w:noProof/>
                <w:webHidden/>
              </w:rPr>
              <w:instrText xml:space="preserve"> PAGEREF _Toc29817394 \h </w:instrText>
            </w:r>
            <w:r w:rsidR="00EC0EA8">
              <w:rPr>
                <w:noProof/>
                <w:webHidden/>
              </w:rPr>
            </w:r>
            <w:r w:rsidR="00EC0EA8">
              <w:rPr>
                <w:noProof/>
                <w:webHidden/>
              </w:rPr>
              <w:fldChar w:fldCharType="separate"/>
            </w:r>
            <w:r>
              <w:rPr>
                <w:noProof/>
                <w:webHidden/>
              </w:rPr>
              <w:t>44</w:t>
            </w:r>
            <w:r w:rsidR="00EC0EA8">
              <w:rPr>
                <w:noProof/>
                <w:webHidden/>
              </w:rPr>
              <w:fldChar w:fldCharType="end"/>
            </w:r>
          </w:hyperlink>
        </w:p>
        <w:p w14:paraId="2E4B0B9E" w14:textId="5F1C1A9B" w:rsidR="00EC0EA8" w:rsidRDefault="002F6A7F" w:rsidP="00632EAC">
          <w:pPr>
            <w:pStyle w:val="TOC2"/>
            <w:tabs>
              <w:tab w:val="right" w:leader="dot" w:pos="9350"/>
            </w:tabs>
            <w:ind w:left="630" w:hanging="630"/>
            <w:rPr>
              <w:rFonts w:asciiTheme="minorHAnsi" w:hAnsiTheme="minorHAnsi" w:cstheme="minorBidi"/>
              <w:noProof/>
              <w:sz w:val="22"/>
            </w:rPr>
          </w:pPr>
          <w:hyperlink w:anchor="_Toc29817395" w:history="1">
            <w:r w:rsidR="00EC0EA8" w:rsidRPr="00646D72">
              <w:rPr>
                <w:rStyle w:val="Hyperlink"/>
                <w:noProof/>
              </w:rPr>
              <w:t>5.4.</w:t>
            </w:r>
            <w:r w:rsidR="00EC0EA8">
              <w:rPr>
                <w:rFonts w:asciiTheme="minorHAnsi" w:hAnsiTheme="minorHAnsi" w:cstheme="minorBidi"/>
                <w:noProof/>
                <w:sz w:val="22"/>
              </w:rPr>
              <w:tab/>
            </w:r>
            <w:r w:rsidR="00EC0EA8" w:rsidRPr="00646D72">
              <w:rPr>
                <w:rStyle w:val="Hyperlink"/>
                <w:noProof/>
              </w:rPr>
              <w:t>Adopted Revisions to Rate Case Plan</w:t>
            </w:r>
            <w:r w:rsidR="00EC0EA8">
              <w:rPr>
                <w:noProof/>
                <w:webHidden/>
              </w:rPr>
              <w:tab/>
            </w:r>
            <w:r w:rsidR="00EC0EA8">
              <w:rPr>
                <w:noProof/>
                <w:webHidden/>
              </w:rPr>
              <w:fldChar w:fldCharType="begin"/>
            </w:r>
            <w:r w:rsidR="00EC0EA8">
              <w:rPr>
                <w:noProof/>
                <w:webHidden/>
              </w:rPr>
              <w:instrText xml:space="preserve"> PAGEREF _Toc29817395 \h </w:instrText>
            </w:r>
            <w:r w:rsidR="00EC0EA8">
              <w:rPr>
                <w:noProof/>
                <w:webHidden/>
              </w:rPr>
            </w:r>
            <w:r w:rsidR="00EC0EA8">
              <w:rPr>
                <w:noProof/>
                <w:webHidden/>
              </w:rPr>
              <w:fldChar w:fldCharType="separate"/>
            </w:r>
            <w:r>
              <w:rPr>
                <w:noProof/>
                <w:webHidden/>
              </w:rPr>
              <w:t>47</w:t>
            </w:r>
            <w:r w:rsidR="00EC0EA8">
              <w:rPr>
                <w:noProof/>
                <w:webHidden/>
              </w:rPr>
              <w:fldChar w:fldCharType="end"/>
            </w:r>
          </w:hyperlink>
        </w:p>
        <w:p w14:paraId="100984F8" w14:textId="34351AE0" w:rsidR="00EC0EA8" w:rsidRDefault="002F6A7F" w:rsidP="00632EAC">
          <w:pPr>
            <w:pStyle w:val="TOC2"/>
            <w:tabs>
              <w:tab w:val="right" w:leader="dot" w:pos="9350"/>
            </w:tabs>
            <w:ind w:left="630" w:hanging="630"/>
            <w:rPr>
              <w:rFonts w:asciiTheme="minorHAnsi" w:hAnsiTheme="minorHAnsi" w:cstheme="minorBidi"/>
              <w:noProof/>
              <w:sz w:val="22"/>
            </w:rPr>
          </w:pPr>
          <w:hyperlink w:anchor="_Toc29817396" w:history="1">
            <w:r w:rsidR="00EC0EA8" w:rsidRPr="00646D72">
              <w:rPr>
                <w:rStyle w:val="Hyperlink"/>
                <w:noProof/>
              </w:rPr>
              <w:t>5.5.</w:t>
            </w:r>
            <w:r w:rsidR="00EC0EA8">
              <w:rPr>
                <w:rFonts w:asciiTheme="minorHAnsi" w:hAnsiTheme="minorHAnsi" w:cstheme="minorBidi"/>
                <w:noProof/>
                <w:sz w:val="22"/>
              </w:rPr>
              <w:tab/>
            </w:r>
            <w:r w:rsidR="00EC0EA8" w:rsidRPr="00646D72">
              <w:rPr>
                <w:rStyle w:val="Hyperlink"/>
                <w:noProof/>
              </w:rPr>
              <w:t>Additional Workshops</w:t>
            </w:r>
            <w:r w:rsidR="00EC0EA8">
              <w:rPr>
                <w:noProof/>
                <w:webHidden/>
              </w:rPr>
              <w:tab/>
            </w:r>
            <w:r w:rsidR="00EC0EA8">
              <w:rPr>
                <w:noProof/>
                <w:webHidden/>
              </w:rPr>
              <w:fldChar w:fldCharType="begin"/>
            </w:r>
            <w:r w:rsidR="00EC0EA8">
              <w:rPr>
                <w:noProof/>
                <w:webHidden/>
              </w:rPr>
              <w:instrText xml:space="preserve"> PAGEREF _Toc29817396 \h </w:instrText>
            </w:r>
            <w:r w:rsidR="00EC0EA8">
              <w:rPr>
                <w:noProof/>
                <w:webHidden/>
              </w:rPr>
            </w:r>
            <w:r w:rsidR="00EC0EA8">
              <w:rPr>
                <w:noProof/>
                <w:webHidden/>
              </w:rPr>
              <w:fldChar w:fldCharType="separate"/>
            </w:r>
            <w:r>
              <w:rPr>
                <w:noProof/>
                <w:webHidden/>
              </w:rPr>
              <w:t>56</w:t>
            </w:r>
            <w:r w:rsidR="00EC0EA8">
              <w:rPr>
                <w:noProof/>
                <w:webHidden/>
              </w:rPr>
              <w:fldChar w:fldCharType="end"/>
            </w:r>
          </w:hyperlink>
        </w:p>
        <w:p w14:paraId="583EC608" w14:textId="1C5607DE" w:rsidR="00EC0EA8" w:rsidRDefault="002F6A7F" w:rsidP="00632EAC">
          <w:pPr>
            <w:pStyle w:val="TOC3"/>
            <w:tabs>
              <w:tab w:val="left" w:pos="900"/>
              <w:tab w:val="right" w:leader="dot" w:pos="9350"/>
            </w:tabs>
            <w:ind w:left="900" w:hanging="900"/>
            <w:rPr>
              <w:rFonts w:asciiTheme="minorHAnsi" w:hAnsiTheme="minorHAnsi" w:cstheme="minorBidi"/>
              <w:noProof/>
              <w:sz w:val="22"/>
            </w:rPr>
          </w:pPr>
          <w:hyperlink w:anchor="_Toc29817397" w:history="1">
            <w:r w:rsidR="00EC0EA8" w:rsidRPr="00646D72">
              <w:rPr>
                <w:rStyle w:val="Hyperlink"/>
                <w:noProof/>
              </w:rPr>
              <w:t>5.5.1.</w:t>
            </w:r>
            <w:r w:rsidR="00EC0EA8">
              <w:rPr>
                <w:rFonts w:asciiTheme="minorHAnsi" w:hAnsiTheme="minorHAnsi" w:cstheme="minorBidi"/>
                <w:noProof/>
                <w:sz w:val="22"/>
              </w:rPr>
              <w:tab/>
            </w:r>
            <w:r w:rsidR="00EC0EA8" w:rsidRPr="00646D72">
              <w:rPr>
                <w:rStyle w:val="Hyperlink"/>
                <w:noProof/>
              </w:rPr>
              <w:t>Should a Future Workshop Address Standardizing GRC Filings?</w:t>
            </w:r>
            <w:r w:rsidR="00EC0EA8">
              <w:rPr>
                <w:noProof/>
                <w:webHidden/>
              </w:rPr>
              <w:tab/>
            </w:r>
            <w:r w:rsidR="00EC0EA8">
              <w:rPr>
                <w:noProof/>
                <w:webHidden/>
              </w:rPr>
              <w:fldChar w:fldCharType="begin"/>
            </w:r>
            <w:r w:rsidR="00EC0EA8">
              <w:rPr>
                <w:noProof/>
                <w:webHidden/>
              </w:rPr>
              <w:instrText xml:space="preserve"> PAGEREF _Toc29817397 \h </w:instrText>
            </w:r>
            <w:r w:rsidR="00EC0EA8">
              <w:rPr>
                <w:noProof/>
                <w:webHidden/>
              </w:rPr>
            </w:r>
            <w:r w:rsidR="00EC0EA8">
              <w:rPr>
                <w:noProof/>
                <w:webHidden/>
              </w:rPr>
              <w:fldChar w:fldCharType="separate"/>
            </w:r>
            <w:r>
              <w:rPr>
                <w:noProof/>
                <w:webHidden/>
              </w:rPr>
              <w:t>57</w:t>
            </w:r>
            <w:r w:rsidR="00EC0EA8">
              <w:rPr>
                <w:noProof/>
                <w:webHidden/>
              </w:rPr>
              <w:fldChar w:fldCharType="end"/>
            </w:r>
          </w:hyperlink>
        </w:p>
        <w:p w14:paraId="7B3FF3A0" w14:textId="7AC89C57" w:rsidR="00EC0EA8" w:rsidRDefault="002F6A7F" w:rsidP="00632EAC">
          <w:pPr>
            <w:pStyle w:val="TOC4"/>
            <w:tabs>
              <w:tab w:val="left" w:pos="1080"/>
              <w:tab w:val="right" w:leader="dot" w:pos="9350"/>
            </w:tabs>
            <w:ind w:hanging="1728"/>
            <w:rPr>
              <w:rFonts w:asciiTheme="minorHAnsi" w:eastAsiaTheme="minorEastAsia" w:hAnsiTheme="minorHAnsi"/>
              <w:noProof/>
              <w:sz w:val="22"/>
            </w:rPr>
          </w:pPr>
          <w:hyperlink w:anchor="_Toc29817398" w:history="1">
            <w:r w:rsidR="00EC0EA8" w:rsidRPr="00646D72">
              <w:rPr>
                <w:rStyle w:val="Hyperlink"/>
                <w:noProof/>
              </w:rPr>
              <w:t>5.5.1.1.</w:t>
            </w:r>
            <w:r w:rsidR="00EC0EA8">
              <w:rPr>
                <w:rFonts w:asciiTheme="minorHAnsi" w:eastAsiaTheme="minorEastAsia" w:hAnsiTheme="minorHAnsi"/>
                <w:noProof/>
                <w:sz w:val="22"/>
              </w:rPr>
              <w:tab/>
            </w:r>
            <w:r w:rsidR="00EC0EA8" w:rsidRPr="00646D72">
              <w:rPr>
                <w:rStyle w:val="Hyperlink"/>
                <w:noProof/>
              </w:rPr>
              <w:t>Data Request Format</w:t>
            </w:r>
            <w:r w:rsidR="00EC0EA8">
              <w:rPr>
                <w:noProof/>
                <w:webHidden/>
              </w:rPr>
              <w:tab/>
            </w:r>
            <w:r w:rsidR="00EC0EA8">
              <w:rPr>
                <w:noProof/>
                <w:webHidden/>
              </w:rPr>
              <w:fldChar w:fldCharType="begin"/>
            </w:r>
            <w:r w:rsidR="00EC0EA8">
              <w:rPr>
                <w:noProof/>
                <w:webHidden/>
              </w:rPr>
              <w:instrText xml:space="preserve"> PAGEREF _Toc29817398 \h </w:instrText>
            </w:r>
            <w:r w:rsidR="00EC0EA8">
              <w:rPr>
                <w:noProof/>
                <w:webHidden/>
              </w:rPr>
            </w:r>
            <w:r w:rsidR="00EC0EA8">
              <w:rPr>
                <w:noProof/>
                <w:webHidden/>
              </w:rPr>
              <w:fldChar w:fldCharType="separate"/>
            </w:r>
            <w:r>
              <w:rPr>
                <w:noProof/>
                <w:webHidden/>
              </w:rPr>
              <w:t>58</w:t>
            </w:r>
            <w:r w:rsidR="00EC0EA8">
              <w:rPr>
                <w:noProof/>
                <w:webHidden/>
              </w:rPr>
              <w:fldChar w:fldCharType="end"/>
            </w:r>
          </w:hyperlink>
        </w:p>
        <w:p w14:paraId="5F722F58" w14:textId="7D22AC70" w:rsidR="00EC0EA8" w:rsidRDefault="002F6A7F" w:rsidP="00632EAC">
          <w:pPr>
            <w:pStyle w:val="TOC4"/>
            <w:tabs>
              <w:tab w:val="left" w:pos="1080"/>
              <w:tab w:val="right" w:leader="dot" w:pos="9350"/>
            </w:tabs>
            <w:ind w:hanging="1728"/>
            <w:rPr>
              <w:rFonts w:asciiTheme="minorHAnsi" w:eastAsiaTheme="minorEastAsia" w:hAnsiTheme="minorHAnsi"/>
              <w:noProof/>
              <w:sz w:val="22"/>
            </w:rPr>
          </w:pPr>
          <w:hyperlink w:anchor="_Toc29817399" w:history="1">
            <w:r w:rsidR="00EC0EA8" w:rsidRPr="00646D72">
              <w:rPr>
                <w:rStyle w:val="Hyperlink"/>
                <w:noProof/>
              </w:rPr>
              <w:t>5.5.1.2.</w:t>
            </w:r>
            <w:r w:rsidR="00EC0EA8">
              <w:rPr>
                <w:rFonts w:asciiTheme="minorHAnsi" w:eastAsiaTheme="minorEastAsia" w:hAnsiTheme="minorHAnsi"/>
                <w:noProof/>
                <w:sz w:val="22"/>
              </w:rPr>
              <w:tab/>
            </w:r>
            <w:r w:rsidR="00EC0EA8" w:rsidRPr="00646D72">
              <w:rPr>
                <w:rStyle w:val="Hyperlink"/>
                <w:noProof/>
              </w:rPr>
              <w:t>Standardized Joint Comparison Exhibit</w:t>
            </w:r>
            <w:r w:rsidR="00EC0EA8">
              <w:rPr>
                <w:noProof/>
                <w:webHidden/>
              </w:rPr>
              <w:tab/>
            </w:r>
            <w:r w:rsidR="00A91747">
              <w:rPr>
                <w:noProof/>
                <w:webHidden/>
              </w:rPr>
              <w:t>59</w:t>
            </w:r>
          </w:hyperlink>
        </w:p>
        <w:p w14:paraId="3A8F244D" w14:textId="33CE0AF3" w:rsidR="00EC0EA8" w:rsidRDefault="002F6A7F" w:rsidP="00632EAC">
          <w:pPr>
            <w:pStyle w:val="TOC4"/>
            <w:tabs>
              <w:tab w:val="left" w:pos="1080"/>
              <w:tab w:val="right" w:leader="dot" w:pos="9350"/>
            </w:tabs>
            <w:ind w:hanging="1728"/>
            <w:rPr>
              <w:rFonts w:asciiTheme="minorHAnsi" w:eastAsiaTheme="minorEastAsia" w:hAnsiTheme="minorHAnsi"/>
              <w:noProof/>
              <w:sz w:val="22"/>
            </w:rPr>
          </w:pPr>
          <w:hyperlink w:anchor="_Toc29817400" w:history="1">
            <w:r w:rsidR="00EC0EA8" w:rsidRPr="00646D72">
              <w:rPr>
                <w:rStyle w:val="Hyperlink"/>
                <w:noProof/>
              </w:rPr>
              <w:t>5.5.1.3.</w:t>
            </w:r>
            <w:r w:rsidR="00EC0EA8">
              <w:rPr>
                <w:rFonts w:asciiTheme="minorHAnsi" w:eastAsiaTheme="minorEastAsia" w:hAnsiTheme="minorHAnsi"/>
                <w:noProof/>
                <w:sz w:val="22"/>
              </w:rPr>
              <w:tab/>
            </w:r>
            <w:r w:rsidR="00EC0EA8" w:rsidRPr="00646D72">
              <w:rPr>
                <w:rStyle w:val="Hyperlink"/>
                <w:noProof/>
              </w:rPr>
              <w:t>Standard Index for Testimony</w:t>
            </w:r>
            <w:r w:rsidR="00EC0EA8">
              <w:rPr>
                <w:noProof/>
                <w:webHidden/>
              </w:rPr>
              <w:tab/>
            </w:r>
            <w:r w:rsidR="00EC0EA8">
              <w:rPr>
                <w:noProof/>
                <w:webHidden/>
              </w:rPr>
              <w:fldChar w:fldCharType="begin"/>
            </w:r>
            <w:r w:rsidR="00EC0EA8">
              <w:rPr>
                <w:noProof/>
                <w:webHidden/>
              </w:rPr>
              <w:instrText xml:space="preserve"> PAGEREF _Toc29817400 \h </w:instrText>
            </w:r>
            <w:r w:rsidR="00EC0EA8">
              <w:rPr>
                <w:noProof/>
                <w:webHidden/>
              </w:rPr>
            </w:r>
            <w:r w:rsidR="00EC0EA8">
              <w:rPr>
                <w:noProof/>
                <w:webHidden/>
              </w:rPr>
              <w:fldChar w:fldCharType="separate"/>
            </w:r>
            <w:r>
              <w:rPr>
                <w:noProof/>
                <w:webHidden/>
              </w:rPr>
              <w:t>60</w:t>
            </w:r>
            <w:r w:rsidR="00EC0EA8">
              <w:rPr>
                <w:noProof/>
                <w:webHidden/>
              </w:rPr>
              <w:fldChar w:fldCharType="end"/>
            </w:r>
          </w:hyperlink>
        </w:p>
        <w:p w14:paraId="207075F1" w14:textId="7EC58355" w:rsidR="00EC0EA8" w:rsidRDefault="002F6A7F" w:rsidP="00632EAC">
          <w:pPr>
            <w:pStyle w:val="TOC4"/>
            <w:tabs>
              <w:tab w:val="left" w:pos="1080"/>
              <w:tab w:val="right" w:leader="dot" w:pos="9350"/>
            </w:tabs>
            <w:ind w:hanging="1728"/>
            <w:rPr>
              <w:rFonts w:asciiTheme="minorHAnsi" w:eastAsiaTheme="minorEastAsia" w:hAnsiTheme="minorHAnsi"/>
              <w:noProof/>
              <w:sz w:val="22"/>
            </w:rPr>
          </w:pPr>
          <w:hyperlink w:anchor="_Toc29817401" w:history="1">
            <w:r w:rsidR="00EC0EA8" w:rsidRPr="00646D72">
              <w:rPr>
                <w:rStyle w:val="Hyperlink"/>
                <w:noProof/>
              </w:rPr>
              <w:t>5.5.1.4.</w:t>
            </w:r>
            <w:r w:rsidR="00EC0EA8">
              <w:rPr>
                <w:rFonts w:asciiTheme="minorHAnsi" w:eastAsiaTheme="minorEastAsia" w:hAnsiTheme="minorHAnsi"/>
                <w:noProof/>
                <w:sz w:val="22"/>
              </w:rPr>
              <w:tab/>
            </w:r>
            <w:r w:rsidR="00EC0EA8" w:rsidRPr="00646D72">
              <w:rPr>
                <w:rStyle w:val="Hyperlink"/>
                <w:noProof/>
              </w:rPr>
              <w:t>The Base Year and Requirements Regarding Recorded Data</w:t>
            </w:r>
            <w:r w:rsidR="00EC0EA8">
              <w:rPr>
                <w:noProof/>
                <w:webHidden/>
              </w:rPr>
              <w:tab/>
            </w:r>
            <w:r w:rsidR="00EC0EA8">
              <w:rPr>
                <w:noProof/>
                <w:webHidden/>
              </w:rPr>
              <w:fldChar w:fldCharType="begin"/>
            </w:r>
            <w:r w:rsidR="00EC0EA8">
              <w:rPr>
                <w:noProof/>
                <w:webHidden/>
              </w:rPr>
              <w:instrText xml:space="preserve"> PAGEREF _Toc29817401 \h </w:instrText>
            </w:r>
            <w:r w:rsidR="00EC0EA8">
              <w:rPr>
                <w:noProof/>
                <w:webHidden/>
              </w:rPr>
            </w:r>
            <w:r w:rsidR="00EC0EA8">
              <w:rPr>
                <w:noProof/>
                <w:webHidden/>
              </w:rPr>
              <w:fldChar w:fldCharType="separate"/>
            </w:r>
            <w:r>
              <w:rPr>
                <w:noProof/>
                <w:webHidden/>
              </w:rPr>
              <w:t>61</w:t>
            </w:r>
            <w:r w:rsidR="00EC0EA8">
              <w:rPr>
                <w:noProof/>
                <w:webHidden/>
              </w:rPr>
              <w:fldChar w:fldCharType="end"/>
            </w:r>
          </w:hyperlink>
        </w:p>
        <w:p w14:paraId="15695B78" w14:textId="50499F08" w:rsidR="00EC0EA8" w:rsidRDefault="002F6A7F" w:rsidP="00632EAC">
          <w:pPr>
            <w:pStyle w:val="TOC3"/>
            <w:tabs>
              <w:tab w:val="left" w:pos="1296"/>
              <w:tab w:val="right" w:leader="dot" w:pos="9350"/>
            </w:tabs>
            <w:ind w:left="900" w:hanging="900"/>
            <w:rPr>
              <w:rFonts w:asciiTheme="minorHAnsi" w:hAnsiTheme="minorHAnsi" w:cstheme="minorBidi"/>
              <w:noProof/>
              <w:sz w:val="22"/>
            </w:rPr>
          </w:pPr>
          <w:hyperlink w:anchor="_Toc29817402" w:history="1">
            <w:r w:rsidR="00EC0EA8" w:rsidRPr="00646D72">
              <w:rPr>
                <w:rStyle w:val="Hyperlink"/>
                <w:noProof/>
              </w:rPr>
              <w:t>5.5.2.</w:t>
            </w:r>
            <w:r w:rsidR="00EC0EA8">
              <w:rPr>
                <w:rFonts w:asciiTheme="minorHAnsi" w:hAnsiTheme="minorHAnsi" w:cstheme="minorBidi"/>
                <w:noProof/>
                <w:sz w:val="22"/>
              </w:rPr>
              <w:tab/>
            </w:r>
            <w:r w:rsidR="00EC0EA8" w:rsidRPr="00646D72">
              <w:rPr>
                <w:rStyle w:val="Hyperlink"/>
                <w:noProof/>
              </w:rPr>
              <w:t>Should a Future Workshop Address Stipulated Terms, Rebuttable Presumptions, and Formula</w:t>
            </w:r>
            <w:r w:rsidR="00EC0EA8" w:rsidRPr="00646D72">
              <w:rPr>
                <w:rStyle w:val="Hyperlink"/>
                <w:noProof/>
              </w:rPr>
              <w:noBreakHyphen/>
              <w:t>Based Attrition Year Revenue Requirements?</w:t>
            </w:r>
            <w:r w:rsidR="00EC0EA8">
              <w:rPr>
                <w:noProof/>
                <w:webHidden/>
              </w:rPr>
              <w:tab/>
            </w:r>
            <w:r w:rsidR="00EC0EA8">
              <w:rPr>
                <w:noProof/>
                <w:webHidden/>
              </w:rPr>
              <w:fldChar w:fldCharType="begin"/>
            </w:r>
            <w:r w:rsidR="00EC0EA8">
              <w:rPr>
                <w:noProof/>
                <w:webHidden/>
              </w:rPr>
              <w:instrText xml:space="preserve"> PAGEREF _Toc29817402 \h </w:instrText>
            </w:r>
            <w:r w:rsidR="00EC0EA8">
              <w:rPr>
                <w:noProof/>
                <w:webHidden/>
              </w:rPr>
            </w:r>
            <w:r w:rsidR="00EC0EA8">
              <w:rPr>
                <w:noProof/>
                <w:webHidden/>
              </w:rPr>
              <w:fldChar w:fldCharType="separate"/>
            </w:r>
            <w:r>
              <w:rPr>
                <w:noProof/>
                <w:webHidden/>
              </w:rPr>
              <w:t>62</w:t>
            </w:r>
            <w:r w:rsidR="00EC0EA8">
              <w:rPr>
                <w:noProof/>
                <w:webHidden/>
              </w:rPr>
              <w:fldChar w:fldCharType="end"/>
            </w:r>
          </w:hyperlink>
        </w:p>
        <w:p w14:paraId="05E6D7EC" w14:textId="7E2011FD" w:rsidR="00EC0EA8" w:rsidRDefault="002F6A7F" w:rsidP="00632EAC">
          <w:pPr>
            <w:pStyle w:val="TOC3"/>
            <w:tabs>
              <w:tab w:val="left" w:pos="1296"/>
              <w:tab w:val="right" w:leader="dot" w:pos="9350"/>
            </w:tabs>
            <w:ind w:left="900" w:hanging="900"/>
            <w:rPr>
              <w:rFonts w:asciiTheme="minorHAnsi" w:hAnsiTheme="minorHAnsi" w:cstheme="minorBidi"/>
              <w:noProof/>
              <w:sz w:val="22"/>
            </w:rPr>
          </w:pPr>
          <w:hyperlink w:anchor="_Toc29817403" w:history="1">
            <w:r w:rsidR="00EC0EA8" w:rsidRPr="00646D72">
              <w:rPr>
                <w:rStyle w:val="Hyperlink"/>
                <w:noProof/>
              </w:rPr>
              <w:t>5.5.3.</w:t>
            </w:r>
            <w:r w:rsidR="00EC0EA8">
              <w:rPr>
                <w:rFonts w:asciiTheme="minorHAnsi" w:hAnsiTheme="minorHAnsi" w:cstheme="minorBidi"/>
                <w:noProof/>
                <w:sz w:val="22"/>
              </w:rPr>
              <w:tab/>
            </w:r>
            <w:r w:rsidR="00EC0EA8" w:rsidRPr="00646D72">
              <w:rPr>
                <w:rStyle w:val="Hyperlink"/>
                <w:noProof/>
              </w:rPr>
              <w:t>Should a Future Workshop Consider Greater Uniformity in the Results</w:t>
            </w:r>
            <w:r w:rsidR="003029AA">
              <w:rPr>
                <w:rStyle w:val="Hyperlink"/>
                <w:noProof/>
              </w:rPr>
              <w:t> </w:t>
            </w:r>
            <w:r w:rsidR="00EC0EA8" w:rsidRPr="00646D72">
              <w:rPr>
                <w:rStyle w:val="Hyperlink"/>
                <w:noProof/>
              </w:rPr>
              <w:t>of</w:t>
            </w:r>
            <w:r w:rsidR="003029AA">
              <w:rPr>
                <w:rStyle w:val="Hyperlink"/>
                <w:noProof/>
              </w:rPr>
              <w:t> </w:t>
            </w:r>
            <w:r w:rsidR="00EC0EA8" w:rsidRPr="00646D72">
              <w:rPr>
                <w:rStyle w:val="Hyperlink"/>
                <w:noProof/>
              </w:rPr>
              <w:t>Operation Model?</w:t>
            </w:r>
            <w:r w:rsidR="00EC0EA8">
              <w:rPr>
                <w:noProof/>
                <w:webHidden/>
              </w:rPr>
              <w:tab/>
            </w:r>
            <w:r w:rsidR="00EC0EA8">
              <w:rPr>
                <w:noProof/>
                <w:webHidden/>
              </w:rPr>
              <w:fldChar w:fldCharType="begin"/>
            </w:r>
            <w:r w:rsidR="00EC0EA8">
              <w:rPr>
                <w:noProof/>
                <w:webHidden/>
              </w:rPr>
              <w:instrText xml:space="preserve"> PAGEREF _Toc29817403 \h </w:instrText>
            </w:r>
            <w:r w:rsidR="00EC0EA8">
              <w:rPr>
                <w:noProof/>
                <w:webHidden/>
              </w:rPr>
            </w:r>
            <w:r w:rsidR="00EC0EA8">
              <w:rPr>
                <w:noProof/>
                <w:webHidden/>
              </w:rPr>
              <w:fldChar w:fldCharType="separate"/>
            </w:r>
            <w:r>
              <w:rPr>
                <w:noProof/>
                <w:webHidden/>
              </w:rPr>
              <w:t>65</w:t>
            </w:r>
            <w:r w:rsidR="00EC0EA8">
              <w:rPr>
                <w:noProof/>
                <w:webHidden/>
              </w:rPr>
              <w:fldChar w:fldCharType="end"/>
            </w:r>
          </w:hyperlink>
        </w:p>
        <w:p w14:paraId="03F63D99" w14:textId="758D802B" w:rsidR="00EC0EA8" w:rsidRDefault="002F6A7F" w:rsidP="00632EAC">
          <w:pPr>
            <w:pStyle w:val="TOC3"/>
            <w:tabs>
              <w:tab w:val="left" w:pos="1296"/>
              <w:tab w:val="right" w:leader="dot" w:pos="9350"/>
            </w:tabs>
            <w:ind w:left="900" w:hanging="900"/>
            <w:rPr>
              <w:rFonts w:asciiTheme="minorHAnsi" w:hAnsiTheme="minorHAnsi" w:cstheme="minorBidi"/>
              <w:noProof/>
              <w:sz w:val="22"/>
            </w:rPr>
          </w:pPr>
          <w:hyperlink w:anchor="_Toc29817404" w:history="1">
            <w:r w:rsidR="00EC0EA8" w:rsidRPr="00646D72">
              <w:rPr>
                <w:rStyle w:val="Hyperlink"/>
                <w:noProof/>
              </w:rPr>
              <w:t>5.5.4.</w:t>
            </w:r>
            <w:r w:rsidR="00EC0EA8">
              <w:rPr>
                <w:rFonts w:asciiTheme="minorHAnsi" w:hAnsiTheme="minorHAnsi" w:cstheme="minorBidi"/>
                <w:noProof/>
                <w:sz w:val="22"/>
              </w:rPr>
              <w:tab/>
            </w:r>
            <w:r w:rsidR="00EC0EA8" w:rsidRPr="00646D72">
              <w:rPr>
                <w:rStyle w:val="Hyperlink"/>
                <w:noProof/>
              </w:rPr>
              <w:t>Should a Future Workshop Address FERC Accounting?</w:t>
            </w:r>
            <w:r w:rsidR="00EC0EA8">
              <w:rPr>
                <w:noProof/>
                <w:webHidden/>
              </w:rPr>
              <w:tab/>
            </w:r>
            <w:r w:rsidR="00EC0EA8">
              <w:rPr>
                <w:noProof/>
                <w:webHidden/>
              </w:rPr>
              <w:fldChar w:fldCharType="begin"/>
            </w:r>
            <w:r w:rsidR="00EC0EA8">
              <w:rPr>
                <w:noProof/>
                <w:webHidden/>
              </w:rPr>
              <w:instrText xml:space="preserve"> PAGEREF _Toc29817404 \h </w:instrText>
            </w:r>
            <w:r w:rsidR="00EC0EA8">
              <w:rPr>
                <w:noProof/>
                <w:webHidden/>
              </w:rPr>
            </w:r>
            <w:r w:rsidR="00EC0EA8">
              <w:rPr>
                <w:noProof/>
                <w:webHidden/>
              </w:rPr>
              <w:fldChar w:fldCharType="separate"/>
            </w:r>
            <w:r>
              <w:rPr>
                <w:noProof/>
                <w:webHidden/>
              </w:rPr>
              <w:t>67</w:t>
            </w:r>
            <w:r w:rsidR="00EC0EA8">
              <w:rPr>
                <w:noProof/>
                <w:webHidden/>
              </w:rPr>
              <w:fldChar w:fldCharType="end"/>
            </w:r>
          </w:hyperlink>
        </w:p>
        <w:p w14:paraId="18A5C74A" w14:textId="507ADFD7" w:rsidR="00EC0EA8" w:rsidRDefault="002F6A7F" w:rsidP="00632EAC">
          <w:pPr>
            <w:pStyle w:val="TOC3"/>
            <w:tabs>
              <w:tab w:val="left" w:pos="1296"/>
              <w:tab w:val="right" w:leader="dot" w:pos="9350"/>
            </w:tabs>
            <w:ind w:left="900" w:hanging="900"/>
            <w:rPr>
              <w:rFonts w:asciiTheme="minorHAnsi" w:hAnsiTheme="minorHAnsi" w:cstheme="minorBidi"/>
              <w:noProof/>
              <w:sz w:val="22"/>
            </w:rPr>
          </w:pPr>
          <w:hyperlink w:anchor="_Toc29817405" w:history="1">
            <w:r w:rsidR="00EC0EA8" w:rsidRPr="00646D72">
              <w:rPr>
                <w:rStyle w:val="Hyperlink"/>
                <w:noProof/>
              </w:rPr>
              <w:t>5.5.5.</w:t>
            </w:r>
            <w:r w:rsidR="00EC0EA8">
              <w:rPr>
                <w:rFonts w:asciiTheme="minorHAnsi" w:hAnsiTheme="minorHAnsi" w:cstheme="minorBidi"/>
                <w:noProof/>
                <w:sz w:val="22"/>
              </w:rPr>
              <w:tab/>
            </w:r>
            <w:r w:rsidR="00EC0EA8" w:rsidRPr="00646D72">
              <w:rPr>
                <w:rStyle w:val="Hyperlink"/>
                <w:noProof/>
              </w:rPr>
              <w:t>Adopted Workshop Topics and Schedule</w:t>
            </w:r>
            <w:r w:rsidR="00EC0EA8">
              <w:rPr>
                <w:noProof/>
                <w:webHidden/>
              </w:rPr>
              <w:tab/>
            </w:r>
            <w:r w:rsidR="00A91747">
              <w:rPr>
                <w:noProof/>
                <w:webHidden/>
              </w:rPr>
              <w:t>69</w:t>
            </w:r>
          </w:hyperlink>
        </w:p>
        <w:p w14:paraId="2ADB17E8" w14:textId="012505F4" w:rsidR="00EC0EA8" w:rsidRPr="00632EAC" w:rsidRDefault="002F6A7F" w:rsidP="00632EAC">
          <w:pPr>
            <w:pStyle w:val="TOC2"/>
            <w:tabs>
              <w:tab w:val="right" w:leader="dot" w:pos="9350"/>
            </w:tabs>
            <w:ind w:left="630" w:hanging="630"/>
            <w:rPr>
              <w:rStyle w:val="Hyperlink"/>
              <w:noProof/>
            </w:rPr>
          </w:pPr>
          <w:hyperlink w:anchor="_Toc29817406" w:history="1">
            <w:r w:rsidR="00EC0EA8" w:rsidRPr="00646D72">
              <w:rPr>
                <w:rStyle w:val="Hyperlink"/>
                <w:noProof/>
              </w:rPr>
              <w:t>5.6.</w:t>
            </w:r>
            <w:r w:rsidR="00EC0EA8" w:rsidRPr="00632EAC">
              <w:rPr>
                <w:rStyle w:val="Hyperlink"/>
                <w:noProof/>
              </w:rPr>
              <w:tab/>
            </w:r>
            <w:r w:rsidR="00EC0EA8" w:rsidRPr="00646D72">
              <w:rPr>
                <w:rStyle w:val="Hyperlink"/>
                <w:noProof/>
              </w:rPr>
              <w:t>Should the Commission Open a “Tax Rulemaking”?</w:t>
            </w:r>
            <w:r w:rsidR="00EC0EA8" w:rsidRPr="00632EAC">
              <w:rPr>
                <w:rStyle w:val="Hyperlink"/>
                <w:noProof/>
                <w:webHidden/>
              </w:rPr>
              <w:tab/>
            </w:r>
            <w:r w:rsidR="00EC0EA8" w:rsidRPr="00632EAC">
              <w:rPr>
                <w:rStyle w:val="Hyperlink"/>
                <w:noProof/>
                <w:webHidden/>
              </w:rPr>
              <w:fldChar w:fldCharType="begin"/>
            </w:r>
            <w:r w:rsidR="00EC0EA8" w:rsidRPr="00632EAC">
              <w:rPr>
                <w:rStyle w:val="Hyperlink"/>
                <w:noProof/>
                <w:webHidden/>
              </w:rPr>
              <w:instrText xml:space="preserve"> PAGEREF _Toc29817406 \h </w:instrText>
            </w:r>
            <w:r w:rsidR="00EC0EA8" w:rsidRPr="00632EAC">
              <w:rPr>
                <w:rStyle w:val="Hyperlink"/>
                <w:noProof/>
                <w:webHidden/>
              </w:rPr>
            </w:r>
            <w:r w:rsidR="00EC0EA8" w:rsidRPr="00632EAC">
              <w:rPr>
                <w:rStyle w:val="Hyperlink"/>
                <w:noProof/>
                <w:webHidden/>
              </w:rPr>
              <w:fldChar w:fldCharType="separate"/>
            </w:r>
            <w:r>
              <w:rPr>
                <w:rStyle w:val="Hyperlink"/>
                <w:noProof/>
                <w:webHidden/>
              </w:rPr>
              <w:t>72</w:t>
            </w:r>
            <w:r w:rsidR="00EC0EA8" w:rsidRPr="00632EAC">
              <w:rPr>
                <w:rStyle w:val="Hyperlink"/>
                <w:noProof/>
                <w:webHidden/>
              </w:rPr>
              <w:fldChar w:fldCharType="end"/>
            </w:r>
          </w:hyperlink>
        </w:p>
        <w:p w14:paraId="3230F7B3" w14:textId="0627A914" w:rsidR="00EC0EA8" w:rsidRPr="00632EAC" w:rsidRDefault="002F6A7F" w:rsidP="00632EAC">
          <w:pPr>
            <w:pStyle w:val="TOC2"/>
            <w:tabs>
              <w:tab w:val="right" w:leader="dot" w:pos="9350"/>
            </w:tabs>
            <w:ind w:left="630" w:hanging="630"/>
            <w:rPr>
              <w:rStyle w:val="Hyperlink"/>
              <w:noProof/>
            </w:rPr>
          </w:pPr>
          <w:hyperlink w:anchor="_Toc29817407" w:history="1">
            <w:r w:rsidR="00EC0EA8" w:rsidRPr="00646D72">
              <w:rPr>
                <w:rStyle w:val="Hyperlink"/>
                <w:noProof/>
              </w:rPr>
              <w:t>5.7.</w:t>
            </w:r>
            <w:r w:rsidR="00EC0EA8" w:rsidRPr="00632EAC">
              <w:rPr>
                <w:rStyle w:val="Hyperlink"/>
                <w:noProof/>
              </w:rPr>
              <w:tab/>
            </w:r>
            <w:r w:rsidR="00EC0EA8" w:rsidRPr="00646D72">
              <w:rPr>
                <w:rStyle w:val="Hyperlink"/>
                <w:noProof/>
              </w:rPr>
              <w:t>Closure of this Rulemaking</w:t>
            </w:r>
            <w:r w:rsidR="00EC0EA8" w:rsidRPr="00632EAC">
              <w:rPr>
                <w:rStyle w:val="Hyperlink"/>
                <w:noProof/>
                <w:webHidden/>
              </w:rPr>
              <w:tab/>
            </w:r>
            <w:r w:rsidR="00EC0EA8" w:rsidRPr="00632EAC">
              <w:rPr>
                <w:rStyle w:val="Hyperlink"/>
                <w:noProof/>
                <w:webHidden/>
              </w:rPr>
              <w:fldChar w:fldCharType="begin"/>
            </w:r>
            <w:r w:rsidR="00EC0EA8" w:rsidRPr="00632EAC">
              <w:rPr>
                <w:rStyle w:val="Hyperlink"/>
                <w:noProof/>
                <w:webHidden/>
              </w:rPr>
              <w:instrText xml:space="preserve"> PAGEREF _Toc29817407 \h </w:instrText>
            </w:r>
            <w:r w:rsidR="00EC0EA8" w:rsidRPr="00632EAC">
              <w:rPr>
                <w:rStyle w:val="Hyperlink"/>
                <w:noProof/>
                <w:webHidden/>
              </w:rPr>
            </w:r>
            <w:r w:rsidR="00EC0EA8" w:rsidRPr="00632EAC">
              <w:rPr>
                <w:rStyle w:val="Hyperlink"/>
                <w:noProof/>
                <w:webHidden/>
              </w:rPr>
              <w:fldChar w:fldCharType="separate"/>
            </w:r>
            <w:r>
              <w:rPr>
                <w:rStyle w:val="Hyperlink"/>
                <w:noProof/>
                <w:webHidden/>
              </w:rPr>
              <w:t>73</w:t>
            </w:r>
            <w:r w:rsidR="00EC0EA8" w:rsidRPr="00632EAC">
              <w:rPr>
                <w:rStyle w:val="Hyperlink"/>
                <w:noProof/>
                <w:webHidden/>
              </w:rPr>
              <w:fldChar w:fldCharType="end"/>
            </w:r>
          </w:hyperlink>
        </w:p>
        <w:p w14:paraId="1B9B4E65" w14:textId="6E437A82" w:rsidR="00EC0EA8" w:rsidRDefault="002F6A7F">
          <w:pPr>
            <w:pStyle w:val="TOC1"/>
            <w:tabs>
              <w:tab w:val="right" w:leader="dot" w:pos="9350"/>
            </w:tabs>
            <w:rPr>
              <w:rFonts w:asciiTheme="minorHAnsi" w:hAnsiTheme="minorHAnsi" w:cstheme="minorBidi"/>
              <w:noProof/>
              <w:sz w:val="22"/>
            </w:rPr>
          </w:pPr>
          <w:hyperlink w:anchor="_Toc29817408" w:history="1">
            <w:r w:rsidR="00EC0EA8" w:rsidRPr="00646D72">
              <w:rPr>
                <w:rStyle w:val="Hyperlink"/>
                <w:noProof/>
              </w:rPr>
              <w:t>6.</w:t>
            </w:r>
            <w:r w:rsidR="00EC0EA8">
              <w:rPr>
                <w:rFonts w:asciiTheme="minorHAnsi" w:hAnsiTheme="minorHAnsi" w:cstheme="minorBidi"/>
                <w:noProof/>
                <w:sz w:val="22"/>
              </w:rPr>
              <w:tab/>
            </w:r>
            <w:r w:rsidR="00EC0EA8" w:rsidRPr="00646D72">
              <w:rPr>
                <w:rStyle w:val="Hyperlink"/>
                <w:noProof/>
              </w:rPr>
              <w:t>Comments on Proposed Decision</w:t>
            </w:r>
            <w:r w:rsidR="00EC0EA8">
              <w:rPr>
                <w:noProof/>
                <w:webHidden/>
              </w:rPr>
              <w:tab/>
            </w:r>
            <w:r w:rsidR="00EC0EA8">
              <w:rPr>
                <w:noProof/>
                <w:webHidden/>
              </w:rPr>
              <w:fldChar w:fldCharType="begin"/>
            </w:r>
            <w:r w:rsidR="00EC0EA8">
              <w:rPr>
                <w:noProof/>
                <w:webHidden/>
              </w:rPr>
              <w:instrText xml:space="preserve"> PAGEREF _Toc29817408 \h </w:instrText>
            </w:r>
            <w:r w:rsidR="00EC0EA8">
              <w:rPr>
                <w:noProof/>
                <w:webHidden/>
              </w:rPr>
            </w:r>
            <w:r w:rsidR="00EC0EA8">
              <w:rPr>
                <w:noProof/>
                <w:webHidden/>
              </w:rPr>
              <w:fldChar w:fldCharType="separate"/>
            </w:r>
            <w:r>
              <w:rPr>
                <w:noProof/>
                <w:webHidden/>
              </w:rPr>
              <w:t>74</w:t>
            </w:r>
            <w:r w:rsidR="00EC0EA8">
              <w:rPr>
                <w:noProof/>
                <w:webHidden/>
              </w:rPr>
              <w:fldChar w:fldCharType="end"/>
            </w:r>
          </w:hyperlink>
        </w:p>
        <w:p w14:paraId="301B2D4B" w14:textId="472BEE1D" w:rsidR="00EC0EA8" w:rsidRDefault="002F6A7F">
          <w:pPr>
            <w:pStyle w:val="TOC1"/>
            <w:tabs>
              <w:tab w:val="right" w:leader="dot" w:pos="9350"/>
            </w:tabs>
            <w:rPr>
              <w:rFonts w:asciiTheme="minorHAnsi" w:hAnsiTheme="minorHAnsi" w:cstheme="minorBidi"/>
              <w:noProof/>
              <w:sz w:val="22"/>
            </w:rPr>
          </w:pPr>
          <w:hyperlink w:anchor="_Toc29817409" w:history="1">
            <w:r w:rsidR="00EC0EA8" w:rsidRPr="00646D72">
              <w:rPr>
                <w:rStyle w:val="Hyperlink"/>
                <w:noProof/>
              </w:rPr>
              <w:t>7.</w:t>
            </w:r>
            <w:r w:rsidR="00EC0EA8">
              <w:rPr>
                <w:rFonts w:asciiTheme="minorHAnsi" w:hAnsiTheme="minorHAnsi" w:cstheme="minorBidi"/>
                <w:noProof/>
                <w:sz w:val="22"/>
              </w:rPr>
              <w:tab/>
            </w:r>
            <w:r w:rsidR="00EC0EA8" w:rsidRPr="00646D72">
              <w:rPr>
                <w:rStyle w:val="Hyperlink"/>
                <w:noProof/>
              </w:rPr>
              <w:t>Assignment of Proceeding</w:t>
            </w:r>
            <w:r w:rsidR="00EC0EA8">
              <w:rPr>
                <w:noProof/>
                <w:webHidden/>
              </w:rPr>
              <w:tab/>
            </w:r>
            <w:r w:rsidR="00EC0EA8">
              <w:rPr>
                <w:noProof/>
                <w:webHidden/>
              </w:rPr>
              <w:fldChar w:fldCharType="begin"/>
            </w:r>
            <w:r w:rsidR="00EC0EA8">
              <w:rPr>
                <w:noProof/>
                <w:webHidden/>
              </w:rPr>
              <w:instrText xml:space="preserve"> PAGEREF _Toc29817409 \h </w:instrText>
            </w:r>
            <w:r w:rsidR="00EC0EA8">
              <w:rPr>
                <w:noProof/>
                <w:webHidden/>
              </w:rPr>
            </w:r>
            <w:r w:rsidR="00EC0EA8">
              <w:rPr>
                <w:noProof/>
                <w:webHidden/>
              </w:rPr>
              <w:fldChar w:fldCharType="separate"/>
            </w:r>
            <w:r>
              <w:rPr>
                <w:noProof/>
                <w:webHidden/>
              </w:rPr>
              <w:t>75</w:t>
            </w:r>
            <w:r w:rsidR="00EC0EA8">
              <w:rPr>
                <w:noProof/>
                <w:webHidden/>
              </w:rPr>
              <w:fldChar w:fldCharType="end"/>
            </w:r>
          </w:hyperlink>
        </w:p>
        <w:p w14:paraId="1DA55D5B" w14:textId="282EC336" w:rsidR="00EC0EA8" w:rsidRDefault="002F6A7F">
          <w:pPr>
            <w:pStyle w:val="TOC1"/>
            <w:tabs>
              <w:tab w:val="right" w:leader="dot" w:pos="9350"/>
            </w:tabs>
            <w:rPr>
              <w:rFonts w:asciiTheme="minorHAnsi" w:hAnsiTheme="minorHAnsi" w:cstheme="minorBidi"/>
              <w:noProof/>
              <w:sz w:val="22"/>
            </w:rPr>
          </w:pPr>
          <w:hyperlink w:anchor="_Toc29817410" w:history="1">
            <w:r w:rsidR="00EC0EA8" w:rsidRPr="00646D72">
              <w:rPr>
                <w:rStyle w:val="Hyperlink"/>
                <w:noProof/>
              </w:rPr>
              <w:t>Findings of Fact</w:t>
            </w:r>
            <w:r w:rsidR="00EC0EA8">
              <w:rPr>
                <w:noProof/>
                <w:webHidden/>
              </w:rPr>
              <w:tab/>
            </w:r>
            <w:r w:rsidR="00EC0EA8">
              <w:rPr>
                <w:noProof/>
                <w:webHidden/>
              </w:rPr>
              <w:fldChar w:fldCharType="begin"/>
            </w:r>
            <w:r w:rsidR="00EC0EA8">
              <w:rPr>
                <w:noProof/>
                <w:webHidden/>
              </w:rPr>
              <w:instrText xml:space="preserve"> PAGEREF _Toc29817410 \h </w:instrText>
            </w:r>
            <w:r w:rsidR="00EC0EA8">
              <w:rPr>
                <w:noProof/>
                <w:webHidden/>
              </w:rPr>
            </w:r>
            <w:r w:rsidR="00EC0EA8">
              <w:rPr>
                <w:noProof/>
                <w:webHidden/>
              </w:rPr>
              <w:fldChar w:fldCharType="separate"/>
            </w:r>
            <w:r>
              <w:rPr>
                <w:noProof/>
                <w:webHidden/>
              </w:rPr>
              <w:t>75</w:t>
            </w:r>
            <w:r w:rsidR="00EC0EA8">
              <w:rPr>
                <w:noProof/>
                <w:webHidden/>
              </w:rPr>
              <w:fldChar w:fldCharType="end"/>
            </w:r>
          </w:hyperlink>
        </w:p>
        <w:p w14:paraId="6BFB2DFE" w14:textId="114D7388" w:rsidR="00EC0EA8" w:rsidRDefault="002F6A7F">
          <w:pPr>
            <w:pStyle w:val="TOC1"/>
            <w:tabs>
              <w:tab w:val="right" w:leader="dot" w:pos="9350"/>
            </w:tabs>
            <w:rPr>
              <w:rFonts w:asciiTheme="minorHAnsi" w:hAnsiTheme="minorHAnsi" w:cstheme="minorBidi"/>
              <w:noProof/>
              <w:sz w:val="22"/>
            </w:rPr>
          </w:pPr>
          <w:hyperlink w:anchor="_Toc29817411" w:history="1">
            <w:r w:rsidR="00EC0EA8" w:rsidRPr="00646D72">
              <w:rPr>
                <w:rStyle w:val="Hyperlink"/>
                <w:noProof/>
              </w:rPr>
              <w:t>Conclusions of Law</w:t>
            </w:r>
            <w:r w:rsidR="00EC0EA8">
              <w:rPr>
                <w:noProof/>
                <w:webHidden/>
              </w:rPr>
              <w:tab/>
            </w:r>
            <w:r w:rsidR="00EC0EA8">
              <w:rPr>
                <w:noProof/>
                <w:webHidden/>
              </w:rPr>
              <w:fldChar w:fldCharType="begin"/>
            </w:r>
            <w:r w:rsidR="00EC0EA8">
              <w:rPr>
                <w:noProof/>
                <w:webHidden/>
              </w:rPr>
              <w:instrText xml:space="preserve"> PAGEREF _Toc29817411 \h </w:instrText>
            </w:r>
            <w:r w:rsidR="00EC0EA8">
              <w:rPr>
                <w:noProof/>
                <w:webHidden/>
              </w:rPr>
            </w:r>
            <w:r w:rsidR="00EC0EA8">
              <w:rPr>
                <w:noProof/>
                <w:webHidden/>
              </w:rPr>
              <w:fldChar w:fldCharType="separate"/>
            </w:r>
            <w:r>
              <w:rPr>
                <w:noProof/>
                <w:webHidden/>
              </w:rPr>
              <w:t>77</w:t>
            </w:r>
            <w:r w:rsidR="00EC0EA8">
              <w:rPr>
                <w:noProof/>
                <w:webHidden/>
              </w:rPr>
              <w:fldChar w:fldCharType="end"/>
            </w:r>
          </w:hyperlink>
        </w:p>
        <w:p w14:paraId="1E20637C" w14:textId="2D4B2742" w:rsidR="00EC0EA8" w:rsidRPr="008E524B" w:rsidRDefault="002F6A7F">
          <w:pPr>
            <w:pStyle w:val="TOC1"/>
            <w:tabs>
              <w:tab w:val="right" w:leader="dot" w:pos="9350"/>
            </w:tabs>
            <w:rPr>
              <w:rFonts w:asciiTheme="minorHAnsi" w:hAnsiTheme="minorHAnsi" w:cstheme="minorBidi"/>
              <w:noProof/>
              <w:sz w:val="22"/>
            </w:rPr>
          </w:pPr>
          <w:hyperlink w:anchor="_Toc29817412" w:history="1">
            <w:r w:rsidR="00EC0EA8" w:rsidRPr="00632EAC">
              <w:rPr>
                <w:rStyle w:val="Hyperlink"/>
                <w:noProof/>
              </w:rPr>
              <w:t>ORDER</w:t>
            </w:r>
            <w:r w:rsidR="00EC0EA8" w:rsidRPr="008E524B">
              <w:rPr>
                <w:noProof/>
                <w:webHidden/>
              </w:rPr>
              <w:tab/>
            </w:r>
            <w:r w:rsidR="00EC0EA8" w:rsidRPr="00632EAC">
              <w:rPr>
                <w:noProof/>
                <w:webHidden/>
              </w:rPr>
              <w:fldChar w:fldCharType="begin"/>
            </w:r>
            <w:r w:rsidR="00EC0EA8" w:rsidRPr="008E524B">
              <w:rPr>
                <w:noProof/>
                <w:webHidden/>
              </w:rPr>
              <w:instrText xml:space="preserve"> PAGEREF _Toc29817412 \h </w:instrText>
            </w:r>
            <w:r w:rsidR="00EC0EA8" w:rsidRPr="00632EAC">
              <w:rPr>
                <w:noProof/>
                <w:webHidden/>
              </w:rPr>
            </w:r>
            <w:r w:rsidR="00EC0EA8" w:rsidRPr="00632EAC">
              <w:rPr>
                <w:noProof/>
                <w:webHidden/>
              </w:rPr>
              <w:fldChar w:fldCharType="separate"/>
            </w:r>
            <w:r>
              <w:rPr>
                <w:noProof/>
                <w:webHidden/>
              </w:rPr>
              <w:t>78</w:t>
            </w:r>
            <w:r w:rsidR="00EC0EA8" w:rsidRPr="00632EAC">
              <w:rPr>
                <w:noProof/>
                <w:webHidden/>
              </w:rPr>
              <w:fldChar w:fldCharType="end"/>
            </w:r>
          </w:hyperlink>
        </w:p>
        <w:p w14:paraId="4CADA9E3" w14:textId="315FAC08" w:rsidR="00632EAC" w:rsidRDefault="001B7E48" w:rsidP="00632EAC">
          <w:pPr>
            <w:pStyle w:val="TOC1"/>
            <w:tabs>
              <w:tab w:val="right" w:leader="dot" w:pos="9350"/>
            </w:tabs>
            <w:rPr>
              <w:bCs/>
              <w:noProof/>
            </w:rPr>
          </w:pPr>
          <w:r>
            <w:fldChar w:fldCharType="end"/>
          </w:r>
        </w:p>
      </w:sdtContent>
    </w:sdt>
    <w:p w14:paraId="1EFF74DF" w14:textId="2F9A474A" w:rsidR="00D44DB6" w:rsidRDefault="0098655A" w:rsidP="00632EAC">
      <w:pPr>
        <w:pStyle w:val="TOC1"/>
        <w:tabs>
          <w:tab w:val="right" w:leader="dot" w:pos="9350"/>
        </w:tabs>
        <w:rPr>
          <w:rFonts w:cs="Arial"/>
          <w:sz w:val="24"/>
          <w:szCs w:val="24"/>
        </w:rPr>
      </w:pPr>
      <w:r w:rsidRPr="000B0E09">
        <w:rPr>
          <w:rFonts w:cs="Arial"/>
          <w:b/>
          <w:sz w:val="24"/>
          <w:szCs w:val="24"/>
        </w:rPr>
        <w:t>Appendix A</w:t>
      </w:r>
      <w:r w:rsidR="00F36EB7" w:rsidRPr="000B0E09">
        <w:rPr>
          <w:rFonts w:cs="Arial"/>
          <w:sz w:val="24"/>
          <w:szCs w:val="24"/>
        </w:rPr>
        <w:t xml:space="preserve">:  </w:t>
      </w:r>
      <w:r w:rsidR="00CC46E7" w:rsidRPr="000B0E09">
        <w:rPr>
          <w:rFonts w:cs="Arial"/>
          <w:sz w:val="24"/>
          <w:szCs w:val="24"/>
        </w:rPr>
        <w:t xml:space="preserve">Adopted </w:t>
      </w:r>
      <w:r w:rsidR="00F36EB7" w:rsidRPr="000B0E09">
        <w:rPr>
          <w:rFonts w:cs="Arial"/>
          <w:sz w:val="24"/>
          <w:szCs w:val="24"/>
        </w:rPr>
        <w:t xml:space="preserve">Revised GRC Application Filing Schedule, Effective </w:t>
      </w:r>
      <w:r w:rsidR="005B7CD4">
        <w:rPr>
          <w:rFonts w:cs="Arial"/>
          <w:sz w:val="24"/>
          <w:szCs w:val="24"/>
        </w:rPr>
        <w:t>June 30</w:t>
      </w:r>
      <w:r w:rsidR="00F36EB7" w:rsidRPr="000B0E09">
        <w:rPr>
          <w:rFonts w:cs="Arial"/>
          <w:sz w:val="24"/>
          <w:szCs w:val="24"/>
        </w:rPr>
        <w:t>, 2020</w:t>
      </w:r>
    </w:p>
    <w:p w14:paraId="50C6FC23" w14:textId="7BE79C5D" w:rsidR="00D138D0" w:rsidRPr="000B0E09" w:rsidRDefault="00D138D0" w:rsidP="00D138D0">
      <w:pPr>
        <w:spacing w:line="240" w:lineRule="auto"/>
        <w:ind w:firstLine="0"/>
        <w:rPr>
          <w:rFonts w:cs="Arial"/>
          <w:sz w:val="24"/>
          <w:szCs w:val="24"/>
        </w:rPr>
        <w:sectPr w:rsidR="00D138D0" w:rsidRPr="000B0E09" w:rsidSect="00632EAC">
          <w:headerReference w:type="default" r:id="rId18"/>
          <w:footerReference w:type="default" r:id="rId19"/>
          <w:pgSz w:w="12240" w:h="15840"/>
          <w:pgMar w:top="1728" w:right="1440" w:bottom="432" w:left="1440" w:header="720" w:footer="720" w:gutter="0"/>
          <w:pgNumType w:fmt="lowerRoman" w:start="1"/>
          <w:cols w:space="720"/>
          <w:docGrid w:linePitch="360"/>
        </w:sectPr>
      </w:pPr>
      <w:r w:rsidRPr="000B0E09">
        <w:rPr>
          <w:rFonts w:cs="Arial"/>
          <w:b/>
          <w:sz w:val="24"/>
          <w:szCs w:val="24"/>
        </w:rPr>
        <w:t xml:space="preserve">Appendix </w:t>
      </w:r>
      <w:r>
        <w:rPr>
          <w:rFonts w:cs="Arial"/>
          <w:b/>
          <w:sz w:val="24"/>
          <w:szCs w:val="24"/>
        </w:rPr>
        <w:t>B</w:t>
      </w:r>
      <w:r w:rsidRPr="000B0E09">
        <w:rPr>
          <w:rFonts w:cs="Arial"/>
          <w:sz w:val="24"/>
          <w:szCs w:val="24"/>
        </w:rPr>
        <w:t xml:space="preserve">:  </w:t>
      </w:r>
      <w:r w:rsidRPr="00D138D0">
        <w:rPr>
          <w:rFonts w:cs="Arial"/>
          <w:sz w:val="24"/>
          <w:szCs w:val="24"/>
        </w:rPr>
        <w:t>Schedule for the Transition from the Current Three</w:t>
      </w:r>
      <w:r w:rsidR="00FE5496">
        <w:rPr>
          <w:rFonts w:cs="Arial"/>
          <w:sz w:val="24"/>
          <w:szCs w:val="24"/>
        </w:rPr>
        <w:noBreakHyphen/>
      </w:r>
      <w:r w:rsidRPr="00D138D0">
        <w:rPr>
          <w:rFonts w:cs="Arial"/>
          <w:sz w:val="24"/>
          <w:szCs w:val="24"/>
        </w:rPr>
        <w:t>Year GRC Cycle to the Four</w:t>
      </w:r>
      <w:r w:rsidR="00FE5496">
        <w:rPr>
          <w:rFonts w:cs="Arial"/>
          <w:sz w:val="24"/>
          <w:szCs w:val="24"/>
        </w:rPr>
        <w:noBreakHyphen/>
      </w:r>
      <w:r w:rsidRPr="00D138D0">
        <w:rPr>
          <w:rFonts w:cs="Arial"/>
          <w:sz w:val="24"/>
          <w:szCs w:val="24"/>
        </w:rPr>
        <w:t>Year GRC Cycle</w:t>
      </w:r>
    </w:p>
    <w:p w14:paraId="7CC3BCD4" w14:textId="767B858D" w:rsidR="0098655A" w:rsidRDefault="00856D42" w:rsidP="004D271A">
      <w:pPr>
        <w:pStyle w:val="Main"/>
      </w:pPr>
      <w:r>
        <w:lastRenderedPageBreak/>
        <w:t>DECISION MODIFYING THE COMMISSION’S</w:t>
      </w:r>
      <w:r w:rsidR="004D271A">
        <w:t xml:space="preserve"> </w:t>
      </w:r>
      <w:r>
        <w:t>RATE CASE PLAN FOR ENERGY UTILITIES</w:t>
      </w:r>
    </w:p>
    <w:p w14:paraId="7BBF57BF" w14:textId="77777777" w:rsidR="004D271A" w:rsidRPr="004D271A" w:rsidRDefault="004D271A" w:rsidP="004D271A"/>
    <w:p w14:paraId="7C30035A" w14:textId="77777777" w:rsidR="005A148C" w:rsidRDefault="005A148C" w:rsidP="00E15705">
      <w:pPr>
        <w:pStyle w:val="Dummy"/>
        <w:spacing w:after="240"/>
      </w:pPr>
      <w:bookmarkStart w:id="3" w:name="_Toc8123714"/>
      <w:bookmarkStart w:id="4" w:name="_Toc20998442"/>
      <w:r>
        <w:t>Summary</w:t>
      </w:r>
      <w:bookmarkEnd w:id="3"/>
      <w:bookmarkEnd w:id="4"/>
    </w:p>
    <w:p w14:paraId="58FD9B17" w14:textId="77777777" w:rsidR="00B702ED" w:rsidRDefault="00CC46E7" w:rsidP="00C360FC">
      <w:pPr>
        <w:pStyle w:val="Standard"/>
      </w:pPr>
      <w:r w:rsidRPr="00CC46E7">
        <w:t>The Commission manage</w:t>
      </w:r>
      <w:r>
        <w:t>s</w:t>
      </w:r>
      <w:r w:rsidRPr="00CC46E7">
        <w:t xml:space="preserve"> </w:t>
      </w:r>
      <w:r w:rsidR="00A264DF">
        <w:t>its</w:t>
      </w:r>
      <w:r w:rsidR="00A264DF" w:rsidRPr="00CC46E7">
        <w:t xml:space="preserve"> </w:t>
      </w:r>
      <w:r w:rsidRPr="00CC46E7">
        <w:t xml:space="preserve">General Rate Case (GRC) proceedings for </w:t>
      </w:r>
      <w:bookmarkStart w:id="5" w:name="_Hlk27392507"/>
      <w:r w:rsidRPr="00CC46E7">
        <w:t>the large energy utilities</w:t>
      </w:r>
      <w:r>
        <w:t xml:space="preserve"> </w:t>
      </w:r>
      <w:bookmarkEnd w:id="5"/>
      <w:r>
        <w:t>subject to its jurisdiction</w:t>
      </w:r>
      <w:r w:rsidRPr="00CC46E7">
        <w:t xml:space="preserve"> in accordance with </w:t>
      </w:r>
      <w:r>
        <w:t>a</w:t>
      </w:r>
      <w:r w:rsidRPr="00CC46E7">
        <w:t xml:space="preserve"> “rate case plan” </w:t>
      </w:r>
      <w:r w:rsidR="00D5702D">
        <w:t xml:space="preserve">(RCP) </w:t>
      </w:r>
      <w:r>
        <w:t>that sets the schedule for each milestone in the proceeding</w:t>
      </w:r>
      <w:r w:rsidRPr="00CC46E7">
        <w:t>.</w:t>
      </w:r>
      <w:r w:rsidR="00312008">
        <w:rPr>
          <w:rStyle w:val="FootnoteReference"/>
        </w:rPr>
        <w:footnoteReference w:id="2"/>
      </w:r>
      <w:r w:rsidRPr="00CC46E7">
        <w:t xml:space="preserve">  </w:t>
      </w:r>
      <w:r w:rsidR="00D5702D">
        <w:t xml:space="preserve">The purpose of the RCP is to </w:t>
      </w:r>
      <w:r w:rsidR="00FE0C84">
        <w:t>ensure that</w:t>
      </w:r>
      <w:r w:rsidR="00D5702D">
        <w:t xml:space="preserve"> complex and financially significant GRC proceedings </w:t>
      </w:r>
      <w:r w:rsidR="00FE0C84">
        <w:t xml:space="preserve">follow </w:t>
      </w:r>
      <w:r w:rsidR="00D5702D">
        <w:t xml:space="preserve">a predictable </w:t>
      </w:r>
      <w:r w:rsidR="00FE0C84">
        <w:t xml:space="preserve">schedule </w:t>
      </w:r>
      <w:r w:rsidR="00D5702D">
        <w:t xml:space="preserve">that balances the need for timely Commission decisions with procedural fairness for all parties.  </w:t>
      </w:r>
      <w:r w:rsidR="00A264DF">
        <w:t xml:space="preserve">In this </w:t>
      </w:r>
      <w:r w:rsidR="00B702ED">
        <w:t xml:space="preserve">decision </w:t>
      </w:r>
      <w:r w:rsidR="00A264DF">
        <w:t xml:space="preserve">we </w:t>
      </w:r>
      <w:r>
        <w:t xml:space="preserve">review and address </w:t>
      </w:r>
      <w:r w:rsidR="00A264DF">
        <w:t>proposals</w:t>
      </w:r>
      <w:r w:rsidR="00B702ED">
        <w:t xml:space="preserve"> </w:t>
      </w:r>
      <w:r>
        <w:t xml:space="preserve">regarding how </w:t>
      </w:r>
      <w:r w:rsidR="00A264DF">
        <w:t xml:space="preserve">we could conduct </w:t>
      </w:r>
      <w:r w:rsidR="00FE0C84">
        <w:t>GRC</w:t>
      </w:r>
      <w:r w:rsidR="00A264DF">
        <w:t xml:space="preserve"> </w:t>
      </w:r>
      <w:r>
        <w:t xml:space="preserve">proceedings more efficiently, and whether </w:t>
      </w:r>
      <w:r w:rsidR="00A264DF">
        <w:t xml:space="preserve">we should </w:t>
      </w:r>
      <w:r>
        <w:t>extend the GRC cycle for each utility from three years to four years</w:t>
      </w:r>
      <w:r w:rsidR="00B702ED">
        <w:t xml:space="preserve">. </w:t>
      </w:r>
      <w:r>
        <w:t xml:space="preserve"> </w:t>
      </w:r>
      <w:r w:rsidR="00B702ED">
        <w:t>We adopt the following:</w:t>
      </w:r>
    </w:p>
    <w:p w14:paraId="4198D065" w14:textId="5E5FA28E" w:rsidR="00F01B35" w:rsidRDefault="00B702ED" w:rsidP="00D14898">
      <w:pPr>
        <w:pStyle w:val="ListParagraph"/>
        <w:numPr>
          <w:ilvl w:val="0"/>
          <w:numId w:val="10"/>
        </w:numPr>
        <w:spacing w:after="120"/>
        <w:ind w:right="720"/>
        <w:contextualSpacing w:val="0"/>
        <w:rPr>
          <w:rFonts w:ascii="Book Antiqua" w:hAnsi="Book Antiqua"/>
        </w:rPr>
      </w:pPr>
      <w:r w:rsidRPr="00C360FC">
        <w:rPr>
          <w:rFonts w:ascii="Book Antiqua" w:hAnsi="Book Antiqua"/>
        </w:rPr>
        <w:t xml:space="preserve">The </w:t>
      </w:r>
      <w:r w:rsidR="00480777">
        <w:rPr>
          <w:rFonts w:ascii="Book Antiqua" w:hAnsi="Book Antiqua"/>
        </w:rPr>
        <w:t>generic</w:t>
      </w:r>
      <w:r w:rsidRPr="00C360FC">
        <w:rPr>
          <w:rFonts w:ascii="Book Antiqua" w:hAnsi="Book Antiqua"/>
        </w:rPr>
        <w:t xml:space="preserve"> GRC cycle </w:t>
      </w:r>
      <w:r w:rsidR="00DD3D17">
        <w:rPr>
          <w:rFonts w:ascii="Book Antiqua" w:hAnsi="Book Antiqua"/>
        </w:rPr>
        <w:t>is</w:t>
      </w:r>
      <w:r w:rsidR="00312008" w:rsidRPr="00C360FC">
        <w:rPr>
          <w:rFonts w:ascii="Book Antiqua" w:hAnsi="Book Antiqua"/>
        </w:rPr>
        <w:t xml:space="preserve"> changed</w:t>
      </w:r>
      <w:r w:rsidR="00480777">
        <w:rPr>
          <w:rFonts w:ascii="Book Antiqua" w:hAnsi="Book Antiqua"/>
        </w:rPr>
        <w:t xml:space="preserve"> from a three</w:t>
      </w:r>
      <w:r w:rsidR="00FE5496">
        <w:rPr>
          <w:rFonts w:ascii="Book Antiqua" w:hAnsi="Book Antiqua"/>
        </w:rPr>
        <w:noBreakHyphen/>
      </w:r>
      <w:r w:rsidR="00480777">
        <w:rPr>
          <w:rFonts w:ascii="Book Antiqua" w:hAnsi="Book Antiqua"/>
        </w:rPr>
        <w:t>year</w:t>
      </w:r>
      <w:r w:rsidR="00312008" w:rsidRPr="00C360FC">
        <w:rPr>
          <w:rFonts w:ascii="Book Antiqua" w:hAnsi="Book Antiqua"/>
        </w:rPr>
        <w:t xml:space="preserve"> to a </w:t>
      </w:r>
      <w:r w:rsidR="00CB6D6A" w:rsidRPr="00C360FC">
        <w:rPr>
          <w:rFonts w:ascii="Book Antiqua" w:hAnsi="Book Antiqua"/>
        </w:rPr>
        <w:t>four</w:t>
      </w:r>
      <w:r w:rsidR="00FE5496">
        <w:rPr>
          <w:rFonts w:ascii="Book Antiqua" w:hAnsi="Book Antiqua"/>
        </w:rPr>
        <w:noBreakHyphen/>
      </w:r>
      <w:r w:rsidR="00312008" w:rsidRPr="00C360FC">
        <w:rPr>
          <w:rFonts w:ascii="Book Antiqua" w:hAnsi="Book Antiqua"/>
        </w:rPr>
        <w:t>year cycle</w:t>
      </w:r>
      <w:r w:rsidRPr="00C360FC">
        <w:rPr>
          <w:rFonts w:ascii="Book Antiqua" w:hAnsi="Book Antiqua"/>
        </w:rPr>
        <w:t xml:space="preserve">, </w:t>
      </w:r>
      <w:r w:rsidR="00B85427">
        <w:rPr>
          <w:rFonts w:ascii="Book Antiqua" w:hAnsi="Book Antiqua"/>
        </w:rPr>
        <w:t>and the filing deadline shall transition to May 15</w:t>
      </w:r>
      <w:r w:rsidR="00B85427" w:rsidRPr="00F01B35">
        <w:rPr>
          <w:rFonts w:ascii="Book Antiqua" w:hAnsi="Book Antiqua"/>
          <w:vertAlign w:val="superscript"/>
        </w:rPr>
        <w:t>th</w:t>
      </w:r>
      <w:r w:rsidR="00B85427">
        <w:rPr>
          <w:rFonts w:ascii="Book Antiqua" w:hAnsi="Book Antiqua"/>
        </w:rPr>
        <w:t xml:space="preserve"> of the year that is two years prior to the test year</w:t>
      </w:r>
      <w:r w:rsidR="00033BAE">
        <w:rPr>
          <w:rFonts w:ascii="Book Antiqua" w:hAnsi="Book Antiqua"/>
        </w:rPr>
        <w:t>.</w:t>
      </w:r>
      <w:r w:rsidR="00AC5A0A">
        <w:rPr>
          <w:rFonts w:ascii="Book Antiqua" w:hAnsi="Book Antiqua"/>
        </w:rPr>
        <w:t xml:space="preserve"> </w:t>
      </w:r>
    </w:p>
    <w:p w14:paraId="6E16AE4A" w14:textId="13F0ADFC" w:rsidR="00F01B35" w:rsidRPr="00C360FC" w:rsidRDefault="00F01B35" w:rsidP="00F01B35">
      <w:pPr>
        <w:pStyle w:val="ListParagraph"/>
        <w:numPr>
          <w:ilvl w:val="0"/>
          <w:numId w:val="10"/>
        </w:numPr>
        <w:spacing w:after="120"/>
        <w:ind w:right="720"/>
        <w:contextualSpacing w:val="0"/>
        <w:rPr>
          <w:rFonts w:ascii="Book Antiqua" w:hAnsi="Book Antiqua"/>
        </w:rPr>
      </w:pPr>
      <w:r w:rsidRPr="00C360FC">
        <w:rPr>
          <w:rFonts w:ascii="Book Antiqua" w:hAnsi="Book Antiqua"/>
        </w:rPr>
        <w:t xml:space="preserve">The generic GRC proceeding schedule adopted in </w:t>
      </w:r>
      <w:r>
        <w:rPr>
          <w:rFonts w:ascii="Book Antiqua" w:hAnsi="Book Antiqua"/>
        </w:rPr>
        <w:br/>
      </w:r>
      <w:r w:rsidRPr="00C360FC">
        <w:rPr>
          <w:rFonts w:ascii="Book Antiqua" w:hAnsi="Book Antiqua"/>
        </w:rPr>
        <w:t>Decision 14</w:t>
      </w:r>
      <w:r w:rsidR="00FE5496">
        <w:rPr>
          <w:rFonts w:ascii="Book Antiqua" w:hAnsi="Book Antiqua"/>
        </w:rPr>
        <w:noBreakHyphen/>
      </w:r>
      <w:r w:rsidRPr="00C360FC">
        <w:rPr>
          <w:rFonts w:ascii="Book Antiqua" w:hAnsi="Book Antiqua"/>
        </w:rPr>
        <w:t>12</w:t>
      </w:r>
      <w:r w:rsidR="00FE5496">
        <w:rPr>
          <w:rFonts w:ascii="Book Antiqua" w:hAnsi="Book Antiqua"/>
        </w:rPr>
        <w:noBreakHyphen/>
      </w:r>
      <w:r w:rsidRPr="00C360FC">
        <w:rPr>
          <w:rFonts w:ascii="Book Antiqua" w:hAnsi="Book Antiqua"/>
        </w:rPr>
        <w:t>025 is modified as follows:</w:t>
      </w:r>
    </w:p>
    <w:p w14:paraId="77294B5C" w14:textId="4E9AEFD8" w:rsidR="00F01B35" w:rsidRPr="00C360FC" w:rsidRDefault="00F01B35" w:rsidP="00F01B35">
      <w:pPr>
        <w:pStyle w:val="ListParagraph"/>
        <w:numPr>
          <w:ilvl w:val="1"/>
          <w:numId w:val="39"/>
        </w:numPr>
        <w:spacing w:after="120"/>
        <w:ind w:right="720"/>
        <w:contextualSpacing w:val="0"/>
        <w:rPr>
          <w:rFonts w:ascii="Book Antiqua" w:hAnsi="Book Antiqua"/>
        </w:rPr>
      </w:pPr>
      <w:r w:rsidRPr="00C360FC">
        <w:rPr>
          <w:rFonts w:ascii="Book Antiqua" w:hAnsi="Book Antiqua"/>
        </w:rPr>
        <w:t xml:space="preserve">The filing date for GRC applications is moved from September 1 of the year that is two years prior to the applicant’s test year, to </w:t>
      </w:r>
      <w:r>
        <w:rPr>
          <w:rFonts w:ascii="Book Antiqua" w:hAnsi="Book Antiqua"/>
        </w:rPr>
        <w:t xml:space="preserve">May </w:t>
      </w:r>
      <w:r w:rsidRPr="00C360FC">
        <w:rPr>
          <w:rFonts w:ascii="Book Antiqua" w:hAnsi="Book Antiqua"/>
        </w:rPr>
        <w:t>1</w:t>
      </w:r>
      <w:r>
        <w:rPr>
          <w:rFonts w:ascii="Book Antiqua" w:hAnsi="Book Antiqua"/>
        </w:rPr>
        <w:t>5</w:t>
      </w:r>
      <w:r w:rsidRPr="005B6468">
        <w:rPr>
          <w:rFonts w:ascii="Book Antiqua" w:hAnsi="Book Antiqua"/>
          <w:vertAlign w:val="superscript"/>
        </w:rPr>
        <w:t>th</w:t>
      </w:r>
      <w:r w:rsidRPr="00C360FC">
        <w:rPr>
          <w:rFonts w:ascii="Book Antiqua" w:hAnsi="Book Antiqua"/>
        </w:rPr>
        <w:t xml:space="preserve"> of that year;</w:t>
      </w:r>
    </w:p>
    <w:p w14:paraId="063CF9A4" w14:textId="77777777" w:rsidR="00F01B35" w:rsidRPr="00C360FC" w:rsidRDefault="00F01B35" w:rsidP="00F01B35">
      <w:pPr>
        <w:pStyle w:val="ListParagraph"/>
        <w:numPr>
          <w:ilvl w:val="1"/>
          <w:numId w:val="39"/>
        </w:numPr>
        <w:spacing w:after="120"/>
        <w:ind w:right="720"/>
        <w:contextualSpacing w:val="0"/>
        <w:rPr>
          <w:rFonts w:ascii="Book Antiqua" w:hAnsi="Book Antiqua"/>
        </w:rPr>
      </w:pPr>
      <w:r w:rsidRPr="00C360FC">
        <w:rPr>
          <w:rFonts w:ascii="Book Antiqua" w:hAnsi="Book Antiqua"/>
        </w:rPr>
        <w:t xml:space="preserve">Additional time is provided to the Commission’s independent Public Advocates Office to complete its comprehensive review of the </w:t>
      </w:r>
      <w:r>
        <w:rPr>
          <w:rFonts w:ascii="Book Antiqua" w:hAnsi="Book Antiqua"/>
        </w:rPr>
        <w:t>utilities’</w:t>
      </w:r>
      <w:r w:rsidRPr="00C360FC">
        <w:rPr>
          <w:rFonts w:ascii="Book Antiqua" w:hAnsi="Book Antiqua"/>
        </w:rPr>
        <w:t xml:space="preserve"> application and serve its testimony; and</w:t>
      </w:r>
    </w:p>
    <w:p w14:paraId="6C41CDBC" w14:textId="6810A192" w:rsidR="00F01B35" w:rsidRPr="00C360FC" w:rsidRDefault="00F01B35" w:rsidP="00F01B35">
      <w:pPr>
        <w:pStyle w:val="ListParagraph"/>
        <w:numPr>
          <w:ilvl w:val="1"/>
          <w:numId w:val="39"/>
        </w:numPr>
        <w:spacing w:after="120"/>
        <w:ind w:right="720"/>
        <w:contextualSpacing w:val="0"/>
        <w:rPr>
          <w:rFonts w:ascii="Book Antiqua" w:hAnsi="Book Antiqua"/>
        </w:rPr>
      </w:pPr>
      <w:r w:rsidRPr="00C360FC">
        <w:rPr>
          <w:rFonts w:ascii="Book Antiqua" w:hAnsi="Book Antiqua"/>
        </w:rPr>
        <w:lastRenderedPageBreak/>
        <w:t>PG&amp;E shall combine its currently</w:t>
      </w:r>
      <w:r w:rsidR="00FE5496">
        <w:rPr>
          <w:rFonts w:ascii="Book Antiqua" w:hAnsi="Book Antiqua"/>
        </w:rPr>
        <w:noBreakHyphen/>
      </w:r>
      <w:r w:rsidRPr="00C360FC">
        <w:rPr>
          <w:rFonts w:ascii="Book Antiqua" w:hAnsi="Book Antiqua"/>
        </w:rPr>
        <w:t xml:space="preserve">separate GRC and Gas Transmission and Storage rate cases into a single rate case application beginning with </w:t>
      </w:r>
      <w:r>
        <w:rPr>
          <w:rFonts w:ascii="Book Antiqua" w:hAnsi="Book Antiqua"/>
        </w:rPr>
        <w:t xml:space="preserve">its 2020 </w:t>
      </w:r>
      <w:r w:rsidR="006C1824" w:rsidRPr="007F79B6">
        <w:rPr>
          <w:rFonts w:ascii="Book Antiqua" w:hAnsi="Book Antiqua"/>
        </w:rPr>
        <w:t>Risk Assessment and Mitigation Phase (RAMP)</w:t>
      </w:r>
      <w:r>
        <w:rPr>
          <w:rFonts w:ascii="Book Antiqua" w:hAnsi="Book Antiqua"/>
        </w:rPr>
        <w:t xml:space="preserve"> filing and the GRC</w:t>
      </w:r>
      <w:r w:rsidRPr="00C360FC">
        <w:rPr>
          <w:rFonts w:ascii="Book Antiqua" w:hAnsi="Book Antiqua"/>
        </w:rPr>
        <w:t xml:space="preserve"> application due to be filed in 2021 for its 2023 test year.</w:t>
      </w:r>
    </w:p>
    <w:p w14:paraId="68184695" w14:textId="3A6D37BD" w:rsidR="00B85427" w:rsidRPr="006C1824" w:rsidRDefault="00F01B35" w:rsidP="00F01B35">
      <w:pPr>
        <w:pStyle w:val="ListParagraph"/>
        <w:numPr>
          <w:ilvl w:val="0"/>
          <w:numId w:val="10"/>
        </w:numPr>
        <w:spacing w:after="120"/>
        <w:ind w:right="720"/>
        <w:contextualSpacing w:val="0"/>
        <w:rPr>
          <w:rFonts w:ascii="Book Antiqua" w:hAnsi="Book Antiqua"/>
        </w:rPr>
      </w:pPr>
      <w:r w:rsidRPr="00F01B35">
        <w:rPr>
          <w:rFonts w:ascii="Book Antiqua" w:hAnsi="Book Antiqua"/>
        </w:rPr>
        <w:t>The large energy utilities shall implement the</w:t>
      </w:r>
      <w:r w:rsidR="00C34269">
        <w:rPr>
          <w:rFonts w:ascii="Book Antiqua" w:hAnsi="Book Antiqua"/>
        </w:rPr>
        <w:t>ir</w:t>
      </w:r>
      <w:r w:rsidRPr="00F01B35">
        <w:rPr>
          <w:rFonts w:ascii="Book Antiqua" w:hAnsi="Book Antiqua"/>
        </w:rPr>
        <w:t xml:space="preserve"> tr</w:t>
      </w:r>
      <w:r w:rsidRPr="005379E0">
        <w:rPr>
          <w:rFonts w:ascii="Book Antiqua" w:hAnsi="Book Antiqua"/>
        </w:rPr>
        <w:t>ansition</w:t>
      </w:r>
      <w:r w:rsidR="00C34269">
        <w:rPr>
          <w:rFonts w:ascii="Book Antiqua" w:hAnsi="Book Antiqua"/>
        </w:rPr>
        <w:t>s</w:t>
      </w:r>
      <w:r w:rsidRPr="005379E0">
        <w:rPr>
          <w:rFonts w:ascii="Book Antiqua" w:hAnsi="Book Antiqua"/>
        </w:rPr>
        <w:t xml:space="preserve"> to </w:t>
      </w:r>
      <w:r w:rsidRPr="006C1824">
        <w:rPr>
          <w:rFonts w:ascii="Book Antiqua" w:hAnsi="Book Antiqua"/>
        </w:rPr>
        <w:t>the four</w:t>
      </w:r>
      <w:r w:rsidR="00FE5496">
        <w:rPr>
          <w:rFonts w:ascii="Book Antiqua" w:hAnsi="Book Antiqua"/>
        </w:rPr>
        <w:noBreakHyphen/>
      </w:r>
      <w:r w:rsidRPr="006C1824">
        <w:rPr>
          <w:rFonts w:ascii="Book Antiqua" w:hAnsi="Book Antiqua"/>
        </w:rPr>
        <w:t xml:space="preserve">year </w:t>
      </w:r>
      <w:r w:rsidR="00B87460">
        <w:rPr>
          <w:rFonts w:ascii="Book Antiqua" w:hAnsi="Book Antiqua"/>
        </w:rPr>
        <w:t xml:space="preserve">GRC </w:t>
      </w:r>
      <w:r w:rsidRPr="006C1824">
        <w:rPr>
          <w:rFonts w:ascii="Book Antiqua" w:hAnsi="Book Antiqua"/>
        </w:rPr>
        <w:t xml:space="preserve">cycle according to the schedule </w:t>
      </w:r>
      <w:r w:rsidR="00AC5A0A" w:rsidRPr="006C1824">
        <w:rPr>
          <w:rFonts w:ascii="Book Antiqua" w:hAnsi="Book Antiqua"/>
        </w:rPr>
        <w:t>specified below</w:t>
      </w:r>
      <w:r w:rsidR="00B85427" w:rsidRPr="006C1824">
        <w:rPr>
          <w:rFonts w:ascii="Book Antiqua" w:hAnsi="Book Antiqua"/>
        </w:rPr>
        <w:t>:</w:t>
      </w:r>
    </w:p>
    <w:p w14:paraId="1EC49B56" w14:textId="1CDECEDE" w:rsidR="005379E0" w:rsidRDefault="005379E0" w:rsidP="005379E0">
      <w:pPr>
        <w:pStyle w:val="ListParagraph"/>
        <w:numPr>
          <w:ilvl w:val="1"/>
          <w:numId w:val="39"/>
        </w:numPr>
        <w:spacing w:after="120"/>
        <w:ind w:right="720"/>
        <w:contextualSpacing w:val="0"/>
        <w:rPr>
          <w:rFonts w:ascii="Book Antiqua" w:hAnsi="Book Antiqua"/>
        </w:rPr>
      </w:pPr>
      <w:r w:rsidRPr="00B85427">
        <w:rPr>
          <w:rFonts w:ascii="Book Antiqua" w:hAnsi="Book Antiqua"/>
        </w:rPr>
        <w:t>Pacific Gas and Electric Company</w:t>
      </w:r>
      <w:r w:rsidRPr="00B85427" w:rsidDel="00B85427">
        <w:rPr>
          <w:rFonts w:ascii="Book Antiqua" w:hAnsi="Book Antiqua"/>
        </w:rPr>
        <w:t xml:space="preserve"> </w:t>
      </w:r>
      <w:r>
        <w:rPr>
          <w:rFonts w:ascii="Book Antiqua" w:hAnsi="Book Antiqua"/>
        </w:rPr>
        <w:t xml:space="preserve">shall file </w:t>
      </w:r>
      <w:r w:rsidR="00AD4348">
        <w:rPr>
          <w:rFonts w:ascii="Book Antiqua" w:hAnsi="Book Antiqua"/>
        </w:rPr>
        <w:t xml:space="preserve">its next </w:t>
      </w:r>
      <w:r w:rsidR="006C1824">
        <w:rPr>
          <w:rFonts w:ascii="Book Antiqua" w:hAnsi="Book Antiqua"/>
        </w:rPr>
        <w:t>RAMP</w:t>
      </w:r>
      <w:r>
        <w:rPr>
          <w:rFonts w:ascii="Book Antiqua" w:hAnsi="Book Antiqua"/>
        </w:rPr>
        <w:t xml:space="preserve"> application, as specified in this decision, in June 2020, and shall file its </w:t>
      </w:r>
      <w:r w:rsidR="00B34178">
        <w:rPr>
          <w:rFonts w:ascii="Book Antiqua" w:hAnsi="Book Antiqua"/>
        </w:rPr>
        <w:t xml:space="preserve">next </w:t>
      </w:r>
      <w:r w:rsidR="00B87460">
        <w:rPr>
          <w:rFonts w:ascii="Book Antiqua" w:hAnsi="Book Antiqua"/>
        </w:rPr>
        <w:t xml:space="preserve">combined </w:t>
      </w:r>
      <w:r w:rsidRPr="00C360FC">
        <w:rPr>
          <w:rFonts w:ascii="Book Antiqua" w:hAnsi="Book Antiqua"/>
        </w:rPr>
        <w:t>GRC application</w:t>
      </w:r>
      <w:r>
        <w:rPr>
          <w:rFonts w:ascii="Book Antiqua" w:hAnsi="Book Antiqua"/>
        </w:rPr>
        <w:t>,</w:t>
      </w:r>
      <w:r w:rsidRPr="00AC5A0A">
        <w:rPr>
          <w:rFonts w:ascii="Book Antiqua" w:hAnsi="Book Antiqua"/>
        </w:rPr>
        <w:t xml:space="preserve"> </w:t>
      </w:r>
      <w:r>
        <w:rPr>
          <w:rFonts w:ascii="Book Antiqua" w:hAnsi="Book Antiqua"/>
        </w:rPr>
        <w:t>based on a four</w:t>
      </w:r>
      <w:r w:rsidR="00FE5496">
        <w:rPr>
          <w:rFonts w:ascii="Book Antiqua" w:hAnsi="Book Antiqua"/>
        </w:rPr>
        <w:noBreakHyphen/>
      </w:r>
      <w:r>
        <w:rPr>
          <w:rFonts w:ascii="Book Antiqua" w:hAnsi="Book Antiqua"/>
        </w:rPr>
        <w:t xml:space="preserve">year GRC cycle, </w:t>
      </w:r>
      <w:r w:rsidRPr="00C360FC">
        <w:rPr>
          <w:rFonts w:ascii="Book Antiqua" w:hAnsi="Book Antiqua"/>
        </w:rPr>
        <w:t xml:space="preserve">in </w:t>
      </w:r>
      <w:r>
        <w:rPr>
          <w:rFonts w:ascii="Book Antiqua" w:hAnsi="Book Antiqua"/>
        </w:rPr>
        <w:t xml:space="preserve">June </w:t>
      </w:r>
      <w:r w:rsidRPr="00C360FC">
        <w:rPr>
          <w:rFonts w:ascii="Book Antiqua" w:hAnsi="Book Antiqua"/>
        </w:rPr>
        <w:t>202</w:t>
      </w:r>
      <w:r>
        <w:rPr>
          <w:rFonts w:ascii="Book Antiqua" w:hAnsi="Book Antiqua"/>
        </w:rPr>
        <w:t>1</w:t>
      </w:r>
      <w:r w:rsidR="00B87460">
        <w:rPr>
          <w:rFonts w:ascii="Book Antiqua" w:hAnsi="Book Antiqua"/>
        </w:rPr>
        <w:t>.</w:t>
      </w:r>
    </w:p>
    <w:p w14:paraId="42273DAA" w14:textId="75BA1485" w:rsidR="001C23E1" w:rsidRPr="006C1824" w:rsidRDefault="005379E0" w:rsidP="006C1824">
      <w:pPr>
        <w:pStyle w:val="ListParagraph"/>
        <w:numPr>
          <w:ilvl w:val="1"/>
          <w:numId w:val="39"/>
        </w:numPr>
        <w:spacing w:after="120"/>
        <w:ind w:right="720"/>
        <w:contextualSpacing w:val="0"/>
        <w:rPr>
          <w:rFonts w:ascii="Book Antiqua" w:hAnsi="Book Antiqua"/>
        </w:rPr>
      </w:pPr>
      <w:r w:rsidRPr="00051F39">
        <w:rPr>
          <w:rFonts w:ascii="Book Antiqua" w:hAnsi="Book Antiqua"/>
        </w:rPr>
        <w:t xml:space="preserve">Pursuant to the Commission’s decision </w:t>
      </w:r>
      <w:r w:rsidR="00FA73C7" w:rsidRPr="00051F39">
        <w:rPr>
          <w:rFonts w:ascii="Book Antiqua" w:hAnsi="Book Antiqua"/>
        </w:rPr>
        <w:t>on</w:t>
      </w:r>
      <w:r w:rsidRPr="00051F39">
        <w:rPr>
          <w:rFonts w:ascii="Book Antiqua" w:hAnsi="Book Antiqua"/>
        </w:rPr>
        <w:t xml:space="preserve"> their 2019 GRC </w:t>
      </w:r>
      <w:r w:rsidR="00B87460" w:rsidRPr="00051F39">
        <w:rPr>
          <w:rFonts w:ascii="Book Antiqua" w:hAnsi="Book Antiqua"/>
        </w:rPr>
        <w:t>applications</w:t>
      </w:r>
      <w:r w:rsidRPr="00051F39">
        <w:rPr>
          <w:rFonts w:ascii="Book Antiqua" w:hAnsi="Book Antiqua"/>
        </w:rPr>
        <w:t>, D</w:t>
      </w:r>
      <w:r w:rsidR="00B87460" w:rsidRPr="00051F39">
        <w:rPr>
          <w:rFonts w:ascii="Book Antiqua" w:hAnsi="Book Antiqua"/>
        </w:rPr>
        <w:t xml:space="preserve">ecision </w:t>
      </w:r>
      <w:r w:rsidRPr="00051F39">
        <w:rPr>
          <w:rFonts w:ascii="Book Antiqua" w:hAnsi="Book Antiqua"/>
        </w:rPr>
        <w:t>19</w:t>
      </w:r>
      <w:r w:rsidR="00FE5496">
        <w:rPr>
          <w:rFonts w:ascii="Book Antiqua" w:hAnsi="Book Antiqua"/>
        </w:rPr>
        <w:noBreakHyphen/>
      </w:r>
      <w:r w:rsidRPr="00051F39">
        <w:rPr>
          <w:rFonts w:ascii="Book Antiqua" w:hAnsi="Book Antiqua"/>
        </w:rPr>
        <w:t>09</w:t>
      </w:r>
      <w:r w:rsidR="00FE5496">
        <w:rPr>
          <w:rFonts w:ascii="Book Antiqua" w:hAnsi="Book Antiqua"/>
        </w:rPr>
        <w:noBreakHyphen/>
      </w:r>
      <w:r w:rsidR="00FF319D" w:rsidRPr="00051F39">
        <w:rPr>
          <w:rFonts w:ascii="Book Antiqua" w:hAnsi="Book Antiqua"/>
        </w:rPr>
        <w:t>051</w:t>
      </w:r>
      <w:r w:rsidRPr="00051F39">
        <w:rPr>
          <w:rFonts w:ascii="Book Antiqua" w:hAnsi="Book Antiqua"/>
        </w:rPr>
        <w:t xml:space="preserve">, </w:t>
      </w:r>
      <w:r w:rsidR="00FA73C7" w:rsidRPr="00051F39">
        <w:rPr>
          <w:rFonts w:ascii="Book Antiqua" w:hAnsi="Book Antiqua"/>
        </w:rPr>
        <w:t>and in order to accommodate the transition to a four</w:t>
      </w:r>
      <w:r w:rsidR="00FE5496">
        <w:rPr>
          <w:rFonts w:ascii="Book Antiqua" w:hAnsi="Book Antiqua"/>
        </w:rPr>
        <w:noBreakHyphen/>
      </w:r>
      <w:r w:rsidR="00FA73C7" w:rsidRPr="00051F39">
        <w:rPr>
          <w:rFonts w:ascii="Book Antiqua" w:hAnsi="Book Antiqua"/>
        </w:rPr>
        <w:t>year GRC cycle,</w:t>
      </w:r>
      <w:r w:rsidR="00FA73C7">
        <w:rPr>
          <w:rFonts w:ascii="Book Antiqua" w:hAnsi="Book Antiqua"/>
        </w:rPr>
        <w:t xml:space="preserve"> </w:t>
      </w:r>
      <w:r w:rsidR="00B85427" w:rsidRPr="006C1824">
        <w:rPr>
          <w:rFonts w:ascii="Book Antiqua" w:hAnsi="Book Antiqua"/>
        </w:rPr>
        <w:t>Southern California Gas Company and San Diego Gas &amp; Electric Company shall file</w:t>
      </w:r>
      <w:r w:rsidR="00AC5A0A" w:rsidRPr="006C1824">
        <w:rPr>
          <w:rFonts w:ascii="Book Antiqua" w:hAnsi="Book Antiqua"/>
        </w:rPr>
        <w:t xml:space="preserve"> </w:t>
      </w:r>
      <w:r>
        <w:rPr>
          <w:rFonts w:ascii="Book Antiqua" w:hAnsi="Book Antiqua"/>
        </w:rPr>
        <w:t xml:space="preserve">a petition to modify that decision to add </w:t>
      </w:r>
      <w:r w:rsidR="00CF0202">
        <w:rPr>
          <w:rFonts w:ascii="Book Antiqua" w:hAnsi="Book Antiqua"/>
        </w:rPr>
        <w:t xml:space="preserve">third </w:t>
      </w:r>
      <w:r>
        <w:rPr>
          <w:rFonts w:ascii="Book Antiqua" w:hAnsi="Book Antiqua"/>
        </w:rPr>
        <w:t xml:space="preserve">and </w:t>
      </w:r>
      <w:r w:rsidR="00CF0202">
        <w:rPr>
          <w:rFonts w:ascii="Book Antiqua" w:hAnsi="Book Antiqua"/>
        </w:rPr>
        <w:t>fourth</w:t>
      </w:r>
      <w:r>
        <w:rPr>
          <w:rFonts w:ascii="Book Antiqua" w:hAnsi="Book Antiqua"/>
        </w:rPr>
        <w:t xml:space="preserve"> att</w:t>
      </w:r>
      <w:r w:rsidRPr="006C1824">
        <w:rPr>
          <w:rFonts w:ascii="Book Antiqua" w:hAnsi="Book Antiqua"/>
        </w:rPr>
        <w:t>r</w:t>
      </w:r>
      <w:r>
        <w:rPr>
          <w:rFonts w:ascii="Book Antiqua" w:hAnsi="Book Antiqua"/>
        </w:rPr>
        <w:t xml:space="preserve">ition years for 2022 and 2023.  These utilities’ next </w:t>
      </w:r>
      <w:r w:rsidR="00AC5A0A" w:rsidRPr="006C1824">
        <w:rPr>
          <w:rFonts w:ascii="Book Antiqua" w:hAnsi="Book Antiqua"/>
        </w:rPr>
        <w:t>respective</w:t>
      </w:r>
      <w:r w:rsidR="001C23E1" w:rsidRPr="006C1824">
        <w:rPr>
          <w:rFonts w:ascii="Book Antiqua" w:hAnsi="Book Antiqua"/>
        </w:rPr>
        <w:t xml:space="preserve"> </w:t>
      </w:r>
      <w:r w:rsidR="00B85427" w:rsidRPr="006C1824">
        <w:rPr>
          <w:rFonts w:ascii="Book Antiqua" w:hAnsi="Book Antiqua"/>
        </w:rPr>
        <w:t>GRC applications</w:t>
      </w:r>
      <w:r w:rsidR="00AC5A0A" w:rsidRPr="006C1824">
        <w:rPr>
          <w:rFonts w:ascii="Book Antiqua" w:hAnsi="Book Antiqua"/>
        </w:rPr>
        <w:t>,</w:t>
      </w:r>
      <w:r w:rsidR="00B85427" w:rsidRPr="006C1824">
        <w:rPr>
          <w:rFonts w:ascii="Book Antiqua" w:hAnsi="Book Antiqua"/>
        </w:rPr>
        <w:t xml:space="preserve"> based on a four</w:t>
      </w:r>
      <w:r w:rsidR="00FE5496">
        <w:rPr>
          <w:rFonts w:ascii="Book Antiqua" w:hAnsi="Book Antiqua"/>
        </w:rPr>
        <w:noBreakHyphen/>
      </w:r>
      <w:r w:rsidR="00B85427" w:rsidRPr="006C1824">
        <w:rPr>
          <w:rFonts w:ascii="Book Antiqua" w:hAnsi="Book Antiqua"/>
        </w:rPr>
        <w:t>year GRC cycle</w:t>
      </w:r>
      <w:r w:rsidR="00AC5A0A" w:rsidRPr="006C1824">
        <w:rPr>
          <w:rFonts w:ascii="Book Antiqua" w:hAnsi="Book Antiqua"/>
        </w:rPr>
        <w:t>,</w:t>
      </w:r>
      <w:r w:rsidR="00B85427" w:rsidRPr="006C1824">
        <w:rPr>
          <w:rFonts w:ascii="Book Antiqua" w:hAnsi="Book Antiqua"/>
        </w:rPr>
        <w:t xml:space="preserve"> </w:t>
      </w:r>
      <w:r>
        <w:rPr>
          <w:rFonts w:ascii="Book Antiqua" w:hAnsi="Book Antiqua"/>
        </w:rPr>
        <w:t>shall be filed on May 15, 2022 and shall be based on a 2024 test year and 2025</w:t>
      </w:r>
      <w:r w:rsidR="00FE5496">
        <w:rPr>
          <w:rFonts w:ascii="Book Antiqua" w:hAnsi="Book Antiqua"/>
        </w:rPr>
        <w:noBreakHyphen/>
      </w:r>
      <w:r>
        <w:rPr>
          <w:rFonts w:ascii="Book Antiqua" w:hAnsi="Book Antiqua"/>
        </w:rPr>
        <w:t>2027 attrition years</w:t>
      </w:r>
      <w:r w:rsidR="00B87460">
        <w:rPr>
          <w:rFonts w:ascii="Book Antiqua" w:hAnsi="Book Antiqua"/>
        </w:rPr>
        <w:t>.</w:t>
      </w:r>
    </w:p>
    <w:p w14:paraId="6BFCA463" w14:textId="35BBB78C" w:rsidR="00AC5A0A" w:rsidRPr="00C360FC" w:rsidRDefault="00CB5807" w:rsidP="00F01B35">
      <w:pPr>
        <w:pStyle w:val="ListParagraph"/>
        <w:numPr>
          <w:ilvl w:val="1"/>
          <w:numId w:val="39"/>
        </w:numPr>
        <w:spacing w:after="240"/>
        <w:ind w:right="720"/>
        <w:contextualSpacing w:val="0"/>
        <w:rPr>
          <w:rFonts w:ascii="Book Antiqua" w:hAnsi="Book Antiqua"/>
        </w:rPr>
      </w:pPr>
      <w:r w:rsidRPr="00AC5A0A">
        <w:rPr>
          <w:rFonts w:ascii="Book Antiqua" w:hAnsi="Book Antiqua"/>
        </w:rPr>
        <w:t>South</w:t>
      </w:r>
      <w:r>
        <w:rPr>
          <w:rFonts w:ascii="Book Antiqua" w:hAnsi="Book Antiqua"/>
        </w:rPr>
        <w:t>e</w:t>
      </w:r>
      <w:r w:rsidRPr="00AC5A0A">
        <w:rPr>
          <w:rFonts w:ascii="Book Antiqua" w:hAnsi="Book Antiqua"/>
        </w:rPr>
        <w:t xml:space="preserve">rn </w:t>
      </w:r>
      <w:r w:rsidR="00AC5A0A" w:rsidRPr="00AC5A0A">
        <w:rPr>
          <w:rFonts w:ascii="Book Antiqua" w:hAnsi="Book Antiqua"/>
        </w:rPr>
        <w:t xml:space="preserve">California Edison Company </w:t>
      </w:r>
      <w:r w:rsidR="00AC5A0A">
        <w:rPr>
          <w:rFonts w:ascii="Book Antiqua" w:hAnsi="Book Antiqua"/>
        </w:rPr>
        <w:t xml:space="preserve">shall </w:t>
      </w:r>
      <w:r w:rsidR="008D3F6D">
        <w:rPr>
          <w:rFonts w:ascii="Book Antiqua" w:hAnsi="Book Antiqua"/>
        </w:rPr>
        <w:t xml:space="preserve">follow </w:t>
      </w:r>
      <w:r>
        <w:rPr>
          <w:rFonts w:ascii="Book Antiqua" w:hAnsi="Book Antiqua"/>
        </w:rPr>
        <w:t xml:space="preserve">directions </w:t>
      </w:r>
      <w:r w:rsidR="008D3F6D">
        <w:rPr>
          <w:rFonts w:ascii="Book Antiqua" w:hAnsi="Book Antiqua"/>
        </w:rPr>
        <w:t xml:space="preserve">forthcoming from the </w:t>
      </w:r>
      <w:r w:rsidR="00D837E9">
        <w:rPr>
          <w:rFonts w:ascii="Book Antiqua" w:hAnsi="Book Antiqua"/>
        </w:rPr>
        <w:t xml:space="preserve">Administrative Law Judge or the </w:t>
      </w:r>
      <w:r>
        <w:rPr>
          <w:rFonts w:ascii="Book Antiqua" w:hAnsi="Book Antiqua"/>
        </w:rPr>
        <w:t xml:space="preserve">assigned </w:t>
      </w:r>
      <w:r w:rsidR="00D837E9">
        <w:rPr>
          <w:rFonts w:ascii="Book Antiqua" w:hAnsi="Book Antiqua"/>
        </w:rPr>
        <w:t>C</w:t>
      </w:r>
      <w:r w:rsidR="008D3F6D">
        <w:rPr>
          <w:rFonts w:ascii="Book Antiqua" w:hAnsi="Book Antiqua"/>
        </w:rPr>
        <w:t xml:space="preserve">ommissioner </w:t>
      </w:r>
      <w:r w:rsidR="008663CC">
        <w:rPr>
          <w:rFonts w:ascii="Book Antiqua" w:hAnsi="Book Antiqua"/>
        </w:rPr>
        <w:t>for</w:t>
      </w:r>
      <w:r w:rsidR="008D3F6D">
        <w:rPr>
          <w:rFonts w:ascii="Book Antiqua" w:hAnsi="Book Antiqua"/>
        </w:rPr>
        <w:t xml:space="preserve"> its GRC application (A.)</w:t>
      </w:r>
      <w:r>
        <w:rPr>
          <w:rFonts w:ascii="Book Antiqua" w:hAnsi="Book Antiqua"/>
        </w:rPr>
        <w:t> </w:t>
      </w:r>
      <w:r w:rsidR="008D3F6D">
        <w:rPr>
          <w:rFonts w:ascii="Book Antiqua" w:hAnsi="Book Antiqua"/>
        </w:rPr>
        <w:t>19</w:t>
      </w:r>
      <w:r w:rsidR="00FE5496">
        <w:rPr>
          <w:rFonts w:ascii="Book Antiqua" w:hAnsi="Book Antiqua"/>
        </w:rPr>
        <w:noBreakHyphen/>
      </w:r>
      <w:r w:rsidR="008D3F6D">
        <w:rPr>
          <w:rFonts w:ascii="Book Antiqua" w:hAnsi="Book Antiqua"/>
        </w:rPr>
        <w:t>08</w:t>
      </w:r>
      <w:r w:rsidR="00FE5496">
        <w:rPr>
          <w:rFonts w:ascii="Book Antiqua" w:hAnsi="Book Antiqua"/>
        </w:rPr>
        <w:noBreakHyphen/>
      </w:r>
      <w:r w:rsidR="008D3F6D">
        <w:rPr>
          <w:rFonts w:ascii="Book Antiqua" w:hAnsi="Book Antiqua"/>
        </w:rPr>
        <w:t xml:space="preserve">013 to </w:t>
      </w:r>
      <w:r>
        <w:rPr>
          <w:rFonts w:ascii="Book Antiqua" w:hAnsi="Book Antiqua"/>
        </w:rPr>
        <w:t xml:space="preserve">amend </w:t>
      </w:r>
      <w:r w:rsidR="008D3F6D">
        <w:rPr>
          <w:rFonts w:ascii="Book Antiqua" w:hAnsi="Book Antiqua"/>
        </w:rPr>
        <w:t xml:space="preserve">the </w:t>
      </w:r>
      <w:r w:rsidR="00AC5A0A">
        <w:rPr>
          <w:rFonts w:ascii="Book Antiqua" w:hAnsi="Book Antiqua"/>
        </w:rPr>
        <w:t xml:space="preserve">application </w:t>
      </w:r>
      <w:r w:rsidR="005379E0">
        <w:rPr>
          <w:rFonts w:ascii="Book Antiqua" w:hAnsi="Book Antiqua"/>
        </w:rPr>
        <w:t xml:space="preserve">to add a third attrition year for 2024.  The utility’s first </w:t>
      </w:r>
      <w:r w:rsidR="00B87460">
        <w:rPr>
          <w:rFonts w:ascii="Book Antiqua" w:hAnsi="Book Antiqua"/>
        </w:rPr>
        <w:t>four</w:t>
      </w:r>
      <w:r w:rsidR="00FE5496">
        <w:rPr>
          <w:rFonts w:ascii="Book Antiqua" w:hAnsi="Book Antiqua"/>
        </w:rPr>
        <w:noBreakHyphen/>
      </w:r>
      <w:r w:rsidR="005379E0">
        <w:rPr>
          <w:rFonts w:ascii="Book Antiqua" w:hAnsi="Book Antiqua"/>
        </w:rPr>
        <w:t xml:space="preserve">year GRC application shall be filed on May 15, 2023 and shall be based on a 2025 test year and </w:t>
      </w:r>
      <w:r w:rsidR="00B87460">
        <w:rPr>
          <w:rFonts w:ascii="Book Antiqua" w:hAnsi="Book Antiqua"/>
        </w:rPr>
        <w:t>2026</w:t>
      </w:r>
      <w:r w:rsidR="00FE5496">
        <w:rPr>
          <w:rFonts w:ascii="Book Antiqua" w:hAnsi="Book Antiqua"/>
        </w:rPr>
        <w:noBreakHyphen/>
      </w:r>
      <w:r w:rsidR="00B87460">
        <w:rPr>
          <w:rFonts w:ascii="Book Antiqua" w:hAnsi="Book Antiqua"/>
        </w:rPr>
        <w:t>2028 attrition years.</w:t>
      </w:r>
    </w:p>
    <w:p w14:paraId="736DAB70" w14:textId="4C10F012" w:rsidR="00FE0C84" w:rsidRPr="003A5350" w:rsidRDefault="00A80EEC" w:rsidP="00D14898">
      <w:pPr>
        <w:pStyle w:val="ListParagraph"/>
        <w:numPr>
          <w:ilvl w:val="0"/>
          <w:numId w:val="10"/>
        </w:numPr>
        <w:spacing w:after="120"/>
        <w:ind w:right="720"/>
        <w:contextualSpacing w:val="0"/>
        <w:rPr>
          <w:rFonts w:ascii="Book Antiqua" w:hAnsi="Book Antiqua"/>
        </w:rPr>
      </w:pPr>
      <w:r w:rsidRPr="003A5350">
        <w:rPr>
          <w:rFonts w:ascii="Book Antiqua" w:hAnsi="Book Antiqua"/>
        </w:rPr>
        <w:t>A workshop or w</w:t>
      </w:r>
      <w:r w:rsidR="00B702ED" w:rsidRPr="003A5350">
        <w:rPr>
          <w:rFonts w:ascii="Book Antiqua" w:hAnsi="Book Antiqua"/>
        </w:rPr>
        <w:t xml:space="preserve">orkshops </w:t>
      </w:r>
      <w:r w:rsidR="00DD3D17" w:rsidRPr="003A5350">
        <w:rPr>
          <w:rFonts w:ascii="Book Antiqua" w:hAnsi="Book Antiqua"/>
        </w:rPr>
        <w:t xml:space="preserve">will be </w:t>
      </w:r>
      <w:r w:rsidR="00B702ED" w:rsidRPr="003A5350">
        <w:rPr>
          <w:rFonts w:ascii="Book Antiqua" w:hAnsi="Book Antiqua"/>
        </w:rPr>
        <w:t>facilitated by the Commission’s Energy Division</w:t>
      </w:r>
      <w:r w:rsidR="008C388B">
        <w:rPr>
          <w:rFonts w:ascii="Book Antiqua" w:hAnsi="Book Antiqua"/>
        </w:rPr>
        <w:t xml:space="preserve">, in consultation with </w:t>
      </w:r>
      <w:r w:rsidR="00CB5807">
        <w:rPr>
          <w:rFonts w:ascii="Book Antiqua" w:hAnsi="Book Antiqua"/>
        </w:rPr>
        <w:t xml:space="preserve">the </w:t>
      </w:r>
      <w:r w:rsidR="008C388B">
        <w:rPr>
          <w:rFonts w:ascii="Book Antiqua" w:hAnsi="Book Antiqua"/>
        </w:rPr>
        <w:t xml:space="preserve">Safety and Enforcement Division, as </w:t>
      </w:r>
      <w:r w:rsidR="00CB5807">
        <w:rPr>
          <w:rFonts w:ascii="Book Antiqua" w:hAnsi="Book Antiqua"/>
        </w:rPr>
        <w:t>needed</w:t>
      </w:r>
      <w:r w:rsidR="008C388B">
        <w:rPr>
          <w:rFonts w:ascii="Book Antiqua" w:hAnsi="Book Antiqua"/>
        </w:rPr>
        <w:t>,</w:t>
      </w:r>
      <w:r w:rsidR="00B702ED" w:rsidRPr="003A5350">
        <w:rPr>
          <w:rFonts w:ascii="Book Antiqua" w:hAnsi="Book Antiqua"/>
        </w:rPr>
        <w:t xml:space="preserve"> to further explore and develop </w:t>
      </w:r>
      <w:r w:rsidR="009B11ED" w:rsidRPr="003A5350">
        <w:rPr>
          <w:rFonts w:ascii="Book Antiqua" w:hAnsi="Book Antiqua"/>
        </w:rPr>
        <w:t>proposal</w:t>
      </w:r>
      <w:r w:rsidR="00B702ED" w:rsidRPr="003A5350">
        <w:rPr>
          <w:rFonts w:ascii="Book Antiqua" w:hAnsi="Book Antiqua"/>
        </w:rPr>
        <w:t xml:space="preserve">s </w:t>
      </w:r>
      <w:r w:rsidR="00593B82">
        <w:rPr>
          <w:rFonts w:ascii="Book Antiqua" w:hAnsi="Book Antiqua"/>
        </w:rPr>
        <w:t>to increase the efficiency of GRC proceedings, including:</w:t>
      </w:r>
      <w:r w:rsidR="009B11ED" w:rsidRPr="003A5350">
        <w:rPr>
          <w:rFonts w:ascii="Book Antiqua" w:hAnsi="Book Antiqua"/>
        </w:rPr>
        <w:t xml:space="preserve"> </w:t>
      </w:r>
    </w:p>
    <w:p w14:paraId="0DB7B6C5" w14:textId="55F6407C" w:rsidR="003E242E" w:rsidRPr="003A23F5" w:rsidRDefault="003E242E" w:rsidP="003A23F5">
      <w:pPr>
        <w:pStyle w:val="ListParagraph"/>
        <w:numPr>
          <w:ilvl w:val="1"/>
          <w:numId w:val="39"/>
        </w:numPr>
        <w:spacing w:after="120"/>
        <w:ind w:right="720"/>
        <w:contextualSpacing w:val="0"/>
        <w:rPr>
          <w:rFonts w:ascii="Book Antiqua" w:hAnsi="Book Antiqua"/>
        </w:rPr>
      </w:pPr>
      <w:r w:rsidRPr="003A23F5">
        <w:rPr>
          <w:rFonts w:ascii="Book Antiqua" w:hAnsi="Book Antiqua"/>
        </w:rPr>
        <w:t>Standardizing the organization and format of GRC and RAMP filings;</w:t>
      </w:r>
    </w:p>
    <w:p w14:paraId="0D2AB1AA" w14:textId="737D80F8" w:rsidR="00FE0C84" w:rsidRPr="003A23F5" w:rsidRDefault="003E242E" w:rsidP="003A23F5">
      <w:pPr>
        <w:pStyle w:val="ListParagraph"/>
        <w:numPr>
          <w:ilvl w:val="1"/>
          <w:numId w:val="39"/>
        </w:numPr>
        <w:spacing w:after="120"/>
        <w:ind w:right="720"/>
        <w:contextualSpacing w:val="0"/>
        <w:rPr>
          <w:rFonts w:ascii="Book Antiqua" w:hAnsi="Book Antiqua"/>
        </w:rPr>
      </w:pPr>
      <w:r w:rsidRPr="003A23F5">
        <w:rPr>
          <w:rFonts w:ascii="Book Antiqua" w:hAnsi="Book Antiqua"/>
        </w:rPr>
        <w:lastRenderedPageBreak/>
        <w:t>T</w:t>
      </w:r>
      <w:r w:rsidR="003A5350" w:rsidRPr="003A23F5">
        <w:rPr>
          <w:rFonts w:ascii="Book Antiqua" w:hAnsi="Book Antiqua"/>
        </w:rPr>
        <w:t>he possible use of stipulated terms</w:t>
      </w:r>
      <w:r>
        <w:rPr>
          <w:rFonts w:ascii="Book Antiqua" w:hAnsi="Book Antiqua"/>
        </w:rPr>
        <w:t xml:space="preserve"> and</w:t>
      </w:r>
      <w:r w:rsidR="003A5350" w:rsidRPr="003A23F5">
        <w:rPr>
          <w:rFonts w:ascii="Book Antiqua" w:hAnsi="Book Antiqua"/>
        </w:rPr>
        <w:t xml:space="preserve"> rebuttable presumptions</w:t>
      </w:r>
      <w:r>
        <w:rPr>
          <w:rFonts w:ascii="Book Antiqua" w:hAnsi="Book Antiqua"/>
        </w:rPr>
        <w:t xml:space="preserve"> to reduce litigated issues</w:t>
      </w:r>
      <w:r w:rsidR="003A5350" w:rsidRPr="003A23F5">
        <w:rPr>
          <w:rFonts w:ascii="Book Antiqua" w:hAnsi="Book Antiqua"/>
        </w:rPr>
        <w:t xml:space="preserve">, and </w:t>
      </w:r>
      <w:r w:rsidRPr="003A23F5">
        <w:rPr>
          <w:rFonts w:ascii="Book Antiqua" w:hAnsi="Book Antiqua"/>
        </w:rPr>
        <w:t>improving the accuracy of attrition year forecasting, escalation factors, and ratemaking</w:t>
      </w:r>
      <w:r w:rsidR="003C0471" w:rsidRPr="003A23F5">
        <w:rPr>
          <w:rFonts w:ascii="Book Antiqua" w:hAnsi="Book Antiqua"/>
        </w:rPr>
        <w:t>;</w:t>
      </w:r>
      <w:r w:rsidR="00312008" w:rsidRPr="003A23F5">
        <w:rPr>
          <w:rFonts w:ascii="Book Antiqua" w:hAnsi="Book Antiqua"/>
        </w:rPr>
        <w:t xml:space="preserve"> </w:t>
      </w:r>
    </w:p>
    <w:p w14:paraId="1EF2DF05" w14:textId="4AA8F35C" w:rsidR="003E242E" w:rsidRDefault="003E242E" w:rsidP="005B6468">
      <w:pPr>
        <w:pStyle w:val="ListParagraph"/>
        <w:numPr>
          <w:ilvl w:val="1"/>
          <w:numId w:val="39"/>
        </w:numPr>
        <w:spacing w:after="120"/>
        <w:ind w:right="720"/>
        <w:contextualSpacing w:val="0"/>
        <w:rPr>
          <w:rFonts w:ascii="Book Antiqua" w:hAnsi="Book Antiqua"/>
        </w:rPr>
      </w:pPr>
      <w:r w:rsidRPr="003A23F5">
        <w:rPr>
          <w:rFonts w:ascii="Book Antiqua" w:hAnsi="Book Antiqua"/>
        </w:rPr>
        <w:t>High level consistency in the Results of Operations modeling process across utilities</w:t>
      </w:r>
      <w:r w:rsidR="0054121A">
        <w:rPr>
          <w:rFonts w:ascii="Book Antiqua" w:hAnsi="Book Antiqua"/>
        </w:rPr>
        <w:t>;</w:t>
      </w:r>
    </w:p>
    <w:p w14:paraId="450EA52F" w14:textId="4102A876" w:rsidR="0054121A" w:rsidRDefault="0054121A" w:rsidP="006C1824">
      <w:pPr>
        <w:pStyle w:val="ListParagraph"/>
        <w:numPr>
          <w:ilvl w:val="1"/>
          <w:numId w:val="39"/>
        </w:numPr>
        <w:spacing w:after="120"/>
        <w:ind w:right="720"/>
        <w:contextualSpacing w:val="0"/>
        <w:rPr>
          <w:rFonts w:ascii="Book Antiqua" w:hAnsi="Book Antiqua"/>
        </w:rPr>
      </w:pPr>
      <w:r>
        <w:rPr>
          <w:rFonts w:ascii="Book Antiqua" w:hAnsi="Book Antiqua"/>
        </w:rPr>
        <w:t>GRC Phase 2 scheduling; and</w:t>
      </w:r>
    </w:p>
    <w:p w14:paraId="31A26B06" w14:textId="6A653352" w:rsidR="005B6468" w:rsidRPr="00AD030D" w:rsidRDefault="0054121A" w:rsidP="0092213A">
      <w:pPr>
        <w:pStyle w:val="ListParagraph"/>
        <w:numPr>
          <w:ilvl w:val="1"/>
          <w:numId w:val="39"/>
        </w:numPr>
        <w:spacing w:after="240"/>
        <w:ind w:right="720"/>
        <w:contextualSpacing w:val="0"/>
        <w:rPr>
          <w:rFonts w:ascii="Book Antiqua" w:hAnsi="Book Antiqua"/>
        </w:rPr>
      </w:pPr>
      <w:r>
        <w:rPr>
          <w:rFonts w:ascii="Book Antiqua" w:hAnsi="Book Antiqua"/>
        </w:rPr>
        <w:t>Possible f</w:t>
      </w:r>
      <w:r w:rsidR="005B6468" w:rsidRPr="0092213A">
        <w:rPr>
          <w:rFonts w:ascii="Book Antiqua" w:hAnsi="Book Antiqua"/>
        </w:rPr>
        <w:t>ramework</w:t>
      </w:r>
      <w:r>
        <w:rPr>
          <w:rFonts w:ascii="Book Antiqua" w:hAnsi="Book Antiqua"/>
        </w:rPr>
        <w:t>s</w:t>
      </w:r>
      <w:r w:rsidR="005B6468" w:rsidRPr="0092213A">
        <w:rPr>
          <w:rFonts w:ascii="Book Antiqua" w:hAnsi="Book Antiqua"/>
        </w:rPr>
        <w:t xml:space="preserve"> for monitoring </w:t>
      </w:r>
      <w:r w:rsidR="005B6468" w:rsidRPr="00116C11">
        <w:rPr>
          <w:rFonts w:ascii="Book Antiqua" w:hAnsi="Book Antiqua"/>
        </w:rPr>
        <w:t>attrition year revenue requirements</w:t>
      </w:r>
      <w:r w:rsidR="005B6468" w:rsidRPr="001E452D">
        <w:rPr>
          <w:rFonts w:ascii="Book Antiqua" w:hAnsi="Book Antiqua"/>
        </w:rPr>
        <w:t>.</w:t>
      </w:r>
    </w:p>
    <w:p w14:paraId="0FFBDD22" w14:textId="77777777" w:rsidR="0047438B" w:rsidRPr="00326D0E" w:rsidRDefault="0047438B" w:rsidP="003A23F5">
      <w:pPr>
        <w:pStyle w:val="Standard"/>
      </w:pPr>
      <w:r w:rsidRPr="00326D0E">
        <w:t>This proceeding is closed.</w:t>
      </w:r>
    </w:p>
    <w:p w14:paraId="4C5F0D42" w14:textId="77777777" w:rsidR="005A148C" w:rsidRPr="00121089" w:rsidRDefault="002C7FE9" w:rsidP="004B5523">
      <w:pPr>
        <w:pStyle w:val="Heading1"/>
      </w:pPr>
      <w:bookmarkStart w:id="7" w:name="_Toc8123715"/>
      <w:bookmarkStart w:id="8" w:name="_Toc20998443"/>
      <w:bookmarkStart w:id="9" w:name="_Toc29817387"/>
      <w:r w:rsidRPr="00121089">
        <w:t>Background</w:t>
      </w:r>
      <w:bookmarkEnd w:id="7"/>
      <w:bookmarkEnd w:id="8"/>
      <w:bookmarkEnd w:id="9"/>
    </w:p>
    <w:p w14:paraId="758C87BF" w14:textId="369145F5" w:rsidR="00E67CFB" w:rsidRDefault="00E67CFB" w:rsidP="006F0AC0">
      <w:pPr>
        <w:pStyle w:val="Standard"/>
      </w:pPr>
      <w:r>
        <w:t>This decision concerns “</w:t>
      </w:r>
      <w:r w:rsidR="00C17B0B">
        <w:t>P</w:t>
      </w:r>
      <w:r>
        <w:t xml:space="preserve">hase 1” of </w:t>
      </w:r>
      <w:r w:rsidR="00DD3D17">
        <w:t xml:space="preserve">the </w:t>
      </w:r>
      <w:r w:rsidRPr="00E67CFB">
        <w:t>General Rate Case (GRC)</w:t>
      </w:r>
      <w:r w:rsidR="00DD3D17">
        <w:t xml:space="preserve"> proceedings </w:t>
      </w:r>
      <w:r w:rsidR="00DD3D17" w:rsidRPr="00DD3D17">
        <w:t xml:space="preserve">for the </w:t>
      </w:r>
      <w:r w:rsidR="00DD3D17" w:rsidRPr="00E67CFB">
        <w:t>investor</w:t>
      </w:r>
      <w:r w:rsidR="00FE5496">
        <w:noBreakHyphen/>
      </w:r>
      <w:r w:rsidR="00DD3D17" w:rsidRPr="00E67CFB">
        <w:t xml:space="preserve">owned </w:t>
      </w:r>
      <w:r w:rsidR="00DD3D17" w:rsidRPr="00DD3D17">
        <w:t>large energy utilities</w:t>
      </w:r>
      <w:r>
        <w:t xml:space="preserve">, where the </w:t>
      </w:r>
      <w:r w:rsidRPr="00E67CFB">
        <w:t xml:space="preserve">Commission </w:t>
      </w:r>
      <w:r>
        <w:t xml:space="preserve">reviews and </w:t>
      </w:r>
      <w:r w:rsidRPr="00E67CFB">
        <w:t xml:space="preserve">authorizes </w:t>
      </w:r>
      <w:r>
        <w:t xml:space="preserve">the revenue requirement necessary for </w:t>
      </w:r>
      <w:r w:rsidR="00DD3D17">
        <w:t>the</w:t>
      </w:r>
      <w:r w:rsidR="00DD3D17" w:rsidRPr="00E67CFB">
        <w:t xml:space="preserve"> </w:t>
      </w:r>
      <w:r w:rsidRPr="00E67CFB">
        <w:t xml:space="preserve">utility to recover </w:t>
      </w:r>
      <w:r>
        <w:t>the</w:t>
      </w:r>
      <w:r w:rsidRPr="00E67CFB">
        <w:t xml:space="preserve"> reasonable </w:t>
      </w:r>
      <w:r w:rsidR="00D5702D">
        <w:t xml:space="preserve">capital investment </w:t>
      </w:r>
      <w:r w:rsidRPr="00E67CFB">
        <w:t xml:space="preserve">costs </w:t>
      </w:r>
      <w:r w:rsidR="00D5702D">
        <w:t>and annual</w:t>
      </w:r>
      <w:r w:rsidR="00D5702D" w:rsidRPr="00E67CFB">
        <w:t xml:space="preserve"> </w:t>
      </w:r>
      <w:r w:rsidR="00D5702D">
        <w:t xml:space="preserve">expenses necessary to </w:t>
      </w:r>
      <w:r w:rsidR="00D5702D" w:rsidRPr="00E67CFB">
        <w:t>operat</w:t>
      </w:r>
      <w:r w:rsidR="00D5702D">
        <w:t>e</w:t>
      </w:r>
      <w:r w:rsidR="00D5702D" w:rsidRPr="00E67CFB">
        <w:t xml:space="preserve"> </w:t>
      </w:r>
      <w:r w:rsidRPr="00E67CFB">
        <w:t>and maintain its facilities and equipment</w:t>
      </w:r>
      <w:r>
        <w:t>, in a</w:t>
      </w:r>
      <w:r w:rsidRPr="00E67CFB">
        <w:t xml:space="preserve"> safe and reliabl</w:t>
      </w:r>
      <w:r>
        <w:t>e manner</w:t>
      </w:r>
      <w:r w:rsidRPr="00E67CFB">
        <w:t xml:space="preserve">.  </w:t>
      </w:r>
      <w:r>
        <w:t xml:space="preserve">The Commission </w:t>
      </w:r>
      <w:r w:rsidR="003C0471">
        <w:t xml:space="preserve">conducts these proceedings according to </w:t>
      </w:r>
      <w:r>
        <w:t xml:space="preserve">a standard “rate case plan” </w:t>
      </w:r>
      <w:r w:rsidR="00D5702D">
        <w:t xml:space="preserve">and </w:t>
      </w:r>
      <w:r w:rsidR="003C0471">
        <w:t>schedule</w:t>
      </w:r>
      <w:r w:rsidR="007F79B6">
        <w:t xml:space="preserve"> (RCP) </w:t>
      </w:r>
      <w:r>
        <w:t xml:space="preserve">that </w:t>
      </w:r>
      <w:r w:rsidRPr="00E67CFB">
        <w:t>require</w:t>
      </w:r>
      <w:r>
        <w:t>s each</w:t>
      </w:r>
      <w:r w:rsidRPr="00E67CFB">
        <w:t xml:space="preserve"> </w:t>
      </w:r>
      <w:r>
        <w:t xml:space="preserve">utility </w:t>
      </w:r>
      <w:r w:rsidRPr="00E67CFB">
        <w:t xml:space="preserve">to file a GRC application </w:t>
      </w:r>
      <w:r w:rsidR="003C0471" w:rsidRPr="00E67CFB">
        <w:t xml:space="preserve">with the Commission </w:t>
      </w:r>
      <w:r w:rsidRPr="00E67CFB">
        <w:t xml:space="preserve">every three years.  </w:t>
      </w:r>
      <w:r>
        <w:t>In</w:t>
      </w:r>
      <w:r w:rsidR="003C0471">
        <w:t xml:space="preserve"> a later and separately</w:t>
      </w:r>
      <w:r w:rsidR="00FE5496">
        <w:noBreakHyphen/>
      </w:r>
      <w:r w:rsidR="003C0471">
        <w:t>filed</w:t>
      </w:r>
      <w:r>
        <w:t xml:space="preserve"> “</w:t>
      </w:r>
      <w:r w:rsidR="00C17B0B">
        <w:t>P</w:t>
      </w:r>
      <w:r>
        <w:t xml:space="preserve">hase 2” of a GRC, the Commission addresses proposals regarding how the </w:t>
      </w:r>
      <w:r w:rsidR="007F79B6">
        <w:t xml:space="preserve">revenue requirement that it </w:t>
      </w:r>
      <w:r w:rsidR="00026D93">
        <w:t xml:space="preserve">authorized </w:t>
      </w:r>
      <w:r w:rsidR="007F79B6">
        <w:t xml:space="preserve">in </w:t>
      </w:r>
      <w:r w:rsidR="00C17B0B">
        <w:t>P</w:t>
      </w:r>
      <w:r>
        <w:t>hase 1</w:t>
      </w:r>
      <w:r w:rsidR="00C17B0B">
        <w:t xml:space="preserve"> should be allocated among customer classes, and collected from those customers in rates.</w:t>
      </w:r>
      <w:r w:rsidR="004303B4">
        <w:rPr>
          <w:rStyle w:val="FootnoteReference"/>
        </w:rPr>
        <w:footnoteReference w:id="3"/>
      </w:r>
    </w:p>
    <w:p w14:paraId="2B40A45F" w14:textId="4A2C1ECF" w:rsidR="00B702ED" w:rsidRPr="004367C0" w:rsidRDefault="00B702ED" w:rsidP="006F0AC0">
      <w:pPr>
        <w:pStyle w:val="Standard"/>
      </w:pPr>
      <w:r w:rsidRPr="004367C0">
        <w:t xml:space="preserve">The Commission opened this </w:t>
      </w:r>
      <w:r w:rsidR="00C17B0B">
        <w:t>r</w:t>
      </w:r>
      <w:r w:rsidRPr="004367C0">
        <w:t xml:space="preserve">ulemaking in </w:t>
      </w:r>
      <w:r>
        <w:t xml:space="preserve">2013 </w:t>
      </w:r>
      <w:r w:rsidR="00C17B0B">
        <w:t xml:space="preserve">out of concern that </w:t>
      </w:r>
      <w:r w:rsidR="00026D93">
        <w:t>the energy</w:t>
      </w:r>
      <w:r w:rsidR="00026D93" w:rsidRPr="00421560">
        <w:t xml:space="preserve"> </w:t>
      </w:r>
      <w:r w:rsidR="00421560" w:rsidRPr="00421560">
        <w:t xml:space="preserve">utilities </w:t>
      </w:r>
      <w:r w:rsidR="00421560">
        <w:t xml:space="preserve">were </w:t>
      </w:r>
      <w:r w:rsidR="00421560" w:rsidRPr="00421560">
        <w:t>not explicitly or adequately address</w:t>
      </w:r>
      <w:r w:rsidR="00421560">
        <w:t>ing</w:t>
      </w:r>
      <w:r w:rsidR="00421560" w:rsidRPr="00421560">
        <w:t xml:space="preserve"> safety and reliability issues in their GRC </w:t>
      </w:r>
      <w:r w:rsidR="00026D93">
        <w:t>funding requests</w:t>
      </w:r>
      <w:r w:rsidR="00421560">
        <w:t xml:space="preserve">. </w:t>
      </w:r>
      <w:r w:rsidR="00421560" w:rsidRPr="00421560">
        <w:t xml:space="preserve"> </w:t>
      </w:r>
      <w:r w:rsidR="00421560">
        <w:t xml:space="preserve">The Commission determined that the </w:t>
      </w:r>
      <w:r w:rsidR="00421560" w:rsidRPr="00851734">
        <w:lastRenderedPageBreak/>
        <w:t xml:space="preserve">assigned Commissioner and </w:t>
      </w:r>
      <w:r w:rsidR="000B6470">
        <w:t>Administrative Law Judge (</w:t>
      </w:r>
      <w:r w:rsidR="00421560" w:rsidRPr="00851734">
        <w:t>ALJ</w:t>
      </w:r>
      <w:r w:rsidR="000B6470">
        <w:t>)</w:t>
      </w:r>
      <w:r w:rsidR="00421560" w:rsidRPr="00851734">
        <w:t xml:space="preserve"> </w:t>
      </w:r>
      <w:r w:rsidR="00421560">
        <w:t xml:space="preserve">in GRC proceedings </w:t>
      </w:r>
      <w:r w:rsidR="00421560" w:rsidRPr="00851734">
        <w:t>w</w:t>
      </w:r>
      <w:r w:rsidR="00421560">
        <w:t>ould</w:t>
      </w:r>
      <w:r w:rsidR="00421560" w:rsidRPr="00851734">
        <w:t xml:space="preserve"> be better equipped to guide the proceeding </w:t>
      </w:r>
      <w:r w:rsidR="00421560">
        <w:t>from its inception</w:t>
      </w:r>
      <w:r w:rsidR="00421560" w:rsidRPr="00851734">
        <w:t xml:space="preserve"> if the</w:t>
      </w:r>
      <w:r w:rsidR="00421560">
        <w:t xml:space="preserve"> </w:t>
      </w:r>
      <w:r w:rsidR="00421560" w:rsidRPr="00851734">
        <w:t>RCP require</w:t>
      </w:r>
      <w:r w:rsidR="00421560">
        <w:t>d</w:t>
      </w:r>
      <w:r w:rsidR="00421560" w:rsidRPr="00851734">
        <w:t xml:space="preserve"> the </w:t>
      </w:r>
      <w:r w:rsidR="00421560">
        <w:t xml:space="preserve">applicant </w:t>
      </w:r>
      <w:r w:rsidR="00421560" w:rsidRPr="00851734">
        <w:t xml:space="preserve">utility to </w:t>
      </w:r>
      <w:r w:rsidR="00421560">
        <w:t>include</w:t>
      </w:r>
      <w:r w:rsidR="00421560" w:rsidRPr="00851734">
        <w:t xml:space="preserve"> an appropriate showing on safety and reliability issues </w:t>
      </w:r>
      <w:r w:rsidR="00421560">
        <w:t>in its application.  Thus, the p</w:t>
      </w:r>
      <w:r w:rsidR="00853653">
        <w:t xml:space="preserve">rimary </w:t>
      </w:r>
      <w:r w:rsidR="00421560">
        <w:t xml:space="preserve">purpose of this rulemaking was </w:t>
      </w:r>
      <w:r w:rsidR="00853653" w:rsidRPr="00853653">
        <w:t xml:space="preserve">to determine whether and how </w:t>
      </w:r>
      <w:r w:rsidR="00853653">
        <w:t xml:space="preserve">to </w:t>
      </w:r>
      <w:r w:rsidR="00853653" w:rsidRPr="00853653">
        <w:t xml:space="preserve">formalize rules to ensure the effective use </w:t>
      </w:r>
      <w:r w:rsidR="00853653">
        <w:t xml:space="preserve">by large electric and gas utilities </w:t>
      </w:r>
      <w:r w:rsidR="00853653" w:rsidRPr="00853653">
        <w:t xml:space="preserve">of a </w:t>
      </w:r>
      <w:r w:rsidR="00853653">
        <w:t>“</w:t>
      </w:r>
      <w:r w:rsidR="00853653" w:rsidRPr="00853653">
        <w:t>risk</w:t>
      </w:r>
      <w:r w:rsidR="00FE5496">
        <w:noBreakHyphen/>
      </w:r>
      <w:r w:rsidR="00853653" w:rsidRPr="00853653">
        <w:t>based decision</w:t>
      </w:r>
      <w:r w:rsidR="00FE5496">
        <w:noBreakHyphen/>
      </w:r>
      <w:r w:rsidR="00853653" w:rsidRPr="00853653">
        <w:t>making framework</w:t>
      </w:r>
      <w:r w:rsidR="00853653">
        <w:t>”</w:t>
      </w:r>
      <w:r w:rsidR="00853653" w:rsidRPr="00853653">
        <w:t xml:space="preserve"> to evaluate </w:t>
      </w:r>
      <w:r w:rsidR="00853653">
        <w:t xml:space="preserve">the </w:t>
      </w:r>
      <w:r w:rsidR="00853653" w:rsidRPr="00853653">
        <w:t xml:space="preserve">safety and reliability improvements </w:t>
      </w:r>
      <w:r w:rsidR="00853653">
        <w:t>requested</w:t>
      </w:r>
      <w:r w:rsidR="00853653" w:rsidRPr="00853653">
        <w:t xml:space="preserve"> in </w:t>
      </w:r>
      <w:r w:rsidR="00853653">
        <w:t xml:space="preserve">their </w:t>
      </w:r>
      <w:r w:rsidR="00853653" w:rsidRPr="00853653">
        <w:t>GRC applications</w:t>
      </w:r>
      <w:r w:rsidR="00853653">
        <w:t>.</w:t>
      </w:r>
      <w:r w:rsidR="00026D93">
        <w:rPr>
          <w:rStyle w:val="FootnoteReference"/>
        </w:rPr>
        <w:footnoteReference w:id="4"/>
      </w:r>
      <w:r>
        <w:t xml:space="preserve">  </w:t>
      </w:r>
      <w:r w:rsidR="00421560">
        <w:t>However, t</w:t>
      </w:r>
      <w:r w:rsidRPr="004367C0">
        <w:t xml:space="preserve">he Commission also </w:t>
      </w:r>
      <w:r w:rsidR="00421560">
        <w:t xml:space="preserve">articulated a second purpose for the rulemaking:  </w:t>
      </w:r>
      <w:r w:rsidRPr="004367C0">
        <w:t>“in conjunction with this focused review on safety, security and reliability issues, we may also consider broader revisions in the RCP in more general terms to promote more efficient and effective management of the overall rate case process</w:t>
      </w:r>
      <w:r>
        <w:t>.</w:t>
      </w:r>
      <w:r w:rsidRPr="004367C0">
        <w:t>”</w:t>
      </w:r>
      <w:r w:rsidRPr="004367C0">
        <w:rPr>
          <w:sz w:val="24"/>
          <w:vertAlign w:val="superscript"/>
        </w:rPr>
        <w:footnoteReference w:id="5"/>
      </w:r>
    </w:p>
    <w:p w14:paraId="69EE9F42" w14:textId="6AAEA4D9" w:rsidR="000F5418" w:rsidRDefault="00421560" w:rsidP="006F0AC0">
      <w:pPr>
        <w:pStyle w:val="Standard"/>
      </w:pPr>
      <w:r>
        <w:t xml:space="preserve">Following </w:t>
      </w:r>
      <w:r w:rsidR="00B702ED">
        <w:t xml:space="preserve">a public workshop and several rounds of comments by parties to the </w:t>
      </w:r>
      <w:r w:rsidR="00D5702D">
        <w:t>rulemaking</w:t>
      </w:r>
      <w:r w:rsidR="00B702ED">
        <w:t xml:space="preserve">, </w:t>
      </w:r>
      <w:r w:rsidR="00B702ED" w:rsidRPr="004367C0">
        <w:t>the Commission adopted Decision (D.) 14</w:t>
      </w:r>
      <w:r w:rsidR="00FE5496">
        <w:noBreakHyphen/>
      </w:r>
      <w:r w:rsidR="00B702ED" w:rsidRPr="004367C0">
        <w:t>12</w:t>
      </w:r>
      <w:r w:rsidR="00FE5496">
        <w:noBreakHyphen/>
      </w:r>
      <w:r w:rsidR="00B702ED" w:rsidRPr="004367C0">
        <w:t xml:space="preserve">025, </w:t>
      </w:r>
      <w:r w:rsidR="00B702ED">
        <w:t>its “</w:t>
      </w:r>
      <w:r w:rsidR="00B702ED" w:rsidRPr="00BD39A3">
        <w:t xml:space="preserve">Decision Incorporating </w:t>
      </w:r>
      <w:r w:rsidR="00B702ED">
        <w:t>a</w:t>
      </w:r>
      <w:r w:rsidR="00B702ED" w:rsidRPr="00BD39A3">
        <w:t xml:space="preserve"> Risk</w:t>
      </w:r>
      <w:r w:rsidR="00FE5496">
        <w:noBreakHyphen/>
      </w:r>
      <w:r w:rsidR="00B702ED" w:rsidRPr="00BD39A3">
        <w:t>Based Decision</w:t>
      </w:r>
      <w:r w:rsidR="00FE5496">
        <w:noBreakHyphen/>
      </w:r>
      <w:r w:rsidR="00B702ED" w:rsidRPr="00BD39A3">
        <w:t xml:space="preserve">Making Framework </w:t>
      </w:r>
      <w:r w:rsidR="00B702ED">
        <w:t>i</w:t>
      </w:r>
      <w:r w:rsidR="00B702ED" w:rsidRPr="00BD39A3">
        <w:t xml:space="preserve">nto </w:t>
      </w:r>
      <w:r w:rsidR="00B702ED">
        <w:t>t</w:t>
      </w:r>
      <w:r w:rsidR="00B702ED" w:rsidRPr="00BD39A3">
        <w:t>he Rate Case Plan</w:t>
      </w:r>
      <w:r w:rsidR="00B702ED">
        <w:t xml:space="preserve">.” </w:t>
      </w:r>
      <w:r w:rsidR="00B702ED" w:rsidRPr="00BD39A3">
        <w:t xml:space="preserve"> </w:t>
      </w:r>
      <w:r>
        <w:t xml:space="preserve">The Commission </w:t>
      </w:r>
      <w:r w:rsidR="00DE78F6">
        <w:t xml:space="preserve">adopted a </w:t>
      </w:r>
      <w:r w:rsidR="00DE78F6" w:rsidRPr="00DE78F6">
        <w:t>risk</w:t>
      </w:r>
      <w:r w:rsidR="00FE5496">
        <w:noBreakHyphen/>
      </w:r>
      <w:r w:rsidR="00DE78F6" w:rsidRPr="00DE78F6">
        <w:t>based decision</w:t>
      </w:r>
      <w:r w:rsidR="00FE5496">
        <w:noBreakHyphen/>
      </w:r>
      <w:r w:rsidR="00DE78F6" w:rsidRPr="00DE78F6">
        <w:t xml:space="preserve">making framework consisting of </w:t>
      </w:r>
      <w:r w:rsidR="00DE78F6">
        <w:t>a</w:t>
      </w:r>
      <w:r w:rsidR="00DE78F6" w:rsidRPr="00DE78F6">
        <w:t xml:space="preserve"> Safety Model Assessment Proceeding</w:t>
      </w:r>
      <w:r w:rsidR="00DE78F6">
        <w:t xml:space="preserve"> (S</w:t>
      </w:r>
      <w:r w:rsidR="00FE5496">
        <w:noBreakHyphen/>
      </w:r>
      <w:r w:rsidR="00DE78F6">
        <w:t>MAP)</w:t>
      </w:r>
      <w:r w:rsidR="00DE78F6" w:rsidRPr="00DE78F6">
        <w:t xml:space="preserve">, </w:t>
      </w:r>
      <w:r w:rsidR="00DE78F6">
        <w:t>a</w:t>
      </w:r>
      <w:r w:rsidR="00DE78F6" w:rsidRPr="00DE78F6">
        <w:t xml:space="preserve"> </w:t>
      </w:r>
      <w:bookmarkStart w:id="10" w:name="_Hlk19637119"/>
      <w:r w:rsidR="00DE78F6" w:rsidRPr="00DE78F6">
        <w:t xml:space="preserve">Risk Assessment and Mitigation Phase </w:t>
      </w:r>
      <w:r w:rsidR="00DE78F6">
        <w:t xml:space="preserve">(RAMP) </w:t>
      </w:r>
      <w:bookmarkEnd w:id="10"/>
      <w:r w:rsidR="00DE78F6" w:rsidRPr="00DE78F6">
        <w:t xml:space="preserve">proceeding, and the filing of annual </w:t>
      </w:r>
      <w:r w:rsidR="00D5702D">
        <w:t>post</w:t>
      </w:r>
      <w:r w:rsidR="00FE5496">
        <w:noBreakHyphen/>
      </w:r>
      <w:r w:rsidR="00D5702D">
        <w:t xml:space="preserve">GRC </w:t>
      </w:r>
      <w:r w:rsidR="00DE78F6" w:rsidRPr="00DE78F6">
        <w:t xml:space="preserve">verification reports consisting of </w:t>
      </w:r>
      <w:r w:rsidR="00DE78F6">
        <w:t>a</w:t>
      </w:r>
      <w:r w:rsidR="00DE78F6" w:rsidRPr="00DE78F6">
        <w:t xml:space="preserve"> Risk Mitigation Accountability Report and </w:t>
      </w:r>
      <w:r w:rsidR="00DE78F6">
        <w:t>a</w:t>
      </w:r>
      <w:r w:rsidR="00DE78F6" w:rsidRPr="00DE78F6">
        <w:t xml:space="preserve"> Risk Spending Accountability Report</w:t>
      </w:r>
      <w:r w:rsidR="00DE78F6">
        <w:t>.</w:t>
      </w:r>
      <w:r w:rsidR="00DE78F6">
        <w:rPr>
          <w:rStyle w:val="FootnoteReference"/>
        </w:rPr>
        <w:footnoteReference w:id="6"/>
      </w:r>
      <w:r w:rsidR="00DE78F6">
        <w:t xml:space="preserve">  The Commission also modified the RCP in order to accommodate the newly created proceedings.</w:t>
      </w:r>
      <w:r w:rsidR="00DE78F6">
        <w:rPr>
          <w:rStyle w:val="FootnoteReference"/>
        </w:rPr>
        <w:footnoteReference w:id="7"/>
      </w:r>
      <w:r w:rsidR="00DE78F6">
        <w:t xml:space="preserve">   In making these </w:t>
      </w:r>
      <w:r w:rsidR="00DE78F6">
        <w:lastRenderedPageBreak/>
        <w:t xml:space="preserve">modifications, however, the Commission denied requests </w:t>
      </w:r>
      <w:r w:rsidR="009B20DB">
        <w:t xml:space="preserve">by </w:t>
      </w:r>
      <w:r w:rsidR="00DE78F6">
        <w:t xml:space="preserve">some parties to expand the </w:t>
      </w:r>
      <w:r w:rsidR="00CB6D6A">
        <w:t>standard</w:t>
      </w:r>
      <w:r w:rsidR="00DE78F6">
        <w:t xml:space="preserve"> </w:t>
      </w:r>
      <w:r w:rsidR="00C40489">
        <w:t>three</w:t>
      </w:r>
      <w:r w:rsidR="00FE5496">
        <w:noBreakHyphen/>
      </w:r>
      <w:r w:rsidR="00C40489">
        <w:t>year GRC cycle to a four</w:t>
      </w:r>
      <w:r w:rsidR="00FE5496">
        <w:noBreakHyphen/>
      </w:r>
      <w:r w:rsidR="00C40489">
        <w:t>year cycle.</w:t>
      </w:r>
      <w:r w:rsidR="000F5418">
        <w:rPr>
          <w:rStyle w:val="FootnoteReference"/>
        </w:rPr>
        <w:footnoteReference w:id="8"/>
      </w:r>
      <w:r w:rsidR="00C40489">
        <w:t xml:space="preserve">  </w:t>
      </w:r>
    </w:p>
    <w:p w14:paraId="0260A383" w14:textId="5E730EA4" w:rsidR="00A6492E" w:rsidRDefault="00C40489" w:rsidP="006F0AC0">
      <w:pPr>
        <w:pStyle w:val="Standard"/>
      </w:pPr>
      <w:r>
        <w:t>In September 2015</w:t>
      </w:r>
      <w:r w:rsidR="00CB6D6A">
        <w:t>,</w:t>
      </w:r>
      <w:r>
        <w:t xml:space="preserve"> s</w:t>
      </w:r>
      <w:r w:rsidR="00B702ED">
        <w:t xml:space="preserve">everal parties filed a </w:t>
      </w:r>
      <w:r w:rsidR="00B702ED" w:rsidRPr="004367C0">
        <w:t xml:space="preserve">joint petition </w:t>
      </w:r>
      <w:r w:rsidR="00B702ED">
        <w:t xml:space="preserve">for modification </w:t>
      </w:r>
      <w:r w:rsidR="00C263B1">
        <w:t xml:space="preserve">(PFM) </w:t>
      </w:r>
      <w:r w:rsidR="00B702ED">
        <w:t>of</w:t>
      </w:r>
      <w:r w:rsidR="00B702ED" w:rsidRPr="004367C0">
        <w:t xml:space="preserve"> D.14</w:t>
      </w:r>
      <w:r w:rsidR="00FE5496">
        <w:noBreakHyphen/>
      </w:r>
      <w:r w:rsidR="00B702ED" w:rsidRPr="004367C0">
        <w:t>12</w:t>
      </w:r>
      <w:r w:rsidR="00FE5496">
        <w:noBreakHyphen/>
      </w:r>
      <w:r w:rsidR="00B702ED" w:rsidRPr="004367C0">
        <w:t>025</w:t>
      </w:r>
      <w:r w:rsidR="00B702ED">
        <w:t xml:space="preserve">, </w:t>
      </w:r>
      <w:r w:rsidR="00C263B1">
        <w:t xml:space="preserve">again </w:t>
      </w:r>
      <w:r w:rsidR="00B702ED">
        <w:t xml:space="preserve">requesting that </w:t>
      </w:r>
      <w:r w:rsidR="00B702ED" w:rsidRPr="004367C0">
        <w:t xml:space="preserve">the </w:t>
      </w:r>
      <w:r w:rsidR="00B702ED">
        <w:t xml:space="preserve">standard </w:t>
      </w:r>
      <w:r w:rsidR="00B702ED" w:rsidRPr="004367C0">
        <w:t xml:space="preserve">length of the GRC cycle </w:t>
      </w:r>
      <w:r w:rsidR="00B702ED">
        <w:t xml:space="preserve">be extended </w:t>
      </w:r>
      <w:r w:rsidR="00B702ED" w:rsidRPr="004367C0">
        <w:t xml:space="preserve">from three </w:t>
      </w:r>
      <w:r w:rsidR="00B702ED">
        <w:t xml:space="preserve">years </w:t>
      </w:r>
      <w:r w:rsidR="00B702ED" w:rsidRPr="004367C0">
        <w:t>to four years.</w:t>
      </w:r>
      <w:r w:rsidR="00B702ED">
        <w:rPr>
          <w:rStyle w:val="FootnoteReference"/>
        </w:rPr>
        <w:footnoteReference w:id="9"/>
      </w:r>
      <w:r w:rsidR="00B702ED" w:rsidRPr="004367C0">
        <w:t xml:space="preserve"> </w:t>
      </w:r>
      <w:r w:rsidR="00B702ED">
        <w:t xml:space="preserve"> The petitioners contended that moving to a four</w:t>
      </w:r>
      <w:r w:rsidR="00FE5496">
        <w:noBreakHyphen/>
      </w:r>
      <w:r w:rsidR="00B702ED">
        <w:t xml:space="preserve">year GRC cycle would allow better use of both utility and Commission resources, and facilitate the timely completion of the newly created proceedings implementing the </w:t>
      </w:r>
      <w:r w:rsidR="00B702ED" w:rsidRPr="00236027">
        <w:t>risk</w:t>
      </w:r>
      <w:r w:rsidR="00FE5496">
        <w:noBreakHyphen/>
      </w:r>
      <w:r w:rsidR="00B702ED" w:rsidRPr="00236027">
        <w:t>based decision</w:t>
      </w:r>
      <w:r w:rsidR="00FE5496">
        <w:noBreakHyphen/>
      </w:r>
      <w:r w:rsidR="00B702ED" w:rsidRPr="00236027">
        <w:t>making framework</w:t>
      </w:r>
      <w:r>
        <w:t>,</w:t>
      </w:r>
      <w:r w:rsidR="00B702ED">
        <w:t xml:space="preserve"> as well as the GRC proceedings themselves.</w:t>
      </w:r>
    </w:p>
    <w:p w14:paraId="506D87B8" w14:textId="3B7BDFD0" w:rsidR="00B702ED" w:rsidRDefault="00B702ED" w:rsidP="006F0AC0">
      <w:pPr>
        <w:pStyle w:val="Standard"/>
        <w:rPr>
          <w:szCs w:val="26"/>
        </w:rPr>
      </w:pPr>
      <w:r>
        <w:t xml:space="preserve">The Commission denied the </w:t>
      </w:r>
      <w:r w:rsidR="00C263B1">
        <w:t>PFM</w:t>
      </w:r>
      <w:r>
        <w:t xml:space="preserve"> in</w:t>
      </w:r>
      <w:r w:rsidRPr="004367C0">
        <w:t xml:space="preserve"> D.16</w:t>
      </w:r>
      <w:r w:rsidR="00FE5496">
        <w:noBreakHyphen/>
      </w:r>
      <w:r w:rsidRPr="004367C0">
        <w:t>06</w:t>
      </w:r>
      <w:r w:rsidR="00FE5496">
        <w:noBreakHyphen/>
      </w:r>
      <w:r w:rsidRPr="004367C0">
        <w:t>005</w:t>
      </w:r>
      <w:r>
        <w:t>, explaining that (as of June 2016) e</w:t>
      </w:r>
      <w:r w:rsidRPr="005A5727">
        <w:t>xtending the GRC cycle by an additional year w</w:t>
      </w:r>
      <w:r>
        <w:t>ould</w:t>
      </w:r>
      <w:r w:rsidRPr="005A5727">
        <w:t xml:space="preserve"> delay incorporat</w:t>
      </w:r>
      <w:r>
        <w:t>ion of</w:t>
      </w:r>
      <w:r w:rsidRPr="005A5727">
        <w:t xml:space="preserve"> the RAMP process in</w:t>
      </w:r>
      <w:r>
        <w:t>to</w:t>
      </w:r>
      <w:r w:rsidRPr="005A5727">
        <w:t xml:space="preserve"> future GRC filings of the energy utilities</w:t>
      </w:r>
      <w:r w:rsidR="00C263B1">
        <w:t xml:space="preserve">.  The Commission also found </w:t>
      </w:r>
      <w:r>
        <w:t>that the joint parties were renewing arguments that the Commission had already considered and rejected</w:t>
      </w:r>
      <w:r w:rsidRPr="005A5727">
        <w:t xml:space="preserve"> in D.14</w:t>
      </w:r>
      <w:r w:rsidR="00FE5496">
        <w:noBreakHyphen/>
      </w:r>
      <w:r w:rsidRPr="005A5727">
        <w:t>12</w:t>
      </w:r>
      <w:r w:rsidR="00FE5496">
        <w:noBreakHyphen/>
      </w:r>
      <w:r w:rsidRPr="005A5727">
        <w:t>025.</w:t>
      </w:r>
      <w:r w:rsidR="00A6492E">
        <w:t xml:space="preserve">  </w:t>
      </w:r>
      <w:r>
        <w:t xml:space="preserve">However, </w:t>
      </w:r>
      <w:r w:rsidRPr="004367C0">
        <w:t xml:space="preserve">the Commission also stated </w:t>
      </w:r>
      <w:r>
        <w:t xml:space="preserve">in </w:t>
      </w:r>
      <w:bookmarkStart w:id="11" w:name="_Hlk20940302"/>
      <w:r>
        <w:t>D.16</w:t>
      </w:r>
      <w:r w:rsidR="00FE5496">
        <w:noBreakHyphen/>
      </w:r>
      <w:r>
        <w:t>06</w:t>
      </w:r>
      <w:r w:rsidR="00FE5496">
        <w:noBreakHyphen/>
      </w:r>
      <w:r>
        <w:t xml:space="preserve">005 </w:t>
      </w:r>
      <w:bookmarkEnd w:id="11"/>
      <w:r w:rsidRPr="004367C0">
        <w:t>that “</w:t>
      </w:r>
      <w:r w:rsidRPr="004367C0">
        <w:rPr>
          <w:szCs w:val="26"/>
        </w:rPr>
        <w:t>we think it is appropriate to explore the GRC cycle length further in the context of timely processing all of the recurring major rate</w:t>
      </w:r>
      <w:r w:rsidR="00FE5496">
        <w:rPr>
          <w:szCs w:val="26"/>
        </w:rPr>
        <w:noBreakHyphen/>
      </w:r>
      <w:r w:rsidRPr="004367C0">
        <w:rPr>
          <w:szCs w:val="26"/>
        </w:rPr>
        <w:t>related proceedings, such as the GRCs, cost allocation proceedings, and PG&amp;E’s gas transmission and storage proceeding, in addition to the added processes of the S</w:t>
      </w:r>
      <w:r w:rsidR="00FE5496">
        <w:rPr>
          <w:szCs w:val="26"/>
        </w:rPr>
        <w:noBreakHyphen/>
      </w:r>
      <w:r w:rsidRPr="004367C0">
        <w:rPr>
          <w:szCs w:val="26"/>
        </w:rPr>
        <w:t>MAP and RAMP</w:t>
      </w:r>
      <w:r w:rsidR="00A6492E">
        <w:rPr>
          <w:szCs w:val="26"/>
        </w:rPr>
        <w:t>.</w:t>
      </w:r>
      <w:r w:rsidRPr="004367C0">
        <w:rPr>
          <w:szCs w:val="26"/>
        </w:rPr>
        <w:t>”</w:t>
      </w:r>
      <w:r w:rsidRPr="004367C0">
        <w:rPr>
          <w:sz w:val="24"/>
          <w:szCs w:val="26"/>
          <w:vertAlign w:val="superscript"/>
        </w:rPr>
        <w:footnoteReference w:id="10"/>
      </w:r>
      <w:r w:rsidRPr="004367C0">
        <w:rPr>
          <w:szCs w:val="26"/>
        </w:rPr>
        <w:t xml:space="preserve">  The Commission directed </w:t>
      </w:r>
      <w:r w:rsidRPr="004367C0">
        <w:rPr>
          <w:szCs w:val="26"/>
        </w:rPr>
        <w:lastRenderedPageBreak/>
        <w:t xml:space="preserve">the Commission’s Energy Division to conduct a workshop to address the issues that are involved in moving to a longer GRC cycle, and to </w:t>
      </w:r>
      <w:r w:rsidR="00A6492E">
        <w:rPr>
          <w:szCs w:val="26"/>
        </w:rPr>
        <w:t>prepare</w:t>
      </w:r>
      <w:r w:rsidRPr="004367C0">
        <w:rPr>
          <w:szCs w:val="26"/>
        </w:rPr>
        <w:t xml:space="preserve"> a workshop report on whether a longer GRC cycle is worth pursuing.</w:t>
      </w:r>
      <w:r>
        <w:rPr>
          <w:rStyle w:val="FootnoteReference"/>
        </w:rPr>
        <w:footnoteReference w:id="11"/>
      </w:r>
      <w:r w:rsidRPr="004367C0">
        <w:rPr>
          <w:szCs w:val="26"/>
        </w:rPr>
        <w:t xml:space="preserve">  </w:t>
      </w:r>
      <w:r w:rsidRPr="0018375D">
        <w:rPr>
          <w:szCs w:val="26"/>
        </w:rPr>
        <w:t>Th</w:t>
      </w:r>
      <w:r>
        <w:rPr>
          <w:szCs w:val="26"/>
        </w:rPr>
        <w:t xml:space="preserve">is rulemaking </w:t>
      </w:r>
      <w:r w:rsidRPr="0018375D">
        <w:rPr>
          <w:szCs w:val="26"/>
        </w:rPr>
        <w:t xml:space="preserve">proceeding </w:t>
      </w:r>
      <w:r w:rsidR="00AD565E">
        <w:rPr>
          <w:szCs w:val="26"/>
        </w:rPr>
        <w:t xml:space="preserve">has </w:t>
      </w:r>
      <w:r w:rsidRPr="0018375D">
        <w:rPr>
          <w:szCs w:val="26"/>
        </w:rPr>
        <w:t>remain</w:t>
      </w:r>
      <w:r w:rsidR="00A6492E">
        <w:rPr>
          <w:szCs w:val="26"/>
        </w:rPr>
        <w:t>ed</w:t>
      </w:r>
      <w:r w:rsidRPr="0018375D">
        <w:rPr>
          <w:szCs w:val="26"/>
        </w:rPr>
        <w:t xml:space="preserve"> open to consider the </w:t>
      </w:r>
      <w:r>
        <w:rPr>
          <w:szCs w:val="26"/>
        </w:rPr>
        <w:t xml:space="preserve">results of the </w:t>
      </w:r>
      <w:r w:rsidRPr="0018375D">
        <w:rPr>
          <w:szCs w:val="26"/>
        </w:rPr>
        <w:t xml:space="preserve">workshop and other miscellaneous changes to the </w:t>
      </w:r>
      <w:r w:rsidR="00096FB4">
        <w:rPr>
          <w:szCs w:val="26"/>
        </w:rPr>
        <w:t>RCP</w:t>
      </w:r>
      <w:r w:rsidRPr="0018375D">
        <w:rPr>
          <w:szCs w:val="26"/>
        </w:rPr>
        <w:t>.</w:t>
      </w:r>
      <w:r>
        <w:rPr>
          <w:rStyle w:val="FootnoteReference"/>
        </w:rPr>
        <w:footnoteReference w:id="12"/>
      </w:r>
    </w:p>
    <w:p w14:paraId="14FC815B" w14:textId="77777777" w:rsidR="00B702ED" w:rsidRDefault="00B702ED" w:rsidP="006F0AC0">
      <w:pPr>
        <w:pStyle w:val="Standard"/>
      </w:pPr>
      <w:r w:rsidRPr="004367C0">
        <w:rPr>
          <w:szCs w:val="26"/>
        </w:rPr>
        <w:t xml:space="preserve">The Energy Division conducted </w:t>
      </w:r>
      <w:r w:rsidR="00A6492E">
        <w:rPr>
          <w:szCs w:val="26"/>
        </w:rPr>
        <w:t>its</w:t>
      </w:r>
      <w:r w:rsidRPr="004367C0">
        <w:rPr>
          <w:szCs w:val="26"/>
        </w:rPr>
        <w:t xml:space="preserve"> workshop on January 11, 2017 and completed its workshop report</w:t>
      </w:r>
      <w:r>
        <w:rPr>
          <w:szCs w:val="26"/>
        </w:rPr>
        <w:t xml:space="preserve"> in </w:t>
      </w:r>
      <w:r w:rsidR="00AD565E">
        <w:rPr>
          <w:szCs w:val="26"/>
        </w:rPr>
        <w:t>March</w:t>
      </w:r>
      <w:r>
        <w:rPr>
          <w:szCs w:val="26"/>
        </w:rPr>
        <w:t xml:space="preserve"> 2018</w:t>
      </w:r>
      <w:r w:rsidRPr="004367C0">
        <w:rPr>
          <w:szCs w:val="26"/>
        </w:rPr>
        <w:t xml:space="preserve">.  </w:t>
      </w:r>
      <w:r>
        <w:t xml:space="preserve">On March 8, 2018 the assigned </w:t>
      </w:r>
      <w:r w:rsidR="00A6492E">
        <w:t>ALJ</w:t>
      </w:r>
      <w:r>
        <w:t xml:space="preserve"> issued a ruling that provided t</w:t>
      </w:r>
      <w:r w:rsidRPr="004367C0">
        <w:t xml:space="preserve">he Energy Division’s “General Rate Case Plan Workshop Report” </w:t>
      </w:r>
      <w:r>
        <w:t>(</w:t>
      </w:r>
      <w:r w:rsidRPr="006439F2">
        <w:t>Staff Report</w:t>
      </w:r>
      <w:r>
        <w:t xml:space="preserve">) to the service list, accepted the report </w:t>
      </w:r>
      <w:r w:rsidRPr="004367C0">
        <w:t>into the</w:t>
      </w:r>
      <w:r>
        <w:t xml:space="preserve"> proceeding</w:t>
      </w:r>
      <w:r w:rsidRPr="004367C0">
        <w:t xml:space="preserve"> record</w:t>
      </w:r>
      <w:r>
        <w:t xml:space="preserve">, and set a schedule for comments and reply comments on </w:t>
      </w:r>
      <w:r w:rsidRPr="004367C0">
        <w:t xml:space="preserve">the recommendations made in the </w:t>
      </w:r>
      <w:r w:rsidRPr="006439F2">
        <w:t>Staff Report</w:t>
      </w:r>
      <w:r>
        <w:t xml:space="preserve">.  </w:t>
      </w:r>
    </w:p>
    <w:p w14:paraId="35FB2C91" w14:textId="77777777" w:rsidR="00B702ED" w:rsidRPr="006F0AC0" w:rsidRDefault="00A6492E" w:rsidP="00B702ED">
      <w:pPr>
        <w:pStyle w:val="standard0"/>
        <w:rPr>
          <w:rFonts w:ascii="Book Antiqua" w:hAnsi="Book Antiqua"/>
        </w:rPr>
      </w:pPr>
      <w:r w:rsidRPr="006F0AC0">
        <w:rPr>
          <w:rFonts w:ascii="Book Antiqua" w:hAnsi="Book Antiqua"/>
        </w:rPr>
        <w:t xml:space="preserve">The parties listed below </w:t>
      </w:r>
      <w:r w:rsidR="00B702ED" w:rsidRPr="006F0AC0">
        <w:rPr>
          <w:rFonts w:ascii="Book Antiqua" w:hAnsi="Book Antiqua"/>
        </w:rPr>
        <w:t xml:space="preserve">filed and served </w:t>
      </w:r>
      <w:r w:rsidRPr="006F0AC0">
        <w:rPr>
          <w:rFonts w:ascii="Book Antiqua" w:hAnsi="Book Antiqua"/>
        </w:rPr>
        <w:t xml:space="preserve">comments </w:t>
      </w:r>
      <w:r w:rsidR="00B702ED" w:rsidRPr="006F0AC0">
        <w:rPr>
          <w:rFonts w:ascii="Book Antiqua" w:hAnsi="Book Antiqua"/>
        </w:rPr>
        <w:t>on April 5, 2018:</w:t>
      </w:r>
    </w:p>
    <w:p w14:paraId="7FE98C77" w14:textId="77777777" w:rsidR="00B702ED" w:rsidRPr="006F0AC0" w:rsidRDefault="00B702ED" w:rsidP="00B702ED">
      <w:pPr>
        <w:pStyle w:val="standard0"/>
        <w:numPr>
          <w:ilvl w:val="0"/>
          <w:numId w:val="11"/>
        </w:numPr>
        <w:spacing w:after="120" w:line="240" w:lineRule="auto"/>
        <w:ind w:left="1080" w:right="720"/>
        <w:rPr>
          <w:rFonts w:ascii="Book Antiqua" w:hAnsi="Book Antiqua"/>
        </w:rPr>
      </w:pPr>
      <w:bookmarkStart w:id="13" w:name="_Hlk18074995"/>
      <w:r w:rsidRPr="006F0AC0">
        <w:rPr>
          <w:rFonts w:ascii="Book Antiqua" w:hAnsi="Book Antiqua"/>
        </w:rPr>
        <w:t>Pacific Gas and Electric Company (PG&amp;E)</w:t>
      </w:r>
      <w:r w:rsidR="001F2DB3" w:rsidRPr="006F0AC0">
        <w:rPr>
          <w:rFonts w:ascii="Book Antiqua" w:hAnsi="Book Antiqua"/>
        </w:rPr>
        <w:t>;</w:t>
      </w:r>
    </w:p>
    <w:p w14:paraId="3DBEB09C" w14:textId="77777777" w:rsidR="00B702ED" w:rsidRPr="006F0AC0" w:rsidRDefault="00B702ED" w:rsidP="00B702ED">
      <w:pPr>
        <w:pStyle w:val="standard0"/>
        <w:numPr>
          <w:ilvl w:val="0"/>
          <w:numId w:val="11"/>
        </w:numPr>
        <w:spacing w:after="120" w:line="240" w:lineRule="auto"/>
        <w:ind w:left="1080" w:right="720"/>
        <w:rPr>
          <w:rFonts w:ascii="Book Antiqua" w:hAnsi="Book Antiqua"/>
        </w:rPr>
      </w:pPr>
      <w:r w:rsidRPr="006F0AC0">
        <w:rPr>
          <w:rFonts w:ascii="Book Antiqua" w:hAnsi="Book Antiqua"/>
        </w:rPr>
        <w:t>Southern California Edison Company (SCE)</w:t>
      </w:r>
      <w:r w:rsidR="001F2DB3" w:rsidRPr="006F0AC0">
        <w:rPr>
          <w:rFonts w:ascii="Book Antiqua" w:hAnsi="Book Antiqua"/>
        </w:rPr>
        <w:t>;</w:t>
      </w:r>
    </w:p>
    <w:p w14:paraId="578A226B" w14:textId="77777777" w:rsidR="00B702ED" w:rsidRPr="006F0AC0" w:rsidRDefault="00B702ED" w:rsidP="00B702ED">
      <w:pPr>
        <w:pStyle w:val="standard0"/>
        <w:numPr>
          <w:ilvl w:val="0"/>
          <w:numId w:val="11"/>
        </w:numPr>
        <w:spacing w:after="120" w:line="240" w:lineRule="auto"/>
        <w:ind w:left="1080" w:right="720"/>
        <w:rPr>
          <w:rFonts w:ascii="Book Antiqua" w:hAnsi="Book Antiqua"/>
        </w:rPr>
      </w:pPr>
      <w:r w:rsidRPr="006F0AC0">
        <w:rPr>
          <w:rFonts w:ascii="Book Antiqua" w:hAnsi="Book Antiqua"/>
        </w:rPr>
        <w:t>Southern California Gas Company and San Diego Gas &amp; Electric Company (jointly, as SDG&amp;E and SoCalGas)</w:t>
      </w:r>
      <w:r w:rsidR="001F2DB3" w:rsidRPr="006F0AC0">
        <w:rPr>
          <w:rFonts w:ascii="Book Antiqua" w:hAnsi="Book Antiqua"/>
        </w:rPr>
        <w:t>;</w:t>
      </w:r>
    </w:p>
    <w:bookmarkEnd w:id="13"/>
    <w:p w14:paraId="6957433A" w14:textId="77777777" w:rsidR="00B702ED" w:rsidRPr="006F0AC0" w:rsidRDefault="00AD565E" w:rsidP="00B702ED">
      <w:pPr>
        <w:pStyle w:val="standard0"/>
        <w:numPr>
          <w:ilvl w:val="0"/>
          <w:numId w:val="11"/>
        </w:numPr>
        <w:spacing w:after="120" w:line="240" w:lineRule="auto"/>
        <w:ind w:left="1080" w:right="720"/>
        <w:rPr>
          <w:rFonts w:ascii="Book Antiqua" w:hAnsi="Book Antiqua"/>
        </w:rPr>
      </w:pPr>
      <w:r w:rsidRPr="006F0AC0">
        <w:rPr>
          <w:rFonts w:ascii="Book Antiqua" w:hAnsi="Book Antiqua"/>
        </w:rPr>
        <w:t>the Commission’s independent Office of Ratepayer Advocates (hereinafter, the Public Advocates Office);</w:t>
      </w:r>
      <w:r w:rsidRPr="006F0AC0">
        <w:rPr>
          <w:rStyle w:val="FootnoteReference"/>
          <w:rFonts w:ascii="Book Antiqua" w:hAnsi="Book Antiqua"/>
        </w:rPr>
        <w:footnoteReference w:id="13"/>
      </w:r>
    </w:p>
    <w:p w14:paraId="53BAF889" w14:textId="77777777" w:rsidR="00B702ED" w:rsidRPr="006F0AC0" w:rsidRDefault="00AD565E" w:rsidP="003933C4">
      <w:pPr>
        <w:pStyle w:val="standard0"/>
        <w:numPr>
          <w:ilvl w:val="0"/>
          <w:numId w:val="11"/>
        </w:numPr>
        <w:spacing w:after="120" w:line="240" w:lineRule="auto"/>
        <w:ind w:left="1080" w:right="720"/>
        <w:rPr>
          <w:rFonts w:ascii="Book Antiqua" w:hAnsi="Book Antiqua"/>
        </w:rPr>
      </w:pPr>
      <w:r w:rsidRPr="006F0AC0">
        <w:rPr>
          <w:rFonts w:ascii="Book Antiqua" w:hAnsi="Book Antiqua"/>
        </w:rPr>
        <w:t>the Southern California Generation Coalition (SCGC); and</w:t>
      </w:r>
    </w:p>
    <w:p w14:paraId="46DD9243" w14:textId="77777777" w:rsidR="00B702ED" w:rsidRPr="006F0AC0" w:rsidRDefault="00B702ED" w:rsidP="006F0AC0">
      <w:pPr>
        <w:pStyle w:val="standard0"/>
        <w:numPr>
          <w:ilvl w:val="0"/>
          <w:numId w:val="11"/>
        </w:numPr>
        <w:spacing w:after="240" w:line="240" w:lineRule="auto"/>
        <w:ind w:left="1080" w:right="720"/>
        <w:rPr>
          <w:rFonts w:ascii="Book Antiqua" w:hAnsi="Book Antiqua"/>
        </w:rPr>
      </w:pPr>
      <w:r w:rsidRPr="006F0AC0">
        <w:rPr>
          <w:rFonts w:ascii="Book Antiqua" w:hAnsi="Book Antiqua"/>
        </w:rPr>
        <w:t>The Utility Reform Network (TURN)</w:t>
      </w:r>
      <w:r w:rsidR="008E66FC" w:rsidRPr="006F0AC0">
        <w:rPr>
          <w:rFonts w:ascii="Book Antiqua" w:hAnsi="Book Antiqua"/>
        </w:rPr>
        <w:t>.</w:t>
      </w:r>
    </w:p>
    <w:p w14:paraId="3D40DCCC" w14:textId="77777777" w:rsidR="00B702ED" w:rsidRPr="006F0AC0" w:rsidRDefault="00B702ED" w:rsidP="00B702ED">
      <w:pPr>
        <w:pStyle w:val="standard0"/>
        <w:rPr>
          <w:rFonts w:ascii="Book Antiqua" w:hAnsi="Book Antiqua"/>
        </w:rPr>
      </w:pPr>
      <w:r w:rsidRPr="006F0AC0">
        <w:rPr>
          <w:rFonts w:ascii="Book Antiqua" w:hAnsi="Book Antiqua"/>
        </w:rPr>
        <w:t>SCE and TURN filed and served reply comments on April 19, 2018.</w:t>
      </w:r>
    </w:p>
    <w:p w14:paraId="7C634A62" w14:textId="77777777" w:rsidR="00B702ED" w:rsidRPr="00326D0E" w:rsidRDefault="00B702ED" w:rsidP="00B702ED">
      <w:pPr>
        <w:pStyle w:val="Standard"/>
      </w:pPr>
      <w:r w:rsidRPr="00326D0E">
        <w:lastRenderedPageBreak/>
        <w:t>The Staff Report and parties’ comments and reply comments on that report constitute the record that serves as the basis for this decision.</w:t>
      </w:r>
    </w:p>
    <w:p w14:paraId="08298E5C" w14:textId="327409DC" w:rsidR="00B702ED" w:rsidRDefault="00B702ED" w:rsidP="004B5523">
      <w:pPr>
        <w:pStyle w:val="Heading1"/>
      </w:pPr>
      <w:bookmarkStart w:id="14" w:name="_Toc13244191"/>
      <w:bookmarkStart w:id="15" w:name="_Toc20998444"/>
      <w:bookmarkStart w:id="16" w:name="_Toc29817388"/>
      <w:r>
        <w:t>The Commission’s Rate Case</w:t>
      </w:r>
      <w:r w:rsidR="004D271A">
        <w:t xml:space="preserve"> </w:t>
      </w:r>
      <w:r>
        <w:t>Plan for Energy Utilities</w:t>
      </w:r>
      <w:bookmarkEnd w:id="14"/>
      <w:bookmarkEnd w:id="15"/>
      <w:bookmarkEnd w:id="16"/>
    </w:p>
    <w:p w14:paraId="3D472388" w14:textId="2B352607" w:rsidR="00114877" w:rsidRDefault="00AD565E" w:rsidP="00114877">
      <w:pPr>
        <w:pStyle w:val="Standard"/>
      </w:pPr>
      <w:r>
        <w:t>As noted above and explained in the Staff Report, a</w:t>
      </w:r>
      <w:r w:rsidR="00114877" w:rsidRPr="006F0AC0">
        <w:t xml:space="preserve"> GRC is a proceeding in which the Commission authorizes an investor</w:t>
      </w:r>
      <w:r w:rsidR="00FE5496">
        <w:noBreakHyphen/>
      </w:r>
      <w:r w:rsidR="00114877" w:rsidRPr="006F0AC0">
        <w:t xml:space="preserve">owned utility to recover through rates </w:t>
      </w:r>
      <w:r>
        <w:t>the</w:t>
      </w:r>
      <w:r w:rsidR="00114877" w:rsidRPr="006F0AC0">
        <w:t xml:space="preserve"> reasonable </w:t>
      </w:r>
      <w:r>
        <w:t xml:space="preserve">capital investment </w:t>
      </w:r>
      <w:r w:rsidR="00114877" w:rsidRPr="006F0AC0">
        <w:t xml:space="preserve">costs </w:t>
      </w:r>
      <w:r>
        <w:t>and annual expenses necessary to</w:t>
      </w:r>
      <w:r w:rsidR="00114877" w:rsidRPr="006F0AC0">
        <w:t xml:space="preserve"> operat</w:t>
      </w:r>
      <w:r>
        <w:t>e</w:t>
      </w:r>
      <w:r w:rsidR="00114877" w:rsidRPr="006F0AC0">
        <w:t xml:space="preserve"> and maintain its facilities and equipment </w:t>
      </w:r>
      <w:r w:rsidR="00B40D29">
        <w:t xml:space="preserve">in a </w:t>
      </w:r>
      <w:r w:rsidR="00114877" w:rsidRPr="006F0AC0">
        <w:t>safe and reliabl</w:t>
      </w:r>
      <w:r w:rsidR="00B40D29">
        <w:t>e manner</w:t>
      </w:r>
      <w:r w:rsidR="00114877" w:rsidRPr="006F0AC0">
        <w:t xml:space="preserve">.  The </w:t>
      </w:r>
      <w:r w:rsidR="00FE0C84">
        <w:t xml:space="preserve">large energy </w:t>
      </w:r>
      <w:r w:rsidR="00114877" w:rsidRPr="006F0AC0">
        <w:t>utilities are required to file a GRC application every three years with the Commission</w:t>
      </w:r>
      <w:r w:rsidR="009B20DB">
        <w:t>, meaning they follow a</w:t>
      </w:r>
      <w:r w:rsidR="00114877" w:rsidRPr="006F0AC0">
        <w:t xml:space="preserve"> three</w:t>
      </w:r>
      <w:r w:rsidR="00FE5496">
        <w:noBreakHyphen/>
      </w:r>
      <w:r w:rsidR="00114877" w:rsidRPr="006F0AC0">
        <w:t xml:space="preserve">year GRC </w:t>
      </w:r>
      <w:r>
        <w:t>r</w:t>
      </w:r>
      <w:r w:rsidR="00114877" w:rsidRPr="006F0AC0">
        <w:t xml:space="preserve">ate </w:t>
      </w:r>
      <w:r>
        <w:t>c</w:t>
      </w:r>
      <w:r w:rsidR="00114877" w:rsidRPr="006F0AC0">
        <w:t>ase cycle.</w:t>
      </w:r>
      <w:r w:rsidR="00114877" w:rsidRPr="001909DB">
        <w:t xml:space="preserve"> </w:t>
      </w:r>
      <w:r>
        <w:t xml:space="preserve"> The GRC application provides detailed forecasts of </w:t>
      </w:r>
      <w:r w:rsidR="009B20DB">
        <w:t xml:space="preserve">the applicant’s </w:t>
      </w:r>
      <w:r>
        <w:t xml:space="preserve">capital investment </w:t>
      </w:r>
      <w:r w:rsidR="009B20DB">
        <w:t xml:space="preserve">expenses </w:t>
      </w:r>
      <w:r>
        <w:t xml:space="preserve">and </w:t>
      </w:r>
      <w:r w:rsidR="009B20DB">
        <w:t xml:space="preserve">its </w:t>
      </w:r>
      <w:r>
        <w:t>operating and maintenance (O&amp;M) expenses for a designated “test year” as well as forecasts for two subsequent post</w:t>
      </w:r>
      <w:r w:rsidR="00FE5496">
        <w:noBreakHyphen/>
      </w:r>
      <w:r>
        <w:t xml:space="preserve">test years, or </w:t>
      </w:r>
      <w:r w:rsidRPr="00A9780B">
        <w:t>“attrition years.”</w:t>
      </w:r>
      <w:r w:rsidR="00A9780B">
        <w:rPr>
          <w:rStyle w:val="FootnoteReference"/>
        </w:rPr>
        <w:footnoteReference w:id="14"/>
      </w:r>
      <w:r>
        <w:t xml:space="preserve">  The Commission’s decision </w:t>
      </w:r>
      <w:r w:rsidR="00B40D29">
        <w:t xml:space="preserve">is based on </w:t>
      </w:r>
      <w:r w:rsidR="009B20DB">
        <w:t xml:space="preserve">its </w:t>
      </w:r>
      <w:r w:rsidR="00B40D29">
        <w:t xml:space="preserve">extensive review of </w:t>
      </w:r>
      <w:r>
        <w:t>the test year</w:t>
      </w:r>
      <w:r w:rsidR="00B40D29">
        <w:t xml:space="preserve"> forecasts</w:t>
      </w:r>
      <w:r w:rsidR="009B20DB">
        <w:t>.  T</w:t>
      </w:r>
      <w:r>
        <w:t>he post</w:t>
      </w:r>
      <w:r w:rsidR="00FE5496">
        <w:noBreakHyphen/>
      </w:r>
      <w:r>
        <w:t xml:space="preserve">test year revenue requirements are typically </w:t>
      </w:r>
      <w:r w:rsidR="006469CC">
        <w:t>determined by</w:t>
      </w:r>
      <w:r>
        <w:t xml:space="preserve"> </w:t>
      </w:r>
      <w:r w:rsidR="006469CC">
        <w:t>(1)</w:t>
      </w:r>
      <w:r w:rsidR="00BA7BBC">
        <w:t> </w:t>
      </w:r>
      <w:r>
        <w:t>escalati</w:t>
      </w:r>
      <w:r w:rsidR="006469CC">
        <w:t xml:space="preserve">ng the </w:t>
      </w:r>
      <w:r>
        <w:t xml:space="preserve">test year </w:t>
      </w:r>
      <w:bookmarkStart w:id="17" w:name="_Hlk19637949"/>
      <w:r>
        <w:t>O&amp;M expenses</w:t>
      </w:r>
      <w:bookmarkEnd w:id="17"/>
      <w:r w:rsidR="006469CC">
        <w:t xml:space="preserve">, and (2) authorizing capital expenditures at a level determined by either (i) </w:t>
      </w:r>
      <w:r w:rsidR="009B20DB">
        <w:t xml:space="preserve">applying </w:t>
      </w:r>
      <w:r w:rsidR="006469CC">
        <w:t xml:space="preserve">additional escalation factors, or (ii) further review of the applicant utility’s </w:t>
      </w:r>
      <w:r w:rsidR="009B20DB">
        <w:t xml:space="preserve">actual </w:t>
      </w:r>
      <w:r w:rsidR="006469CC">
        <w:t>capital budgets for those years.</w:t>
      </w:r>
    </w:p>
    <w:p w14:paraId="1DB45342" w14:textId="77777777" w:rsidR="00AF72E1" w:rsidRDefault="006469CC" w:rsidP="00AF72E1">
      <w:pPr>
        <w:pStyle w:val="Standard"/>
      </w:pPr>
      <w:r>
        <w:t xml:space="preserve">For all its procedural and technical complexity, the Commission’s decision in a GRC proceeding can be summarized on </w:t>
      </w:r>
      <w:r w:rsidR="00D55901">
        <w:t xml:space="preserve">a </w:t>
      </w:r>
      <w:r>
        <w:t>single page, the “</w:t>
      </w:r>
      <w:r w:rsidR="00650B87">
        <w:t>S</w:t>
      </w:r>
      <w:r>
        <w:t xml:space="preserve">ummary of </w:t>
      </w:r>
      <w:r w:rsidR="00650B87">
        <w:lastRenderedPageBreak/>
        <w:t>E</w:t>
      </w:r>
      <w:r>
        <w:t xml:space="preserve">arnings” authorized for the applicant utility in the test year.  </w:t>
      </w:r>
      <w:r w:rsidR="00AF72E1">
        <w:t>The table below depicts a typical Summary of Earnings statement:</w:t>
      </w:r>
      <w:r w:rsidR="00AF72E1">
        <w:rPr>
          <w:rStyle w:val="FootnoteReference"/>
        </w:rPr>
        <w:footnoteReference w:id="15"/>
      </w:r>
    </w:p>
    <w:p w14:paraId="29EAC2F3" w14:textId="77777777" w:rsidR="00AF72E1" w:rsidRPr="00D14898" w:rsidRDefault="00AF72E1" w:rsidP="007C78CD">
      <w:pPr>
        <w:pStyle w:val="Standard"/>
        <w:keepNext/>
        <w:keepLines/>
        <w:spacing w:line="240" w:lineRule="auto"/>
        <w:ind w:firstLine="0"/>
        <w:jc w:val="center"/>
        <w:rPr>
          <w:u w:val="single"/>
        </w:rPr>
      </w:pPr>
      <w:r w:rsidRPr="00D14898">
        <w:rPr>
          <w:u w:val="single"/>
        </w:rPr>
        <w:t>Annual Summary of Earnings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1256"/>
        <w:gridCol w:w="1024"/>
        <w:gridCol w:w="4910"/>
      </w:tblGrid>
      <w:tr w:rsidR="00AF72E1" w:rsidRPr="0051493A" w14:paraId="697A17F7" w14:textId="77777777" w:rsidTr="00D53A4B">
        <w:trPr>
          <w:jc w:val="center"/>
        </w:trPr>
        <w:tc>
          <w:tcPr>
            <w:tcW w:w="237" w:type="dxa"/>
          </w:tcPr>
          <w:p w14:paraId="20EFEAB7" w14:textId="57D81890" w:rsidR="00AF72E1" w:rsidRPr="0051493A" w:rsidRDefault="00AF72E1" w:rsidP="00D53A4B">
            <w:pPr>
              <w:pStyle w:val="Standard"/>
              <w:keepNext/>
              <w:keepLines/>
              <w:spacing w:line="240" w:lineRule="auto"/>
              <w:ind w:firstLine="0"/>
            </w:pPr>
          </w:p>
        </w:tc>
        <w:tc>
          <w:tcPr>
            <w:tcW w:w="1256" w:type="dxa"/>
            <w:vAlign w:val="center"/>
          </w:tcPr>
          <w:p w14:paraId="2F0C31B1" w14:textId="01794A9A" w:rsidR="00AF72E1" w:rsidRDefault="00AF72E1" w:rsidP="00D53A4B">
            <w:pPr>
              <w:pStyle w:val="Standard"/>
              <w:keepNext/>
              <w:keepLines/>
              <w:spacing w:line="240" w:lineRule="auto"/>
              <w:ind w:firstLine="0"/>
              <w:jc w:val="center"/>
            </w:pPr>
            <w:r>
              <w:t>Line no.</w:t>
            </w:r>
          </w:p>
        </w:tc>
        <w:tc>
          <w:tcPr>
            <w:tcW w:w="903" w:type="dxa"/>
          </w:tcPr>
          <w:p w14:paraId="01DB2A85" w14:textId="77777777" w:rsidR="00AF72E1" w:rsidRPr="0051493A" w:rsidRDefault="00AF72E1" w:rsidP="00D53A4B">
            <w:pPr>
              <w:pStyle w:val="Standard"/>
              <w:keepNext/>
              <w:keepLines/>
              <w:spacing w:line="240" w:lineRule="auto"/>
              <w:ind w:firstLine="0"/>
            </w:pPr>
          </w:p>
        </w:tc>
        <w:tc>
          <w:tcPr>
            <w:tcW w:w="0" w:type="auto"/>
          </w:tcPr>
          <w:p w14:paraId="4FFAF447" w14:textId="77777777" w:rsidR="00AF72E1" w:rsidRDefault="00AF72E1" w:rsidP="00D53A4B">
            <w:pPr>
              <w:pStyle w:val="Standard"/>
              <w:keepNext/>
              <w:keepLines/>
              <w:spacing w:line="240" w:lineRule="auto"/>
              <w:ind w:firstLine="0"/>
            </w:pPr>
          </w:p>
        </w:tc>
      </w:tr>
      <w:tr w:rsidR="00AF72E1" w:rsidRPr="0051493A" w14:paraId="3C0C6008" w14:textId="77777777" w:rsidTr="00D53A4B">
        <w:trPr>
          <w:jc w:val="center"/>
        </w:trPr>
        <w:tc>
          <w:tcPr>
            <w:tcW w:w="237" w:type="dxa"/>
          </w:tcPr>
          <w:p w14:paraId="48259173" w14:textId="77777777" w:rsidR="00AF72E1" w:rsidRPr="0051493A" w:rsidRDefault="00AF72E1" w:rsidP="00D53A4B">
            <w:pPr>
              <w:pStyle w:val="Standard"/>
              <w:keepNext/>
              <w:keepLines/>
              <w:spacing w:line="240" w:lineRule="auto"/>
              <w:ind w:firstLine="0"/>
            </w:pPr>
          </w:p>
        </w:tc>
        <w:tc>
          <w:tcPr>
            <w:tcW w:w="1256" w:type="dxa"/>
            <w:vAlign w:val="center"/>
          </w:tcPr>
          <w:p w14:paraId="6449BFC4" w14:textId="08245D97" w:rsidR="00AF72E1" w:rsidRPr="0051493A" w:rsidRDefault="00AF72E1" w:rsidP="00D53A4B">
            <w:pPr>
              <w:pStyle w:val="Standard"/>
              <w:keepNext/>
              <w:keepLines/>
              <w:spacing w:line="240" w:lineRule="auto"/>
              <w:ind w:firstLine="0"/>
              <w:jc w:val="center"/>
            </w:pPr>
            <w:r>
              <w:t>1</w:t>
            </w:r>
          </w:p>
        </w:tc>
        <w:tc>
          <w:tcPr>
            <w:tcW w:w="903" w:type="dxa"/>
          </w:tcPr>
          <w:p w14:paraId="2E45B20E" w14:textId="33E73694" w:rsidR="00AF72E1" w:rsidRPr="0051493A" w:rsidRDefault="00AF72E1" w:rsidP="00D53A4B">
            <w:pPr>
              <w:pStyle w:val="Standard"/>
              <w:keepNext/>
              <w:keepLines/>
              <w:spacing w:line="240" w:lineRule="auto"/>
              <w:ind w:firstLine="0"/>
            </w:pPr>
          </w:p>
        </w:tc>
        <w:tc>
          <w:tcPr>
            <w:tcW w:w="0" w:type="auto"/>
          </w:tcPr>
          <w:p w14:paraId="42CC8B64" w14:textId="77777777" w:rsidR="00AF72E1" w:rsidRPr="0051493A" w:rsidRDefault="00AF72E1" w:rsidP="00D53A4B">
            <w:pPr>
              <w:pStyle w:val="Standard"/>
              <w:keepNext/>
              <w:keepLines/>
              <w:spacing w:line="240" w:lineRule="auto"/>
              <w:ind w:firstLine="0"/>
            </w:pPr>
            <w:r>
              <w:t xml:space="preserve">Authorized </w:t>
            </w:r>
            <w:r w:rsidRPr="0051493A">
              <w:t xml:space="preserve">O&amp;M </w:t>
            </w:r>
            <w:r>
              <w:t>E</w:t>
            </w:r>
            <w:r w:rsidRPr="0051493A">
              <w:t>xpenses</w:t>
            </w:r>
          </w:p>
        </w:tc>
      </w:tr>
      <w:tr w:rsidR="00AF72E1" w:rsidRPr="0051493A" w14:paraId="399EEAD8" w14:textId="77777777" w:rsidTr="00D53A4B">
        <w:trPr>
          <w:jc w:val="center"/>
        </w:trPr>
        <w:tc>
          <w:tcPr>
            <w:tcW w:w="237" w:type="dxa"/>
          </w:tcPr>
          <w:p w14:paraId="73DB4915" w14:textId="77777777" w:rsidR="00AF72E1" w:rsidRDefault="00AF72E1" w:rsidP="00D53A4B">
            <w:pPr>
              <w:pStyle w:val="Standard"/>
              <w:keepNext/>
              <w:keepLines/>
              <w:spacing w:line="240" w:lineRule="auto"/>
              <w:ind w:firstLine="0"/>
            </w:pPr>
          </w:p>
        </w:tc>
        <w:tc>
          <w:tcPr>
            <w:tcW w:w="1256" w:type="dxa"/>
            <w:vAlign w:val="center"/>
          </w:tcPr>
          <w:p w14:paraId="3E8F910E" w14:textId="76272DD0" w:rsidR="00AF72E1" w:rsidRDefault="00AF72E1" w:rsidP="00D53A4B">
            <w:pPr>
              <w:pStyle w:val="Standard"/>
              <w:keepNext/>
              <w:keepLines/>
              <w:spacing w:line="240" w:lineRule="auto"/>
              <w:ind w:firstLine="0"/>
              <w:jc w:val="center"/>
            </w:pPr>
            <w:r>
              <w:t>2</w:t>
            </w:r>
          </w:p>
        </w:tc>
        <w:tc>
          <w:tcPr>
            <w:tcW w:w="903" w:type="dxa"/>
          </w:tcPr>
          <w:p w14:paraId="41CCF18A" w14:textId="7C4EBDFB" w:rsidR="00AF72E1" w:rsidRPr="0051493A" w:rsidRDefault="00AF72E1" w:rsidP="00D53A4B">
            <w:pPr>
              <w:pStyle w:val="Standard"/>
              <w:keepNext/>
              <w:keepLines/>
              <w:spacing w:line="240" w:lineRule="auto"/>
              <w:ind w:firstLine="0"/>
            </w:pPr>
            <w:r>
              <w:t>plus</w:t>
            </w:r>
          </w:p>
        </w:tc>
        <w:tc>
          <w:tcPr>
            <w:tcW w:w="0" w:type="auto"/>
          </w:tcPr>
          <w:p w14:paraId="6E5B24C7" w14:textId="77777777" w:rsidR="00AF72E1" w:rsidRPr="0051493A" w:rsidRDefault="00AF72E1" w:rsidP="00D53A4B">
            <w:pPr>
              <w:pStyle w:val="Standard"/>
              <w:keepNext/>
              <w:keepLines/>
              <w:spacing w:line="240" w:lineRule="auto"/>
              <w:ind w:firstLine="0"/>
            </w:pPr>
            <w:r w:rsidRPr="0051493A">
              <w:t xml:space="preserve">Return </w:t>
            </w:r>
            <w:r>
              <w:t>o</w:t>
            </w:r>
            <w:r w:rsidRPr="0051493A">
              <w:t>n Rate Base</w:t>
            </w:r>
          </w:p>
        </w:tc>
      </w:tr>
      <w:tr w:rsidR="00AF72E1" w:rsidRPr="0051493A" w14:paraId="369889BC" w14:textId="77777777" w:rsidTr="00D53A4B">
        <w:trPr>
          <w:jc w:val="center"/>
        </w:trPr>
        <w:tc>
          <w:tcPr>
            <w:tcW w:w="237" w:type="dxa"/>
          </w:tcPr>
          <w:p w14:paraId="75108497" w14:textId="77777777" w:rsidR="00AF72E1" w:rsidRDefault="00AF72E1" w:rsidP="00D53A4B">
            <w:pPr>
              <w:pStyle w:val="Standard"/>
              <w:keepNext/>
              <w:keepLines/>
              <w:spacing w:line="240" w:lineRule="auto"/>
              <w:ind w:firstLine="0"/>
            </w:pPr>
          </w:p>
        </w:tc>
        <w:tc>
          <w:tcPr>
            <w:tcW w:w="1256" w:type="dxa"/>
            <w:vAlign w:val="center"/>
          </w:tcPr>
          <w:p w14:paraId="15BB9DE7" w14:textId="58157B19" w:rsidR="00AF72E1" w:rsidRDefault="00AF72E1" w:rsidP="00D53A4B">
            <w:pPr>
              <w:pStyle w:val="Standard"/>
              <w:keepNext/>
              <w:keepLines/>
              <w:spacing w:line="240" w:lineRule="auto"/>
              <w:ind w:firstLine="0"/>
              <w:jc w:val="center"/>
            </w:pPr>
            <w:r>
              <w:t>3</w:t>
            </w:r>
          </w:p>
        </w:tc>
        <w:tc>
          <w:tcPr>
            <w:tcW w:w="903" w:type="dxa"/>
          </w:tcPr>
          <w:p w14:paraId="20A42063" w14:textId="24BCAB9E" w:rsidR="00AF72E1" w:rsidRPr="0051493A" w:rsidRDefault="00AF72E1" w:rsidP="00D53A4B">
            <w:pPr>
              <w:pStyle w:val="Standard"/>
              <w:keepNext/>
              <w:keepLines/>
              <w:spacing w:line="240" w:lineRule="auto"/>
              <w:ind w:firstLine="0"/>
            </w:pPr>
            <w:r>
              <w:t>plus</w:t>
            </w:r>
          </w:p>
        </w:tc>
        <w:tc>
          <w:tcPr>
            <w:tcW w:w="0" w:type="auto"/>
          </w:tcPr>
          <w:p w14:paraId="537B271E" w14:textId="14E5BBEB" w:rsidR="00AF72E1" w:rsidRPr="0051493A" w:rsidRDefault="00AF72E1" w:rsidP="00D53A4B">
            <w:pPr>
              <w:pStyle w:val="Standard"/>
              <w:keepNext/>
              <w:keepLines/>
              <w:spacing w:line="240" w:lineRule="auto"/>
              <w:ind w:firstLine="0"/>
            </w:pPr>
            <w:r w:rsidRPr="0051493A">
              <w:t>Depreciation Expense</w:t>
            </w:r>
            <w:r w:rsidRPr="0051493A" w:rsidDel="00AF72E1">
              <w:t xml:space="preserve"> </w:t>
            </w:r>
          </w:p>
        </w:tc>
      </w:tr>
      <w:tr w:rsidR="00AF72E1" w:rsidRPr="0051493A" w14:paraId="06B38684" w14:textId="77777777" w:rsidTr="00D53A4B">
        <w:trPr>
          <w:jc w:val="center"/>
        </w:trPr>
        <w:tc>
          <w:tcPr>
            <w:tcW w:w="237" w:type="dxa"/>
            <w:tcBorders>
              <w:bottom w:val="single" w:sz="4" w:space="0" w:color="auto"/>
            </w:tcBorders>
          </w:tcPr>
          <w:p w14:paraId="38D1579F" w14:textId="77777777" w:rsidR="00AF72E1" w:rsidRDefault="00AF72E1" w:rsidP="00D53A4B">
            <w:pPr>
              <w:pStyle w:val="Standard"/>
              <w:keepNext/>
              <w:keepLines/>
              <w:spacing w:line="240" w:lineRule="auto"/>
              <w:ind w:firstLine="0"/>
            </w:pPr>
          </w:p>
        </w:tc>
        <w:tc>
          <w:tcPr>
            <w:tcW w:w="1256" w:type="dxa"/>
            <w:tcBorders>
              <w:bottom w:val="single" w:sz="4" w:space="0" w:color="auto"/>
            </w:tcBorders>
            <w:vAlign w:val="center"/>
          </w:tcPr>
          <w:p w14:paraId="521B3EB6" w14:textId="4B2055B5" w:rsidR="00AF72E1" w:rsidRDefault="00AF72E1" w:rsidP="00D53A4B">
            <w:pPr>
              <w:pStyle w:val="Standard"/>
              <w:keepNext/>
              <w:keepLines/>
              <w:spacing w:line="240" w:lineRule="auto"/>
              <w:ind w:firstLine="0"/>
              <w:jc w:val="center"/>
            </w:pPr>
            <w:r>
              <w:t>4</w:t>
            </w:r>
          </w:p>
        </w:tc>
        <w:tc>
          <w:tcPr>
            <w:tcW w:w="903" w:type="dxa"/>
            <w:tcBorders>
              <w:bottom w:val="single" w:sz="4" w:space="0" w:color="auto"/>
            </w:tcBorders>
          </w:tcPr>
          <w:p w14:paraId="14E8B0FD" w14:textId="59A562EF" w:rsidR="00AF72E1" w:rsidRPr="0051493A" w:rsidRDefault="00AF72E1" w:rsidP="00D53A4B">
            <w:pPr>
              <w:pStyle w:val="Standard"/>
              <w:keepNext/>
              <w:keepLines/>
              <w:spacing w:line="240" w:lineRule="auto"/>
              <w:ind w:firstLine="0"/>
            </w:pPr>
            <w:r>
              <w:t>plus</w:t>
            </w:r>
          </w:p>
        </w:tc>
        <w:tc>
          <w:tcPr>
            <w:tcW w:w="0" w:type="auto"/>
            <w:tcBorders>
              <w:bottom w:val="single" w:sz="4" w:space="0" w:color="auto"/>
            </w:tcBorders>
          </w:tcPr>
          <w:p w14:paraId="3DDA9C86" w14:textId="215E4465" w:rsidR="00AF72E1" w:rsidRPr="0051493A" w:rsidRDefault="00AF72E1" w:rsidP="00D53A4B">
            <w:pPr>
              <w:pStyle w:val="Standard"/>
              <w:keepNext/>
              <w:keepLines/>
              <w:spacing w:line="240" w:lineRule="auto"/>
              <w:ind w:firstLine="0"/>
            </w:pPr>
            <w:r w:rsidRPr="0051493A">
              <w:t xml:space="preserve">Taxes </w:t>
            </w:r>
          </w:p>
        </w:tc>
      </w:tr>
      <w:tr w:rsidR="00AF72E1" w:rsidRPr="0051493A" w14:paraId="6F6E820E" w14:textId="77777777" w:rsidTr="00D53A4B">
        <w:trPr>
          <w:jc w:val="center"/>
        </w:trPr>
        <w:tc>
          <w:tcPr>
            <w:tcW w:w="237" w:type="dxa"/>
            <w:tcBorders>
              <w:top w:val="single" w:sz="4" w:space="0" w:color="auto"/>
            </w:tcBorders>
          </w:tcPr>
          <w:p w14:paraId="4271A638" w14:textId="77777777" w:rsidR="00AF72E1" w:rsidRDefault="00AF72E1" w:rsidP="00D53A4B">
            <w:pPr>
              <w:pStyle w:val="Standard"/>
              <w:keepNext/>
              <w:keepLines/>
              <w:spacing w:before="120" w:line="240" w:lineRule="auto"/>
              <w:ind w:firstLine="0"/>
            </w:pPr>
          </w:p>
        </w:tc>
        <w:tc>
          <w:tcPr>
            <w:tcW w:w="1256" w:type="dxa"/>
            <w:tcBorders>
              <w:top w:val="single" w:sz="4" w:space="0" w:color="auto"/>
            </w:tcBorders>
            <w:vAlign w:val="center"/>
          </w:tcPr>
          <w:p w14:paraId="1D029BEC" w14:textId="3284E29D" w:rsidR="00AF72E1" w:rsidRDefault="00AF72E1" w:rsidP="00D53A4B">
            <w:pPr>
              <w:pStyle w:val="Standard"/>
              <w:keepNext/>
              <w:keepLines/>
              <w:spacing w:before="120" w:line="240" w:lineRule="auto"/>
              <w:ind w:firstLine="0"/>
              <w:jc w:val="center"/>
            </w:pPr>
            <w:r>
              <w:t>5</w:t>
            </w:r>
          </w:p>
        </w:tc>
        <w:tc>
          <w:tcPr>
            <w:tcW w:w="903" w:type="dxa"/>
            <w:tcBorders>
              <w:top w:val="single" w:sz="4" w:space="0" w:color="auto"/>
            </w:tcBorders>
          </w:tcPr>
          <w:p w14:paraId="303C3485" w14:textId="7A419EAF" w:rsidR="00AF72E1" w:rsidRDefault="00AF72E1" w:rsidP="00D53A4B">
            <w:pPr>
              <w:pStyle w:val="Standard"/>
              <w:keepNext/>
              <w:keepLines/>
              <w:spacing w:before="120" w:line="240" w:lineRule="auto"/>
              <w:ind w:firstLine="0"/>
            </w:pPr>
            <w:r>
              <w:t>equals:</w:t>
            </w:r>
          </w:p>
        </w:tc>
        <w:tc>
          <w:tcPr>
            <w:tcW w:w="0" w:type="auto"/>
            <w:tcBorders>
              <w:top w:val="single" w:sz="4" w:space="0" w:color="auto"/>
            </w:tcBorders>
          </w:tcPr>
          <w:p w14:paraId="10B79F7F" w14:textId="77777777" w:rsidR="00AF72E1" w:rsidRPr="0051493A" w:rsidRDefault="00AF72E1" w:rsidP="00D53A4B">
            <w:pPr>
              <w:pStyle w:val="Standard"/>
              <w:keepNext/>
              <w:keepLines/>
              <w:spacing w:before="120" w:line="240" w:lineRule="auto"/>
              <w:ind w:firstLine="0"/>
            </w:pPr>
            <w:r>
              <w:t>Annual Customer Revenue Requirement</w:t>
            </w:r>
          </w:p>
        </w:tc>
      </w:tr>
    </w:tbl>
    <w:p w14:paraId="7D8058C1" w14:textId="77777777" w:rsidR="00AF72E1" w:rsidRPr="0019709F" w:rsidRDefault="00AF72E1" w:rsidP="00AF72E1">
      <w:pPr>
        <w:pStyle w:val="Standard"/>
      </w:pPr>
    </w:p>
    <w:p w14:paraId="6AA55C6F" w14:textId="004085DE" w:rsidR="00AF72E1" w:rsidRDefault="00AF72E1" w:rsidP="00114877">
      <w:pPr>
        <w:pStyle w:val="Standard"/>
      </w:pPr>
      <w:r>
        <w:t xml:space="preserve">As shown above, the adopted revenue requirement </w:t>
      </w:r>
      <w:r w:rsidR="006469CC">
        <w:t xml:space="preserve">consists of </w:t>
      </w:r>
      <w:r w:rsidR="00920F8D">
        <w:t>(1</w:t>
      </w:r>
      <w:r>
        <w:t xml:space="preserve">) </w:t>
      </w:r>
      <w:r w:rsidR="006469CC">
        <w:t xml:space="preserve">the </w:t>
      </w:r>
      <w:r>
        <w:t xml:space="preserve">forecast </w:t>
      </w:r>
      <w:r w:rsidR="006469CC" w:rsidRPr="006469CC">
        <w:t>O&amp;M expenses</w:t>
      </w:r>
      <w:r w:rsidR="006469CC">
        <w:t xml:space="preserve"> approved by the Commission, plus</w:t>
      </w:r>
      <w:r w:rsidR="00920F8D">
        <w:t xml:space="preserve"> (2)</w:t>
      </w:r>
      <w:r w:rsidR="006469CC">
        <w:t xml:space="preserve"> the revenues the utility </w:t>
      </w:r>
      <w:r>
        <w:t>forecasts will be necessary</w:t>
      </w:r>
      <w:r w:rsidR="006469CC">
        <w:t xml:space="preserve"> to recover the costs of its capital investments </w:t>
      </w:r>
      <w:r>
        <w:t xml:space="preserve">during </w:t>
      </w:r>
      <w:r w:rsidR="006469CC">
        <w:t>the test year</w:t>
      </w:r>
      <w:r w:rsidR="00920F8D">
        <w:t>, and (3) the utility’s estimated tax obligations</w:t>
      </w:r>
      <w:r w:rsidR="006469CC">
        <w:t>.  The capital</w:t>
      </w:r>
      <w:r w:rsidR="00FE5496">
        <w:noBreakHyphen/>
      </w:r>
      <w:r w:rsidR="006469CC">
        <w:t xml:space="preserve">related revenues are expressed indirectly as the sum of (i) </w:t>
      </w:r>
      <w:r>
        <w:t>the depreciation expense associated with the capital assets in the rate base</w:t>
      </w:r>
      <w:r w:rsidR="006469CC">
        <w:t xml:space="preserve">, </w:t>
      </w:r>
      <w:r w:rsidR="0019709F">
        <w:t>and (ii)</w:t>
      </w:r>
      <w:r>
        <w:t xml:space="preserve"> the</w:t>
      </w:r>
      <w:r w:rsidRPr="00AF72E1">
        <w:t xml:space="preserve"> </w:t>
      </w:r>
      <w:r>
        <w:t>return on the utility’s rate base.</w:t>
      </w:r>
    </w:p>
    <w:p w14:paraId="6DE31633" w14:textId="77777777" w:rsidR="009A2403" w:rsidRDefault="0019709F" w:rsidP="00114877">
      <w:pPr>
        <w:pStyle w:val="Standard"/>
      </w:pPr>
      <w:r>
        <w:t>Procedurally, a</w:t>
      </w:r>
      <w:r w:rsidR="006469CC">
        <w:t xml:space="preserve"> typical</w:t>
      </w:r>
      <w:r w:rsidR="009A2403">
        <w:t xml:space="preserve"> GRC proceeding at the CPUC </w:t>
      </w:r>
      <w:r w:rsidR="00CF780D">
        <w:t>unfolds in the manner</w:t>
      </w:r>
      <w:r w:rsidR="009A2403">
        <w:t xml:space="preserve"> </w:t>
      </w:r>
      <w:r w:rsidR="006469CC">
        <w:t xml:space="preserve">described </w:t>
      </w:r>
      <w:r w:rsidR="009A2403">
        <w:t>in the quote below:</w:t>
      </w:r>
    </w:p>
    <w:p w14:paraId="3BD7A640" w14:textId="5DC45E6B" w:rsidR="003C4E8C" w:rsidRDefault="003C4E8C" w:rsidP="006F0AC0">
      <w:pPr>
        <w:pStyle w:val="Standard"/>
        <w:spacing w:after="240" w:line="240" w:lineRule="auto"/>
        <w:ind w:left="720" w:right="720" w:firstLine="0"/>
      </w:pPr>
      <w:r>
        <w:t>Required revenues and the rates necessary to realize them are established via the rate case, which is a quasi</w:t>
      </w:r>
      <w:r w:rsidR="00FE5496">
        <w:noBreakHyphen/>
      </w:r>
      <w:r>
        <w:t xml:space="preserve">judicial procedure designed to provide due process to all affected parties (e.g., the utility, investors, customers) and produce rates which are just and reasonable. </w:t>
      </w:r>
      <w:r w:rsidR="00AF72E1">
        <w:t xml:space="preserve"> </w:t>
      </w:r>
      <w:r>
        <w:t>As part of the rate case process, regulators evaluate the prudency (i.e., recoverability) of costs after they are incurred.</w:t>
      </w:r>
      <w:r w:rsidR="00FE0C84">
        <w:rPr>
          <w:rStyle w:val="FootnoteReference"/>
        </w:rPr>
        <w:footnoteReference w:id="16"/>
      </w:r>
    </w:p>
    <w:p w14:paraId="5B11CBAD" w14:textId="77777777" w:rsidR="003C4E8C" w:rsidRPr="00AF72E1" w:rsidRDefault="003C4E8C" w:rsidP="007C78CD">
      <w:pPr>
        <w:pStyle w:val="Standard"/>
      </w:pPr>
      <w:r w:rsidRPr="00AF72E1">
        <w:lastRenderedPageBreak/>
        <w:t xml:space="preserve">The </w:t>
      </w:r>
      <w:r w:rsidR="002C05E6" w:rsidRPr="00AF72E1">
        <w:t xml:space="preserve">economic </w:t>
      </w:r>
      <w:r w:rsidRPr="00AF72E1">
        <w:t xml:space="preserve">literature also </w:t>
      </w:r>
      <w:r w:rsidR="00650B87" w:rsidRPr="00AF72E1">
        <w:t>discusses</w:t>
      </w:r>
      <w:r w:rsidRPr="00AF72E1">
        <w:t xml:space="preserve"> the need for timely and predictable </w:t>
      </w:r>
      <w:r w:rsidR="00650B87" w:rsidRPr="00AF72E1">
        <w:t xml:space="preserve">Commission action on </w:t>
      </w:r>
      <w:r w:rsidRPr="00AF72E1">
        <w:t>GRC</w:t>
      </w:r>
      <w:r w:rsidR="00650B87" w:rsidRPr="00AF72E1">
        <w:t>s and related issues</w:t>
      </w:r>
      <w:r w:rsidRPr="00AF72E1">
        <w:t>:</w:t>
      </w:r>
    </w:p>
    <w:p w14:paraId="54BF914D" w14:textId="50E1E8A7" w:rsidR="009A2403" w:rsidRDefault="004974A2" w:rsidP="006F0AC0">
      <w:pPr>
        <w:pStyle w:val="Standard"/>
        <w:spacing w:after="240" w:line="240" w:lineRule="auto"/>
        <w:ind w:left="720" w:right="720" w:firstLine="0"/>
      </w:pPr>
      <w:r>
        <w:t xml:space="preserve">Once the revenue requirement is established, the rates are applied to the real time, real world market place where a set of dynamic factors, including demand growth, inflation, and government mandates determines the actual cash flows and earnings of the utility. </w:t>
      </w:r>
      <w:r w:rsidR="00650B87">
        <w:t xml:space="preserve"> </w:t>
      </w:r>
      <w:r>
        <w:t xml:space="preserve">To the extent that the real world approximates the assumptions used to establish the total revenue requirements, the </w:t>
      </w:r>
      <w:r w:rsidR="0095770B">
        <w:t>cost</w:t>
      </w:r>
      <w:r w:rsidR="00FE5496">
        <w:noBreakHyphen/>
      </w:r>
      <w:r w:rsidR="0095770B">
        <w:t>of</w:t>
      </w:r>
      <w:r w:rsidR="00FE5496">
        <w:noBreakHyphen/>
      </w:r>
      <w:r w:rsidR="0095770B">
        <w:t>service</w:t>
      </w:r>
      <w:r>
        <w:t xml:space="preserve"> model can operate effectively with regulatory lag serving as an incentive to control costs.  However, if technical, economic, and financial shocks negate these assumed conditions, regulators have been required to search for pragmatic policy adjustments in order to re</w:t>
      </w:r>
      <w:r w:rsidR="00FE5496">
        <w:noBreakHyphen/>
      </w:r>
      <w:r>
        <w:t>establish the balance of interests.</w:t>
      </w:r>
      <w:r w:rsidR="009F101A">
        <w:rPr>
          <w:rStyle w:val="FootnoteReference"/>
        </w:rPr>
        <w:footnoteReference w:id="17"/>
      </w:r>
    </w:p>
    <w:p w14:paraId="54360E90" w14:textId="77777777" w:rsidR="004974A2" w:rsidRDefault="00114877" w:rsidP="006F0AC0">
      <w:pPr>
        <w:pStyle w:val="Standard"/>
        <w:ind w:firstLine="0"/>
      </w:pPr>
      <w:r>
        <w:t>Regular participants in GRC proceedings at the CPUC will certainly recognize that the GRC proceedings of the large energy utilities reflect both the necessity of regulation, and the challenges inherent in this form of government oversight.</w:t>
      </w:r>
      <w:r w:rsidRPr="006D0276">
        <w:t xml:space="preserve"> </w:t>
      </w:r>
      <w:r>
        <w:t xml:space="preserve"> </w:t>
      </w:r>
    </w:p>
    <w:p w14:paraId="38D9911D" w14:textId="29E37A06" w:rsidR="00114877" w:rsidRDefault="004974A2" w:rsidP="00114877">
      <w:pPr>
        <w:pStyle w:val="Standard"/>
      </w:pPr>
      <w:r>
        <w:t>Referring again to the</w:t>
      </w:r>
      <w:r w:rsidR="002C05E6">
        <w:t xml:space="preserve"> economic</w:t>
      </w:r>
      <w:r>
        <w:t xml:space="preserve"> literature, the general r</w:t>
      </w:r>
      <w:r w:rsidR="00114877">
        <w:t>ate case</w:t>
      </w:r>
      <w:r>
        <w:t xml:space="preserve"> proceeding is</w:t>
      </w:r>
      <w:r w:rsidR="00114877">
        <w:t xml:space="preserve"> viewed as the embodiment of what </w:t>
      </w:r>
      <w:r>
        <w:t>is often described</w:t>
      </w:r>
      <w:r w:rsidR="00114877">
        <w:t xml:space="preserve"> as the “regulatory compact.”  This compact </w:t>
      </w:r>
      <w:r>
        <w:t>is viewed as a contract between</w:t>
      </w:r>
      <w:r w:rsidR="00114877">
        <w:t xml:space="preserve"> </w:t>
      </w:r>
      <w:r w:rsidR="00114877" w:rsidRPr="0018208C">
        <w:t>the utility</w:t>
      </w:r>
      <w:r w:rsidR="00114877">
        <w:t>’s investors</w:t>
      </w:r>
      <w:r w:rsidR="00114877" w:rsidRPr="0018208C">
        <w:t xml:space="preserve"> and its customers</w:t>
      </w:r>
      <w:r>
        <w:t>; as such, it</w:t>
      </w:r>
      <w:r w:rsidR="00114877">
        <w:t xml:space="preserve"> </w:t>
      </w:r>
      <w:r>
        <w:t>establishes</w:t>
      </w:r>
      <w:r w:rsidR="00114877" w:rsidRPr="0018208C">
        <w:t xml:space="preserve"> rights, obligations, and benefits</w:t>
      </w:r>
      <w:r>
        <w:t xml:space="preserve"> for both sides of the bargain</w:t>
      </w:r>
      <w:r w:rsidR="008F4A3A">
        <w:t>:</w:t>
      </w:r>
    </w:p>
    <w:p w14:paraId="0DA0E778" w14:textId="771D882A" w:rsidR="00114877" w:rsidRDefault="00114877" w:rsidP="00BA7BBC">
      <w:pPr>
        <w:pStyle w:val="Standard"/>
        <w:numPr>
          <w:ilvl w:val="0"/>
          <w:numId w:val="44"/>
        </w:numPr>
        <w:spacing w:after="120" w:line="240" w:lineRule="auto"/>
        <w:ind w:right="720"/>
      </w:pPr>
      <w:r w:rsidRPr="0003314C">
        <w:t>Utilities accept the obligation to serve and charge regulated cost</w:t>
      </w:r>
      <w:r w:rsidR="00FE5496">
        <w:noBreakHyphen/>
      </w:r>
      <w:r w:rsidRPr="0003314C">
        <w:t xml:space="preserve">based rates, and customers accept limited entry (i.e., loss of choice) </w:t>
      </w:r>
      <w:r w:rsidR="00D75093">
        <w:t>in exchange for</w:t>
      </w:r>
      <w:r w:rsidRPr="0003314C">
        <w:t xml:space="preserve"> protection from monopoly pricing. </w:t>
      </w:r>
    </w:p>
    <w:p w14:paraId="70DCA994" w14:textId="77777777" w:rsidR="00D75093" w:rsidRDefault="00114877" w:rsidP="00BA7BBC">
      <w:pPr>
        <w:pStyle w:val="Standard"/>
        <w:numPr>
          <w:ilvl w:val="0"/>
          <w:numId w:val="44"/>
        </w:numPr>
        <w:spacing w:after="120" w:line="240" w:lineRule="auto"/>
        <w:ind w:right="720"/>
      </w:pPr>
      <w:r w:rsidRPr="0003314C">
        <w:t xml:space="preserve">Under this agreement, the utility is provided the opportunity to recover its actual legitimate or prudent costs—determined by a public examination of the utility‘s outlays—plus a fair return on capital investment as measured by the cost of obtaining capital in a competitive capital market. </w:t>
      </w:r>
    </w:p>
    <w:p w14:paraId="5C627B70" w14:textId="77777777" w:rsidR="00D75093" w:rsidRDefault="00114877" w:rsidP="00BA7BBC">
      <w:pPr>
        <w:pStyle w:val="Standard"/>
        <w:numPr>
          <w:ilvl w:val="1"/>
          <w:numId w:val="44"/>
        </w:numPr>
        <w:spacing w:after="120" w:line="240" w:lineRule="auto"/>
        <w:ind w:right="720"/>
      </w:pPr>
      <w:r w:rsidRPr="0003314C">
        <w:lastRenderedPageBreak/>
        <w:t xml:space="preserve">Investors will only provide capital for provision of utility services if they anticipate obtaining a return that is consistent with returns they might expect from employing their capital in an alternative use with similar risk; </w:t>
      </w:r>
    </w:p>
    <w:p w14:paraId="49266E73" w14:textId="77777777" w:rsidR="00114877" w:rsidRDefault="009F101A" w:rsidP="00BA7BBC">
      <w:pPr>
        <w:pStyle w:val="Standard"/>
        <w:numPr>
          <w:ilvl w:val="1"/>
          <w:numId w:val="44"/>
        </w:numPr>
        <w:spacing w:after="240" w:line="240" w:lineRule="auto"/>
        <w:ind w:right="720"/>
      </w:pPr>
      <w:r>
        <w:t>C</w:t>
      </w:r>
      <w:r w:rsidR="00114877" w:rsidRPr="0003314C">
        <w:t>ustomers will only accept utility rates if they perceive that the rates fairly compensate the utility for its costs, but are not excessive as a result of the utility taking advantage of its privileged position.</w:t>
      </w:r>
      <w:r>
        <w:rPr>
          <w:rStyle w:val="FootnoteReference"/>
        </w:rPr>
        <w:footnoteReference w:id="18"/>
      </w:r>
    </w:p>
    <w:p w14:paraId="626807CB" w14:textId="16CCF28D" w:rsidR="00114877" w:rsidRDefault="00114877" w:rsidP="00114877">
      <w:pPr>
        <w:pStyle w:val="Standard"/>
      </w:pPr>
      <w:r>
        <w:t>It is the role of regulatory bodies such as this Commission to ensure that both sides fulfill their respective obligations</w:t>
      </w:r>
      <w:r w:rsidR="00070EBE">
        <w:t xml:space="preserve"> under this bargain.  Given the vastly different resources at the disposal of </w:t>
      </w:r>
      <w:r w:rsidR="008F4A3A">
        <w:t>the utilities and their customers</w:t>
      </w:r>
      <w:r>
        <w:t xml:space="preserve">, </w:t>
      </w:r>
      <w:r w:rsidR="00070EBE">
        <w:t xml:space="preserve">it is up to the Commission to </w:t>
      </w:r>
      <w:r>
        <w:t xml:space="preserve">maintain </w:t>
      </w:r>
      <w:r w:rsidRPr="0018208C">
        <w:t xml:space="preserve">the balance </w:t>
      </w:r>
      <w:r w:rsidR="00070EBE">
        <w:t xml:space="preserve">in outcomes </w:t>
      </w:r>
      <w:r w:rsidRPr="0018208C">
        <w:t xml:space="preserve">between customers and </w:t>
      </w:r>
      <w:r>
        <w:t xml:space="preserve">shareholders.  This somewhat theoretical construct becomes very real </w:t>
      </w:r>
      <w:r w:rsidR="00070EBE">
        <w:t>when</w:t>
      </w:r>
      <w:r>
        <w:t xml:space="preserve"> the Commission fulfills its responsibility </w:t>
      </w:r>
      <w:r w:rsidR="00070EBE">
        <w:t>and quantifies this balanced outcome in</w:t>
      </w:r>
      <w:r>
        <w:t xml:space="preserve"> its decisions in general rate cases.</w:t>
      </w:r>
    </w:p>
    <w:p w14:paraId="4BFFE4AA" w14:textId="19D1E7EE" w:rsidR="004129A5" w:rsidRDefault="00650B87" w:rsidP="00114877">
      <w:pPr>
        <w:pStyle w:val="Standard"/>
      </w:pPr>
      <w:r>
        <w:t>Our</w:t>
      </w:r>
      <w:r w:rsidR="009F101A">
        <w:t xml:space="preserve"> brief</w:t>
      </w:r>
      <w:r w:rsidR="00070EBE">
        <w:t xml:space="preserve"> summary of the regulatory compact does not reveal </w:t>
      </w:r>
      <w:r w:rsidR="00114877">
        <w:t xml:space="preserve">anything that is not already </w:t>
      </w:r>
      <w:r>
        <w:t>well</w:t>
      </w:r>
      <w:r w:rsidR="00FE5496">
        <w:noBreakHyphen/>
      </w:r>
      <w:r w:rsidR="00114877">
        <w:t>understood by the utilities and intervenors</w:t>
      </w:r>
      <w:r w:rsidR="00070EBE">
        <w:t xml:space="preserve"> in GRC proceedings.  However,</w:t>
      </w:r>
      <w:r w:rsidR="00114877">
        <w:t xml:space="preserve"> in light of </w:t>
      </w:r>
      <w:r w:rsidR="00070EBE">
        <w:t>a number of</w:t>
      </w:r>
      <w:r w:rsidR="00114877">
        <w:t xml:space="preserve"> extraordinary </w:t>
      </w:r>
      <w:r w:rsidR="00070EBE">
        <w:t xml:space="preserve">catastrophic </w:t>
      </w:r>
      <w:r w:rsidR="00114877">
        <w:t>events in</w:t>
      </w:r>
      <w:r w:rsidR="00070EBE">
        <w:t>volving</w:t>
      </w:r>
      <w:r w:rsidR="00114877">
        <w:t xml:space="preserve"> California</w:t>
      </w:r>
      <w:r w:rsidR="00070EBE">
        <w:t>’s regulated energy utilities</w:t>
      </w:r>
      <w:r w:rsidR="00114877">
        <w:t xml:space="preserve"> in recent years</w:t>
      </w:r>
      <w:r w:rsidR="00070EBE">
        <w:t xml:space="preserve"> (e.g., the 2010 San</w:t>
      </w:r>
      <w:r w:rsidR="00BA7BBC">
        <w:t> </w:t>
      </w:r>
      <w:r w:rsidR="00070EBE">
        <w:t xml:space="preserve">Bruno pipeline explosion in PG&amp;E’s </w:t>
      </w:r>
      <w:r w:rsidR="008F4A3A">
        <w:t xml:space="preserve">service </w:t>
      </w:r>
      <w:r w:rsidR="00070EBE">
        <w:t xml:space="preserve">territory and the major wildfires in 2007, 2017 and 2018 in SDG&amp;E, PG&amp;E and SCE </w:t>
      </w:r>
      <w:r w:rsidR="008F4A3A">
        <w:t xml:space="preserve">service </w:t>
      </w:r>
      <w:r w:rsidR="00070EBE">
        <w:t xml:space="preserve">territories) </w:t>
      </w:r>
      <w:r w:rsidR="00114877">
        <w:t xml:space="preserve">a review of first principles may be in order.  </w:t>
      </w:r>
      <w:r w:rsidR="004129A5">
        <w:t xml:space="preserve">As the utilities consider and implement corrective measures after these events, the forum for Commission review and authorization of the related capital investment costs and operating expenses is, </w:t>
      </w:r>
      <w:r w:rsidR="004129A5">
        <w:lastRenderedPageBreak/>
        <w:t>either directly or indirectly, each utility’s GRC proceeding.</w:t>
      </w:r>
      <w:r w:rsidR="00113443">
        <w:rPr>
          <w:rStyle w:val="FootnoteReference"/>
        </w:rPr>
        <w:footnoteReference w:id="19"/>
      </w:r>
      <w:r>
        <w:t xml:space="preserve">  As such, </w:t>
      </w:r>
      <w:r w:rsidR="000F264B">
        <w:t xml:space="preserve">utility </w:t>
      </w:r>
      <w:r w:rsidR="00A6069F">
        <w:t xml:space="preserve">investors and utility customers can reference over a century of legal and regulatory history that confirms the Commission’s role is not to merely pass utility cost estimates on to ratepayers, but rather to </w:t>
      </w:r>
      <w:r w:rsidR="000F264B">
        <w:t xml:space="preserve">independently </w:t>
      </w:r>
      <w:r w:rsidR="00A6069F">
        <w:t xml:space="preserve">determine the just and reasonable </w:t>
      </w:r>
      <w:r w:rsidR="000F264B">
        <w:t xml:space="preserve">level of </w:t>
      </w:r>
      <w:r w:rsidR="00A6069F">
        <w:t>costs</w:t>
      </w:r>
      <w:r w:rsidR="000F264B">
        <w:t xml:space="preserve"> necessary</w:t>
      </w:r>
      <w:r w:rsidR="00A6069F">
        <w:t xml:space="preserve"> for the utility to meet its obligations.</w:t>
      </w:r>
    </w:p>
    <w:p w14:paraId="32F43981" w14:textId="4F118AEE" w:rsidR="00114877" w:rsidRDefault="00114877" w:rsidP="00114877">
      <w:pPr>
        <w:pStyle w:val="Standard"/>
      </w:pPr>
      <w:r>
        <w:t xml:space="preserve">The authority of state regulatory commissions dates back to 1877, when the </w:t>
      </w:r>
      <w:r w:rsidRPr="009213A1">
        <w:t>U.S. Supreme Court upheld the power of government to regulate private industries</w:t>
      </w:r>
      <w:r>
        <w:t xml:space="preserve"> </w:t>
      </w:r>
      <w:r w:rsidRPr="00EE3EA7">
        <w:t>by recognizing that certain economic activities were so critical to the functioning of a modern society that government has the right to oversee the prices charged to assure that such services are provided to the public in a reasonable manner.</w:t>
      </w:r>
      <w:r>
        <w:rPr>
          <w:rStyle w:val="FootnoteReference"/>
        </w:rPr>
        <w:footnoteReference w:id="20"/>
      </w:r>
      <w:r>
        <w:t xml:space="preserve">  </w:t>
      </w:r>
      <w:r w:rsidR="00EA30ED">
        <w:t xml:space="preserve">The </w:t>
      </w:r>
      <w:r w:rsidR="00EA30ED" w:rsidRPr="006F0AC0">
        <w:rPr>
          <w:i/>
          <w:iCs/>
        </w:rPr>
        <w:t>Munn</w:t>
      </w:r>
      <w:r w:rsidR="00EA30ED">
        <w:t xml:space="preserve"> decision was limited by subsequent Court decisions, though not its </w:t>
      </w:r>
      <w:r w:rsidR="005A568A">
        <w:t xml:space="preserve">broad </w:t>
      </w:r>
      <w:r w:rsidR="00EA30ED">
        <w:t>application to state regulation of public utilities.  However, i</w:t>
      </w:r>
      <w:r>
        <w:t xml:space="preserve">t was not until 1944 that the Court </w:t>
      </w:r>
      <w:r w:rsidR="000F264B">
        <w:t xml:space="preserve">directly </w:t>
      </w:r>
      <w:r>
        <w:t xml:space="preserve">articulated the notion that some sort of bargain offers guidance to regulators, </w:t>
      </w:r>
      <w:r w:rsidR="000F264B">
        <w:t>establishing a</w:t>
      </w:r>
      <w:r>
        <w:t xml:space="preserve"> principal </w:t>
      </w:r>
      <w:r w:rsidR="000F264B">
        <w:t xml:space="preserve">that </w:t>
      </w:r>
      <w:r>
        <w:t xml:space="preserve">continues to guide every rate case:  in its </w:t>
      </w:r>
      <w:r w:rsidRPr="004C4531">
        <w:rPr>
          <w:i/>
          <w:iCs/>
        </w:rPr>
        <w:t>Hope</w:t>
      </w:r>
      <w:r>
        <w:t xml:space="preserve"> decision, the Court stated that the regulatory process involved a balancing of customer and stockholder interests:</w:t>
      </w:r>
    </w:p>
    <w:p w14:paraId="5E4EEB58" w14:textId="41B2FC4C" w:rsidR="00114877" w:rsidRDefault="00114877" w:rsidP="00114877">
      <w:pPr>
        <w:pStyle w:val="Standard"/>
        <w:spacing w:after="240" w:line="240" w:lineRule="auto"/>
        <w:ind w:left="720" w:right="720" w:firstLine="0"/>
      </w:pPr>
      <w:r w:rsidRPr="00692A7A">
        <w:t>[t]he rate</w:t>
      </w:r>
      <w:r w:rsidR="00FE5496">
        <w:noBreakHyphen/>
      </w:r>
      <w:r w:rsidRPr="00692A7A">
        <w:t>making process ... i.e., the fixing of just and reasonable</w:t>
      </w:r>
      <w:r>
        <w:rPr>
          <w:rFonts w:ascii="Times New Roman" w:hAnsi="Times New Roman" w:cs="Times New Roman"/>
        </w:rPr>
        <w:t xml:space="preserve"> </w:t>
      </w:r>
      <w:r w:rsidRPr="00692A7A">
        <w:t>rates, involves a balancing of the investor and the consumer interest.</w:t>
      </w:r>
      <w:r>
        <w:rPr>
          <w:rStyle w:val="FootnoteReference"/>
        </w:rPr>
        <w:footnoteReference w:id="21"/>
      </w:r>
      <w:r>
        <w:t xml:space="preserve"> </w:t>
      </w:r>
    </w:p>
    <w:p w14:paraId="14A774E0" w14:textId="37D21BEE" w:rsidR="00114877" w:rsidRDefault="00114877" w:rsidP="0093254B">
      <w:pPr>
        <w:pStyle w:val="Standard"/>
      </w:pPr>
      <w:r>
        <w:t xml:space="preserve">We find it important to restate this principal </w:t>
      </w:r>
      <w:r w:rsidR="00F61686">
        <w:t xml:space="preserve">in order </w:t>
      </w:r>
      <w:r w:rsidR="00F61686" w:rsidRPr="00F61686">
        <w:t xml:space="preserve">to remind parties that the </w:t>
      </w:r>
      <w:r w:rsidR="00F61686" w:rsidRPr="00685DBD">
        <w:rPr>
          <w:i/>
          <w:iCs/>
        </w:rPr>
        <w:t>benefits</w:t>
      </w:r>
      <w:r w:rsidR="00F61686" w:rsidRPr="00F61686">
        <w:t xml:space="preserve"> </w:t>
      </w:r>
      <w:r w:rsidR="000F264B">
        <w:t xml:space="preserve">to each side </w:t>
      </w:r>
      <w:r w:rsidR="00F61686" w:rsidRPr="00F61686">
        <w:t xml:space="preserve">of the regulatory compact </w:t>
      </w:r>
      <w:r w:rsidR="00F61686">
        <w:t xml:space="preserve">come with </w:t>
      </w:r>
      <w:r>
        <w:t xml:space="preserve">corresponding </w:t>
      </w:r>
      <w:r w:rsidR="00BF3889" w:rsidRPr="006F0AC0">
        <w:rPr>
          <w:i/>
          <w:iCs/>
        </w:rPr>
        <w:t>obligations</w:t>
      </w:r>
      <w:r w:rsidR="000F264B" w:rsidRPr="000F264B">
        <w:t xml:space="preserve"> for each side</w:t>
      </w:r>
      <w:r w:rsidR="00F61686">
        <w:t>.</w:t>
      </w:r>
      <w:r w:rsidR="00B8504B">
        <w:t xml:space="preserve"> </w:t>
      </w:r>
      <w:r w:rsidR="00F61686">
        <w:t xml:space="preserve"> I</w:t>
      </w:r>
      <w:r>
        <w:t>n the remainder of this section</w:t>
      </w:r>
      <w:r w:rsidR="00B8504B">
        <w:t xml:space="preserve"> we </w:t>
      </w:r>
      <w:r>
        <w:t>brief</w:t>
      </w:r>
      <w:r w:rsidR="00B8504B">
        <w:t>ly</w:t>
      </w:r>
      <w:r>
        <w:t xml:space="preserve"> review how </w:t>
      </w:r>
      <w:r>
        <w:lastRenderedPageBreak/>
        <w:t>the CPUC came to interpret the terms of the regulatory compact</w:t>
      </w:r>
      <w:r w:rsidR="000F264B">
        <w:t xml:space="preserve"> and how it </w:t>
      </w:r>
      <w:r w:rsidR="00F26FDE">
        <w:t>w</w:t>
      </w:r>
      <w:r w:rsidR="000F264B">
        <w:t xml:space="preserve">ould act to maintain the balance of interests contemplated by the </w:t>
      </w:r>
      <w:r w:rsidR="000F264B" w:rsidRPr="00D53A4B">
        <w:rPr>
          <w:i/>
          <w:iCs/>
        </w:rPr>
        <w:t>Hope</w:t>
      </w:r>
      <w:r w:rsidR="000F264B">
        <w:t xml:space="preserve"> </w:t>
      </w:r>
      <w:r w:rsidR="002C12FD">
        <w:t>court</w:t>
      </w:r>
      <w:r w:rsidR="00B8504B">
        <w:t>.</w:t>
      </w:r>
    </w:p>
    <w:p w14:paraId="773B6A0C" w14:textId="77777777" w:rsidR="00114877" w:rsidRDefault="00114877" w:rsidP="00114877">
      <w:pPr>
        <w:pStyle w:val="Standard"/>
      </w:pPr>
      <w:r>
        <w:t>The Commission has managed large energy utility GRC proceedings in accordance with some form of “rate case plan” since 1977, when it adopted its first “</w:t>
      </w:r>
      <w:r w:rsidRPr="001909DB">
        <w:t>Regulatory Lag Plan</w:t>
      </w:r>
      <w:r>
        <w:t xml:space="preserve"> for </w:t>
      </w:r>
      <w:r w:rsidRPr="000C173B">
        <w:t>Major Utility General Rate Cases</w:t>
      </w:r>
      <w:r>
        <w:t>” (RLP).</w:t>
      </w:r>
      <w:r>
        <w:rPr>
          <w:rStyle w:val="FootnoteReference"/>
        </w:rPr>
        <w:footnoteReference w:id="22"/>
      </w:r>
      <w:r>
        <w:t xml:space="preserve">  As the title of the RLP indicates, the Commission has always recognized the challenges created by “regulatory lag.”  In 1997 the Commission summed up the intervening 20 years and succinctly articulated the purpose of such plans:</w:t>
      </w:r>
    </w:p>
    <w:p w14:paraId="3D6042CC" w14:textId="77777777" w:rsidR="00114877" w:rsidRDefault="00114877" w:rsidP="00114877">
      <w:pPr>
        <w:pStyle w:val="Standard"/>
        <w:spacing w:after="240" w:line="240" w:lineRule="auto"/>
        <w:ind w:left="720" w:right="720" w:firstLine="0"/>
      </w:pPr>
      <w:r>
        <w:t xml:space="preserve">With regulatory lag i.e., the delay between seeking and obtaining relief from the Commission confronting our regulatory process, we adopted a Regulatory Lag Plan … on July 6, 1977.  The experience gained from processing general rate changes under the RLP enabled us to consider modifications that would make the RLP more workable </w:t>
      </w:r>
      <w:r w:rsidRPr="000C173B">
        <w:t xml:space="preserve">and </w:t>
      </w:r>
      <w:r w:rsidRPr="006F0AC0">
        <w:rPr>
          <w:i/>
          <w:iCs/>
        </w:rPr>
        <w:t>further minimize regulatory delay while providing an administrative forum with fairness to all</w:t>
      </w:r>
      <w:r>
        <w:t>.</w:t>
      </w:r>
      <w:r>
        <w:rPr>
          <w:rStyle w:val="FootnoteReference"/>
        </w:rPr>
        <w:footnoteReference w:id="23"/>
      </w:r>
    </w:p>
    <w:p w14:paraId="30EF7071" w14:textId="77777777" w:rsidR="00502C5D" w:rsidRDefault="005A568A" w:rsidP="00114877">
      <w:pPr>
        <w:pStyle w:val="Standard"/>
      </w:pPr>
      <w:r>
        <w:t>Notably, i</w:t>
      </w:r>
      <w:r w:rsidR="00A85BE5">
        <w:t>n the text quoted above t</w:t>
      </w:r>
      <w:r w:rsidR="00502C5D">
        <w:t xml:space="preserve">he Commission expressed its dual goals as minimizing regulatory delay without sacrificing fairness for all parties.  As we </w:t>
      </w:r>
      <w:r w:rsidR="00502C5D">
        <w:lastRenderedPageBreak/>
        <w:t xml:space="preserve">discuss further below, an important result when the Commission achieves these goals is that all stakeholders, most notably the utilities’ investors and customers, can rely on the Commission to process GRCs in a manner that produces </w:t>
      </w:r>
      <w:r w:rsidR="00502C5D" w:rsidRPr="00A85BE5">
        <w:t>predictable results.</w:t>
      </w:r>
    </w:p>
    <w:p w14:paraId="6CB95AD7" w14:textId="05E0EE1D" w:rsidR="00114877" w:rsidRDefault="00474CD8" w:rsidP="00114877">
      <w:pPr>
        <w:pStyle w:val="Standard"/>
      </w:pPr>
      <w:r>
        <w:t xml:space="preserve">In addition to acting on its own motion the </w:t>
      </w:r>
      <w:r w:rsidR="00114877">
        <w:t xml:space="preserve">Commission also modified the RCP over the years to incorporate legislative directives.  </w:t>
      </w:r>
      <w:r w:rsidR="00FC4C6A">
        <w:t xml:space="preserve">In </w:t>
      </w:r>
      <w:r w:rsidR="00114877">
        <w:t xml:space="preserve">1951 </w:t>
      </w:r>
      <w:r w:rsidR="00FC4C6A">
        <w:t xml:space="preserve">the passage of the </w:t>
      </w:r>
      <w:r w:rsidR="00114877">
        <w:t>Public Utilities Act established the Public Utilities Code (</w:t>
      </w:r>
      <w:bookmarkStart w:id="18" w:name="_Hlk19641761"/>
      <w:r w:rsidR="00114877">
        <w:t>Pub. Util. Code</w:t>
      </w:r>
      <w:bookmarkEnd w:id="18"/>
      <w:r w:rsidR="00114877">
        <w:t>) in its modern form</w:t>
      </w:r>
      <w:r w:rsidR="00FC4C6A">
        <w:t>.  At that time, Pub.</w:t>
      </w:r>
      <w:r w:rsidR="00BA7BBC">
        <w:t> </w:t>
      </w:r>
      <w:r w:rsidR="00FC4C6A">
        <w:t xml:space="preserve">Util. Code </w:t>
      </w:r>
      <w:r w:rsidR="004D271A">
        <w:t>§ </w:t>
      </w:r>
      <w:r w:rsidR="00FC4C6A">
        <w:t xml:space="preserve">311 (hereinafter, </w:t>
      </w:r>
      <w:r w:rsidR="00796D10">
        <w:t>S</w:t>
      </w:r>
      <w:r w:rsidR="00FC4C6A">
        <w:t>ection</w:t>
      </w:r>
      <w:r w:rsidR="004D271A">
        <w:t> </w:t>
      </w:r>
      <w:r w:rsidR="00FC4C6A">
        <w:t>311) was limited to defining the powers of the Commissioners and “examiners” t</w:t>
      </w:r>
      <w:r w:rsidR="00B553C0">
        <w:t>o administer oaths, examine witnesses, issue subpoenas, and receive evidence.</w:t>
      </w:r>
      <w:r w:rsidR="00B553C0">
        <w:rPr>
          <w:rStyle w:val="FootnoteReference"/>
        </w:rPr>
        <w:footnoteReference w:id="24"/>
      </w:r>
      <w:r w:rsidR="00B553C0">
        <w:t xml:space="preserve">  </w:t>
      </w:r>
      <w:r w:rsidR="00531ADA">
        <w:t>Since that time</w:t>
      </w:r>
      <w:r w:rsidR="00114877">
        <w:t xml:space="preserve">, the Legislature periodically amended and expanded </w:t>
      </w:r>
      <w:r w:rsidR="00796D10">
        <w:t>S</w:t>
      </w:r>
      <w:r w:rsidR="00531ADA">
        <w:t>ection</w:t>
      </w:r>
      <w:r w:rsidR="00114877">
        <w:t xml:space="preserve"> 311 in ways that required the Commission to update the RCP</w:t>
      </w:r>
      <w:r w:rsidR="00531ADA">
        <w:t xml:space="preserve"> to remain consistent with the </w:t>
      </w:r>
      <w:r w:rsidR="002C05E6">
        <w:t>express</w:t>
      </w:r>
      <w:r w:rsidR="00A85BE5">
        <w:t xml:space="preserve"> </w:t>
      </w:r>
      <w:r w:rsidR="00531ADA">
        <w:t>intent of the Legislature</w:t>
      </w:r>
      <w:r w:rsidR="00114877">
        <w:t xml:space="preserve">.  </w:t>
      </w:r>
      <w:r w:rsidR="00A85BE5">
        <w:t>I</w:t>
      </w:r>
      <w:r w:rsidR="00114877">
        <w:t xml:space="preserve">n 1982 the Legislature amended </w:t>
      </w:r>
      <w:r w:rsidR="00796D10">
        <w:t>S</w:t>
      </w:r>
      <w:r w:rsidR="00531ADA">
        <w:t>ection</w:t>
      </w:r>
      <w:r w:rsidR="00114877">
        <w:t xml:space="preserve"> 311 to define the role of ALJs in more detail, </w:t>
      </w:r>
      <w:r w:rsidR="00531ADA">
        <w:t>introducing</w:t>
      </w:r>
      <w:r w:rsidR="00114877">
        <w:t xml:space="preserve"> the requirement that “[t]he proposed decision of the administrative law judge shall be filed with the commission and served upon all parties to the commission without undue delay but in no event later than 90 days after the matter has been submitted for decision.”</w:t>
      </w:r>
      <w:r w:rsidR="00114877">
        <w:rPr>
          <w:rStyle w:val="FootnoteReference"/>
        </w:rPr>
        <w:footnoteReference w:id="25"/>
      </w:r>
      <w:r w:rsidR="00114877">
        <w:t xml:space="preserve">  </w:t>
      </w:r>
      <w:r w:rsidR="00531ADA">
        <w:t>Notably</w:t>
      </w:r>
      <w:r w:rsidR="00114877">
        <w:t xml:space="preserve">, the same amendment clarified that </w:t>
      </w:r>
    </w:p>
    <w:p w14:paraId="1DDEE85D" w14:textId="5B6A84EE" w:rsidR="00114877" w:rsidRDefault="00114877" w:rsidP="00BA7BBC">
      <w:pPr>
        <w:pStyle w:val="ListParagraph"/>
        <w:spacing w:after="240"/>
        <w:ind w:right="720"/>
        <w:contextualSpacing w:val="0"/>
      </w:pPr>
      <w:r>
        <w:t xml:space="preserve">[i]t is the intent of the Legislature that the implementation of this act shall not require extension of the time period currently required for the Public Utilities Commission to act on any matter before it, and that the schedule for acting on rate increase applications by the commission, as specified in the commission’s </w:t>
      </w:r>
      <w:r w:rsidRPr="00A03511">
        <w:t xml:space="preserve">Regulatory Lag Plan </w:t>
      </w:r>
      <w:r w:rsidRPr="00A03511">
        <w:lastRenderedPageBreak/>
        <w:t>for Major Utility General Rate Cases</w:t>
      </w:r>
      <w:r>
        <w:t>…shall not be changed by the provisions of this act.</w:t>
      </w:r>
      <w:r>
        <w:rPr>
          <w:rStyle w:val="FootnoteReference"/>
        </w:rPr>
        <w:footnoteReference w:id="26"/>
      </w:r>
    </w:p>
    <w:p w14:paraId="0B84EDD0" w14:textId="399F0482" w:rsidR="00114877" w:rsidRDefault="00114877" w:rsidP="00114877">
      <w:pPr>
        <w:pStyle w:val="Standard"/>
      </w:pPr>
      <w:r>
        <w:t xml:space="preserve">The Commission again found it necessary to revise the RCP after the Legislature </w:t>
      </w:r>
      <w:r w:rsidR="00531ADA">
        <w:t>further</w:t>
      </w:r>
      <w:r>
        <w:t xml:space="preserve"> amended </w:t>
      </w:r>
      <w:r w:rsidR="00796D10">
        <w:t>S</w:t>
      </w:r>
      <w:r w:rsidR="00531ADA">
        <w:t>ection</w:t>
      </w:r>
      <w:r>
        <w:t xml:space="preserve"> 311 in 1986 to require that, after the issuance of the ALJ’s proposed decision, the Commission shall issue its </w:t>
      </w:r>
      <w:r w:rsidR="00F940B7">
        <w:t xml:space="preserve">own final </w:t>
      </w:r>
      <w:r>
        <w:t>decision not sooner than 30 days following that date.</w:t>
      </w:r>
      <w:r>
        <w:rPr>
          <w:rStyle w:val="FootnoteReference"/>
        </w:rPr>
        <w:footnoteReference w:id="27"/>
      </w:r>
      <w:r>
        <w:t xml:space="preserve">  The 1986 amendments led the Commission to initiate </w:t>
      </w:r>
      <w:r w:rsidRPr="00577394">
        <w:t>R</w:t>
      </w:r>
      <w:r w:rsidR="00CC25EC">
        <w:t>.</w:t>
      </w:r>
      <w:r w:rsidRPr="00577394">
        <w:t>87</w:t>
      </w:r>
      <w:r w:rsidR="00FE5496">
        <w:noBreakHyphen/>
      </w:r>
      <w:r w:rsidRPr="00577394">
        <w:t>11</w:t>
      </w:r>
      <w:r w:rsidR="00FE5496">
        <w:noBreakHyphen/>
      </w:r>
      <w:r w:rsidRPr="00577394">
        <w:t>012</w:t>
      </w:r>
      <w:r>
        <w:t>, its “Order Instituting Rulemaking to Revise the Time Schedules for the Rate Case Plan and Fuel Offset Proceedings.”  The Commission</w:t>
      </w:r>
      <w:r w:rsidR="00CC25EC">
        <w:t xml:space="preserve">’s list of </w:t>
      </w:r>
      <w:r>
        <w:t>tasks for R.</w:t>
      </w:r>
      <w:r w:rsidRPr="00E34D96">
        <w:t>87</w:t>
      </w:r>
      <w:r w:rsidR="00FE5496">
        <w:noBreakHyphen/>
      </w:r>
      <w:r w:rsidRPr="00E34D96">
        <w:t>11</w:t>
      </w:r>
      <w:r w:rsidR="00FE5496">
        <w:noBreakHyphen/>
      </w:r>
      <w:r w:rsidRPr="00E34D96">
        <w:t>012</w:t>
      </w:r>
      <w:r w:rsidR="00CC25EC">
        <w:t xml:space="preserve"> indicate its continuing focus on </w:t>
      </w:r>
      <w:r w:rsidR="00474CD8">
        <w:t xml:space="preserve">the goals of </w:t>
      </w:r>
      <w:r w:rsidR="00CC25EC">
        <w:t>timeliness and procedural fairness</w:t>
      </w:r>
      <w:r>
        <w:t>:</w:t>
      </w:r>
    </w:p>
    <w:p w14:paraId="05A3F69E" w14:textId="6345B6D2" w:rsidR="00114877" w:rsidRDefault="00474CD8" w:rsidP="00BA7BBC">
      <w:pPr>
        <w:pStyle w:val="ListBullet"/>
        <w:numPr>
          <w:ilvl w:val="0"/>
          <w:numId w:val="46"/>
        </w:numPr>
        <w:ind w:right="720"/>
      </w:pPr>
      <w:r>
        <w:t>R</w:t>
      </w:r>
      <w:r w:rsidRPr="00577394">
        <w:t xml:space="preserve">eflect </w:t>
      </w:r>
      <w:r w:rsidR="00114877" w:rsidRPr="00577394">
        <w:t xml:space="preserve">the requirements of </w:t>
      </w:r>
      <w:r w:rsidR="00796D10">
        <w:t>S</w:t>
      </w:r>
      <w:r>
        <w:t>ection</w:t>
      </w:r>
      <w:r w:rsidRPr="00577394">
        <w:t xml:space="preserve"> </w:t>
      </w:r>
      <w:r w:rsidR="00114877" w:rsidRPr="00577394">
        <w:t xml:space="preserve">311 in the processing of </w:t>
      </w:r>
      <w:r w:rsidR="00327611">
        <w:t>GRCs</w:t>
      </w:r>
      <w:r w:rsidR="00114877" w:rsidRPr="00577394">
        <w:t xml:space="preserve"> and energy offset proceedings</w:t>
      </w:r>
      <w:r w:rsidR="00114877">
        <w:t>;</w:t>
      </w:r>
      <w:r w:rsidR="00114877" w:rsidRPr="00577394">
        <w:t xml:space="preserve"> </w:t>
      </w:r>
    </w:p>
    <w:p w14:paraId="7E38CBC2" w14:textId="5494674F" w:rsidR="00114877" w:rsidRDefault="00327611" w:rsidP="00BA7BBC">
      <w:pPr>
        <w:pStyle w:val="ListBullet"/>
        <w:numPr>
          <w:ilvl w:val="0"/>
          <w:numId w:val="46"/>
        </w:numPr>
        <w:ind w:right="720"/>
      </w:pPr>
      <w:r>
        <w:t>D</w:t>
      </w:r>
      <w:r w:rsidRPr="00577394">
        <w:t xml:space="preserve">evelop </w:t>
      </w:r>
      <w:r w:rsidR="00114877" w:rsidRPr="00577394">
        <w:t xml:space="preserve">reasonable time schedules for processing </w:t>
      </w:r>
      <w:r>
        <w:t>GRCs</w:t>
      </w:r>
      <w:r w:rsidR="00114877" w:rsidRPr="00577394">
        <w:t xml:space="preserve"> and energy offset proceedings</w:t>
      </w:r>
      <w:r w:rsidR="00114877">
        <w:t>;</w:t>
      </w:r>
      <w:r w:rsidR="00114877" w:rsidRPr="00577394">
        <w:t xml:space="preserve"> and </w:t>
      </w:r>
    </w:p>
    <w:p w14:paraId="63EDD2CD" w14:textId="04E46F7D" w:rsidR="00114877" w:rsidRDefault="00327611" w:rsidP="00AA0A4E">
      <w:pPr>
        <w:pStyle w:val="ListBullet"/>
        <w:numPr>
          <w:ilvl w:val="0"/>
          <w:numId w:val="46"/>
        </w:numPr>
        <w:spacing w:after="240"/>
        <w:ind w:right="720"/>
      </w:pPr>
      <w:r>
        <w:t>C</w:t>
      </w:r>
      <w:r w:rsidRPr="00577394">
        <w:t xml:space="preserve">onsider </w:t>
      </w:r>
      <w:r w:rsidR="00114877" w:rsidRPr="00577394">
        <w:t xml:space="preserve">changes to </w:t>
      </w:r>
      <w:r>
        <w:t>GRCs</w:t>
      </w:r>
      <w:r w:rsidR="00114877" w:rsidRPr="00577394">
        <w:t xml:space="preserve"> that could ease the burden of issuing year</w:t>
      </w:r>
      <w:r w:rsidR="00FE5496">
        <w:noBreakHyphen/>
      </w:r>
      <w:r w:rsidR="00114877" w:rsidRPr="00577394">
        <w:t>end decisions.</w:t>
      </w:r>
      <w:r w:rsidR="00114877">
        <w:rPr>
          <w:rStyle w:val="FootnoteReference"/>
        </w:rPr>
        <w:footnoteReference w:id="28"/>
      </w:r>
    </w:p>
    <w:p w14:paraId="35BCF018" w14:textId="1207EA80" w:rsidR="00114877" w:rsidRDefault="00114877" w:rsidP="006F0AC0">
      <w:pPr>
        <w:pStyle w:val="ListBullet"/>
        <w:numPr>
          <w:ilvl w:val="0"/>
          <w:numId w:val="0"/>
        </w:numPr>
        <w:spacing w:after="0" w:line="360" w:lineRule="auto"/>
      </w:pPr>
      <w:r>
        <w:t xml:space="preserve">The Commission </w:t>
      </w:r>
      <w:r w:rsidR="00CC25EC">
        <w:t>proceeded to</w:t>
      </w:r>
      <w:r>
        <w:t xml:space="preserve"> adopt </w:t>
      </w:r>
      <w:r w:rsidR="00472323">
        <w:t xml:space="preserve">a number of major changes </w:t>
      </w:r>
      <w:r>
        <w:t>to the RCP in D.</w:t>
      </w:r>
      <w:r w:rsidRPr="00E34D96">
        <w:t>89</w:t>
      </w:r>
      <w:r w:rsidR="00FE5496">
        <w:noBreakHyphen/>
      </w:r>
      <w:r w:rsidRPr="00E34D96">
        <w:t>01</w:t>
      </w:r>
      <w:r w:rsidR="00FE5496">
        <w:noBreakHyphen/>
      </w:r>
      <w:r w:rsidRPr="00E34D96">
        <w:t>040</w:t>
      </w:r>
      <w:r>
        <w:t xml:space="preserve">, </w:t>
      </w:r>
      <w:r w:rsidR="00472323">
        <w:t xml:space="preserve">each of which is reflected in the current RCP.  First, the Commission </w:t>
      </w:r>
      <w:r w:rsidRPr="00577394">
        <w:t>establish</w:t>
      </w:r>
      <w:r w:rsidR="00472323">
        <w:t xml:space="preserve">ed </w:t>
      </w:r>
      <w:r w:rsidRPr="00577394">
        <w:t>a generic annual cost of capital proceeding for energy utilities</w:t>
      </w:r>
      <w:r w:rsidR="00472323">
        <w:t xml:space="preserve">, to remove that workload from GRCs.  Second, the Commission moved </w:t>
      </w:r>
      <w:r w:rsidR="001D3046">
        <w:t>electric</w:t>
      </w:r>
      <w:r w:rsidR="00472323">
        <w:t xml:space="preserve"> </w:t>
      </w:r>
      <w:r w:rsidR="00AA0A4E">
        <w:t xml:space="preserve">rate design </w:t>
      </w:r>
      <w:r w:rsidR="00472323">
        <w:t>issues to a newly created Phase 2 proceeding</w:t>
      </w:r>
      <w:r w:rsidR="009972FD">
        <w:t xml:space="preserve">; in subsequent decisions the Commission moved the related issues of marginal costs and cost allocation to Phase 2 as well.  The Commission also specified in </w:t>
      </w:r>
      <w:r w:rsidR="009972FD" w:rsidRPr="009972FD">
        <w:t>D.89</w:t>
      </w:r>
      <w:r w:rsidR="00FE5496">
        <w:noBreakHyphen/>
      </w:r>
      <w:r w:rsidR="009972FD" w:rsidRPr="009972FD">
        <w:t>01</w:t>
      </w:r>
      <w:r w:rsidR="00FE5496">
        <w:noBreakHyphen/>
      </w:r>
      <w:r w:rsidR="009972FD" w:rsidRPr="009972FD">
        <w:t>040</w:t>
      </w:r>
      <w:r w:rsidR="009972FD">
        <w:t xml:space="preserve"> </w:t>
      </w:r>
      <w:r w:rsidR="00AA0A4E">
        <w:t xml:space="preserve">that cost allocation and rate design for gas utilities would be addressed in separate </w:t>
      </w:r>
      <w:r w:rsidR="00AA0A4E">
        <w:lastRenderedPageBreak/>
        <w:t>Annual Cost Allocation Proceedings (ACAPs</w:t>
      </w:r>
      <w:r w:rsidR="009972FD">
        <w:t xml:space="preserve">, which more recently have taken the form of biennial, triennial, or simply “gas cost allocation proceedings, i.e., </w:t>
      </w:r>
      <w:r w:rsidR="00327611">
        <w:t xml:space="preserve">BCAPs, TCAPs or </w:t>
      </w:r>
      <w:r w:rsidR="009972FD">
        <w:t>GCAPs</w:t>
      </w:r>
      <w:r w:rsidR="00AA0A4E">
        <w:t>)</w:t>
      </w:r>
      <w:r w:rsidR="00472323">
        <w:t xml:space="preserve">.  </w:t>
      </w:r>
      <w:r w:rsidR="00472323" w:rsidRPr="009972FD">
        <w:t xml:space="preserve">Finally, the Commission established new and </w:t>
      </w:r>
      <w:r w:rsidRPr="009972FD">
        <w:t xml:space="preserve">separate proceedings for </w:t>
      </w:r>
      <w:r w:rsidR="008A0F9B" w:rsidRPr="009972FD">
        <w:t xml:space="preserve">the </w:t>
      </w:r>
      <w:r w:rsidR="009972FD" w:rsidRPr="009972FD">
        <w:t>reasonableness reviews</w:t>
      </w:r>
      <w:r w:rsidR="009972FD">
        <w:t xml:space="preserve"> of the </w:t>
      </w:r>
      <w:r w:rsidR="008A0F9B" w:rsidRPr="009972FD">
        <w:t xml:space="preserve">electric utilities’ </w:t>
      </w:r>
      <w:r w:rsidRPr="009972FD">
        <w:t xml:space="preserve">energy </w:t>
      </w:r>
      <w:r w:rsidR="00F61686" w:rsidRPr="009972FD">
        <w:t>procurement</w:t>
      </w:r>
      <w:r w:rsidRPr="009972FD">
        <w:t>.</w:t>
      </w:r>
      <w:r w:rsidR="008A0F9B" w:rsidRPr="00C2141D">
        <w:rPr>
          <w:rStyle w:val="FootnoteReference"/>
        </w:rPr>
        <w:footnoteReference w:id="29"/>
      </w:r>
    </w:p>
    <w:p w14:paraId="2C539898" w14:textId="4D39FD8F" w:rsidR="00114877" w:rsidRDefault="00472323" w:rsidP="00114877">
      <w:pPr>
        <w:pStyle w:val="Standard"/>
      </w:pPr>
      <w:r>
        <w:t>T</w:t>
      </w:r>
      <w:r w:rsidR="00114877">
        <w:t>he</w:t>
      </w:r>
      <w:r>
        <w:t xml:space="preserve"> streamlined</w:t>
      </w:r>
      <w:r w:rsidR="00114877">
        <w:t xml:space="preserve"> </w:t>
      </w:r>
      <w:r>
        <w:t xml:space="preserve">RCP </w:t>
      </w:r>
      <w:r w:rsidR="00114877">
        <w:t>framework adopted in D.89</w:t>
      </w:r>
      <w:r w:rsidR="00FE5496">
        <w:noBreakHyphen/>
      </w:r>
      <w:r w:rsidR="00114877">
        <w:t>01</w:t>
      </w:r>
      <w:r w:rsidR="00FE5496">
        <w:noBreakHyphen/>
      </w:r>
      <w:r w:rsidR="00114877">
        <w:t>040 remained essentially unchanged for the next 25 years</w:t>
      </w:r>
      <w:r w:rsidR="00327611">
        <w:t>.</w:t>
      </w:r>
      <w:r w:rsidR="003518E0">
        <w:rPr>
          <w:rStyle w:val="FootnoteReference"/>
        </w:rPr>
        <w:footnoteReference w:id="30"/>
      </w:r>
      <w:r w:rsidR="00327611">
        <w:t xml:space="preserve">  However</w:t>
      </w:r>
      <w:r w:rsidR="00114877">
        <w:t xml:space="preserve">, </w:t>
      </w:r>
      <w:r>
        <w:t xml:space="preserve">its </w:t>
      </w:r>
      <w:r w:rsidR="00114877">
        <w:t xml:space="preserve">significant procedural modifications </w:t>
      </w:r>
      <w:r w:rsidR="002C05E6">
        <w:t xml:space="preserve">and narrowing of scope for Phase 1 proceedings </w:t>
      </w:r>
      <w:r w:rsidR="00114877">
        <w:t xml:space="preserve">did not result in dramatic improvements in the timely processing </w:t>
      </w:r>
      <w:r>
        <w:t>of the now</w:t>
      </w:r>
      <w:r w:rsidR="00FE5496">
        <w:noBreakHyphen/>
      </w:r>
      <w:r>
        <w:t xml:space="preserve">streamlined </w:t>
      </w:r>
      <w:r w:rsidR="00114877">
        <w:t>GRC</w:t>
      </w:r>
      <w:r>
        <w:t xml:space="preserve"> proceeding</w:t>
      </w:r>
      <w:r w:rsidR="00114877">
        <w:t>s.  Indeed, although th</w:t>
      </w:r>
      <w:r>
        <w:t>e instant</w:t>
      </w:r>
      <w:r w:rsidR="00114877">
        <w:t xml:space="preserve"> rulemaking focused on developing the S</w:t>
      </w:r>
      <w:r w:rsidR="00FE5496">
        <w:noBreakHyphen/>
      </w:r>
      <w:r w:rsidR="00114877">
        <w:t xml:space="preserve">MAP and RAMP, the Preliminary Scoping Memo included in the Rulemaking invited parties to submit comments on six sets of questions, </w:t>
      </w:r>
      <w:r w:rsidR="003518E0">
        <w:t>listed below.  Questions 3 – 6 concerned</w:t>
      </w:r>
      <w:r w:rsidR="00114877">
        <w:t xml:space="preserve"> procedural aspects of the GRC process itself:</w:t>
      </w:r>
    </w:p>
    <w:p w14:paraId="1E11CAD3" w14:textId="77777777" w:rsidR="00114877" w:rsidRDefault="00114877" w:rsidP="00BA7BBC">
      <w:pPr>
        <w:pStyle w:val="ListParagraph"/>
        <w:numPr>
          <w:ilvl w:val="0"/>
          <w:numId w:val="49"/>
        </w:numPr>
        <w:spacing w:after="120"/>
        <w:ind w:right="720"/>
        <w:contextualSpacing w:val="0"/>
      </w:pPr>
      <w:r w:rsidRPr="00B4452D">
        <w:t xml:space="preserve">Process to </w:t>
      </w:r>
      <w:r w:rsidR="00472323" w:rsidRPr="00B4452D">
        <w:t>provide appropriate analysis and testimony on safety and risk management</w:t>
      </w:r>
      <w:r w:rsidRPr="00B4452D">
        <w:t xml:space="preserve">; </w:t>
      </w:r>
    </w:p>
    <w:p w14:paraId="2B9EBEB2" w14:textId="77777777" w:rsidR="00114877" w:rsidRDefault="00114877" w:rsidP="00BA7BBC">
      <w:pPr>
        <w:pStyle w:val="ListParagraph"/>
        <w:numPr>
          <w:ilvl w:val="0"/>
          <w:numId w:val="49"/>
        </w:numPr>
        <w:spacing w:after="120"/>
        <w:ind w:right="720"/>
        <w:contextualSpacing w:val="0"/>
      </w:pPr>
      <w:r w:rsidRPr="00B4452D">
        <w:t xml:space="preserve">Comprehensive </w:t>
      </w:r>
      <w:r w:rsidR="00472323" w:rsidRPr="00B4452D">
        <w:t xml:space="preserve">review of safety, reliability, security, and risk management in the utilities’ </w:t>
      </w:r>
      <w:r w:rsidRPr="00B4452D">
        <w:t xml:space="preserve">GRC </w:t>
      </w:r>
      <w:r w:rsidR="00472323" w:rsidRPr="00B4452D">
        <w:t>app</w:t>
      </w:r>
      <w:r w:rsidRPr="00B4452D">
        <w:t xml:space="preserve">lications; </w:t>
      </w:r>
    </w:p>
    <w:p w14:paraId="0406756E" w14:textId="77777777" w:rsidR="00114877" w:rsidRDefault="00114877" w:rsidP="00BA7BBC">
      <w:pPr>
        <w:pStyle w:val="ListParagraph"/>
        <w:numPr>
          <w:ilvl w:val="0"/>
          <w:numId w:val="49"/>
        </w:numPr>
        <w:spacing w:after="120"/>
        <w:ind w:right="720"/>
        <w:contextualSpacing w:val="0"/>
      </w:pPr>
      <w:r w:rsidRPr="00B4452D">
        <w:t xml:space="preserve">Timing of the GRC </w:t>
      </w:r>
      <w:r w:rsidR="00472323" w:rsidRPr="00B4452D">
        <w:t>a</w:t>
      </w:r>
      <w:r w:rsidRPr="00B4452D">
        <w:t xml:space="preserve">pplications; </w:t>
      </w:r>
    </w:p>
    <w:p w14:paraId="06D3AA5F" w14:textId="77777777" w:rsidR="00114877" w:rsidRDefault="00114877" w:rsidP="00BA7BBC">
      <w:pPr>
        <w:pStyle w:val="ListParagraph"/>
        <w:numPr>
          <w:ilvl w:val="0"/>
          <w:numId w:val="49"/>
        </w:numPr>
        <w:spacing w:after="120"/>
        <w:ind w:right="720"/>
        <w:contextualSpacing w:val="0"/>
      </w:pPr>
      <w:r w:rsidRPr="00B4452D">
        <w:t xml:space="preserve">RCP </w:t>
      </w:r>
      <w:r w:rsidR="00472323" w:rsidRPr="00B4452D">
        <w:t>sch</w:t>
      </w:r>
      <w:r w:rsidRPr="00B4452D">
        <w:t xml:space="preserve">edule; </w:t>
      </w:r>
    </w:p>
    <w:p w14:paraId="013BB4D7" w14:textId="77777777" w:rsidR="00114877" w:rsidRDefault="00114877" w:rsidP="00BA7BBC">
      <w:pPr>
        <w:pStyle w:val="ListParagraph"/>
        <w:numPr>
          <w:ilvl w:val="0"/>
          <w:numId w:val="49"/>
        </w:numPr>
        <w:spacing w:after="120"/>
        <w:ind w:right="720"/>
        <w:contextualSpacing w:val="0"/>
      </w:pPr>
      <w:r w:rsidRPr="00B4452D">
        <w:lastRenderedPageBreak/>
        <w:t xml:space="preserve">Uniform </w:t>
      </w:r>
      <w:r w:rsidR="00472323" w:rsidRPr="00B4452D">
        <w:t xml:space="preserve">application of the provisions </w:t>
      </w:r>
      <w:r w:rsidRPr="00B4452D">
        <w:t xml:space="preserve">of the RCP; and </w:t>
      </w:r>
    </w:p>
    <w:p w14:paraId="6A9543AA" w14:textId="77777777" w:rsidR="00114877" w:rsidRDefault="00114877" w:rsidP="00BA7BBC">
      <w:pPr>
        <w:pStyle w:val="ListParagraph"/>
        <w:numPr>
          <w:ilvl w:val="0"/>
          <w:numId w:val="49"/>
        </w:numPr>
        <w:spacing w:after="240"/>
        <w:ind w:right="720"/>
        <w:contextualSpacing w:val="0"/>
      </w:pPr>
      <w:r w:rsidRPr="00B4452D">
        <w:t xml:space="preserve">Reducing </w:t>
      </w:r>
      <w:r w:rsidR="00472323" w:rsidRPr="00B4452D">
        <w:t>c</w:t>
      </w:r>
      <w:r w:rsidRPr="00B4452D">
        <w:t>omplexity.</w:t>
      </w:r>
      <w:r>
        <w:rPr>
          <w:rStyle w:val="FootnoteReference"/>
        </w:rPr>
        <w:footnoteReference w:id="31"/>
      </w:r>
    </w:p>
    <w:p w14:paraId="7B51CD5D" w14:textId="4D98E8F6" w:rsidR="00114877" w:rsidRDefault="003518E0" w:rsidP="00114877">
      <w:pPr>
        <w:pStyle w:val="Standard"/>
        <w:ind w:firstLine="0"/>
      </w:pPr>
      <w:r>
        <w:t>P</w:t>
      </w:r>
      <w:r w:rsidR="00114877">
        <w:t xml:space="preserve">arties </w:t>
      </w:r>
      <w:r>
        <w:t xml:space="preserve">provided responses to these questions </w:t>
      </w:r>
      <w:r w:rsidR="00114877">
        <w:t xml:space="preserve">in their January 2014 comments on the Rulemaking.  Next, pursuant to </w:t>
      </w:r>
      <w:bookmarkStart w:id="19" w:name="_Hlk18657688"/>
      <w:r w:rsidR="00114877">
        <w:t>the May 15, 2014 Scoping Memo</w:t>
      </w:r>
      <w:bookmarkEnd w:id="19"/>
      <w:r w:rsidR="00114877">
        <w:t xml:space="preserve">, parties filed and served </w:t>
      </w:r>
      <w:r w:rsidR="00114877" w:rsidRPr="0092213A">
        <w:t>comments and reply comments on the RCP issues on July 25 and August 22, 2014, respectively</w:t>
      </w:r>
      <w:r w:rsidR="00114877">
        <w:t>.</w:t>
      </w:r>
    </w:p>
    <w:p w14:paraId="0C4050B7" w14:textId="4A2889E5" w:rsidR="00114877" w:rsidRDefault="00114877" w:rsidP="00114877">
      <w:pPr>
        <w:pStyle w:val="Standard"/>
      </w:pPr>
      <w:r>
        <w:t xml:space="preserve">Consistent with the </w:t>
      </w:r>
      <w:r w:rsidR="007011DD">
        <w:t xml:space="preserve">schedule </w:t>
      </w:r>
      <w:r>
        <w:t xml:space="preserve">established in the </w:t>
      </w:r>
      <w:r w:rsidR="007011DD">
        <w:t xml:space="preserve">2014 </w:t>
      </w:r>
      <w:r>
        <w:t xml:space="preserve">Scoping Memo, </w:t>
      </w:r>
      <w:r w:rsidR="00904081">
        <w:t>in D.14</w:t>
      </w:r>
      <w:r w:rsidR="00FE5496">
        <w:noBreakHyphen/>
      </w:r>
      <w:r w:rsidR="00904081">
        <w:t>12</w:t>
      </w:r>
      <w:r w:rsidR="00FE5496">
        <w:noBreakHyphen/>
      </w:r>
      <w:r w:rsidR="00904081">
        <w:t xml:space="preserve">025 </w:t>
      </w:r>
      <w:r>
        <w:t xml:space="preserve">the Commission approved its </w:t>
      </w:r>
      <w:r w:rsidRPr="002639FD">
        <w:t>risk</w:t>
      </w:r>
      <w:r w:rsidR="00FE5496">
        <w:noBreakHyphen/>
      </w:r>
      <w:r w:rsidRPr="002639FD">
        <w:t>based decision</w:t>
      </w:r>
      <w:r w:rsidR="00FE5496">
        <w:noBreakHyphen/>
      </w:r>
      <w:r w:rsidRPr="002639FD">
        <w:t>making framework to evaluate safety and reliability improvements</w:t>
      </w:r>
      <w:r w:rsidR="00904081">
        <w:t xml:space="preserve"> in the energy utilities’ GRC proceedings</w:t>
      </w:r>
      <w:r>
        <w:t xml:space="preserve">.  </w:t>
      </w:r>
      <w:r w:rsidR="00904081">
        <w:t>Where</w:t>
      </w:r>
      <w:r>
        <w:t xml:space="preserve"> necessary to accommodate this new framework, the Commission also </w:t>
      </w:r>
      <w:r w:rsidR="00904081">
        <w:t>revised</w:t>
      </w:r>
      <w:r w:rsidRPr="002639FD">
        <w:t xml:space="preserve"> the </w:t>
      </w:r>
      <w:r>
        <w:t>RCP</w:t>
      </w:r>
      <w:r w:rsidRPr="002639FD">
        <w:t xml:space="preserve"> schedule adopted in Appendix A of D</w:t>
      </w:r>
      <w:r>
        <w:t>.</w:t>
      </w:r>
      <w:r w:rsidRPr="002639FD">
        <w:t>07</w:t>
      </w:r>
      <w:r w:rsidR="00FE5496">
        <w:noBreakHyphen/>
      </w:r>
      <w:r w:rsidRPr="002639FD">
        <w:t>07</w:t>
      </w:r>
      <w:r w:rsidR="00FE5496">
        <w:noBreakHyphen/>
      </w:r>
      <w:r w:rsidRPr="002639FD">
        <w:t>004</w:t>
      </w:r>
      <w:r>
        <w:t>.</w:t>
      </w:r>
      <w:r>
        <w:rPr>
          <w:rStyle w:val="FootnoteReference"/>
        </w:rPr>
        <w:footnoteReference w:id="32"/>
      </w:r>
      <w:r>
        <w:t xml:space="preserve">  However, the Commission also noted that a</w:t>
      </w:r>
      <w:r w:rsidRPr="00E75A58">
        <w:t xml:space="preserve"> second phase, and a separate decision, w</w:t>
      </w:r>
      <w:r>
        <w:t xml:space="preserve">ould </w:t>
      </w:r>
      <w:r w:rsidRPr="00E75A58">
        <w:t>address proposals to revise the RCP to promote more efficient and effective management of the overall rate case process.</w:t>
      </w:r>
      <w:r>
        <w:rPr>
          <w:rStyle w:val="FootnoteReference"/>
        </w:rPr>
        <w:footnoteReference w:id="33"/>
      </w:r>
      <w:r>
        <w:t xml:space="preserve">  As noted above, in D.16</w:t>
      </w:r>
      <w:r w:rsidR="00FE5496">
        <w:noBreakHyphen/>
      </w:r>
      <w:r>
        <w:t>06</w:t>
      </w:r>
      <w:r w:rsidR="00FE5496">
        <w:noBreakHyphen/>
      </w:r>
      <w:r>
        <w:t>005 the Commission established the workshop process that led to the Staff Report and parties’ associated recommendations that we address in today’s decision.</w:t>
      </w:r>
    </w:p>
    <w:p w14:paraId="1A652D90" w14:textId="01C36062" w:rsidR="00B702ED" w:rsidRDefault="00114877" w:rsidP="0098618F">
      <w:pPr>
        <w:pStyle w:val="Standard"/>
      </w:pPr>
      <w:r>
        <w:t xml:space="preserve">The current RCP is provided in </w:t>
      </w:r>
      <w:r w:rsidRPr="00DD7BA4">
        <w:t>Table 4 of D</w:t>
      </w:r>
      <w:r>
        <w:t>.</w:t>
      </w:r>
      <w:r w:rsidRPr="00DD7BA4">
        <w:t>14</w:t>
      </w:r>
      <w:r w:rsidR="00FE5496">
        <w:noBreakHyphen/>
      </w:r>
      <w:r w:rsidRPr="00DD7BA4">
        <w:t>12</w:t>
      </w:r>
      <w:r w:rsidR="00FE5496">
        <w:noBreakHyphen/>
      </w:r>
      <w:r w:rsidRPr="00DD7BA4">
        <w:t>025 (GRC Application Filing)</w:t>
      </w:r>
      <w:r>
        <w:t xml:space="preserve">, and reproduced </w:t>
      </w:r>
      <w:r w:rsidR="004B289D">
        <w:t>on the following page</w:t>
      </w:r>
      <w:r>
        <w:t>.</w:t>
      </w:r>
      <w:r w:rsidR="007B0BB8">
        <w:t xml:space="preserve">  </w:t>
      </w:r>
    </w:p>
    <w:p w14:paraId="61658D1F" w14:textId="126C2743" w:rsidR="00331253" w:rsidRDefault="00331253" w:rsidP="0046777A">
      <w:pPr>
        <w:pStyle w:val="standard0"/>
        <w:keepNext/>
        <w:keepLines/>
        <w:spacing w:line="240" w:lineRule="auto"/>
        <w:ind w:firstLine="0"/>
        <w:jc w:val="center"/>
        <w:rPr>
          <w:rFonts w:ascii="Book Antiqua" w:hAnsi="Book Antiqua"/>
          <w:b/>
          <w:bCs/>
          <w:sz w:val="24"/>
          <w:szCs w:val="18"/>
        </w:rPr>
      </w:pPr>
      <w:r>
        <w:rPr>
          <w:rFonts w:ascii="Book Antiqua" w:hAnsi="Book Antiqua"/>
          <w:b/>
          <w:bCs/>
          <w:sz w:val="24"/>
          <w:szCs w:val="18"/>
        </w:rPr>
        <w:lastRenderedPageBreak/>
        <w:t>Table 1</w:t>
      </w:r>
    </w:p>
    <w:p w14:paraId="36919FD1" w14:textId="53D7020D" w:rsidR="0046777A" w:rsidRPr="00D14898" w:rsidRDefault="0046777A" w:rsidP="0046777A">
      <w:pPr>
        <w:pStyle w:val="standard0"/>
        <w:keepNext/>
        <w:keepLines/>
        <w:spacing w:line="240" w:lineRule="auto"/>
        <w:ind w:firstLine="0"/>
        <w:jc w:val="center"/>
        <w:rPr>
          <w:rFonts w:ascii="Book Antiqua" w:hAnsi="Book Antiqua"/>
          <w:b/>
          <w:bCs/>
          <w:sz w:val="24"/>
          <w:szCs w:val="18"/>
        </w:rPr>
      </w:pPr>
      <w:r w:rsidRPr="00D14898">
        <w:rPr>
          <w:rFonts w:ascii="Book Antiqua" w:hAnsi="Book Antiqua"/>
          <w:b/>
          <w:bCs/>
          <w:sz w:val="24"/>
          <w:szCs w:val="18"/>
        </w:rPr>
        <w:t>Decision 14</w:t>
      </w:r>
      <w:r w:rsidR="00FE5496">
        <w:rPr>
          <w:rFonts w:ascii="Book Antiqua" w:hAnsi="Book Antiqua"/>
          <w:b/>
          <w:bCs/>
          <w:sz w:val="24"/>
          <w:szCs w:val="18"/>
        </w:rPr>
        <w:noBreakHyphen/>
      </w:r>
      <w:r w:rsidRPr="00D14898">
        <w:rPr>
          <w:rFonts w:ascii="Book Antiqua" w:hAnsi="Book Antiqua"/>
          <w:b/>
          <w:bCs/>
          <w:sz w:val="24"/>
          <w:szCs w:val="18"/>
        </w:rPr>
        <w:t>12</w:t>
      </w:r>
      <w:r w:rsidR="00FE5496">
        <w:rPr>
          <w:rFonts w:ascii="Book Antiqua" w:hAnsi="Book Antiqua"/>
          <w:b/>
          <w:bCs/>
          <w:sz w:val="24"/>
          <w:szCs w:val="18"/>
        </w:rPr>
        <w:noBreakHyphen/>
      </w:r>
      <w:r w:rsidRPr="00D14898">
        <w:rPr>
          <w:rFonts w:ascii="Book Antiqua" w:hAnsi="Book Antiqua"/>
          <w:b/>
          <w:bCs/>
          <w:sz w:val="24"/>
          <w:szCs w:val="18"/>
        </w:rPr>
        <w:t>025</w:t>
      </w:r>
    </w:p>
    <w:p w14:paraId="0BACD8BD" w14:textId="0085551F" w:rsidR="0046777A" w:rsidRPr="00D14898" w:rsidRDefault="00331253" w:rsidP="0046777A">
      <w:pPr>
        <w:pStyle w:val="standard0"/>
        <w:keepNext/>
        <w:keepLines/>
        <w:spacing w:after="120" w:line="240" w:lineRule="auto"/>
        <w:ind w:firstLine="0"/>
        <w:jc w:val="center"/>
        <w:rPr>
          <w:rFonts w:ascii="Book Antiqua" w:hAnsi="Book Antiqua"/>
          <w:b/>
          <w:bCs/>
          <w:sz w:val="24"/>
          <w:szCs w:val="18"/>
        </w:rPr>
      </w:pPr>
      <w:r>
        <w:rPr>
          <w:rFonts w:ascii="Book Antiqua" w:hAnsi="Book Antiqua"/>
          <w:b/>
          <w:bCs/>
          <w:sz w:val="24"/>
          <w:szCs w:val="18"/>
        </w:rPr>
        <w:t>Current</w:t>
      </w:r>
      <w:r w:rsidRPr="00D14898">
        <w:rPr>
          <w:rFonts w:ascii="Book Antiqua" w:hAnsi="Book Antiqua"/>
          <w:b/>
          <w:bCs/>
          <w:sz w:val="24"/>
          <w:szCs w:val="18"/>
        </w:rPr>
        <w:t xml:space="preserve"> </w:t>
      </w:r>
      <w:r w:rsidR="0046777A" w:rsidRPr="00D14898">
        <w:rPr>
          <w:rFonts w:ascii="Book Antiqua" w:hAnsi="Book Antiqua"/>
          <w:b/>
          <w:bCs/>
          <w:sz w:val="24"/>
          <w:szCs w:val="18"/>
        </w:rPr>
        <w:t>GRC Application Filing Schedule</w:t>
      </w:r>
      <w:r w:rsidR="0046777A" w:rsidRPr="00D14898">
        <w:rPr>
          <w:rStyle w:val="FootnoteReference"/>
          <w:rFonts w:ascii="Book Antiqua" w:hAnsi="Book Antiqua"/>
          <w:b/>
          <w:bCs/>
          <w:sz w:val="24"/>
          <w:szCs w:val="18"/>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916"/>
        <w:gridCol w:w="6318"/>
      </w:tblGrid>
      <w:tr w:rsidR="006E7ED2" w:rsidRPr="0076327F" w14:paraId="3A5CCDBB" w14:textId="77777777" w:rsidTr="007C78CD">
        <w:trPr>
          <w:cantSplit/>
        </w:trPr>
        <w:tc>
          <w:tcPr>
            <w:tcW w:w="2342" w:type="dxa"/>
            <w:shd w:val="clear" w:color="auto" w:fill="auto"/>
            <w:vAlign w:val="center"/>
          </w:tcPr>
          <w:p w14:paraId="01038CE7" w14:textId="77777777" w:rsidR="006E7ED2" w:rsidRPr="0076327F" w:rsidRDefault="006E7ED2" w:rsidP="006871A2">
            <w:pPr>
              <w:keepNext/>
              <w:keepLines/>
              <w:spacing w:line="240" w:lineRule="auto"/>
              <w:ind w:firstLine="0"/>
              <w:jc w:val="center"/>
              <w:rPr>
                <w:b/>
                <w:bCs/>
                <w:sz w:val="24"/>
                <w:szCs w:val="24"/>
              </w:rPr>
            </w:pPr>
            <w:r w:rsidRPr="0076327F">
              <w:rPr>
                <w:b/>
                <w:bCs/>
                <w:sz w:val="24"/>
                <w:szCs w:val="24"/>
              </w:rPr>
              <w:t>Date</w:t>
            </w:r>
          </w:p>
        </w:tc>
        <w:tc>
          <w:tcPr>
            <w:tcW w:w="916" w:type="dxa"/>
          </w:tcPr>
          <w:p w14:paraId="00411CEA" w14:textId="77777777" w:rsidR="006E7ED2" w:rsidRPr="0076327F" w:rsidRDefault="006E7ED2" w:rsidP="006871A2">
            <w:pPr>
              <w:keepNext/>
              <w:keepLines/>
              <w:spacing w:line="240" w:lineRule="auto"/>
              <w:ind w:firstLine="0"/>
              <w:jc w:val="center"/>
              <w:rPr>
                <w:b/>
                <w:bCs/>
                <w:sz w:val="24"/>
                <w:szCs w:val="24"/>
              </w:rPr>
            </w:pPr>
            <w:r>
              <w:rPr>
                <w:b/>
                <w:bCs/>
                <w:sz w:val="24"/>
                <w:szCs w:val="24"/>
              </w:rPr>
              <w:t>Day #</w:t>
            </w:r>
          </w:p>
        </w:tc>
        <w:tc>
          <w:tcPr>
            <w:tcW w:w="6318" w:type="dxa"/>
            <w:shd w:val="clear" w:color="auto" w:fill="auto"/>
            <w:vAlign w:val="center"/>
          </w:tcPr>
          <w:p w14:paraId="5CFEE9D1" w14:textId="77777777" w:rsidR="006E7ED2" w:rsidRPr="0076327F" w:rsidRDefault="006E7ED2" w:rsidP="006871A2">
            <w:pPr>
              <w:keepNext/>
              <w:keepLines/>
              <w:spacing w:line="240" w:lineRule="auto"/>
              <w:ind w:firstLine="0"/>
              <w:jc w:val="center"/>
              <w:rPr>
                <w:b/>
                <w:bCs/>
                <w:sz w:val="24"/>
                <w:szCs w:val="24"/>
              </w:rPr>
            </w:pPr>
            <w:r w:rsidRPr="0076327F">
              <w:rPr>
                <w:b/>
                <w:bCs/>
                <w:sz w:val="24"/>
                <w:szCs w:val="24"/>
              </w:rPr>
              <w:t>Event</w:t>
            </w:r>
          </w:p>
        </w:tc>
      </w:tr>
      <w:tr w:rsidR="0007365D" w:rsidRPr="006F0AC0" w14:paraId="4FE99CEA" w14:textId="77777777" w:rsidTr="007C78CD">
        <w:trPr>
          <w:cantSplit/>
        </w:trPr>
        <w:tc>
          <w:tcPr>
            <w:tcW w:w="9576" w:type="dxa"/>
            <w:gridSpan w:val="3"/>
            <w:shd w:val="clear" w:color="auto" w:fill="D9D9D9" w:themeFill="background1" w:themeFillShade="D9"/>
          </w:tcPr>
          <w:p w14:paraId="154D41FF" w14:textId="32B5B5B9" w:rsidR="0007365D" w:rsidRPr="00C360FC" w:rsidRDefault="0007365D" w:rsidP="009667E3">
            <w:pPr>
              <w:keepNext/>
              <w:keepLines/>
              <w:spacing w:line="240" w:lineRule="auto"/>
              <w:ind w:firstLine="0"/>
              <w:jc w:val="center"/>
              <w:rPr>
                <w:b/>
                <w:bCs/>
                <w:sz w:val="24"/>
                <w:szCs w:val="24"/>
              </w:rPr>
            </w:pPr>
            <w:r w:rsidRPr="00C360FC">
              <w:rPr>
                <w:b/>
                <w:bCs/>
                <w:sz w:val="24"/>
                <w:szCs w:val="24"/>
              </w:rPr>
              <w:t>Test Year minus</w:t>
            </w:r>
            <w:r w:rsidR="00FE5496">
              <w:rPr>
                <w:b/>
                <w:bCs/>
                <w:sz w:val="24"/>
                <w:szCs w:val="24"/>
              </w:rPr>
              <w:noBreakHyphen/>
            </w:r>
            <w:r w:rsidRPr="00C360FC">
              <w:rPr>
                <w:b/>
                <w:bCs/>
                <w:sz w:val="24"/>
                <w:szCs w:val="24"/>
              </w:rPr>
              <w:t>3</w:t>
            </w:r>
          </w:p>
        </w:tc>
      </w:tr>
      <w:tr w:rsidR="00344F5F" w:rsidRPr="006F0AC0" w14:paraId="064D18C1" w14:textId="77777777" w:rsidTr="007C78CD">
        <w:trPr>
          <w:cantSplit/>
        </w:trPr>
        <w:tc>
          <w:tcPr>
            <w:tcW w:w="2342" w:type="dxa"/>
            <w:vAlign w:val="center"/>
          </w:tcPr>
          <w:p w14:paraId="5035AF93" w14:textId="77777777" w:rsidR="00344F5F" w:rsidRPr="00C360FC" w:rsidRDefault="00344F5F" w:rsidP="00344F5F">
            <w:pPr>
              <w:keepNext/>
              <w:keepLines/>
              <w:spacing w:line="240" w:lineRule="auto"/>
              <w:ind w:firstLine="0"/>
              <w:rPr>
                <w:sz w:val="24"/>
                <w:szCs w:val="24"/>
              </w:rPr>
            </w:pPr>
            <w:r w:rsidRPr="00C360FC">
              <w:rPr>
                <w:sz w:val="24"/>
                <w:szCs w:val="24"/>
              </w:rPr>
              <w:t>September 1</w:t>
            </w:r>
          </w:p>
        </w:tc>
        <w:tc>
          <w:tcPr>
            <w:tcW w:w="916" w:type="dxa"/>
            <w:shd w:val="clear" w:color="auto" w:fill="auto"/>
            <w:vAlign w:val="center"/>
          </w:tcPr>
          <w:p w14:paraId="369D69D4" w14:textId="77777777" w:rsidR="00344F5F" w:rsidRPr="006F0AC0" w:rsidRDefault="00344F5F" w:rsidP="00344F5F">
            <w:pPr>
              <w:keepNext/>
              <w:keepLines/>
              <w:spacing w:line="240" w:lineRule="auto"/>
              <w:ind w:firstLine="0"/>
              <w:rPr>
                <w:sz w:val="24"/>
                <w:szCs w:val="24"/>
              </w:rPr>
            </w:pPr>
          </w:p>
        </w:tc>
        <w:tc>
          <w:tcPr>
            <w:tcW w:w="6318" w:type="dxa"/>
            <w:shd w:val="clear" w:color="auto" w:fill="auto"/>
            <w:vAlign w:val="center"/>
          </w:tcPr>
          <w:p w14:paraId="4FF1B22C" w14:textId="77777777" w:rsidR="00344F5F" w:rsidRPr="006F0AC0" w:rsidRDefault="00344F5F" w:rsidP="00344F5F">
            <w:pPr>
              <w:keepNext/>
              <w:keepLines/>
              <w:spacing w:line="240" w:lineRule="auto"/>
              <w:ind w:firstLine="0"/>
              <w:rPr>
                <w:sz w:val="24"/>
                <w:szCs w:val="24"/>
              </w:rPr>
            </w:pPr>
            <w:r w:rsidRPr="006F0AC0">
              <w:rPr>
                <w:sz w:val="24"/>
                <w:szCs w:val="24"/>
              </w:rPr>
              <w:t>Utility requests initiation of RAMP proceeding</w:t>
            </w:r>
          </w:p>
        </w:tc>
      </w:tr>
      <w:tr w:rsidR="00344F5F" w:rsidRPr="006F0AC0" w14:paraId="67976CE7" w14:textId="77777777" w:rsidTr="007C78CD">
        <w:trPr>
          <w:cantSplit/>
        </w:trPr>
        <w:tc>
          <w:tcPr>
            <w:tcW w:w="2342" w:type="dxa"/>
            <w:vAlign w:val="center"/>
          </w:tcPr>
          <w:p w14:paraId="56BB64A0" w14:textId="77777777" w:rsidR="00344F5F" w:rsidRPr="00C360FC" w:rsidRDefault="00344F5F" w:rsidP="00344F5F">
            <w:pPr>
              <w:keepNext/>
              <w:keepLines/>
              <w:spacing w:line="240" w:lineRule="auto"/>
              <w:ind w:firstLine="0"/>
              <w:rPr>
                <w:sz w:val="24"/>
                <w:szCs w:val="24"/>
              </w:rPr>
            </w:pPr>
            <w:r w:rsidRPr="00C360FC">
              <w:rPr>
                <w:sz w:val="24"/>
                <w:szCs w:val="24"/>
              </w:rPr>
              <w:t>By November 15</w:t>
            </w:r>
          </w:p>
        </w:tc>
        <w:tc>
          <w:tcPr>
            <w:tcW w:w="916" w:type="dxa"/>
            <w:shd w:val="clear" w:color="auto" w:fill="auto"/>
            <w:vAlign w:val="center"/>
          </w:tcPr>
          <w:p w14:paraId="6E103706" w14:textId="77777777" w:rsidR="00344F5F" w:rsidRPr="006F0AC0" w:rsidRDefault="00344F5F" w:rsidP="00344F5F">
            <w:pPr>
              <w:keepNext/>
              <w:keepLines/>
              <w:spacing w:line="240" w:lineRule="auto"/>
              <w:ind w:firstLine="0"/>
              <w:rPr>
                <w:sz w:val="24"/>
                <w:szCs w:val="24"/>
              </w:rPr>
            </w:pPr>
          </w:p>
        </w:tc>
        <w:tc>
          <w:tcPr>
            <w:tcW w:w="6318" w:type="dxa"/>
            <w:shd w:val="clear" w:color="auto" w:fill="auto"/>
            <w:vAlign w:val="center"/>
          </w:tcPr>
          <w:p w14:paraId="7F1BC667" w14:textId="77777777" w:rsidR="00344F5F" w:rsidRPr="006F0AC0" w:rsidRDefault="00344F5F" w:rsidP="00344F5F">
            <w:pPr>
              <w:keepNext/>
              <w:keepLines/>
              <w:spacing w:line="240" w:lineRule="auto"/>
              <w:ind w:firstLine="0"/>
              <w:rPr>
                <w:sz w:val="24"/>
                <w:szCs w:val="24"/>
              </w:rPr>
            </w:pPr>
            <w:r w:rsidRPr="006F0AC0">
              <w:rPr>
                <w:sz w:val="24"/>
                <w:szCs w:val="24"/>
              </w:rPr>
              <w:t>RAMP Order Instituting Investigation (OII) is opened</w:t>
            </w:r>
          </w:p>
        </w:tc>
      </w:tr>
      <w:tr w:rsidR="00344F5F" w:rsidRPr="006F0AC0" w14:paraId="506AA5FC" w14:textId="77777777" w:rsidTr="007C78CD">
        <w:trPr>
          <w:cantSplit/>
        </w:trPr>
        <w:tc>
          <w:tcPr>
            <w:tcW w:w="2342" w:type="dxa"/>
            <w:vAlign w:val="center"/>
          </w:tcPr>
          <w:p w14:paraId="3739D420" w14:textId="77777777" w:rsidR="00344F5F" w:rsidRPr="00C360FC" w:rsidRDefault="00344F5F" w:rsidP="00344F5F">
            <w:pPr>
              <w:keepNext/>
              <w:keepLines/>
              <w:spacing w:line="240" w:lineRule="auto"/>
              <w:ind w:firstLine="0"/>
              <w:rPr>
                <w:sz w:val="24"/>
                <w:szCs w:val="24"/>
              </w:rPr>
            </w:pPr>
            <w:r w:rsidRPr="00C360FC">
              <w:rPr>
                <w:sz w:val="24"/>
                <w:szCs w:val="24"/>
              </w:rPr>
              <w:t>By November 30</w:t>
            </w:r>
          </w:p>
        </w:tc>
        <w:tc>
          <w:tcPr>
            <w:tcW w:w="916" w:type="dxa"/>
            <w:shd w:val="clear" w:color="auto" w:fill="auto"/>
            <w:vAlign w:val="center"/>
          </w:tcPr>
          <w:p w14:paraId="408BB348" w14:textId="77777777" w:rsidR="00344F5F" w:rsidRPr="006F0AC0" w:rsidRDefault="00344F5F" w:rsidP="00344F5F">
            <w:pPr>
              <w:keepNext/>
              <w:keepLines/>
              <w:spacing w:line="240" w:lineRule="auto"/>
              <w:ind w:firstLine="0"/>
              <w:rPr>
                <w:sz w:val="24"/>
                <w:szCs w:val="24"/>
              </w:rPr>
            </w:pPr>
          </w:p>
        </w:tc>
        <w:tc>
          <w:tcPr>
            <w:tcW w:w="6318" w:type="dxa"/>
            <w:shd w:val="clear" w:color="auto" w:fill="auto"/>
            <w:vAlign w:val="center"/>
          </w:tcPr>
          <w:p w14:paraId="4A699AF6" w14:textId="77777777" w:rsidR="00344F5F" w:rsidRPr="006F0AC0" w:rsidRDefault="00344F5F" w:rsidP="00344F5F">
            <w:pPr>
              <w:keepNext/>
              <w:keepLines/>
              <w:spacing w:line="240" w:lineRule="auto"/>
              <w:ind w:firstLine="0"/>
              <w:rPr>
                <w:sz w:val="24"/>
                <w:szCs w:val="24"/>
              </w:rPr>
            </w:pPr>
            <w:r w:rsidRPr="006F0AC0">
              <w:rPr>
                <w:sz w:val="24"/>
                <w:szCs w:val="24"/>
              </w:rPr>
              <w:t>Utility files its RAMP submission in the OII</w:t>
            </w:r>
          </w:p>
        </w:tc>
      </w:tr>
      <w:tr w:rsidR="0007365D" w:rsidRPr="006F0AC0" w14:paraId="7A36BF2F" w14:textId="77777777" w:rsidTr="007C78CD">
        <w:trPr>
          <w:cantSplit/>
        </w:trPr>
        <w:tc>
          <w:tcPr>
            <w:tcW w:w="9576" w:type="dxa"/>
            <w:gridSpan w:val="3"/>
            <w:shd w:val="clear" w:color="auto" w:fill="D9D9D9" w:themeFill="background1" w:themeFillShade="D9"/>
          </w:tcPr>
          <w:p w14:paraId="266E8D7D" w14:textId="000FABDD" w:rsidR="0007365D" w:rsidRPr="00C360FC" w:rsidRDefault="0007365D" w:rsidP="009667E3">
            <w:pPr>
              <w:keepNext/>
              <w:keepLines/>
              <w:spacing w:line="240" w:lineRule="auto"/>
              <w:ind w:firstLine="0"/>
              <w:jc w:val="center"/>
              <w:rPr>
                <w:b/>
                <w:bCs/>
                <w:sz w:val="24"/>
                <w:szCs w:val="24"/>
              </w:rPr>
            </w:pPr>
            <w:r w:rsidRPr="00C360FC">
              <w:rPr>
                <w:b/>
                <w:bCs/>
                <w:sz w:val="24"/>
                <w:szCs w:val="24"/>
              </w:rPr>
              <w:t>Test Year minus</w:t>
            </w:r>
            <w:r w:rsidR="00FE5496">
              <w:rPr>
                <w:b/>
                <w:bCs/>
                <w:sz w:val="24"/>
                <w:szCs w:val="24"/>
              </w:rPr>
              <w:noBreakHyphen/>
            </w:r>
            <w:r w:rsidRPr="00C360FC">
              <w:rPr>
                <w:b/>
                <w:bCs/>
                <w:sz w:val="24"/>
                <w:szCs w:val="24"/>
              </w:rPr>
              <w:t>2</w:t>
            </w:r>
          </w:p>
        </w:tc>
      </w:tr>
      <w:tr w:rsidR="00344F5F" w:rsidRPr="006F0AC0" w14:paraId="160BC1AC" w14:textId="77777777" w:rsidTr="007C78CD">
        <w:trPr>
          <w:cantSplit/>
        </w:trPr>
        <w:tc>
          <w:tcPr>
            <w:tcW w:w="2342" w:type="dxa"/>
            <w:vAlign w:val="center"/>
          </w:tcPr>
          <w:p w14:paraId="215178EB" w14:textId="77777777" w:rsidR="00344F5F" w:rsidRPr="00C360FC" w:rsidRDefault="00344F5F" w:rsidP="00344F5F">
            <w:pPr>
              <w:keepNext/>
              <w:keepLines/>
              <w:spacing w:line="240" w:lineRule="auto"/>
              <w:ind w:firstLine="0"/>
              <w:rPr>
                <w:sz w:val="24"/>
                <w:szCs w:val="24"/>
              </w:rPr>
            </w:pPr>
            <w:r w:rsidRPr="00C360FC">
              <w:rPr>
                <w:sz w:val="24"/>
                <w:szCs w:val="24"/>
              </w:rPr>
              <w:t>September 1</w:t>
            </w:r>
          </w:p>
        </w:tc>
        <w:tc>
          <w:tcPr>
            <w:tcW w:w="916" w:type="dxa"/>
            <w:shd w:val="clear" w:color="auto" w:fill="auto"/>
            <w:vAlign w:val="center"/>
          </w:tcPr>
          <w:p w14:paraId="4D98992D"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0</w:t>
            </w:r>
          </w:p>
        </w:tc>
        <w:tc>
          <w:tcPr>
            <w:tcW w:w="6318" w:type="dxa"/>
            <w:shd w:val="clear" w:color="auto" w:fill="auto"/>
            <w:vAlign w:val="center"/>
          </w:tcPr>
          <w:p w14:paraId="723929F6" w14:textId="77777777" w:rsidR="00344F5F" w:rsidRPr="006F0AC0" w:rsidRDefault="00344F5F" w:rsidP="00344F5F">
            <w:pPr>
              <w:keepNext/>
              <w:keepLines/>
              <w:spacing w:line="240" w:lineRule="auto"/>
              <w:ind w:firstLine="0"/>
              <w:rPr>
                <w:sz w:val="24"/>
                <w:szCs w:val="24"/>
              </w:rPr>
            </w:pPr>
            <w:r w:rsidRPr="006F0AC0">
              <w:rPr>
                <w:sz w:val="24"/>
                <w:szCs w:val="24"/>
              </w:rPr>
              <w:t>Utility files GRC application, and serves prepared testimony</w:t>
            </w:r>
          </w:p>
        </w:tc>
      </w:tr>
      <w:tr w:rsidR="00344F5F" w:rsidRPr="006F0AC0" w14:paraId="5A391DAB" w14:textId="77777777" w:rsidTr="007C78CD">
        <w:trPr>
          <w:cantSplit/>
        </w:trPr>
        <w:tc>
          <w:tcPr>
            <w:tcW w:w="2342" w:type="dxa"/>
            <w:vAlign w:val="center"/>
          </w:tcPr>
          <w:p w14:paraId="5C11AE56" w14:textId="77777777" w:rsidR="00344F5F" w:rsidRPr="006F0AC0" w:rsidRDefault="00344F5F" w:rsidP="00344F5F">
            <w:pPr>
              <w:keepNext/>
              <w:keepLines/>
              <w:spacing w:line="240" w:lineRule="auto"/>
              <w:ind w:firstLine="0"/>
              <w:rPr>
                <w:sz w:val="24"/>
                <w:szCs w:val="24"/>
              </w:rPr>
            </w:pPr>
            <w:r w:rsidRPr="00C360FC">
              <w:rPr>
                <w:sz w:val="24"/>
                <w:szCs w:val="24"/>
              </w:rPr>
              <w:t>30 days after Daily Calendar notice</w:t>
            </w:r>
          </w:p>
        </w:tc>
        <w:tc>
          <w:tcPr>
            <w:tcW w:w="916" w:type="dxa"/>
            <w:shd w:val="clear" w:color="auto" w:fill="auto"/>
            <w:vAlign w:val="center"/>
          </w:tcPr>
          <w:p w14:paraId="2D5A04B1" w14:textId="77777777" w:rsidR="00344F5F" w:rsidRPr="006F0AC0" w:rsidRDefault="00344F5F" w:rsidP="00D14898">
            <w:pPr>
              <w:keepNext/>
              <w:keepLines/>
              <w:spacing w:line="240" w:lineRule="auto"/>
              <w:ind w:right="149" w:firstLine="0"/>
              <w:jc w:val="right"/>
              <w:rPr>
                <w:sz w:val="24"/>
                <w:szCs w:val="24"/>
              </w:rPr>
            </w:pPr>
          </w:p>
        </w:tc>
        <w:tc>
          <w:tcPr>
            <w:tcW w:w="6318" w:type="dxa"/>
            <w:shd w:val="clear" w:color="auto" w:fill="auto"/>
            <w:vAlign w:val="center"/>
          </w:tcPr>
          <w:p w14:paraId="7172BFE8" w14:textId="77777777" w:rsidR="00344F5F" w:rsidRPr="00C360FC" w:rsidRDefault="00344F5F" w:rsidP="00344F5F">
            <w:pPr>
              <w:keepNext/>
              <w:keepLines/>
              <w:spacing w:line="240" w:lineRule="auto"/>
              <w:ind w:firstLine="0"/>
              <w:rPr>
                <w:sz w:val="24"/>
                <w:szCs w:val="24"/>
              </w:rPr>
            </w:pPr>
            <w:r w:rsidRPr="006F0AC0">
              <w:rPr>
                <w:sz w:val="24"/>
                <w:szCs w:val="24"/>
              </w:rPr>
              <w:t>Due date for protests and responses to GRC application, pursuant to Rule 2.6(a)</w:t>
            </w:r>
            <w:r w:rsidRPr="006F0AC0">
              <w:rPr>
                <w:rStyle w:val="FootnoteReference"/>
                <w:sz w:val="24"/>
                <w:szCs w:val="24"/>
              </w:rPr>
              <w:footnoteReference w:id="35"/>
            </w:r>
          </w:p>
        </w:tc>
      </w:tr>
      <w:tr w:rsidR="00344F5F" w:rsidRPr="006F0AC0" w14:paraId="31123998" w14:textId="77777777" w:rsidTr="007C78CD">
        <w:trPr>
          <w:cantSplit/>
        </w:trPr>
        <w:tc>
          <w:tcPr>
            <w:tcW w:w="2342" w:type="dxa"/>
            <w:vAlign w:val="center"/>
          </w:tcPr>
          <w:p w14:paraId="5C3402A9" w14:textId="77777777" w:rsidR="00344F5F" w:rsidRPr="00C360FC" w:rsidRDefault="00344F5F" w:rsidP="00344F5F">
            <w:pPr>
              <w:keepNext/>
              <w:keepLines/>
              <w:spacing w:line="240" w:lineRule="auto"/>
              <w:ind w:firstLine="0"/>
              <w:rPr>
                <w:sz w:val="24"/>
                <w:szCs w:val="24"/>
              </w:rPr>
            </w:pPr>
            <w:r w:rsidRPr="00C360FC">
              <w:rPr>
                <w:sz w:val="24"/>
                <w:szCs w:val="24"/>
              </w:rPr>
              <w:t>By October 15</w:t>
            </w:r>
          </w:p>
        </w:tc>
        <w:tc>
          <w:tcPr>
            <w:tcW w:w="916" w:type="dxa"/>
            <w:shd w:val="clear" w:color="auto" w:fill="auto"/>
            <w:vAlign w:val="center"/>
          </w:tcPr>
          <w:p w14:paraId="5256E98E"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44</w:t>
            </w:r>
          </w:p>
        </w:tc>
        <w:tc>
          <w:tcPr>
            <w:tcW w:w="6318" w:type="dxa"/>
            <w:shd w:val="clear" w:color="auto" w:fill="auto"/>
            <w:vAlign w:val="center"/>
          </w:tcPr>
          <w:p w14:paraId="6B4AD675" w14:textId="77777777" w:rsidR="00344F5F" w:rsidRPr="006F0AC0" w:rsidRDefault="00344F5F" w:rsidP="00344F5F">
            <w:pPr>
              <w:keepNext/>
              <w:keepLines/>
              <w:spacing w:line="240" w:lineRule="auto"/>
              <w:ind w:firstLine="0"/>
              <w:rPr>
                <w:sz w:val="24"/>
                <w:szCs w:val="24"/>
              </w:rPr>
            </w:pPr>
            <w:r w:rsidRPr="006F0AC0">
              <w:rPr>
                <w:sz w:val="24"/>
                <w:szCs w:val="24"/>
              </w:rPr>
              <w:t>Utility holds public workshop on overall GRC application</w:t>
            </w:r>
          </w:p>
        </w:tc>
      </w:tr>
      <w:tr w:rsidR="00344F5F" w:rsidRPr="006F0AC0" w14:paraId="2BDFA1E5" w14:textId="77777777" w:rsidTr="007C78CD">
        <w:trPr>
          <w:cantSplit/>
        </w:trPr>
        <w:tc>
          <w:tcPr>
            <w:tcW w:w="2342" w:type="dxa"/>
            <w:vAlign w:val="center"/>
          </w:tcPr>
          <w:p w14:paraId="2338560F" w14:textId="77777777" w:rsidR="00344F5F" w:rsidRPr="00C360FC" w:rsidRDefault="00344F5F" w:rsidP="00344F5F">
            <w:pPr>
              <w:keepNext/>
              <w:keepLines/>
              <w:spacing w:line="240" w:lineRule="auto"/>
              <w:ind w:firstLine="0"/>
              <w:rPr>
                <w:sz w:val="24"/>
                <w:szCs w:val="24"/>
              </w:rPr>
            </w:pPr>
            <w:r w:rsidRPr="00C360FC">
              <w:rPr>
                <w:sz w:val="24"/>
                <w:szCs w:val="24"/>
              </w:rPr>
              <w:t>By October 31</w:t>
            </w:r>
          </w:p>
        </w:tc>
        <w:tc>
          <w:tcPr>
            <w:tcW w:w="916" w:type="dxa"/>
            <w:shd w:val="clear" w:color="auto" w:fill="auto"/>
            <w:vAlign w:val="center"/>
          </w:tcPr>
          <w:p w14:paraId="434A4F1F"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60</w:t>
            </w:r>
          </w:p>
        </w:tc>
        <w:tc>
          <w:tcPr>
            <w:tcW w:w="6318" w:type="dxa"/>
            <w:shd w:val="clear" w:color="auto" w:fill="auto"/>
            <w:vAlign w:val="center"/>
          </w:tcPr>
          <w:p w14:paraId="14CA31A7" w14:textId="77777777" w:rsidR="00344F5F" w:rsidRPr="006F0AC0" w:rsidRDefault="00344F5F" w:rsidP="00344F5F">
            <w:pPr>
              <w:keepNext/>
              <w:keepLines/>
              <w:spacing w:line="240" w:lineRule="auto"/>
              <w:ind w:firstLine="0"/>
              <w:rPr>
                <w:sz w:val="24"/>
                <w:szCs w:val="24"/>
              </w:rPr>
            </w:pPr>
            <w:r w:rsidRPr="006F0AC0">
              <w:rPr>
                <w:sz w:val="24"/>
                <w:szCs w:val="24"/>
              </w:rPr>
              <w:t>Prehearing Conference held</w:t>
            </w:r>
          </w:p>
        </w:tc>
      </w:tr>
      <w:tr w:rsidR="00344F5F" w:rsidRPr="006F0AC0" w14:paraId="0E9DDDA4" w14:textId="77777777" w:rsidTr="007C78CD">
        <w:trPr>
          <w:cantSplit/>
        </w:trPr>
        <w:tc>
          <w:tcPr>
            <w:tcW w:w="2342" w:type="dxa"/>
          </w:tcPr>
          <w:p w14:paraId="3D5299F2" w14:textId="77777777" w:rsidR="00344F5F" w:rsidRPr="00C360FC" w:rsidRDefault="00344F5F" w:rsidP="00344F5F">
            <w:pPr>
              <w:keepNext/>
              <w:keepLines/>
              <w:spacing w:line="240" w:lineRule="auto"/>
              <w:ind w:firstLine="0"/>
              <w:rPr>
                <w:sz w:val="24"/>
                <w:szCs w:val="24"/>
              </w:rPr>
            </w:pPr>
          </w:p>
        </w:tc>
        <w:tc>
          <w:tcPr>
            <w:tcW w:w="916" w:type="dxa"/>
            <w:shd w:val="clear" w:color="auto" w:fill="auto"/>
            <w:vAlign w:val="center"/>
          </w:tcPr>
          <w:p w14:paraId="24E8A4E5" w14:textId="77777777" w:rsidR="00344F5F" w:rsidRPr="00C360FC" w:rsidRDefault="00977090" w:rsidP="00D14898">
            <w:pPr>
              <w:keepNext/>
              <w:keepLines/>
              <w:spacing w:line="240" w:lineRule="auto"/>
              <w:ind w:right="149" w:firstLine="0"/>
              <w:jc w:val="right"/>
              <w:rPr>
                <w:sz w:val="24"/>
                <w:szCs w:val="24"/>
              </w:rPr>
            </w:pPr>
            <w:r w:rsidRPr="00C360FC">
              <w:rPr>
                <w:sz w:val="24"/>
                <w:szCs w:val="24"/>
              </w:rPr>
              <w:t>90</w:t>
            </w:r>
          </w:p>
        </w:tc>
        <w:tc>
          <w:tcPr>
            <w:tcW w:w="6318" w:type="dxa"/>
            <w:shd w:val="clear" w:color="auto" w:fill="auto"/>
            <w:vAlign w:val="center"/>
          </w:tcPr>
          <w:p w14:paraId="0C0A9FB7" w14:textId="77777777" w:rsidR="00344F5F" w:rsidRPr="006F0AC0" w:rsidRDefault="00344F5F" w:rsidP="00344F5F">
            <w:pPr>
              <w:keepNext/>
              <w:keepLines/>
              <w:spacing w:line="240" w:lineRule="auto"/>
              <w:ind w:firstLine="0"/>
              <w:rPr>
                <w:sz w:val="24"/>
                <w:szCs w:val="24"/>
              </w:rPr>
            </w:pPr>
            <w:r w:rsidRPr="006F0AC0">
              <w:rPr>
                <w:sz w:val="24"/>
                <w:szCs w:val="24"/>
              </w:rPr>
              <w:t>Scoping Memo of Assigned Commissioner issued</w:t>
            </w:r>
          </w:p>
        </w:tc>
      </w:tr>
      <w:tr w:rsidR="0007365D" w:rsidRPr="006F0AC0" w14:paraId="689E41FF" w14:textId="77777777" w:rsidTr="007C78CD">
        <w:trPr>
          <w:cantSplit/>
        </w:trPr>
        <w:tc>
          <w:tcPr>
            <w:tcW w:w="9576" w:type="dxa"/>
            <w:gridSpan w:val="3"/>
            <w:shd w:val="clear" w:color="auto" w:fill="D9D9D9" w:themeFill="background1" w:themeFillShade="D9"/>
          </w:tcPr>
          <w:p w14:paraId="594C8BDB" w14:textId="7B417E14" w:rsidR="0007365D" w:rsidRPr="00C360FC" w:rsidRDefault="0007365D" w:rsidP="00344F5F">
            <w:pPr>
              <w:keepNext/>
              <w:keepLines/>
              <w:spacing w:line="240" w:lineRule="auto"/>
              <w:ind w:firstLine="0"/>
              <w:jc w:val="center"/>
              <w:rPr>
                <w:b/>
                <w:bCs/>
                <w:sz w:val="24"/>
                <w:szCs w:val="24"/>
              </w:rPr>
            </w:pPr>
            <w:r w:rsidRPr="00C360FC">
              <w:rPr>
                <w:b/>
                <w:bCs/>
                <w:sz w:val="24"/>
                <w:szCs w:val="24"/>
              </w:rPr>
              <w:t>Test Year minus</w:t>
            </w:r>
            <w:r w:rsidR="00FE5496">
              <w:rPr>
                <w:b/>
                <w:bCs/>
                <w:sz w:val="24"/>
                <w:szCs w:val="24"/>
              </w:rPr>
              <w:noBreakHyphen/>
            </w:r>
            <w:r w:rsidRPr="00C360FC">
              <w:rPr>
                <w:b/>
                <w:bCs/>
                <w:sz w:val="24"/>
                <w:szCs w:val="24"/>
              </w:rPr>
              <w:t>1</w:t>
            </w:r>
          </w:p>
        </w:tc>
      </w:tr>
      <w:tr w:rsidR="00344F5F" w:rsidRPr="006F0AC0" w14:paraId="642CF734" w14:textId="77777777" w:rsidTr="007C78CD">
        <w:trPr>
          <w:cantSplit/>
        </w:trPr>
        <w:tc>
          <w:tcPr>
            <w:tcW w:w="2342" w:type="dxa"/>
            <w:vAlign w:val="center"/>
          </w:tcPr>
          <w:p w14:paraId="1A56D3FE" w14:textId="77777777" w:rsidR="00344F5F" w:rsidRPr="00C360FC" w:rsidRDefault="00344F5F" w:rsidP="00344F5F">
            <w:pPr>
              <w:keepNext/>
              <w:keepLines/>
              <w:spacing w:line="240" w:lineRule="auto"/>
              <w:ind w:firstLine="0"/>
              <w:rPr>
                <w:sz w:val="24"/>
                <w:szCs w:val="24"/>
              </w:rPr>
            </w:pPr>
            <w:r w:rsidRPr="00C360FC">
              <w:rPr>
                <w:sz w:val="24"/>
                <w:szCs w:val="24"/>
              </w:rPr>
              <w:t>By February 20</w:t>
            </w:r>
          </w:p>
        </w:tc>
        <w:tc>
          <w:tcPr>
            <w:tcW w:w="916" w:type="dxa"/>
            <w:shd w:val="clear" w:color="auto" w:fill="auto"/>
            <w:vAlign w:val="center"/>
          </w:tcPr>
          <w:p w14:paraId="100F7086"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172</w:t>
            </w:r>
          </w:p>
        </w:tc>
        <w:tc>
          <w:tcPr>
            <w:tcW w:w="6318" w:type="dxa"/>
            <w:shd w:val="clear" w:color="auto" w:fill="auto"/>
            <w:vAlign w:val="center"/>
          </w:tcPr>
          <w:p w14:paraId="3B5C6F77" w14:textId="77777777" w:rsidR="00344F5F" w:rsidRPr="006F0AC0" w:rsidRDefault="00344F5F" w:rsidP="00344F5F">
            <w:pPr>
              <w:keepNext/>
              <w:keepLines/>
              <w:spacing w:line="240" w:lineRule="auto"/>
              <w:ind w:firstLine="0"/>
              <w:rPr>
                <w:sz w:val="24"/>
                <w:szCs w:val="24"/>
              </w:rPr>
            </w:pPr>
            <w:r w:rsidRPr="006F0AC0">
              <w:rPr>
                <w:sz w:val="24"/>
                <w:szCs w:val="24"/>
              </w:rPr>
              <w:t>Public Advocates Office serves opening testimony</w:t>
            </w:r>
          </w:p>
        </w:tc>
      </w:tr>
      <w:tr w:rsidR="00344F5F" w:rsidRPr="006F0AC0" w14:paraId="3F0E40E4" w14:textId="77777777" w:rsidTr="007C78CD">
        <w:trPr>
          <w:cantSplit/>
        </w:trPr>
        <w:tc>
          <w:tcPr>
            <w:tcW w:w="2342" w:type="dxa"/>
            <w:vAlign w:val="center"/>
          </w:tcPr>
          <w:p w14:paraId="2C1470F7" w14:textId="77777777" w:rsidR="00344F5F" w:rsidRPr="00C360FC" w:rsidRDefault="00344F5F" w:rsidP="00344F5F">
            <w:pPr>
              <w:keepNext/>
              <w:keepLines/>
              <w:spacing w:line="240" w:lineRule="auto"/>
              <w:ind w:firstLine="0"/>
              <w:rPr>
                <w:sz w:val="24"/>
                <w:szCs w:val="24"/>
              </w:rPr>
            </w:pPr>
            <w:r w:rsidRPr="00C360FC">
              <w:rPr>
                <w:sz w:val="24"/>
                <w:szCs w:val="24"/>
              </w:rPr>
              <w:t>By March 17</w:t>
            </w:r>
          </w:p>
        </w:tc>
        <w:tc>
          <w:tcPr>
            <w:tcW w:w="916" w:type="dxa"/>
            <w:shd w:val="clear" w:color="auto" w:fill="auto"/>
            <w:vAlign w:val="center"/>
          </w:tcPr>
          <w:p w14:paraId="273E7CDD"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197</w:t>
            </w:r>
          </w:p>
        </w:tc>
        <w:tc>
          <w:tcPr>
            <w:tcW w:w="6318" w:type="dxa"/>
            <w:shd w:val="clear" w:color="auto" w:fill="auto"/>
            <w:vAlign w:val="center"/>
          </w:tcPr>
          <w:p w14:paraId="2348E88D" w14:textId="77777777" w:rsidR="00344F5F" w:rsidRPr="006F0AC0" w:rsidRDefault="00344F5F" w:rsidP="00344F5F">
            <w:pPr>
              <w:keepNext/>
              <w:keepLines/>
              <w:spacing w:line="240" w:lineRule="auto"/>
              <w:ind w:firstLine="0"/>
              <w:rPr>
                <w:sz w:val="24"/>
                <w:szCs w:val="24"/>
              </w:rPr>
            </w:pPr>
            <w:r w:rsidRPr="006F0AC0">
              <w:rPr>
                <w:sz w:val="24"/>
                <w:szCs w:val="24"/>
              </w:rPr>
              <w:t>Intervenors serve opening testimony</w:t>
            </w:r>
          </w:p>
        </w:tc>
      </w:tr>
      <w:tr w:rsidR="00344F5F" w:rsidRPr="006F0AC0" w14:paraId="01BC1910" w14:textId="77777777" w:rsidTr="007C78CD">
        <w:trPr>
          <w:cantSplit/>
        </w:trPr>
        <w:tc>
          <w:tcPr>
            <w:tcW w:w="2342" w:type="dxa"/>
            <w:vAlign w:val="center"/>
          </w:tcPr>
          <w:p w14:paraId="20DC323D" w14:textId="77777777" w:rsidR="00344F5F" w:rsidRPr="00C360FC" w:rsidRDefault="00344F5F" w:rsidP="00344F5F">
            <w:pPr>
              <w:keepNext/>
              <w:keepLines/>
              <w:spacing w:line="240" w:lineRule="auto"/>
              <w:ind w:firstLine="0"/>
              <w:rPr>
                <w:sz w:val="24"/>
                <w:szCs w:val="24"/>
              </w:rPr>
            </w:pPr>
            <w:r w:rsidRPr="00C360FC">
              <w:rPr>
                <w:sz w:val="24"/>
                <w:szCs w:val="24"/>
              </w:rPr>
              <w:t>May 1</w:t>
            </w:r>
          </w:p>
        </w:tc>
        <w:tc>
          <w:tcPr>
            <w:tcW w:w="916" w:type="dxa"/>
            <w:shd w:val="clear" w:color="auto" w:fill="auto"/>
            <w:vAlign w:val="center"/>
          </w:tcPr>
          <w:p w14:paraId="3A80059C"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242</w:t>
            </w:r>
          </w:p>
        </w:tc>
        <w:tc>
          <w:tcPr>
            <w:tcW w:w="6318" w:type="dxa"/>
            <w:shd w:val="clear" w:color="auto" w:fill="auto"/>
            <w:vAlign w:val="center"/>
          </w:tcPr>
          <w:p w14:paraId="5C63F508" w14:textId="77777777" w:rsidR="00344F5F" w:rsidRPr="006F0AC0" w:rsidRDefault="00344F5F" w:rsidP="00344F5F">
            <w:pPr>
              <w:keepNext/>
              <w:keepLines/>
              <w:spacing w:line="240" w:lineRule="auto"/>
              <w:ind w:firstLine="0"/>
              <w:rPr>
                <w:sz w:val="24"/>
                <w:szCs w:val="24"/>
              </w:rPr>
            </w:pPr>
            <w:r w:rsidRPr="006F0AC0">
              <w:rPr>
                <w:sz w:val="24"/>
                <w:szCs w:val="24"/>
              </w:rPr>
              <w:t>Concurrent rebuttal testimony served</w:t>
            </w:r>
          </w:p>
        </w:tc>
      </w:tr>
      <w:tr w:rsidR="00344F5F" w:rsidRPr="006F0AC0" w14:paraId="2014E1A6" w14:textId="77777777" w:rsidTr="007C78CD">
        <w:trPr>
          <w:cantSplit/>
        </w:trPr>
        <w:tc>
          <w:tcPr>
            <w:tcW w:w="2342" w:type="dxa"/>
            <w:vAlign w:val="center"/>
          </w:tcPr>
          <w:p w14:paraId="281A3688" w14:textId="77777777" w:rsidR="00344F5F" w:rsidRPr="00C360FC" w:rsidRDefault="00344F5F" w:rsidP="00344F5F">
            <w:pPr>
              <w:keepNext/>
              <w:keepLines/>
              <w:spacing w:line="240" w:lineRule="auto"/>
              <w:ind w:firstLine="0"/>
              <w:rPr>
                <w:sz w:val="24"/>
                <w:szCs w:val="24"/>
              </w:rPr>
            </w:pPr>
            <w:r w:rsidRPr="00C360FC">
              <w:rPr>
                <w:sz w:val="24"/>
                <w:szCs w:val="24"/>
              </w:rPr>
              <w:t>March/April</w:t>
            </w:r>
          </w:p>
        </w:tc>
        <w:tc>
          <w:tcPr>
            <w:tcW w:w="916" w:type="dxa"/>
            <w:shd w:val="clear" w:color="auto" w:fill="auto"/>
            <w:vAlign w:val="center"/>
          </w:tcPr>
          <w:p w14:paraId="10AAD056" w14:textId="77777777" w:rsidR="00344F5F" w:rsidRPr="006F0AC0" w:rsidRDefault="00344F5F" w:rsidP="00D14898">
            <w:pPr>
              <w:keepNext/>
              <w:keepLines/>
              <w:spacing w:line="240" w:lineRule="auto"/>
              <w:ind w:right="149" w:firstLine="0"/>
              <w:jc w:val="right"/>
              <w:rPr>
                <w:sz w:val="24"/>
                <w:szCs w:val="24"/>
              </w:rPr>
            </w:pPr>
          </w:p>
        </w:tc>
        <w:tc>
          <w:tcPr>
            <w:tcW w:w="6318" w:type="dxa"/>
            <w:shd w:val="clear" w:color="auto" w:fill="auto"/>
            <w:vAlign w:val="center"/>
          </w:tcPr>
          <w:p w14:paraId="04071DF5" w14:textId="77777777" w:rsidR="00344F5F" w:rsidRPr="006F0AC0" w:rsidRDefault="00344F5F" w:rsidP="00344F5F">
            <w:pPr>
              <w:keepNext/>
              <w:keepLines/>
              <w:spacing w:line="240" w:lineRule="auto"/>
              <w:ind w:firstLine="0"/>
              <w:rPr>
                <w:sz w:val="24"/>
                <w:szCs w:val="24"/>
              </w:rPr>
            </w:pPr>
            <w:r w:rsidRPr="006F0AC0">
              <w:rPr>
                <w:sz w:val="24"/>
                <w:szCs w:val="24"/>
              </w:rPr>
              <w:t>Public Participation Hearings</w:t>
            </w:r>
          </w:p>
        </w:tc>
      </w:tr>
      <w:tr w:rsidR="00344F5F" w:rsidRPr="006F0AC0" w14:paraId="4ABD594B" w14:textId="77777777" w:rsidTr="007C78CD">
        <w:trPr>
          <w:cantSplit/>
        </w:trPr>
        <w:tc>
          <w:tcPr>
            <w:tcW w:w="2342" w:type="dxa"/>
            <w:vAlign w:val="center"/>
          </w:tcPr>
          <w:p w14:paraId="5C216622" w14:textId="77777777" w:rsidR="00344F5F" w:rsidRPr="00C360FC" w:rsidRDefault="00344F5F" w:rsidP="00344F5F">
            <w:pPr>
              <w:keepNext/>
              <w:keepLines/>
              <w:spacing w:line="240" w:lineRule="auto"/>
              <w:ind w:firstLine="0"/>
              <w:rPr>
                <w:sz w:val="24"/>
                <w:szCs w:val="24"/>
              </w:rPr>
            </w:pPr>
            <w:r w:rsidRPr="00C360FC">
              <w:rPr>
                <w:sz w:val="24"/>
                <w:szCs w:val="24"/>
              </w:rPr>
              <w:t xml:space="preserve">May/June </w:t>
            </w:r>
          </w:p>
        </w:tc>
        <w:tc>
          <w:tcPr>
            <w:tcW w:w="916" w:type="dxa"/>
            <w:shd w:val="clear" w:color="auto" w:fill="auto"/>
            <w:vAlign w:val="center"/>
          </w:tcPr>
          <w:p w14:paraId="08581579"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270</w:t>
            </w:r>
          </w:p>
        </w:tc>
        <w:tc>
          <w:tcPr>
            <w:tcW w:w="6318" w:type="dxa"/>
            <w:shd w:val="clear" w:color="auto" w:fill="auto"/>
            <w:vAlign w:val="center"/>
          </w:tcPr>
          <w:p w14:paraId="363C84BF" w14:textId="77777777" w:rsidR="00344F5F" w:rsidRPr="006F0AC0" w:rsidRDefault="00344F5F" w:rsidP="00344F5F">
            <w:pPr>
              <w:keepNext/>
              <w:keepLines/>
              <w:spacing w:line="240" w:lineRule="auto"/>
              <w:ind w:firstLine="0"/>
              <w:rPr>
                <w:sz w:val="24"/>
                <w:szCs w:val="24"/>
              </w:rPr>
            </w:pPr>
            <w:r w:rsidRPr="006F0AC0">
              <w:rPr>
                <w:sz w:val="24"/>
                <w:szCs w:val="24"/>
              </w:rPr>
              <w:t xml:space="preserve">Evidentiary hearings </w:t>
            </w:r>
            <w:r w:rsidR="00977090" w:rsidRPr="006F0AC0">
              <w:rPr>
                <w:sz w:val="24"/>
                <w:szCs w:val="24"/>
              </w:rPr>
              <w:t>begin</w:t>
            </w:r>
            <w:r w:rsidRPr="006F0AC0">
              <w:rPr>
                <w:sz w:val="24"/>
                <w:szCs w:val="24"/>
              </w:rPr>
              <w:t xml:space="preserve">, if needed </w:t>
            </w:r>
          </w:p>
        </w:tc>
      </w:tr>
      <w:tr w:rsidR="00977090" w:rsidRPr="006F0AC0" w14:paraId="2D0D08E6" w14:textId="77777777" w:rsidTr="007C78CD">
        <w:trPr>
          <w:cantSplit/>
        </w:trPr>
        <w:tc>
          <w:tcPr>
            <w:tcW w:w="2342" w:type="dxa"/>
            <w:vAlign w:val="center"/>
          </w:tcPr>
          <w:p w14:paraId="5D177E24" w14:textId="77777777" w:rsidR="00977090" w:rsidRPr="00C360FC" w:rsidRDefault="00977090" w:rsidP="00344F5F">
            <w:pPr>
              <w:keepNext/>
              <w:keepLines/>
              <w:spacing w:line="240" w:lineRule="auto"/>
              <w:ind w:firstLine="0"/>
              <w:rPr>
                <w:sz w:val="24"/>
                <w:szCs w:val="24"/>
              </w:rPr>
            </w:pPr>
          </w:p>
        </w:tc>
        <w:tc>
          <w:tcPr>
            <w:tcW w:w="916" w:type="dxa"/>
            <w:shd w:val="clear" w:color="auto" w:fill="auto"/>
            <w:vAlign w:val="center"/>
          </w:tcPr>
          <w:p w14:paraId="694F1A7F" w14:textId="77777777" w:rsidR="00977090" w:rsidRPr="006F0AC0" w:rsidRDefault="00977090" w:rsidP="00D14898">
            <w:pPr>
              <w:keepNext/>
              <w:keepLines/>
              <w:spacing w:line="240" w:lineRule="auto"/>
              <w:ind w:right="149" w:firstLine="0"/>
              <w:jc w:val="right"/>
              <w:rPr>
                <w:sz w:val="24"/>
                <w:szCs w:val="24"/>
              </w:rPr>
            </w:pPr>
            <w:r w:rsidRPr="006F0AC0">
              <w:rPr>
                <w:sz w:val="24"/>
                <w:szCs w:val="24"/>
              </w:rPr>
              <w:t>289</w:t>
            </w:r>
          </w:p>
        </w:tc>
        <w:tc>
          <w:tcPr>
            <w:tcW w:w="6318" w:type="dxa"/>
            <w:shd w:val="clear" w:color="auto" w:fill="auto"/>
            <w:vAlign w:val="center"/>
          </w:tcPr>
          <w:p w14:paraId="1AB857CD" w14:textId="77777777" w:rsidR="00977090" w:rsidRPr="006F0AC0" w:rsidRDefault="00977090" w:rsidP="00344F5F">
            <w:pPr>
              <w:keepNext/>
              <w:keepLines/>
              <w:spacing w:line="240" w:lineRule="auto"/>
              <w:ind w:firstLine="0"/>
              <w:rPr>
                <w:sz w:val="24"/>
                <w:szCs w:val="24"/>
              </w:rPr>
            </w:pPr>
            <w:r w:rsidRPr="006F0AC0">
              <w:rPr>
                <w:sz w:val="24"/>
                <w:szCs w:val="24"/>
              </w:rPr>
              <w:t>Evidentiary hearings end</w:t>
            </w:r>
          </w:p>
        </w:tc>
      </w:tr>
      <w:tr w:rsidR="00344F5F" w:rsidRPr="006F0AC0" w14:paraId="71F89FD3" w14:textId="77777777" w:rsidTr="007C78CD">
        <w:trPr>
          <w:cantSplit/>
        </w:trPr>
        <w:tc>
          <w:tcPr>
            <w:tcW w:w="2342" w:type="dxa"/>
            <w:vAlign w:val="center"/>
          </w:tcPr>
          <w:p w14:paraId="681B2696" w14:textId="77777777" w:rsidR="00344F5F" w:rsidRPr="00C360FC" w:rsidRDefault="00344F5F" w:rsidP="00344F5F">
            <w:pPr>
              <w:keepNext/>
              <w:keepLines/>
              <w:spacing w:line="240" w:lineRule="auto"/>
              <w:ind w:firstLine="0"/>
              <w:rPr>
                <w:sz w:val="24"/>
                <w:szCs w:val="24"/>
              </w:rPr>
            </w:pPr>
            <w:r w:rsidRPr="00C360FC">
              <w:rPr>
                <w:sz w:val="24"/>
                <w:szCs w:val="24"/>
              </w:rPr>
              <w:t>May/June</w:t>
            </w:r>
          </w:p>
        </w:tc>
        <w:tc>
          <w:tcPr>
            <w:tcW w:w="916" w:type="dxa"/>
            <w:shd w:val="clear" w:color="auto" w:fill="auto"/>
            <w:vAlign w:val="center"/>
          </w:tcPr>
          <w:p w14:paraId="74A429D2" w14:textId="77777777" w:rsidR="00344F5F" w:rsidRPr="006F0AC0" w:rsidRDefault="00344F5F" w:rsidP="00D14898">
            <w:pPr>
              <w:keepNext/>
              <w:keepLines/>
              <w:spacing w:line="240" w:lineRule="auto"/>
              <w:ind w:right="149" w:firstLine="0"/>
              <w:jc w:val="right"/>
              <w:rPr>
                <w:sz w:val="24"/>
                <w:szCs w:val="24"/>
              </w:rPr>
            </w:pPr>
          </w:p>
        </w:tc>
        <w:tc>
          <w:tcPr>
            <w:tcW w:w="6318" w:type="dxa"/>
            <w:shd w:val="clear" w:color="auto" w:fill="auto"/>
            <w:vAlign w:val="center"/>
          </w:tcPr>
          <w:p w14:paraId="58E55B9E" w14:textId="77777777" w:rsidR="00344F5F" w:rsidRPr="006F0AC0" w:rsidRDefault="00344F5F" w:rsidP="00344F5F">
            <w:pPr>
              <w:keepNext/>
              <w:keepLines/>
              <w:spacing w:line="240" w:lineRule="auto"/>
              <w:ind w:firstLine="0"/>
              <w:rPr>
                <w:sz w:val="24"/>
                <w:szCs w:val="24"/>
              </w:rPr>
            </w:pPr>
            <w:r w:rsidRPr="006F0AC0">
              <w:rPr>
                <w:sz w:val="24"/>
                <w:szCs w:val="24"/>
              </w:rPr>
              <w:t>Update testimony and hearings, if necessary</w:t>
            </w:r>
          </w:p>
        </w:tc>
      </w:tr>
      <w:tr w:rsidR="00344F5F" w:rsidRPr="006F0AC0" w14:paraId="7BD20482" w14:textId="77777777" w:rsidTr="007C78CD">
        <w:trPr>
          <w:cantSplit/>
        </w:trPr>
        <w:tc>
          <w:tcPr>
            <w:tcW w:w="2342" w:type="dxa"/>
            <w:vAlign w:val="center"/>
          </w:tcPr>
          <w:p w14:paraId="6A186347" w14:textId="77777777" w:rsidR="00344F5F" w:rsidRPr="00C360FC" w:rsidRDefault="00344F5F" w:rsidP="00344F5F">
            <w:pPr>
              <w:keepNext/>
              <w:keepLines/>
              <w:spacing w:line="240" w:lineRule="auto"/>
              <w:ind w:firstLine="0"/>
              <w:rPr>
                <w:sz w:val="24"/>
                <w:szCs w:val="24"/>
              </w:rPr>
            </w:pPr>
            <w:r w:rsidRPr="00C360FC">
              <w:rPr>
                <w:sz w:val="24"/>
                <w:szCs w:val="24"/>
              </w:rPr>
              <w:t>To be decided</w:t>
            </w:r>
          </w:p>
        </w:tc>
        <w:tc>
          <w:tcPr>
            <w:tcW w:w="916" w:type="dxa"/>
            <w:shd w:val="clear" w:color="auto" w:fill="auto"/>
            <w:vAlign w:val="center"/>
          </w:tcPr>
          <w:p w14:paraId="44A57DEC"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324</w:t>
            </w:r>
          </w:p>
        </w:tc>
        <w:tc>
          <w:tcPr>
            <w:tcW w:w="6318" w:type="dxa"/>
            <w:shd w:val="clear" w:color="auto" w:fill="auto"/>
            <w:vAlign w:val="center"/>
          </w:tcPr>
          <w:p w14:paraId="1BDCAC7D" w14:textId="77777777" w:rsidR="00344F5F" w:rsidRPr="006F0AC0" w:rsidRDefault="00344F5F" w:rsidP="00344F5F">
            <w:pPr>
              <w:keepNext/>
              <w:keepLines/>
              <w:spacing w:line="240" w:lineRule="auto"/>
              <w:ind w:firstLine="0"/>
              <w:rPr>
                <w:sz w:val="24"/>
                <w:szCs w:val="24"/>
              </w:rPr>
            </w:pPr>
            <w:r w:rsidRPr="006F0AC0">
              <w:rPr>
                <w:sz w:val="24"/>
                <w:szCs w:val="24"/>
              </w:rPr>
              <w:t>Briefs filed</w:t>
            </w:r>
          </w:p>
        </w:tc>
      </w:tr>
      <w:tr w:rsidR="00344F5F" w:rsidRPr="006F0AC0" w14:paraId="1CF61F39" w14:textId="77777777" w:rsidTr="007C78CD">
        <w:trPr>
          <w:cantSplit/>
        </w:trPr>
        <w:tc>
          <w:tcPr>
            <w:tcW w:w="2342" w:type="dxa"/>
            <w:vAlign w:val="center"/>
          </w:tcPr>
          <w:p w14:paraId="4303EBE8" w14:textId="77777777" w:rsidR="00344F5F" w:rsidRPr="00C360FC" w:rsidRDefault="00344F5F" w:rsidP="00344F5F">
            <w:pPr>
              <w:keepNext/>
              <w:keepLines/>
              <w:spacing w:line="240" w:lineRule="auto"/>
              <w:ind w:firstLine="0"/>
              <w:rPr>
                <w:sz w:val="24"/>
                <w:szCs w:val="24"/>
              </w:rPr>
            </w:pPr>
            <w:r w:rsidRPr="00C360FC">
              <w:rPr>
                <w:sz w:val="24"/>
                <w:szCs w:val="24"/>
              </w:rPr>
              <w:t>To be decided</w:t>
            </w:r>
          </w:p>
        </w:tc>
        <w:tc>
          <w:tcPr>
            <w:tcW w:w="916" w:type="dxa"/>
            <w:shd w:val="clear" w:color="auto" w:fill="auto"/>
            <w:vAlign w:val="center"/>
          </w:tcPr>
          <w:p w14:paraId="087E06B7"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345</w:t>
            </w:r>
          </w:p>
        </w:tc>
        <w:tc>
          <w:tcPr>
            <w:tcW w:w="6318" w:type="dxa"/>
            <w:shd w:val="clear" w:color="auto" w:fill="auto"/>
            <w:vAlign w:val="center"/>
          </w:tcPr>
          <w:p w14:paraId="65D44F61" w14:textId="77777777" w:rsidR="00344F5F" w:rsidRPr="006F0AC0" w:rsidRDefault="00344F5F" w:rsidP="00344F5F">
            <w:pPr>
              <w:keepNext/>
              <w:keepLines/>
              <w:spacing w:line="240" w:lineRule="auto"/>
              <w:ind w:firstLine="0"/>
              <w:rPr>
                <w:sz w:val="24"/>
                <w:szCs w:val="24"/>
              </w:rPr>
            </w:pPr>
            <w:r w:rsidRPr="006F0AC0">
              <w:rPr>
                <w:sz w:val="24"/>
                <w:szCs w:val="24"/>
              </w:rPr>
              <w:t>Reply briefs filed, proceeding submitted for Commission decision</w:t>
            </w:r>
          </w:p>
        </w:tc>
      </w:tr>
      <w:tr w:rsidR="00344F5F" w:rsidRPr="006F0AC0" w14:paraId="1D45040C" w14:textId="77777777" w:rsidTr="007C78CD">
        <w:trPr>
          <w:cantSplit/>
        </w:trPr>
        <w:tc>
          <w:tcPr>
            <w:tcW w:w="2342" w:type="dxa"/>
            <w:vAlign w:val="center"/>
          </w:tcPr>
          <w:p w14:paraId="29187F29" w14:textId="77777777" w:rsidR="00344F5F" w:rsidRPr="00C360FC" w:rsidRDefault="00344F5F" w:rsidP="00344F5F">
            <w:pPr>
              <w:keepNext/>
              <w:keepLines/>
              <w:spacing w:line="240" w:lineRule="auto"/>
              <w:ind w:firstLine="0"/>
              <w:rPr>
                <w:sz w:val="24"/>
                <w:szCs w:val="24"/>
              </w:rPr>
            </w:pPr>
            <w:r w:rsidRPr="00C360FC">
              <w:rPr>
                <w:sz w:val="24"/>
                <w:szCs w:val="24"/>
              </w:rPr>
              <w:t>September/October</w:t>
            </w:r>
          </w:p>
        </w:tc>
        <w:tc>
          <w:tcPr>
            <w:tcW w:w="916" w:type="dxa"/>
            <w:shd w:val="clear" w:color="auto" w:fill="auto"/>
            <w:vAlign w:val="center"/>
          </w:tcPr>
          <w:p w14:paraId="2BD31D3D"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425</w:t>
            </w:r>
          </w:p>
        </w:tc>
        <w:tc>
          <w:tcPr>
            <w:tcW w:w="6318" w:type="dxa"/>
            <w:shd w:val="clear" w:color="auto" w:fill="auto"/>
            <w:vAlign w:val="center"/>
          </w:tcPr>
          <w:p w14:paraId="5D1582BA" w14:textId="77777777" w:rsidR="00344F5F" w:rsidRPr="006F0AC0" w:rsidRDefault="00344F5F" w:rsidP="00344F5F">
            <w:pPr>
              <w:keepNext/>
              <w:keepLines/>
              <w:spacing w:line="240" w:lineRule="auto"/>
              <w:ind w:firstLine="0"/>
              <w:rPr>
                <w:sz w:val="24"/>
                <w:szCs w:val="24"/>
              </w:rPr>
            </w:pPr>
            <w:r w:rsidRPr="006F0AC0">
              <w:rPr>
                <w:sz w:val="24"/>
                <w:szCs w:val="24"/>
              </w:rPr>
              <w:t>Proposed decision issued</w:t>
            </w:r>
          </w:p>
        </w:tc>
      </w:tr>
      <w:tr w:rsidR="00344F5F" w:rsidRPr="006F0AC0" w14:paraId="7CABEA35" w14:textId="77777777" w:rsidTr="007C78CD">
        <w:trPr>
          <w:cantSplit/>
        </w:trPr>
        <w:tc>
          <w:tcPr>
            <w:tcW w:w="2342" w:type="dxa"/>
            <w:vAlign w:val="center"/>
          </w:tcPr>
          <w:p w14:paraId="7BB8F81A" w14:textId="77777777" w:rsidR="00344F5F" w:rsidRPr="00C360FC" w:rsidRDefault="00344F5F" w:rsidP="00344F5F">
            <w:pPr>
              <w:keepNext/>
              <w:keepLines/>
              <w:spacing w:line="240" w:lineRule="auto"/>
              <w:ind w:firstLine="0"/>
              <w:rPr>
                <w:sz w:val="24"/>
                <w:szCs w:val="24"/>
              </w:rPr>
            </w:pPr>
            <w:r w:rsidRPr="00C360FC">
              <w:rPr>
                <w:sz w:val="24"/>
                <w:szCs w:val="24"/>
              </w:rPr>
              <w:t>November</w:t>
            </w:r>
          </w:p>
        </w:tc>
        <w:tc>
          <w:tcPr>
            <w:tcW w:w="916" w:type="dxa"/>
            <w:shd w:val="clear" w:color="auto" w:fill="auto"/>
            <w:vAlign w:val="center"/>
          </w:tcPr>
          <w:p w14:paraId="0213030C" w14:textId="77777777" w:rsidR="00344F5F" w:rsidRPr="006F0AC0" w:rsidRDefault="00977090" w:rsidP="00D14898">
            <w:pPr>
              <w:keepNext/>
              <w:keepLines/>
              <w:spacing w:line="240" w:lineRule="auto"/>
              <w:ind w:right="149" w:firstLine="0"/>
              <w:jc w:val="right"/>
              <w:rPr>
                <w:sz w:val="24"/>
                <w:szCs w:val="24"/>
              </w:rPr>
            </w:pPr>
            <w:r w:rsidRPr="00C360FC">
              <w:rPr>
                <w:sz w:val="24"/>
                <w:szCs w:val="24"/>
              </w:rPr>
              <w:t>455</w:t>
            </w:r>
          </w:p>
        </w:tc>
        <w:tc>
          <w:tcPr>
            <w:tcW w:w="6318" w:type="dxa"/>
            <w:shd w:val="clear" w:color="auto" w:fill="auto"/>
            <w:vAlign w:val="center"/>
          </w:tcPr>
          <w:p w14:paraId="2E6891BE" w14:textId="77777777" w:rsidR="00344F5F" w:rsidRPr="006F0AC0" w:rsidRDefault="00344F5F" w:rsidP="00344F5F">
            <w:pPr>
              <w:keepNext/>
              <w:keepLines/>
              <w:spacing w:line="240" w:lineRule="auto"/>
              <w:ind w:firstLine="0"/>
              <w:rPr>
                <w:sz w:val="24"/>
                <w:szCs w:val="24"/>
              </w:rPr>
            </w:pPr>
            <w:r w:rsidRPr="006F0AC0">
              <w:rPr>
                <w:sz w:val="24"/>
                <w:szCs w:val="24"/>
              </w:rPr>
              <w:t>Final decision adopted</w:t>
            </w:r>
          </w:p>
        </w:tc>
      </w:tr>
      <w:tr w:rsidR="0007365D" w:rsidRPr="006F0AC0" w14:paraId="719E8849" w14:textId="77777777" w:rsidTr="007C78CD">
        <w:trPr>
          <w:cantSplit/>
        </w:trPr>
        <w:tc>
          <w:tcPr>
            <w:tcW w:w="9576" w:type="dxa"/>
            <w:gridSpan w:val="3"/>
            <w:shd w:val="clear" w:color="auto" w:fill="D9D9D9" w:themeFill="background1" w:themeFillShade="D9"/>
          </w:tcPr>
          <w:p w14:paraId="6A44EF55" w14:textId="77777777" w:rsidR="0007365D" w:rsidRPr="00C360FC" w:rsidRDefault="0007365D" w:rsidP="00344F5F">
            <w:pPr>
              <w:keepNext/>
              <w:keepLines/>
              <w:spacing w:line="240" w:lineRule="auto"/>
              <w:ind w:firstLine="0"/>
              <w:jc w:val="center"/>
              <w:rPr>
                <w:b/>
                <w:bCs/>
                <w:sz w:val="24"/>
                <w:szCs w:val="24"/>
              </w:rPr>
            </w:pPr>
            <w:r w:rsidRPr="00C360FC">
              <w:rPr>
                <w:b/>
                <w:bCs/>
                <w:sz w:val="24"/>
                <w:szCs w:val="24"/>
              </w:rPr>
              <w:t>Test Year</w:t>
            </w:r>
          </w:p>
        </w:tc>
      </w:tr>
      <w:tr w:rsidR="00344F5F" w:rsidRPr="006F0AC0" w14:paraId="5F15B83F" w14:textId="77777777" w:rsidTr="007C78CD">
        <w:trPr>
          <w:cantSplit/>
        </w:trPr>
        <w:tc>
          <w:tcPr>
            <w:tcW w:w="2342" w:type="dxa"/>
          </w:tcPr>
          <w:p w14:paraId="69DF54C0" w14:textId="77777777" w:rsidR="00344F5F" w:rsidRPr="00C360FC" w:rsidRDefault="00344F5F" w:rsidP="002F33D3">
            <w:pPr>
              <w:spacing w:line="240" w:lineRule="auto"/>
              <w:ind w:firstLine="0"/>
              <w:rPr>
                <w:sz w:val="24"/>
                <w:szCs w:val="24"/>
              </w:rPr>
            </w:pPr>
            <w:r w:rsidRPr="00C360FC">
              <w:rPr>
                <w:sz w:val="24"/>
                <w:szCs w:val="24"/>
              </w:rPr>
              <w:t>January 1</w:t>
            </w:r>
          </w:p>
        </w:tc>
        <w:tc>
          <w:tcPr>
            <w:tcW w:w="916" w:type="dxa"/>
            <w:shd w:val="clear" w:color="auto" w:fill="auto"/>
            <w:vAlign w:val="center"/>
          </w:tcPr>
          <w:p w14:paraId="37C329E2" w14:textId="77777777" w:rsidR="00344F5F" w:rsidRPr="006F0AC0" w:rsidRDefault="00977090" w:rsidP="00D14898">
            <w:pPr>
              <w:keepNext/>
              <w:keepLines/>
              <w:tabs>
                <w:tab w:val="right" w:pos="9270"/>
              </w:tabs>
              <w:spacing w:line="240" w:lineRule="auto"/>
              <w:ind w:right="149" w:firstLine="0"/>
              <w:jc w:val="right"/>
              <w:rPr>
                <w:sz w:val="24"/>
                <w:szCs w:val="24"/>
              </w:rPr>
            </w:pPr>
            <w:r w:rsidRPr="00C360FC">
              <w:rPr>
                <w:sz w:val="24"/>
                <w:szCs w:val="24"/>
              </w:rPr>
              <w:t>487</w:t>
            </w:r>
          </w:p>
        </w:tc>
        <w:tc>
          <w:tcPr>
            <w:tcW w:w="6318" w:type="dxa"/>
            <w:shd w:val="clear" w:color="auto" w:fill="auto"/>
            <w:vAlign w:val="center"/>
          </w:tcPr>
          <w:p w14:paraId="552A9EAA" w14:textId="77777777" w:rsidR="00344F5F" w:rsidRPr="006F0AC0" w:rsidRDefault="00344F5F" w:rsidP="00344F5F">
            <w:pPr>
              <w:keepNext/>
              <w:keepLines/>
              <w:spacing w:line="240" w:lineRule="auto"/>
              <w:ind w:firstLine="0"/>
              <w:rPr>
                <w:sz w:val="24"/>
                <w:szCs w:val="24"/>
              </w:rPr>
            </w:pPr>
            <w:r w:rsidRPr="006F0AC0">
              <w:rPr>
                <w:sz w:val="24"/>
                <w:szCs w:val="24"/>
              </w:rPr>
              <w:t>Effective date</w:t>
            </w:r>
          </w:p>
        </w:tc>
      </w:tr>
    </w:tbl>
    <w:p w14:paraId="5F4A3695" w14:textId="77777777" w:rsidR="0046777A" w:rsidRPr="006F0AC0" w:rsidRDefault="0046777A" w:rsidP="0098618F">
      <w:pPr>
        <w:pStyle w:val="Standard"/>
        <w:rPr>
          <w:sz w:val="24"/>
          <w:szCs w:val="20"/>
        </w:rPr>
      </w:pPr>
    </w:p>
    <w:p w14:paraId="3D1CC8F9" w14:textId="15D8FFFA" w:rsidR="0098618F" w:rsidRDefault="00F96F53" w:rsidP="00B702ED">
      <w:r>
        <w:lastRenderedPageBreak/>
        <w:t xml:space="preserve">As will be seen below, some of the changes to the RCP schedule </w:t>
      </w:r>
      <w:r w:rsidR="00B25EF9">
        <w:t>adopted in D.14</w:t>
      </w:r>
      <w:r w:rsidR="00FE5496">
        <w:noBreakHyphen/>
      </w:r>
      <w:r w:rsidR="00B25EF9">
        <w:t>12</w:t>
      </w:r>
      <w:r w:rsidR="00FE5496">
        <w:noBreakHyphen/>
      </w:r>
      <w:r w:rsidR="00B25EF9">
        <w:t xml:space="preserve">025 </w:t>
      </w:r>
      <w:r>
        <w:t xml:space="preserve">have proven to be overly optimistic, or unrealistic.  For example, the schedule assumes the proceeding will be concluded in 16 months, even though Pub. Util. Code </w:t>
      </w:r>
      <w:r w:rsidRPr="00F96F53">
        <w:t xml:space="preserve">Code </w:t>
      </w:r>
      <w:r w:rsidR="004D271A">
        <w:t>§ 1</w:t>
      </w:r>
      <w:r w:rsidRPr="00F96F53">
        <w:t>701.5(a)</w:t>
      </w:r>
      <w:r>
        <w:t xml:space="preserve"> provide</w:t>
      </w:r>
      <w:r w:rsidR="00BF3A76">
        <w:t>d</w:t>
      </w:r>
      <w:r>
        <w:t xml:space="preserve"> for 18 months from the date </w:t>
      </w:r>
      <w:r w:rsidR="00BF3A76">
        <w:t xml:space="preserve">the </w:t>
      </w:r>
      <w:r w:rsidR="00BF3A76" w:rsidRPr="00BF3A76">
        <w:t xml:space="preserve">scoping memo </w:t>
      </w:r>
      <w:r w:rsidR="00BF3A76">
        <w:t>wa</w:t>
      </w:r>
      <w:r w:rsidR="00BF3A76" w:rsidRPr="00BF3A76">
        <w:t>s issued</w:t>
      </w:r>
      <w:r w:rsidR="00BF3A76">
        <w:t xml:space="preserve"> in the </w:t>
      </w:r>
      <w:r w:rsidR="00BF3A76" w:rsidRPr="00BF3A76">
        <w:t>proceeding</w:t>
      </w:r>
      <w:r w:rsidR="00BF3A76">
        <w:t>.</w:t>
      </w:r>
      <w:r w:rsidR="00BF3A76">
        <w:rPr>
          <w:rStyle w:val="FootnoteReference"/>
        </w:rPr>
        <w:footnoteReference w:id="36"/>
      </w:r>
      <w:r w:rsidR="00BF3A76">
        <w:t xml:space="preserve">  The Commission also shortened the deadline for the Public Advocates Office to serve its testimony by </w:t>
      </w:r>
      <w:r w:rsidR="004D271A">
        <w:t>two</w:t>
      </w:r>
      <w:r w:rsidR="00BF3A76">
        <w:t xml:space="preserve"> months, which has proven to be unreasonable</w:t>
      </w:r>
      <w:r w:rsidR="00F61686" w:rsidRPr="00F61686">
        <w:t xml:space="preserve"> for development of a comprehensive record</w:t>
      </w:r>
      <w:r w:rsidR="00BF3A76">
        <w:t>.</w:t>
      </w:r>
    </w:p>
    <w:p w14:paraId="5F0E3EF7" w14:textId="77777777" w:rsidR="00B702ED" w:rsidRDefault="00BC4969" w:rsidP="004B5523">
      <w:pPr>
        <w:pStyle w:val="Heading1"/>
      </w:pPr>
      <w:bookmarkStart w:id="20" w:name="_Toc27490087"/>
      <w:bookmarkStart w:id="21" w:name="_Toc13244192"/>
      <w:bookmarkStart w:id="22" w:name="_Toc20998445"/>
      <w:bookmarkStart w:id="23" w:name="_Toc29817389"/>
      <w:bookmarkEnd w:id="20"/>
      <w:r>
        <w:t xml:space="preserve">The </w:t>
      </w:r>
      <w:r w:rsidR="00B702ED">
        <w:t>Energy Division Workshop</w:t>
      </w:r>
      <w:bookmarkEnd w:id="21"/>
      <w:bookmarkEnd w:id="22"/>
      <w:bookmarkEnd w:id="23"/>
    </w:p>
    <w:p w14:paraId="40926F55" w14:textId="29CE590D" w:rsidR="00B702ED" w:rsidRDefault="00B702ED" w:rsidP="000F7254">
      <w:pPr>
        <w:pStyle w:val="Standard"/>
      </w:pPr>
      <w:r>
        <w:t xml:space="preserve">The Energy Division staff organized the workshop </w:t>
      </w:r>
      <w:r w:rsidR="006859BA">
        <w:t>agenda</w:t>
      </w:r>
      <w:r>
        <w:t xml:space="preserve"> and discussions </w:t>
      </w:r>
      <w:r w:rsidR="006859BA">
        <w:t xml:space="preserve">to focus on </w:t>
      </w:r>
      <w:r w:rsidR="00904081">
        <w:t xml:space="preserve">two </w:t>
      </w:r>
      <w:r w:rsidR="006859BA">
        <w:t>primary questions</w:t>
      </w:r>
      <w:r w:rsidR="00904081">
        <w:t>:  (1)</w:t>
      </w:r>
      <w:r w:rsidR="006859BA">
        <w:t xml:space="preserve"> how to process GRCs more efficiently</w:t>
      </w:r>
      <w:r w:rsidR="00904081">
        <w:t xml:space="preserve">, </w:t>
      </w:r>
      <w:r w:rsidR="006859BA">
        <w:t xml:space="preserve"> and </w:t>
      </w:r>
      <w:r w:rsidR="00904081">
        <w:t xml:space="preserve">(2) </w:t>
      </w:r>
      <w:r w:rsidR="006859BA">
        <w:t>whether to extend the standard GRC cycle to four years</w:t>
      </w:r>
      <w:r>
        <w:t>.  Staff provided parties with discussion questions prior to the workshop</w:t>
      </w:r>
      <w:r w:rsidR="006859BA">
        <w:t>, so that participants were prepared to discuss these issues in depth</w:t>
      </w:r>
      <w:r>
        <w:t>.</w:t>
      </w:r>
    </w:p>
    <w:p w14:paraId="4CC5F568" w14:textId="6C3B059C" w:rsidR="00B702ED" w:rsidRPr="000F7254" w:rsidRDefault="00B702ED" w:rsidP="006859BA">
      <w:pPr>
        <w:pStyle w:val="Standard"/>
      </w:pPr>
      <w:r>
        <w:t>The morning session of the workshop addressed the topic of “</w:t>
      </w:r>
      <w:r w:rsidR="006859BA">
        <w:t>f</w:t>
      </w:r>
      <w:r>
        <w:t>acilitating the timely completion of GRCs</w:t>
      </w:r>
      <w:r w:rsidR="0027057D">
        <w:t>.</w:t>
      </w:r>
      <w:r>
        <w:t>”</w:t>
      </w:r>
      <w:r w:rsidR="0027057D">
        <w:t xml:space="preserve">  </w:t>
      </w:r>
      <w:r w:rsidR="00E37E34">
        <w:t>Staff</w:t>
      </w:r>
      <w:r w:rsidRPr="000F7254">
        <w:t xml:space="preserve"> posed the following questions to participants </w:t>
      </w:r>
      <w:r w:rsidR="0027057D">
        <w:t xml:space="preserve">prior to the workshop </w:t>
      </w:r>
      <w:r w:rsidRPr="000F7254">
        <w:t xml:space="preserve">to </w:t>
      </w:r>
      <w:r w:rsidR="009B11ED">
        <w:t>stimulate</w:t>
      </w:r>
      <w:r w:rsidRPr="000F7254">
        <w:t xml:space="preserve"> discussion: </w:t>
      </w:r>
    </w:p>
    <w:p w14:paraId="61647557" w14:textId="77777777" w:rsidR="00B702ED" w:rsidRPr="000F7254" w:rsidRDefault="00B702ED" w:rsidP="00D14898">
      <w:pPr>
        <w:pStyle w:val="standard0"/>
        <w:numPr>
          <w:ilvl w:val="0"/>
          <w:numId w:val="14"/>
        </w:numPr>
        <w:spacing w:after="120" w:line="240" w:lineRule="auto"/>
        <w:ind w:left="1080" w:right="720"/>
        <w:rPr>
          <w:rFonts w:ascii="Book Antiqua" w:hAnsi="Book Antiqua"/>
        </w:rPr>
      </w:pPr>
      <w:r w:rsidRPr="000F7254">
        <w:rPr>
          <w:rFonts w:ascii="Book Antiqua" w:hAnsi="Book Antiqua"/>
        </w:rPr>
        <w:t xml:space="preserve">Does the current </w:t>
      </w:r>
      <w:r w:rsidR="00485EA8">
        <w:rPr>
          <w:rFonts w:ascii="Book Antiqua" w:hAnsi="Book Antiqua"/>
        </w:rPr>
        <w:t>RCP</w:t>
      </w:r>
      <w:r w:rsidRPr="000F7254">
        <w:rPr>
          <w:rFonts w:ascii="Book Antiqua" w:hAnsi="Book Antiqua"/>
        </w:rPr>
        <w:t xml:space="preserve"> schedule allow sufficient time for the utilities, all intervening parties, and Commission staff to process GRC proceedings in a timely manner?  If not, why not?</w:t>
      </w:r>
    </w:p>
    <w:p w14:paraId="65F66D49" w14:textId="77777777" w:rsidR="00B702ED" w:rsidRPr="000F7254" w:rsidRDefault="00B702ED" w:rsidP="00D14898">
      <w:pPr>
        <w:pStyle w:val="standard0"/>
        <w:numPr>
          <w:ilvl w:val="0"/>
          <w:numId w:val="14"/>
        </w:numPr>
        <w:spacing w:after="120" w:line="240" w:lineRule="auto"/>
        <w:ind w:left="1080" w:right="720"/>
        <w:rPr>
          <w:rFonts w:ascii="Book Antiqua" w:hAnsi="Book Antiqua"/>
        </w:rPr>
      </w:pPr>
      <w:r w:rsidRPr="000F7254">
        <w:rPr>
          <w:rFonts w:ascii="Book Antiqua" w:hAnsi="Book Antiqua"/>
        </w:rPr>
        <w:t>Are there ways to reduce the complexity of GRC proceedings and streamline GRC filings?  What are they?</w:t>
      </w:r>
    </w:p>
    <w:p w14:paraId="39CB6BD3" w14:textId="77777777" w:rsidR="00B702ED" w:rsidRPr="000F7254" w:rsidRDefault="00B702ED" w:rsidP="00D14898">
      <w:pPr>
        <w:pStyle w:val="standard0"/>
        <w:numPr>
          <w:ilvl w:val="0"/>
          <w:numId w:val="14"/>
        </w:numPr>
        <w:spacing w:after="120" w:line="240" w:lineRule="auto"/>
        <w:ind w:left="1080" w:right="720"/>
        <w:rPr>
          <w:rFonts w:ascii="Book Antiqua" w:hAnsi="Book Antiqua"/>
        </w:rPr>
      </w:pPr>
      <w:r w:rsidRPr="000F7254">
        <w:rPr>
          <w:rFonts w:ascii="Book Antiqua" w:hAnsi="Book Antiqua"/>
        </w:rPr>
        <w:t xml:space="preserve">What are other areas needing improvement within the current </w:t>
      </w:r>
      <w:r w:rsidR="00485EA8">
        <w:rPr>
          <w:rFonts w:ascii="Book Antiqua" w:hAnsi="Book Antiqua"/>
        </w:rPr>
        <w:t>RCP</w:t>
      </w:r>
      <w:r w:rsidRPr="000F7254">
        <w:rPr>
          <w:rFonts w:ascii="Book Antiqua" w:hAnsi="Book Antiqua"/>
        </w:rPr>
        <w:t>?</w:t>
      </w:r>
    </w:p>
    <w:p w14:paraId="4BF4637B" w14:textId="77777777" w:rsidR="00B702ED" w:rsidRPr="000F7254" w:rsidRDefault="00B702ED" w:rsidP="00D14898">
      <w:pPr>
        <w:pStyle w:val="standard0"/>
        <w:numPr>
          <w:ilvl w:val="0"/>
          <w:numId w:val="14"/>
        </w:numPr>
        <w:spacing w:after="240" w:line="240" w:lineRule="auto"/>
        <w:ind w:left="1080" w:right="720"/>
        <w:rPr>
          <w:rFonts w:ascii="Book Antiqua" w:hAnsi="Book Antiqua"/>
        </w:rPr>
      </w:pPr>
      <w:r w:rsidRPr="000F7254">
        <w:rPr>
          <w:rFonts w:ascii="Book Antiqua" w:hAnsi="Book Antiqua"/>
        </w:rPr>
        <w:lastRenderedPageBreak/>
        <w:t>Are there things the utilities or parties can do to assist the Commission to review GRC filings more efficiently?  If so, what are they?</w:t>
      </w:r>
      <w:r w:rsidRPr="000F7254">
        <w:rPr>
          <w:rStyle w:val="FootnoteReference"/>
          <w:rFonts w:ascii="Book Antiqua" w:hAnsi="Book Antiqua"/>
        </w:rPr>
        <w:footnoteReference w:id="37"/>
      </w:r>
    </w:p>
    <w:p w14:paraId="799939C0" w14:textId="77777777" w:rsidR="00B702ED" w:rsidRPr="000F7254" w:rsidRDefault="00A97164" w:rsidP="006F0AC0">
      <w:pPr>
        <w:pStyle w:val="standard0"/>
        <w:rPr>
          <w:rFonts w:ascii="Book Antiqua" w:hAnsi="Book Antiqua"/>
        </w:rPr>
      </w:pPr>
      <w:r>
        <w:rPr>
          <w:rFonts w:ascii="Book Antiqua" w:hAnsi="Book Antiqua"/>
        </w:rPr>
        <w:t xml:space="preserve">The </w:t>
      </w:r>
      <w:r w:rsidR="00B702ED" w:rsidRPr="000F7254">
        <w:rPr>
          <w:rFonts w:ascii="Book Antiqua" w:hAnsi="Book Antiqua"/>
        </w:rPr>
        <w:t xml:space="preserve">Energy Division invited a panel of speakers to address these questions, consisting of representatives from the Commission’s Safety Enforcement Division (SED), SDG&amp;E and SoCalGas, PG&amp;E, </w:t>
      </w:r>
      <w:r w:rsidR="003933C4">
        <w:rPr>
          <w:rFonts w:ascii="Book Antiqua" w:hAnsi="Book Antiqua"/>
        </w:rPr>
        <w:t>Public Advocates Office</w:t>
      </w:r>
      <w:r w:rsidR="00B702ED" w:rsidRPr="000F7254">
        <w:rPr>
          <w:rFonts w:ascii="Book Antiqua" w:hAnsi="Book Antiqua"/>
        </w:rPr>
        <w:t>, and TURN.</w:t>
      </w:r>
      <w:r w:rsidR="006859BA">
        <w:rPr>
          <w:rFonts w:ascii="Book Antiqua" w:hAnsi="Book Antiqua"/>
        </w:rPr>
        <w:t xml:space="preserve">  </w:t>
      </w:r>
      <w:r w:rsidR="006859BA">
        <w:t>P</w:t>
      </w:r>
      <w:r w:rsidR="006859BA" w:rsidRPr="000F7254">
        <w:t xml:space="preserve">articipants discussed the challenges that have impeded the Commission from resolving GRC proceedings </w:t>
      </w:r>
      <w:r w:rsidR="00E37E34">
        <w:t>according to the</w:t>
      </w:r>
      <w:r w:rsidR="006859BA">
        <w:t xml:space="preserve"> RCP schedule</w:t>
      </w:r>
      <w:r w:rsidR="006859BA" w:rsidRPr="000F7254">
        <w:t xml:space="preserve"> and possible ways to help the Commission process GRC proceedings more efficiently.</w:t>
      </w:r>
      <w:r w:rsidR="006859BA" w:rsidRPr="000F7254">
        <w:rPr>
          <w:rStyle w:val="FootnoteReference"/>
        </w:rPr>
        <w:footnoteReference w:id="38"/>
      </w:r>
      <w:r w:rsidR="006859BA">
        <w:t xml:space="preserve">  </w:t>
      </w:r>
    </w:p>
    <w:p w14:paraId="06497350" w14:textId="1725689B" w:rsidR="00485EA8" w:rsidRPr="000F7254" w:rsidRDefault="00B702ED" w:rsidP="00485EA8">
      <w:pPr>
        <w:pStyle w:val="standard0"/>
        <w:rPr>
          <w:rFonts w:ascii="Book Antiqua" w:hAnsi="Book Antiqua"/>
        </w:rPr>
      </w:pPr>
      <w:r w:rsidRPr="000F7254">
        <w:rPr>
          <w:rFonts w:ascii="Book Antiqua" w:hAnsi="Book Antiqua"/>
        </w:rPr>
        <w:t>The afternoon session of the workshop addressed the topic of “the pros and cons of a three</w:t>
      </w:r>
      <w:r w:rsidR="00FE5496">
        <w:rPr>
          <w:rFonts w:ascii="Book Antiqua" w:hAnsi="Book Antiqua"/>
        </w:rPr>
        <w:noBreakHyphen/>
      </w:r>
      <w:r w:rsidRPr="000F7254">
        <w:rPr>
          <w:rFonts w:ascii="Book Antiqua" w:hAnsi="Book Antiqua"/>
        </w:rPr>
        <w:t>year versus four</w:t>
      </w:r>
      <w:r w:rsidR="00FE5496">
        <w:rPr>
          <w:rFonts w:ascii="Book Antiqua" w:hAnsi="Book Antiqua"/>
        </w:rPr>
        <w:noBreakHyphen/>
      </w:r>
      <w:r w:rsidRPr="000F7254">
        <w:rPr>
          <w:rFonts w:ascii="Book Antiqua" w:hAnsi="Book Antiqua"/>
        </w:rPr>
        <w:t>year GRC cycle</w:t>
      </w:r>
      <w:r w:rsidR="0027057D">
        <w:rPr>
          <w:rFonts w:ascii="Book Antiqua" w:hAnsi="Book Antiqua"/>
        </w:rPr>
        <w:t>.</w:t>
      </w:r>
      <w:r w:rsidRPr="000F7254">
        <w:rPr>
          <w:rFonts w:ascii="Book Antiqua" w:hAnsi="Book Antiqua"/>
        </w:rPr>
        <w:t>”</w:t>
      </w:r>
      <w:r w:rsidR="0027057D">
        <w:rPr>
          <w:rFonts w:ascii="Book Antiqua" w:hAnsi="Book Antiqua"/>
        </w:rPr>
        <w:t xml:space="preserve">  </w:t>
      </w:r>
      <w:r w:rsidR="00E37E34">
        <w:rPr>
          <w:rFonts w:ascii="Book Antiqua" w:hAnsi="Book Antiqua"/>
        </w:rPr>
        <w:t>Staff</w:t>
      </w:r>
      <w:r w:rsidR="00485EA8" w:rsidRPr="000F7254">
        <w:rPr>
          <w:rFonts w:ascii="Book Antiqua" w:hAnsi="Book Antiqua"/>
        </w:rPr>
        <w:t xml:space="preserve"> again </w:t>
      </w:r>
      <w:r w:rsidR="0014420A">
        <w:rPr>
          <w:rFonts w:ascii="Book Antiqua" w:hAnsi="Book Antiqua"/>
        </w:rPr>
        <w:t>provided</w:t>
      </w:r>
      <w:r w:rsidR="0014420A" w:rsidRPr="000F7254">
        <w:rPr>
          <w:rFonts w:ascii="Book Antiqua" w:hAnsi="Book Antiqua"/>
        </w:rPr>
        <w:t xml:space="preserve"> </w:t>
      </w:r>
      <w:r w:rsidR="00485EA8" w:rsidRPr="000F7254">
        <w:rPr>
          <w:rFonts w:ascii="Book Antiqua" w:hAnsi="Book Antiqua"/>
        </w:rPr>
        <w:t xml:space="preserve">a number of questions to participants </w:t>
      </w:r>
      <w:r w:rsidR="00485EA8">
        <w:rPr>
          <w:rFonts w:ascii="Book Antiqua" w:hAnsi="Book Antiqua"/>
        </w:rPr>
        <w:t>prior to the workshop</w:t>
      </w:r>
      <w:r w:rsidR="00485EA8" w:rsidRPr="000F7254">
        <w:rPr>
          <w:rFonts w:ascii="Book Antiqua" w:hAnsi="Book Antiqua"/>
        </w:rPr>
        <w:t xml:space="preserve">: </w:t>
      </w:r>
    </w:p>
    <w:p w14:paraId="4AD98194" w14:textId="34EB98B7" w:rsidR="00485EA8" w:rsidRPr="000F7254" w:rsidRDefault="00485EA8" w:rsidP="00D14898">
      <w:pPr>
        <w:pStyle w:val="standard0"/>
        <w:numPr>
          <w:ilvl w:val="0"/>
          <w:numId w:val="15"/>
        </w:numPr>
        <w:spacing w:after="120" w:line="240" w:lineRule="auto"/>
        <w:ind w:left="1080" w:right="720"/>
        <w:rPr>
          <w:rFonts w:ascii="Book Antiqua" w:hAnsi="Book Antiqua"/>
        </w:rPr>
      </w:pPr>
      <w:r w:rsidRPr="000F7254">
        <w:rPr>
          <w:rFonts w:ascii="Book Antiqua" w:hAnsi="Book Antiqua"/>
        </w:rPr>
        <w:t>Does a four</w:t>
      </w:r>
      <w:r w:rsidR="00FE5496">
        <w:rPr>
          <w:rFonts w:ascii="Book Antiqua" w:hAnsi="Book Antiqua"/>
        </w:rPr>
        <w:noBreakHyphen/>
      </w:r>
      <w:r w:rsidRPr="000F7254">
        <w:rPr>
          <w:rFonts w:ascii="Book Antiqua" w:hAnsi="Book Antiqua"/>
        </w:rPr>
        <w:t>year GRC cycle relieve constrained resources issues (Commission staff – ALJ, E</w:t>
      </w:r>
      <w:r w:rsidR="000D6852">
        <w:rPr>
          <w:rFonts w:ascii="Book Antiqua" w:hAnsi="Book Antiqua"/>
        </w:rPr>
        <w:t xml:space="preserve">nergy </w:t>
      </w:r>
      <w:r w:rsidRPr="000F7254">
        <w:rPr>
          <w:rFonts w:ascii="Book Antiqua" w:hAnsi="Book Antiqua"/>
        </w:rPr>
        <w:t>D</w:t>
      </w:r>
      <w:r w:rsidR="000D6852">
        <w:rPr>
          <w:rFonts w:ascii="Book Antiqua" w:hAnsi="Book Antiqua"/>
        </w:rPr>
        <w:t>ivision</w:t>
      </w:r>
      <w:r w:rsidRPr="000F7254">
        <w:rPr>
          <w:rFonts w:ascii="Book Antiqua" w:hAnsi="Book Antiqua"/>
        </w:rPr>
        <w:t xml:space="preserve">, SED, </w:t>
      </w:r>
      <w:r w:rsidR="003933C4">
        <w:rPr>
          <w:rFonts w:ascii="Book Antiqua" w:hAnsi="Book Antiqua"/>
        </w:rPr>
        <w:t>Public Advocates Office</w:t>
      </w:r>
      <w:r w:rsidRPr="000F7254">
        <w:rPr>
          <w:rFonts w:ascii="Book Antiqua" w:hAnsi="Book Antiqua"/>
        </w:rPr>
        <w:t>, and parties)?  What resources would be freed up with the four</w:t>
      </w:r>
      <w:r w:rsidR="00FE5496">
        <w:rPr>
          <w:rFonts w:ascii="Book Antiqua" w:hAnsi="Book Antiqua"/>
        </w:rPr>
        <w:noBreakHyphen/>
      </w:r>
      <w:r w:rsidRPr="000F7254">
        <w:rPr>
          <w:rFonts w:ascii="Book Antiqua" w:hAnsi="Book Antiqua"/>
        </w:rPr>
        <w:t>year cycle that are currently constrained by the three</w:t>
      </w:r>
      <w:r w:rsidR="00FE5496">
        <w:rPr>
          <w:rFonts w:ascii="Book Antiqua" w:hAnsi="Book Antiqua"/>
        </w:rPr>
        <w:noBreakHyphen/>
      </w:r>
      <w:r w:rsidRPr="000F7254">
        <w:rPr>
          <w:rFonts w:ascii="Book Antiqua" w:hAnsi="Book Antiqua"/>
        </w:rPr>
        <w:t xml:space="preserve">year cycle? </w:t>
      </w:r>
    </w:p>
    <w:p w14:paraId="154CE97A" w14:textId="568C3704" w:rsidR="00485EA8" w:rsidRPr="000F7254" w:rsidRDefault="00485EA8" w:rsidP="00D14898">
      <w:pPr>
        <w:pStyle w:val="standard0"/>
        <w:numPr>
          <w:ilvl w:val="0"/>
          <w:numId w:val="15"/>
        </w:numPr>
        <w:spacing w:after="120" w:line="240" w:lineRule="auto"/>
        <w:ind w:left="1080" w:right="720"/>
        <w:rPr>
          <w:rFonts w:ascii="Book Antiqua" w:hAnsi="Book Antiqua"/>
        </w:rPr>
      </w:pPr>
      <w:r w:rsidRPr="000F7254">
        <w:rPr>
          <w:rFonts w:ascii="Book Antiqua" w:hAnsi="Book Antiqua"/>
        </w:rPr>
        <w:t>What processes and/or procedures are improved with a four</w:t>
      </w:r>
      <w:r w:rsidR="00FE5496">
        <w:rPr>
          <w:rFonts w:ascii="Book Antiqua" w:hAnsi="Book Antiqua"/>
        </w:rPr>
        <w:noBreakHyphen/>
      </w:r>
      <w:r w:rsidRPr="000F7254">
        <w:rPr>
          <w:rFonts w:ascii="Book Antiqua" w:hAnsi="Book Antiqua"/>
        </w:rPr>
        <w:t>year GRC cycle?  What other benefits does a four</w:t>
      </w:r>
      <w:r w:rsidR="00FE5496">
        <w:rPr>
          <w:rFonts w:ascii="Book Antiqua" w:hAnsi="Book Antiqua"/>
        </w:rPr>
        <w:noBreakHyphen/>
      </w:r>
      <w:r w:rsidRPr="000F7254">
        <w:rPr>
          <w:rFonts w:ascii="Book Antiqua" w:hAnsi="Book Antiqua"/>
        </w:rPr>
        <w:t>year GRC cycle bring?</w:t>
      </w:r>
    </w:p>
    <w:p w14:paraId="42A5B793" w14:textId="77254418" w:rsidR="00485EA8" w:rsidRPr="000F7254" w:rsidRDefault="00485EA8" w:rsidP="00D14898">
      <w:pPr>
        <w:pStyle w:val="standard0"/>
        <w:numPr>
          <w:ilvl w:val="0"/>
          <w:numId w:val="15"/>
        </w:numPr>
        <w:spacing w:after="120" w:line="240" w:lineRule="auto"/>
        <w:ind w:left="1080" w:right="720"/>
        <w:rPr>
          <w:rFonts w:ascii="Book Antiqua" w:hAnsi="Book Antiqua"/>
        </w:rPr>
      </w:pPr>
      <w:r w:rsidRPr="000F7254">
        <w:rPr>
          <w:rFonts w:ascii="Book Antiqua" w:hAnsi="Book Antiqua"/>
        </w:rPr>
        <w:t>What issues does a four</w:t>
      </w:r>
      <w:r w:rsidR="00FE5496">
        <w:rPr>
          <w:rFonts w:ascii="Book Antiqua" w:hAnsi="Book Antiqua"/>
        </w:rPr>
        <w:noBreakHyphen/>
      </w:r>
      <w:r w:rsidRPr="000F7254">
        <w:rPr>
          <w:rFonts w:ascii="Book Antiqua" w:hAnsi="Book Antiqua"/>
        </w:rPr>
        <w:t>year cycle create that would not occur in a three</w:t>
      </w:r>
      <w:r w:rsidR="00FE5496">
        <w:rPr>
          <w:rFonts w:ascii="Book Antiqua" w:hAnsi="Book Antiqua"/>
        </w:rPr>
        <w:noBreakHyphen/>
      </w:r>
      <w:r w:rsidRPr="000F7254">
        <w:rPr>
          <w:rFonts w:ascii="Book Antiqua" w:hAnsi="Book Antiqua"/>
        </w:rPr>
        <w:t>year cycle?</w:t>
      </w:r>
    </w:p>
    <w:p w14:paraId="6A805C77" w14:textId="1666CE6E" w:rsidR="00485EA8" w:rsidRDefault="00485EA8" w:rsidP="00D14898">
      <w:pPr>
        <w:pStyle w:val="standard0"/>
        <w:numPr>
          <w:ilvl w:val="0"/>
          <w:numId w:val="15"/>
        </w:numPr>
        <w:spacing w:after="240" w:line="240" w:lineRule="auto"/>
        <w:ind w:left="1080" w:right="720"/>
        <w:rPr>
          <w:rFonts w:ascii="Book Antiqua" w:hAnsi="Book Antiqua"/>
        </w:rPr>
      </w:pPr>
      <w:r w:rsidRPr="00485EA8">
        <w:rPr>
          <w:rFonts w:ascii="Book Antiqua" w:hAnsi="Book Antiqua"/>
        </w:rPr>
        <w:t>Why should the Commission pursue or not pursue a four</w:t>
      </w:r>
      <w:r w:rsidR="00FE5496">
        <w:rPr>
          <w:rFonts w:ascii="Book Antiqua" w:hAnsi="Book Antiqua"/>
        </w:rPr>
        <w:noBreakHyphen/>
      </w:r>
      <w:r w:rsidRPr="00485EA8">
        <w:rPr>
          <w:rFonts w:ascii="Book Antiqua" w:hAnsi="Book Antiqua"/>
        </w:rPr>
        <w:t>year GRC cycle?  What assurances are there that a four</w:t>
      </w:r>
      <w:r w:rsidR="00FE5496">
        <w:rPr>
          <w:rFonts w:ascii="Book Antiqua" w:hAnsi="Book Antiqua"/>
        </w:rPr>
        <w:noBreakHyphen/>
      </w:r>
      <w:r w:rsidRPr="00485EA8">
        <w:rPr>
          <w:rFonts w:ascii="Book Antiqua" w:hAnsi="Book Antiqua"/>
        </w:rPr>
        <w:t>year cycle wouldn’t suffer the same delays as the three</w:t>
      </w:r>
      <w:r w:rsidR="00FE5496">
        <w:rPr>
          <w:rFonts w:ascii="Book Antiqua" w:hAnsi="Book Antiqua"/>
        </w:rPr>
        <w:noBreakHyphen/>
      </w:r>
      <w:r w:rsidRPr="00485EA8">
        <w:rPr>
          <w:rFonts w:ascii="Book Antiqua" w:hAnsi="Book Antiqua"/>
        </w:rPr>
        <w:t>year cycle?</w:t>
      </w:r>
      <w:r w:rsidRPr="000F7254">
        <w:rPr>
          <w:rStyle w:val="FootnoteReference"/>
          <w:rFonts w:ascii="Book Antiqua" w:hAnsi="Book Antiqua"/>
        </w:rPr>
        <w:footnoteReference w:id="39"/>
      </w:r>
    </w:p>
    <w:p w14:paraId="596827CE" w14:textId="211F8E21" w:rsidR="00B702ED" w:rsidRPr="00485EA8" w:rsidRDefault="0027057D" w:rsidP="00485EA8">
      <w:pPr>
        <w:pStyle w:val="standard0"/>
        <w:rPr>
          <w:rFonts w:ascii="Book Antiqua" w:hAnsi="Book Antiqua"/>
        </w:rPr>
      </w:pPr>
      <w:r w:rsidRPr="00485EA8">
        <w:rPr>
          <w:rFonts w:ascii="Book Antiqua" w:hAnsi="Book Antiqua"/>
        </w:rPr>
        <w:lastRenderedPageBreak/>
        <w:t>P</w:t>
      </w:r>
      <w:r w:rsidR="00B702ED" w:rsidRPr="00485EA8">
        <w:rPr>
          <w:rFonts w:ascii="Book Antiqua" w:hAnsi="Book Antiqua"/>
        </w:rPr>
        <w:t xml:space="preserve">anelists from the Sempra Utilities </w:t>
      </w:r>
      <w:r w:rsidR="00485EA8" w:rsidRPr="00485EA8">
        <w:rPr>
          <w:rFonts w:ascii="Book Antiqua" w:hAnsi="Book Antiqua"/>
        </w:rPr>
        <w:t>(</w:t>
      </w:r>
      <w:bookmarkStart w:id="24" w:name="_Hlk19636400"/>
      <w:r w:rsidR="00B702ED" w:rsidRPr="00485EA8">
        <w:rPr>
          <w:rFonts w:ascii="Book Antiqua" w:hAnsi="Book Antiqua"/>
        </w:rPr>
        <w:t>SDG&amp;E and SoCalGas</w:t>
      </w:r>
      <w:bookmarkEnd w:id="24"/>
      <w:r w:rsidR="00485EA8" w:rsidRPr="00485EA8">
        <w:rPr>
          <w:rFonts w:ascii="Book Antiqua" w:hAnsi="Book Antiqua"/>
        </w:rPr>
        <w:t>)</w:t>
      </w:r>
      <w:r w:rsidR="00B702ED" w:rsidRPr="00485EA8">
        <w:rPr>
          <w:rFonts w:ascii="Book Antiqua" w:hAnsi="Book Antiqua"/>
        </w:rPr>
        <w:t xml:space="preserve">, PG&amp;E, </w:t>
      </w:r>
      <w:r w:rsidR="003933C4">
        <w:rPr>
          <w:rFonts w:ascii="Book Antiqua" w:hAnsi="Book Antiqua"/>
        </w:rPr>
        <w:t>Public Advocates Office</w:t>
      </w:r>
      <w:r w:rsidR="00B702ED" w:rsidRPr="00485EA8">
        <w:rPr>
          <w:rFonts w:ascii="Book Antiqua" w:hAnsi="Book Antiqua"/>
        </w:rPr>
        <w:t xml:space="preserve">, and TURN </w:t>
      </w:r>
      <w:r w:rsidR="0014420A">
        <w:rPr>
          <w:rFonts w:ascii="Book Antiqua" w:hAnsi="Book Antiqua"/>
        </w:rPr>
        <w:t>discussed</w:t>
      </w:r>
      <w:r w:rsidR="00B702ED" w:rsidRPr="00485EA8">
        <w:rPr>
          <w:rFonts w:ascii="Book Antiqua" w:hAnsi="Book Antiqua"/>
        </w:rPr>
        <w:t xml:space="preserve"> the challenges of a three</w:t>
      </w:r>
      <w:r w:rsidR="00FE5496">
        <w:rPr>
          <w:rFonts w:ascii="Book Antiqua" w:hAnsi="Book Antiqua"/>
        </w:rPr>
        <w:noBreakHyphen/>
      </w:r>
      <w:r w:rsidR="00B702ED" w:rsidRPr="00485EA8">
        <w:rPr>
          <w:rFonts w:ascii="Book Antiqua" w:hAnsi="Book Antiqua"/>
        </w:rPr>
        <w:t>year rate case cycle versus a four</w:t>
      </w:r>
      <w:r w:rsidR="00FE5496">
        <w:rPr>
          <w:rFonts w:ascii="Book Antiqua" w:hAnsi="Book Antiqua"/>
        </w:rPr>
        <w:noBreakHyphen/>
      </w:r>
      <w:r w:rsidR="00B702ED" w:rsidRPr="00485EA8">
        <w:rPr>
          <w:rFonts w:ascii="Book Antiqua" w:hAnsi="Book Antiqua"/>
        </w:rPr>
        <w:t>year rate case cycle.</w:t>
      </w:r>
      <w:r w:rsidR="00B702ED" w:rsidRPr="00485EA8">
        <w:rPr>
          <w:rStyle w:val="FootnoteReference"/>
          <w:rFonts w:ascii="Book Antiqua" w:hAnsi="Book Antiqua"/>
        </w:rPr>
        <w:footnoteReference w:id="40"/>
      </w:r>
    </w:p>
    <w:p w14:paraId="0BCBFD3B" w14:textId="77777777" w:rsidR="00B702ED" w:rsidRDefault="00B702ED" w:rsidP="004B5523">
      <w:pPr>
        <w:pStyle w:val="Heading1"/>
      </w:pPr>
      <w:bookmarkStart w:id="25" w:name="_Toc13244193"/>
      <w:bookmarkStart w:id="26" w:name="_Toc20998446"/>
      <w:bookmarkStart w:id="27" w:name="_Toc29817390"/>
      <w:r>
        <w:t>Energy Division Recommendations</w:t>
      </w:r>
      <w:bookmarkEnd w:id="25"/>
      <w:bookmarkEnd w:id="26"/>
      <w:bookmarkEnd w:id="27"/>
    </w:p>
    <w:p w14:paraId="2BBE696C" w14:textId="4E71381A" w:rsidR="00B702ED" w:rsidRPr="000F7254" w:rsidRDefault="00485EA8" w:rsidP="00B702ED">
      <w:pPr>
        <w:pStyle w:val="standard0"/>
        <w:rPr>
          <w:rFonts w:ascii="Book Antiqua" w:hAnsi="Book Antiqua"/>
        </w:rPr>
      </w:pPr>
      <w:r>
        <w:rPr>
          <w:rFonts w:ascii="Book Antiqua" w:hAnsi="Book Antiqua"/>
        </w:rPr>
        <w:t xml:space="preserve">The </w:t>
      </w:r>
      <w:r w:rsidR="00B702ED" w:rsidRPr="000F7254">
        <w:rPr>
          <w:rFonts w:ascii="Book Antiqua" w:hAnsi="Book Antiqua"/>
        </w:rPr>
        <w:t>Energy Division</w:t>
      </w:r>
      <w:r>
        <w:rPr>
          <w:rFonts w:ascii="Book Antiqua" w:hAnsi="Book Antiqua"/>
        </w:rPr>
        <w:t>’s post</w:t>
      </w:r>
      <w:r w:rsidR="00FE5496">
        <w:rPr>
          <w:rFonts w:ascii="Book Antiqua" w:hAnsi="Book Antiqua"/>
        </w:rPr>
        <w:noBreakHyphen/>
      </w:r>
      <w:r>
        <w:rPr>
          <w:rFonts w:ascii="Book Antiqua" w:hAnsi="Book Antiqua"/>
        </w:rPr>
        <w:t>workshop Staff Report incl</w:t>
      </w:r>
      <w:r w:rsidR="00B702ED" w:rsidRPr="000F7254">
        <w:rPr>
          <w:rFonts w:ascii="Book Antiqua" w:hAnsi="Book Antiqua"/>
        </w:rPr>
        <w:t>ud</w:t>
      </w:r>
      <w:r>
        <w:rPr>
          <w:rFonts w:ascii="Book Antiqua" w:hAnsi="Book Antiqua"/>
        </w:rPr>
        <w:t>ed</w:t>
      </w:r>
      <w:r w:rsidR="00B702ED" w:rsidRPr="000F7254">
        <w:rPr>
          <w:rFonts w:ascii="Book Antiqua" w:hAnsi="Book Antiqua"/>
        </w:rPr>
        <w:t xml:space="preserve"> a detailed review and discussion of parties’ presentations and </w:t>
      </w:r>
      <w:r>
        <w:rPr>
          <w:rFonts w:ascii="Book Antiqua" w:hAnsi="Book Antiqua"/>
        </w:rPr>
        <w:t xml:space="preserve">positions </w:t>
      </w:r>
      <w:r w:rsidR="0027057D">
        <w:rPr>
          <w:rFonts w:ascii="Book Antiqua" w:hAnsi="Book Antiqua"/>
        </w:rPr>
        <w:t>(Appendix A of the Staff Report provides</w:t>
      </w:r>
      <w:r w:rsidR="00E37E34">
        <w:rPr>
          <w:rFonts w:ascii="Book Antiqua" w:hAnsi="Book Antiqua"/>
        </w:rPr>
        <w:t xml:space="preserve"> links to</w:t>
      </w:r>
      <w:r w:rsidR="0027057D">
        <w:rPr>
          <w:rFonts w:ascii="Book Antiqua" w:hAnsi="Book Antiqua"/>
        </w:rPr>
        <w:t xml:space="preserve"> parties’ workshop presentations</w:t>
      </w:r>
      <w:r w:rsidR="00E37E34">
        <w:rPr>
          <w:rFonts w:ascii="Book Antiqua" w:hAnsi="Book Antiqua"/>
        </w:rPr>
        <w:t>, which are posted on the Commission’s website</w:t>
      </w:r>
      <w:r w:rsidR="0027057D">
        <w:rPr>
          <w:rFonts w:ascii="Book Antiqua" w:hAnsi="Book Antiqua"/>
        </w:rPr>
        <w:t>)</w:t>
      </w:r>
      <w:r w:rsidR="00B702ED" w:rsidRPr="000F7254">
        <w:rPr>
          <w:rFonts w:ascii="Book Antiqua" w:hAnsi="Book Antiqua"/>
        </w:rPr>
        <w:t xml:space="preserve">.  The </w:t>
      </w:r>
      <w:r>
        <w:rPr>
          <w:rFonts w:ascii="Book Antiqua" w:hAnsi="Book Antiqua"/>
        </w:rPr>
        <w:t>Staff Report</w:t>
      </w:r>
      <w:r w:rsidR="00B702ED" w:rsidRPr="000F7254">
        <w:rPr>
          <w:rFonts w:ascii="Book Antiqua" w:hAnsi="Book Antiqua"/>
        </w:rPr>
        <w:t xml:space="preserve"> concluded with the following</w:t>
      </w:r>
      <w:r w:rsidRPr="00485EA8">
        <w:rPr>
          <w:rFonts w:ascii="Book Antiqua" w:hAnsi="Book Antiqua"/>
        </w:rPr>
        <w:t xml:space="preserve"> </w:t>
      </w:r>
      <w:r w:rsidRPr="000F7254">
        <w:rPr>
          <w:rFonts w:ascii="Book Antiqua" w:hAnsi="Book Antiqua"/>
        </w:rPr>
        <w:t>recommendations</w:t>
      </w:r>
      <w:r w:rsidR="00B702ED" w:rsidRPr="000F7254">
        <w:rPr>
          <w:rFonts w:ascii="Book Antiqua" w:hAnsi="Book Antiqua"/>
        </w:rPr>
        <w:t>:</w:t>
      </w:r>
    </w:p>
    <w:p w14:paraId="42DF156C" w14:textId="66C1F4C3" w:rsidR="00B702ED" w:rsidRPr="000D7F9B" w:rsidRDefault="00B702ED" w:rsidP="00D14898">
      <w:pPr>
        <w:numPr>
          <w:ilvl w:val="1"/>
          <w:numId w:val="13"/>
        </w:numPr>
        <w:spacing w:after="120" w:line="240" w:lineRule="auto"/>
        <w:ind w:left="1080" w:right="720"/>
      </w:pPr>
      <w:r w:rsidRPr="000D7F9B">
        <w:t>The Commission should retain the current</w:t>
      </w:r>
      <w:r w:rsidR="0027057D">
        <w:t xml:space="preserve"> </w:t>
      </w:r>
      <w:r w:rsidRPr="000D7F9B">
        <w:t>three</w:t>
      </w:r>
      <w:r w:rsidR="00FE5496">
        <w:noBreakHyphen/>
      </w:r>
      <w:r w:rsidRPr="000D7F9B">
        <w:t>year GRC cycle</w:t>
      </w:r>
      <w:r w:rsidR="00F90E23">
        <w:t>, because its drawbacks are outweighed by challenges created by moving to a four</w:t>
      </w:r>
      <w:r w:rsidR="00FE5496">
        <w:noBreakHyphen/>
      </w:r>
      <w:r w:rsidR="00F90E23">
        <w:t>year cycle</w:t>
      </w:r>
      <w:r w:rsidRPr="000D7F9B">
        <w:t>.</w:t>
      </w:r>
    </w:p>
    <w:p w14:paraId="0345AB20" w14:textId="77777777" w:rsidR="00B702ED" w:rsidRPr="000D7F9B" w:rsidRDefault="00B702ED" w:rsidP="00D14898">
      <w:pPr>
        <w:numPr>
          <w:ilvl w:val="1"/>
          <w:numId w:val="13"/>
        </w:numPr>
        <w:spacing w:after="120" w:line="240" w:lineRule="auto"/>
        <w:ind w:left="1080" w:right="720"/>
      </w:pPr>
      <w:r w:rsidRPr="000D7F9B">
        <w:t>The Commission should direct PG&amp;E to combine its</w:t>
      </w:r>
      <w:r w:rsidR="0027057D">
        <w:t xml:space="preserve"> </w:t>
      </w:r>
      <w:r w:rsidRPr="000D7F9B">
        <w:t>gas transmission and storage (GT&amp;S) and GRC proceedings</w:t>
      </w:r>
      <w:r w:rsidR="00F90E23">
        <w:t>, because a single proceeding would provide the Commission with the best overall picture of PG&amp;E’s operations.</w:t>
      </w:r>
    </w:p>
    <w:p w14:paraId="22C2AAC4" w14:textId="25904B7A" w:rsidR="00B702ED" w:rsidRPr="000D7F9B" w:rsidRDefault="00B702ED" w:rsidP="00D14898">
      <w:pPr>
        <w:numPr>
          <w:ilvl w:val="1"/>
          <w:numId w:val="13"/>
        </w:numPr>
        <w:spacing w:after="120" w:line="240" w:lineRule="auto"/>
        <w:ind w:left="1080" w:right="720"/>
      </w:pPr>
      <w:r w:rsidRPr="000D7F9B">
        <w:t xml:space="preserve">The Commission should </w:t>
      </w:r>
      <w:r w:rsidR="00F61686" w:rsidRPr="000D7F9B">
        <w:t>modify</w:t>
      </w:r>
      <w:r w:rsidR="00F61686">
        <w:t xml:space="preserve"> </w:t>
      </w:r>
      <w:r w:rsidRPr="000D7F9B">
        <w:t xml:space="preserve">the Rate Case Plan to </w:t>
      </w:r>
      <w:r w:rsidR="00F61686" w:rsidRPr="000D7F9B">
        <w:t>move</w:t>
      </w:r>
      <w:r w:rsidR="00F61686">
        <w:t xml:space="preserve"> </w:t>
      </w:r>
      <w:r w:rsidR="00934D39">
        <w:t xml:space="preserve">the </w:t>
      </w:r>
      <w:r w:rsidR="00934D39" w:rsidRPr="000D7F9B">
        <w:t xml:space="preserve">submittal date </w:t>
      </w:r>
      <w:r w:rsidR="00934D39">
        <w:t xml:space="preserve">for the </w:t>
      </w:r>
      <w:r w:rsidR="003933C4">
        <w:t>Public Advocates Office</w:t>
      </w:r>
      <w:r w:rsidRPr="000D7F9B">
        <w:t>’s opening testimony from the current February date to April</w:t>
      </w:r>
      <w:r w:rsidR="00F90E23">
        <w:t xml:space="preserve">, because the additional time is necessary </w:t>
      </w:r>
      <w:r w:rsidR="00904C0C">
        <w:t xml:space="preserve">for </w:t>
      </w:r>
      <w:r w:rsidR="00934D39">
        <w:t xml:space="preserve">the </w:t>
      </w:r>
      <w:r w:rsidR="003933C4">
        <w:t>Public Advocates Office</w:t>
      </w:r>
      <w:r w:rsidR="00904C0C">
        <w:t xml:space="preserve"> to prepare the comprehensive testimony that the Commission requires for its decision</w:t>
      </w:r>
      <w:r w:rsidR="00FE5496">
        <w:noBreakHyphen/>
      </w:r>
      <w:r w:rsidR="00904C0C">
        <w:t>making.</w:t>
      </w:r>
    </w:p>
    <w:p w14:paraId="211DE744" w14:textId="77777777" w:rsidR="00B702ED" w:rsidRPr="000D7F9B" w:rsidRDefault="00904C0C" w:rsidP="00D14898">
      <w:pPr>
        <w:numPr>
          <w:ilvl w:val="1"/>
          <w:numId w:val="13"/>
        </w:numPr>
        <w:spacing w:after="120" w:line="240" w:lineRule="auto"/>
        <w:ind w:left="1080" w:right="720"/>
      </w:pPr>
      <w:r>
        <w:t>In order t</w:t>
      </w:r>
      <w:r w:rsidR="00B702ED" w:rsidRPr="000D7F9B">
        <w:t xml:space="preserve">o improve the efficiency </w:t>
      </w:r>
      <w:r>
        <w:t>of</w:t>
      </w:r>
      <w:r w:rsidR="00B702ED" w:rsidRPr="000D7F9B">
        <w:t xml:space="preserve"> GRC proceedings, Energy Division </w:t>
      </w:r>
      <w:r w:rsidR="00F61686" w:rsidRPr="000D7F9B">
        <w:t>should</w:t>
      </w:r>
      <w:r w:rsidR="00F61686">
        <w:t xml:space="preserve"> </w:t>
      </w:r>
      <w:r w:rsidR="00F61686" w:rsidRPr="000D7F9B">
        <w:t>host</w:t>
      </w:r>
      <w:r w:rsidR="00F61686">
        <w:t xml:space="preserve"> </w:t>
      </w:r>
      <w:r w:rsidR="00B702ED" w:rsidRPr="000D7F9B">
        <w:t xml:space="preserve">additional workshops </w:t>
      </w:r>
      <w:r w:rsidR="00F61686" w:rsidRPr="000D7F9B">
        <w:t>to</w:t>
      </w:r>
      <w:r w:rsidR="00F61686">
        <w:t xml:space="preserve"> </w:t>
      </w:r>
      <w:r w:rsidR="00B702ED" w:rsidRPr="000D7F9B">
        <w:t>address the following topics:</w:t>
      </w:r>
    </w:p>
    <w:p w14:paraId="133DDFD1" w14:textId="77777777" w:rsidR="00B702ED" w:rsidRPr="000D7F9B" w:rsidRDefault="00904C0C" w:rsidP="00D14898">
      <w:pPr>
        <w:numPr>
          <w:ilvl w:val="2"/>
          <w:numId w:val="13"/>
        </w:numPr>
        <w:spacing w:after="120" w:line="240" w:lineRule="auto"/>
        <w:ind w:left="1620" w:right="720" w:hanging="540"/>
      </w:pPr>
      <w:r>
        <w:t>Broader s</w:t>
      </w:r>
      <w:r w:rsidR="00B702ED" w:rsidRPr="000D7F9B">
        <w:t>tandardiz</w:t>
      </w:r>
      <w:r>
        <w:t xml:space="preserve">ation of </w:t>
      </w:r>
      <w:r w:rsidR="00B702ED" w:rsidRPr="000D7F9B">
        <w:t>GRC filings</w:t>
      </w:r>
      <w:r>
        <w:t xml:space="preserve"> across the utilities;</w:t>
      </w:r>
    </w:p>
    <w:p w14:paraId="47C00CAC" w14:textId="77777777" w:rsidR="00B702ED" w:rsidRPr="000D7F9B" w:rsidRDefault="00B702ED" w:rsidP="00D14898">
      <w:pPr>
        <w:numPr>
          <w:ilvl w:val="2"/>
          <w:numId w:val="13"/>
        </w:numPr>
        <w:spacing w:after="120" w:line="240" w:lineRule="auto"/>
        <w:ind w:left="1620" w:right="720" w:hanging="540"/>
      </w:pPr>
      <w:r w:rsidRPr="000D7F9B">
        <w:t>The feasibility for the Commission to adopt stipulated</w:t>
      </w:r>
      <w:r w:rsidR="00F61686">
        <w:t xml:space="preserve"> </w:t>
      </w:r>
      <w:r w:rsidRPr="000D7F9B">
        <w:t>terms</w:t>
      </w:r>
      <w:r w:rsidR="00F61686">
        <w:t xml:space="preserve"> </w:t>
      </w:r>
      <w:r w:rsidRPr="000D7F9B">
        <w:t>or rebuttable presumptions</w:t>
      </w:r>
      <w:r w:rsidR="00F61686">
        <w:t xml:space="preserve"> </w:t>
      </w:r>
      <w:r w:rsidR="00023781">
        <w:t>in order to reduce litigated issues</w:t>
      </w:r>
      <w:r w:rsidR="00904C0C">
        <w:t>;</w:t>
      </w:r>
    </w:p>
    <w:p w14:paraId="2DB301B8" w14:textId="77777777" w:rsidR="00B702ED" w:rsidRPr="000D7F9B" w:rsidRDefault="00B702ED" w:rsidP="00D14898">
      <w:pPr>
        <w:numPr>
          <w:ilvl w:val="2"/>
          <w:numId w:val="13"/>
        </w:numPr>
        <w:spacing w:after="120" w:line="240" w:lineRule="auto"/>
        <w:ind w:left="1620" w:right="720" w:hanging="540"/>
      </w:pPr>
      <w:r w:rsidRPr="000D7F9B">
        <w:lastRenderedPageBreak/>
        <w:t>Results of Operations</w:t>
      </w:r>
      <w:r w:rsidR="00F61686">
        <w:t xml:space="preserve"> </w:t>
      </w:r>
      <w:r w:rsidRPr="000D7F9B">
        <w:t>(RO)</w:t>
      </w:r>
      <w:r w:rsidR="00F61686">
        <w:t xml:space="preserve"> </w:t>
      </w:r>
      <w:r w:rsidRPr="000D7F9B">
        <w:t>model uniformity</w:t>
      </w:r>
      <w:r w:rsidR="00904C0C">
        <w:t>; and</w:t>
      </w:r>
    </w:p>
    <w:p w14:paraId="4755C483" w14:textId="77777777" w:rsidR="00B702ED" w:rsidRPr="000D7F9B" w:rsidRDefault="00B702ED" w:rsidP="00D14898">
      <w:pPr>
        <w:numPr>
          <w:ilvl w:val="2"/>
          <w:numId w:val="13"/>
        </w:numPr>
        <w:spacing w:after="240" w:line="240" w:lineRule="auto"/>
        <w:ind w:left="1620" w:right="720" w:hanging="540"/>
      </w:pPr>
      <w:r w:rsidRPr="000D7F9B">
        <w:t xml:space="preserve">The feasibility </w:t>
      </w:r>
      <w:r w:rsidR="00023781">
        <w:t>of</w:t>
      </w:r>
      <w:r w:rsidRPr="000D7F9B">
        <w:t xml:space="preserve"> utilities </w:t>
      </w:r>
      <w:r w:rsidR="00023781">
        <w:t>submitting their</w:t>
      </w:r>
      <w:r w:rsidRPr="000D7F9B">
        <w:t xml:space="preserve"> GRC</w:t>
      </w:r>
      <w:r w:rsidR="00023781">
        <w:t xml:space="preserve"> request</w:t>
      </w:r>
      <w:r w:rsidRPr="000D7F9B">
        <w:t>s using the</w:t>
      </w:r>
      <w:r w:rsidR="00023781">
        <w:t xml:space="preserve"> standard</w:t>
      </w:r>
      <w:r w:rsidR="00F61686">
        <w:t xml:space="preserve"> </w:t>
      </w:r>
      <w:r w:rsidRPr="000D7F9B">
        <w:t xml:space="preserve">FERC </w:t>
      </w:r>
      <w:r w:rsidR="00023781">
        <w:t>system of accounts</w:t>
      </w:r>
      <w:r w:rsidR="00904C0C">
        <w:t>.</w:t>
      </w:r>
    </w:p>
    <w:p w14:paraId="4060B92B" w14:textId="77777777" w:rsidR="00B702ED" w:rsidRPr="000D7F9B" w:rsidRDefault="00B702ED" w:rsidP="00D14898">
      <w:pPr>
        <w:numPr>
          <w:ilvl w:val="1"/>
          <w:numId w:val="13"/>
        </w:numPr>
        <w:spacing w:after="240" w:line="240" w:lineRule="auto"/>
        <w:ind w:left="1080" w:right="720"/>
      </w:pPr>
      <w:r w:rsidRPr="000D7F9B">
        <w:t>The Commission should open a</w:t>
      </w:r>
      <w:r w:rsidR="00023781">
        <w:t xml:space="preserve"> </w:t>
      </w:r>
      <w:r w:rsidR="00F61686">
        <w:t xml:space="preserve">rulemaking </w:t>
      </w:r>
      <w:r w:rsidRPr="000D7F9B">
        <w:t>to revisit its policies on the utilities’ recovery of income tax expenses and related ratebase issues.</w:t>
      </w:r>
    </w:p>
    <w:p w14:paraId="59AC8FD2" w14:textId="77777777" w:rsidR="00904C0C" w:rsidRDefault="00B702ED" w:rsidP="00B702ED">
      <w:pPr>
        <w:pStyle w:val="standard0"/>
        <w:rPr>
          <w:rFonts w:ascii="Book Antiqua" w:hAnsi="Book Antiqua"/>
        </w:rPr>
      </w:pPr>
      <w:r w:rsidRPr="000F7254">
        <w:rPr>
          <w:rFonts w:ascii="Book Antiqua" w:hAnsi="Book Antiqua"/>
        </w:rPr>
        <w:t xml:space="preserve">As noted above, parties were invited to submit comments and reply comments on those recommendations.  </w:t>
      </w:r>
      <w:r w:rsidR="00904C0C">
        <w:rPr>
          <w:rFonts w:ascii="Book Antiqua" w:hAnsi="Book Antiqua"/>
        </w:rPr>
        <w:t xml:space="preserve">We turn to </w:t>
      </w:r>
      <w:r w:rsidR="00E37E34">
        <w:rPr>
          <w:rFonts w:ascii="Book Antiqua" w:hAnsi="Book Antiqua"/>
        </w:rPr>
        <w:t xml:space="preserve">our </w:t>
      </w:r>
      <w:r w:rsidR="00904C0C">
        <w:rPr>
          <w:rFonts w:ascii="Book Antiqua" w:hAnsi="Book Antiqua"/>
        </w:rPr>
        <w:t xml:space="preserve">discussion </w:t>
      </w:r>
      <w:r w:rsidR="00E37E34">
        <w:rPr>
          <w:rFonts w:ascii="Book Antiqua" w:hAnsi="Book Antiqua"/>
        </w:rPr>
        <w:t xml:space="preserve">of parties’ recommendations </w:t>
      </w:r>
      <w:r w:rsidR="00904C0C">
        <w:rPr>
          <w:rFonts w:ascii="Book Antiqua" w:hAnsi="Book Antiqua"/>
        </w:rPr>
        <w:t xml:space="preserve">below.  </w:t>
      </w:r>
    </w:p>
    <w:p w14:paraId="4C164607" w14:textId="77777777" w:rsidR="007336CC" w:rsidRPr="007336CC" w:rsidRDefault="007336CC" w:rsidP="004B5523">
      <w:pPr>
        <w:pStyle w:val="Heading1"/>
      </w:pPr>
      <w:bookmarkStart w:id="28" w:name="_Toc20998447"/>
      <w:bookmarkStart w:id="29" w:name="_Toc29817391"/>
      <w:r w:rsidRPr="004B5523">
        <w:t>Discussion</w:t>
      </w:r>
      <w:bookmarkEnd w:id="28"/>
      <w:bookmarkEnd w:id="29"/>
    </w:p>
    <w:p w14:paraId="0D89531D" w14:textId="77777777" w:rsidR="00B702ED" w:rsidRPr="000F7254" w:rsidRDefault="00B702ED" w:rsidP="00B702ED">
      <w:pPr>
        <w:pStyle w:val="standard0"/>
        <w:rPr>
          <w:rFonts w:ascii="Book Antiqua" w:hAnsi="Book Antiqua"/>
        </w:rPr>
      </w:pPr>
      <w:r w:rsidRPr="000F7254">
        <w:rPr>
          <w:rFonts w:ascii="Book Antiqua" w:hAnsi="Book Antiqua"/>
        </w:rPr>
        <w:t xml:space="preserve">At the outset of our discussion, it is important to be clear about what we are trying to accomplish with any modifications to the RCP that we adopt in this decision.  </w:t>
      </w:r>
      <w:r w:rsidR="00904C0C">
        <w:rPr>
          <w:rFonts w:ascii="Book Antiqua" w:hAnsi="Book Antiqua"/>
        </w:rPr>
        <w:t>Our</w:t>
      </w:r>
      <w:r w:rsidRPr="000F7254">
        <w:rPr>
          <w:rFonts w:ascii="Book Antiqua" w:hAnsi="Book Antiqua"/>
        </w:rPr>
        <w:t xml:space="preserve"> goals must also account for </w:t>
      </w:r>
      <w:r w:rsidR="00E90657">
        <w:rPr>
          <w:rFonts w:ascii="Book Antiqua" w:hAnsi="Book Antiqua"/>
        </w:rPr>
        <w:t>the</w:t>
      </w:r>
      <w:r w:rsidR="00E90657" w:rsidRPr="000F7254">
        <w:rPr>
          <w:rFonts w:ascii="Book Antiqua" w:hAnsi="Book Antiqua"/>
        </w:rPr>
        <w:t xml:space="preserve"> </w:t>
      </w:r>
      <w:r w:rsidRPr="000F7254">
        <w:rPr>
          <w:rFonts w:ascii="Book Antiqua" w:hAnsi="Book Antiqua"/>
        </w:rPr>
        <w:t>statutory requirements</w:t>
      </w:r>
      <w:r w:rsidR="00E90657">
        <w:rPr>
          <w:rFonts w:ascii="Book Antiqua" w:hAnsi="Book Antiqua"/>
        </w:rPr>
        <w:t xml:space="preserve"> described above, as well as others</w:t>
      </w:r>
      <w:r w:rsidRPr="000F7254">
        <w:rPr>
          <w:rFonts w:ascii="Book Antiqua" w:hAnsi="Book Antiqua"/>
        </w:rPr>
        <w:t xml:space="preserve"> that apply to ratesetting proceedings such as GRCs.</w:t>
      </w:r>
      <w:r w:rsidR="00E37E34">
        <w:rPr>
          <w:rStyle w:val="FootnoteReference"/>
          <w:rFonts w:ascii="Book Antiqua" w:hAnsi="Book Antiqua"/>
        </w:rPr>
        <w:footnoteReference w:id="41"/>
      </w:r>
    </w:p>
    <w:p w14:paraId="68462778" w14:textId="57CD9902" w:rsidR="00B702ED" w:rsidRPr="000F7254" w:rsidRDefault="00B702ED" w:rsidP="00B702ED">
      <w:pPr>
        <w:pStyle w:val="standard0"/>
        <w:rPr>
          <w:rFonts w:ascii="Book Antiqua" w:hAnsi="Book Antiqua"/>
        </w:rPr>
      </w:pPr>
      <w:r w:rsidRPr="000F7254">
        <w:rPr>
          <w:rFonts w:ascii="Book Antiqua" w:hAnsi="Book Antiqua"/>
        </w:rPr>
        <w:t>First, we should change the RCP if it will improve our ability to meet our obligations under the P</w:t>
      </w:r>
      <w:r w:rsidR="007C15D8">
        <w:rPr>
          <w:rFonts w:ascii="Book Antiqua" w:hAnsi="Book Antiqua"/>
        </w:rPr>
        <w:t xml:space="preserve">ublic </w:t>
      </w:r>
      <w:r w:rsidRPr="000F7254">
        <w:rPr>
          <w:rFonts w:ascii="Book Antiqua" w:hAnsi="Book Antiqua"/>
        </w:rPr>
        <w:t>U</w:t>
      </w:r>
      <w:r w:rsidR="007C15D8">
        <w:rPr>
          <w:rFonts w:ascii="Book Antiqua" w:hAnsi="Book Antiqua"/>
        </w:rPr>
        <w:t>tilities</w:t>
      </w:r>
      <w:r w:rsidRPr="000F7254">
        <w:rPr>
          <w:rFonts w:ascii="Book Antiqua" w:hAnsi="Book Antiqua"/>
        </w:rPr>
        <w:t xml:space="preserve"> Code.  </w:t>
      </w:r>
      <w:r w:rsidR="00504A12" w:rsidRPr="00504A12">
        <w:rPr>
          <w:rFonts w:ascii="Book Antiqua" w:hAnsi="Book Antiqua"/>
        </w:rPr>
        <w:t>Pub. Util. Code</w:t>
      </w:r>
      <w:r w:rsidR="00504A12" w:rsidRPr="00504A12" w:rsidDel="00504A12">
        <w:rPr>
          <w:rFonts w:ascii="Book Antiqua" w:hAnsi="Book Antiqua"/>
        </w:rPr>
        <w:t xml:space="preserve"> </w:t>
      </w:r>
      <w:r w:rsidR="004D271A">
        <w:rPr>
          <w:rFonts w:ascii="Book Antiqua" w:hAnsi="Book Antiqua"/>
        </w:rPr>
        <w:t>§ </w:t>
      </w:r>
      <w:r w:rsidRPr="000F7254">
        <w:rPr>
          <w:rFonts w:ascii="Book Antiqua" w:hAnsi="Book Antiqua"/>
        </w:rPr>
        <w:t xml:space="preserve">451 requires us to ensure that utility rates are “just and reasonable.”  </w:t>
      </w:r>
      <w:r w:rsidR="00DE674D" w:rsidRPr="00DE674D">
        <w:rPr>
          <w:rFonts w:ascii="Book Antiqua" w:hAnsi="Book Antiqua"/>
        </w:rPr>
        <w:t>Pub. Util. Code</w:t>
      </w:r>
      <w:r w:rsidR="00DE674D" w:rsidRPr="00DE674D" w:rsidDel="00DE674D">
        <w:rPr>
          <w:rFonts w:ascii="Book Antiqua" w:hAnsi="Book Antiqua"/>
        </w:rPr>
        <w:t xml:space="preserve"> </w:t>
      </w:r>
      <w:r w:rsidR="004D271A">
        <w:rPr>
          <w:rFonts w:ascii="Book Antiqua" w:hAnsi="Book Antiqua"/>
        </w:rPr>
        <w:t>§ </w:t>
      </w:r>
      <w:r w:rsidRPr="000F7254">
        <w:rPr>
          <w:rFonts w:ascii="Book Antiqua" w:hAnsi="Book Antiqua"/>
        </w:rPr>
        <w:t>1701.3 requires that our decisions on utility GRC applications be “based on evidence in the record.”</w:t>
      </w:r>
      <w:r w:rsidRPr="000F7254">
        <w:rPr>
          <w:rStyle w:val="FootnoteReference"/>
          <w:rFonts w:ascii="Book Antiqua" w:hAnsi="Book Antiqua"/>
        </w:rPr>
        <w:footnoteReference w:id="42"/>
      </w:r>
      <w:r w:rsidRPr="000F7254">
        <w:rPr>
          <w:rFonts w:ascii="Book Antiqua" w:hAnsi="Book Antiqua"/>
        </w:rPr>
        <w:t xml:space="preserve">  If not, our decisions may</w:t>
      </w:r>
      <w:r w:rsidR="00F61686">
        <w:rPr>
          <w:rFonts w:ascii="Book Antiqua" w:hAnsi="Book Antiqua"/>
        </w:rPr>
        <w:t xml:space="preserve"> be</w:t>
      </w:r>
      <w:r w:rsidRPr="000F7254">
        <w:rPr>
          <w:rFonts w:ascii="Book Antiqua" w:hAnsi="Book Antiqua"/>
        </w:rPr>
        <w:t xml:space="preserve"> </w:t>
      </w:r>
      <w:r w:rsidR="009B11ED">
        <w:rPr>
          <w:rFonts w:ascii="Book Antiqua" w:hAnsi="Book Antiqua"/>
        </w:rPr>
        <w:t>annulled</w:t>
      </w:r>
      <w:r w:rsidRPr="000F7254">
        <w:rPr>
          <w:rFonts w:ascii="Book Antiqua" w:hAnsi="Book Antiqua"/>
        </w:rPr>
        <w:t xml:space="preserve"> if a reviewing court finds they are not supported by the findings, or are not supported by substantial evidence in light of the whole record.</w:t>
      </w:r>
      <w:r w:rsidRPr="000F7254">
        <w:rPr>
          <w:rStyle w:val="FootnoteReference"/>
          <w:rFonts w:ascii="Book Antiqua" w:hAnsi="Book Antiqua"/>
        </w:rPr>
        <w:footnoteReference w:id="43"/>
      </w:r>
      <w:r w:rsidRPr="000F7254">
        <w:rPr>
          <w:rFonts w:ascii="Book Antiqua" w:hAnsi="Book Antiqua"/>
        </w:rPr>
        <w:t xml:space="preserve">  Procedurally, the Commission must </w:t>
      </w:r>
      <w:r w:rsidRPr="000F7254">
        <w:rPr>
          <w:rFonts w:ascii="Book Antiqua" w:hAnsi="Book Antiqua"/>
        </w:rPr>
        <w:lastRenderedPageBreak/>
        <w:t xml:space="preserve">complete GRC proceedings within 18 months of the </w:t>
      </w:r>
      <w:r w:rsidR="00004360">
        <w:rPr>
          <w:rFonts w:ascii="Book Antiqua" w:hAnsi="Book Antiqua"/>
        </w:rPr>
        <w:t xml:space="preserve">initiation of the proceeding (i.e., the date the utility </w:t>
      </w:r>
      <w:r w:rsidRPr="000F7254">
        <w:rPr>
          <w:rFonts w:ascii="Book Antiqua" w:hAnsi="Book Antiqua"/>
        </w:rPr>
        <w:t>fil</w:t>
      </w:r>
      <w:r w:rsidR="00004360">
        <w:rPr>
          <w:rFonts w:ascii="Book Antiqua" w:hAnsi="Book Antiqua"/>
        </w:rPr>
        <w:t>es its application)</w:t>
      </w:r>
      <w:r w:rsidRPr="000F7254">
        <w:rPr>
          <w:rFonts w:ascii="Book Antiqua" w:hAnsi="Book Antiqua"/>
        </w:rPr>
        <w:t>.</w:t>
      </w:r>
      <w:r w:rsidRPr="000F7254">
        <w:rPr>
          <w:rStyle w:val="FootnoteReference"/>
          <w:rFonts w:ascii="Book Antiqua" w:hAnsi="Book Antiqua"/>
        </w:rPr>
        <w:footnoteReference w:id="44"/>
      </w:r>
      <w:r w:rsidRPr="000F7254">
        <w:rPr>
          <w:rFonts w:ascii="Book Antiqua" w:hAnsi="Book Antiqua"/>
        </w:rPr>
        <w:t xml:space="preserve">  Within </w:t>
      </w:r>
      <w:r w:rsidR="00276E14" w:rsidRPr="000F7254">
        <w:rPr>
          <w:rFonts w:ascii="Book Antiqua" w:hAnsi="Book Antiqua"/>
        </w:rPr>
        <w:t>th</w:t>
      </w:r>
      <w:r w:rsidR="00276E14">
        <w:rPr>
          <w:rFonts w:ascii="Book Antiqua" w:hAnsi="Book Antiqua"/>
        </w:rPr>
        <w:t>e</w:t>
      </w:r>
      <w:r w:rsidR="00276E14" w:rsidRPr="000F7254">
        <w:rPr>
          <w:rFonts w:ascii="Book Antiqua" w:hAnsi="Book Antiqua"/>
        </w:rPr>
        <w:t xml:space="preserve"> </w:t>
      </w:r>
      <w:r w:rsidR="00276E14" w:rsidRPr="00276E14">
        <w:rPr>
          <w:rFonts w:ascii="Book Antiqua" w:hAnsi="Book Antiqua"/>
        </w:rPr>
        <w:t>specified time frame</w:t>
      </w:r>
      <w:r w:rsidRPr="000F7254">
        <w:rPr>
          <w:rFonts w:ascii="Book Antiqua" w:hAnsi="Book Antiqua"/>
        </w:rPr>
        <w:t xml:space="preserve">, </w:t>
      </w:r>
      <w:bookmarkStart w:id="30" w:name="_Hlk13849847"/>
      <w:r w:rsidR="00DE674D" w:rsidRPr="00DE674D">
        <w:rPr>
          <w:rFonts w:ascii="Book Antiqua" w:hAnsi="Book Antiqua"/>
        </w:rPr>
        <w:t>Pub. Util. Code</w:t>
      </w:r>
      <w:r w:rsidR="00DE674D" w:rsidRPr="00DE674D" w:rsidDel="00DE674D">
        <w:rPr>
          <w:rFonts w:ascii="Book Antiqua" w:hAnsi="Book Antiqua"/>
        </w:rPr>
        <w:t xml:space="preserve"> </w:t>
      </w:r>
      <w:r w:rsidR="004D271A">
        <w:rPr>
          <w:rFonts w:ascii="Book Antiqua" w:hAnsi="Book Antiqua"/>
        </w:rPr>
        <w:t>§ </w:t>
      </w:r>
      <w:r w:rsidRPr="007C15D8">
        <w:rPr>
          <w:rFonts w:ascii="Book Antiqua" w:hAnsi="Book Antiqua"/>
        </w:rPr>
        <w:t>311(d) requires</w:t>
      </w:r>
      <w:r w:rsidRPr="000F7254">
        <w:rPr>
          <w:rFonts w:ascii="Book Antiqua" w:hAnsi="Book Antiqua"/>
        </w:rPr>
        <w:t xml:space="preserve"> that the proposed decision of the </w:t>
      </w:r>
      <w:r w:rsidR="00004360" w:rsidRPr="000F7254">
        <w:rPr>
          <w:rFonts w:ascii="Book Antiqua" w:hAnsi="Book Antiqua"/>
        </w:rPr>
        <w:t xml:space="preserve">assigned ALJ </w:t>
      </w:r>
      <w:r w:rsidRPr="000F7254">
        <w:rPr>
          <w:rFonts w:ascii="Book Antiqua" w:hAnsi="Book Antiqua"/>
        </w:rPr>
        <w:t xml:space="preserve">or the </w:t>
      </w:r>
      <w:r w:rsidR="00004360" w:rsidRPr="000F7254">
        <w:rPr>
          <w:rFonts w:ascii="Book Antiqua" w:hAnsi="Book Antiqua"/>
        </w:rPr>
        <w:t xml:space="preserve">assigned commissioner </w:t>
      </w:r>
      <w:r w:rsidRPr="000F7254">
        <w:rPr>
          <w:rFonts w:ascii="Book Antiqua" w:hAnsi="Book Antiqua"/>
        </w:rPr>
        <w:t xml:space="preserve">shall be issued </w:t>
      </w:r>
      <w:r w:rsidRPr="000F7254">
        <w:rPr>
          <w:rFonts w:ascii="Book Antiqua" w:hAnsi="Book Antiqua"/>
          <w:u w:val="single"/>
        </w:rPr>
        <w:t>not later than</w:t>
      </w:r>
      <w:r w:rsidRPr="000F7254">
        <w:rPr>
          <w:rFonts w:ascii="Book Antiqua" w:hAnsi="Book Antiqua"/>
        </w:rPr>
        <w:t xml:space="preserve"> 90 days after the matter has been submitted for decision </w:t>
      </w:r>
      <w:bookmarkEnd w:id="30"/>
      <w:r w:rsidRPr="000F7254">
        <w:rPr>
          <w:rFonts w:ascii="Book Antiqua" w:hAnsi="Book Antiqua"/>
        </w:rPr>
        <w:t xml:space="preserve">and the Commission shall not issue its decision </w:t>
      </w:r>
      <w:r w:rsidRPr="000F7254">
        <w:rPr>
          <w:rFonts w:ascii="Book Antiqua" w:hAnsi="Book Antiqua"/>
          <w:u w:val="single"/>
        </w:rPr>
        <w:t>sooner than</w:t>
      </w:r>
      <w:r w:rsidRPr="000F7254">
        <w:rPr>
          <w:rFonts w:ascii="Book Antiqua" w:hAnsi="Book Antiqua"/>
        </w:rPr>
        <w:t xml:space="preserve"> 30 days following </w:t>
      </w:r>
      <w:r w:rsidR="009E602D">
        <w:rPr>
          <w:rFonts w:ascii="Book Antiqua" w:hAnsi="Book Antiqua"/>
        </w:rPr>
        <w:t>issuance</w:t>
      </w:r>
      <w:r w:rsidRPr="000F7254">
        <w:rPr>
          <w:rFonts w:ascii="Book Antiqua" w:hAnsi="Book Antiqua"/>
        </w:rPr>
        <w:t xml:space="preserve"> of the proposed decision.</w:t>
      </w:r>
      <w:r w:rsidR="00583975">
        <w:rPr>
          <w:rStyle w:val="FootnoteReference"/>
          <w:rFonts w:ascii="Book Antiqua" w:hAnsi="Book Antiqua"/>
        </w:rPr>
        <w:footnoteReference w:id="45"/>
      </w:r>
    </w:p>
    <w:p w14:paraId="66651FAD" w14:textId="0C7A71B4" w:rsidR="00B702ED" w:rsidRPr="000F7254" w:rsidRDefault="00B702ED" w:rsidP="00A114B6">
      <w:pPr>
        <w:pStyle w:val="standard0"/>
        <w:rPr>
          <w:rFonts w:ascii="Book Antiqua" w:hAnsi="Book Antiqua"/>
        </w:rPr>
      </w:pPr>
      <w:r w:rsidRPr="000F7254">
        <w:rPr>
          <w:rFonts w:ascii="Book Antiqua" w:hAnsi="Book Antiqua"/>
        </w:rPr>
        <w:t xml:space="preserve">Second, our review of the Staff Report </w:t>
      </w:r>
      <w:r w:rsidR="00904C0C">
        <w:rPr>
          <w:rFonts w:ascii="Book Antiqua" w:hAnsi="Book Antiqua"/>
        </w:rPr>
        <w:t xml:space="preserve">and parties’ comments indicate that </w:t>
      </w:r>
      <w:r w:rsidRPr="000F7254">
        <w:rPr>
          <w:rFonts w:ascii="Book Antiqua" w:hAnsi="Book Antiqua"/>
        </w:rPr>
        <w:t>we should change the RCP if we can better satisfy the “must</w:t>
      </w:r>
      <w:r w:rsidR="00FE5496">
        <w:rPr>
          <w:rFonts w:ascii="Book Antiqua" w:hAnsi="Book Antiqua"/>
        </w:rPr>
        <w:noBreakHyphen/>
      </w:r>
      <w:r w:rsidRPr="000F7254">
        <w:rPr>
          <w:rFonts w:ascii="Book Antiqua" w:hAnsi="Book Antiqua"/>
        </w:rPr>
        <w:t xml:space="preserve">haves” expressed by the utilities, </w:t>
      </w:r>
      <w:r w:rsidR="00E37E34">
        <w:rPr>
          <w:rFonts w:ascii="Book Antiqua" w:hAnsi="Book Antiqua"/>
        </w:rPr>
        <w:t xml:space="preserve">the </w:t>
      </w:r>
      <w:r w:rsidR="003933C4">
        <w:rPr>
          <w:rFonts w:ascii="Book Antiqua" w:hAnsi="Book Antiqua"/>
        </w:rPr>
        <w:t>Public Advocates Office</w:t>
      </w:r>
      <w:r w:rsidR="00E37E34">
        <w:rPr>
          <w:rFonts w:ascii="Book Antiqua" w:hAnsi="Book Antiqua"/>
        </w:rPr>
        <w:t>,</w:t>
      </w:r>
      <w:r w:rsidRPr="000F7254">
        <w:rPr>
          <w:rFonts w:ascii="Book Antiqua" w:hAnsi="Book Antiqua"/>
        </w:rPr>
        <w:t xml:space="preserve"> and the other parties that </w:t>
      </w:r>
      <w:r w:rsidR="009E602D">
        <w:rPr>
          <w:rFonts w:ascii="Book Antiqua" w:hAnsi="Book Antiqua"/>
        </w:rPr>
        <w:t xml:space="preserve">routinely </w:t>
      </w:r>
      <w:r w:rsidRPr="000F7254">
        <w:rPr>
          <w:rFonts w:ascii="Book Antiqua" w:hAnsi="Book Antiqua"/>
        </w:rPr>
        <w:t>intervene in GRC proceedings</w:t>
      </w:r>
      <w:r w:rsidR="00F976C3">
        <w:rPr>
          <w:rFonts w:ascii="Book Antiqua" w:hAnsi="Book Antiqua"/>
        </w:rPr>
        <w:t xml:space="preserve">.  Those priorities affect </w:t>
      </w:r>
      <w:r w:rsidR="009E602D">
        <w:rPr>
          <w:rFonts w:ascii="Book Antiqua" w:hAnsi="Book Antiqua"/>
        </w:rPr>
        <w:t xml:space="preserve">our options regarding modifications to </w:t>
      </w:r>
      <w:r w:rsidR="00F976C3">
        <w:rPr>
          <w:rFonts w:ascii="Book Antiqua" w:hAnsi="Book Antiqua"/>
        </w:rPr>
        <w:t>the RCP schedule in significant ways</w:t>
      </w:r>
      <w:r w:rsidRPr="000F7254">
        <w:rPr>
          <w:rFonts w:ascii="Book Antiqua" w:hAnsi="Book Antiqua"/>
        </w:rPr>
        <w:t>:</w:t>
      </w:r>
    </w:p>
    <w:p w14:paraId="507D1E11" w14:textId="77777777" w:rsidR="00B702ED" w:rsidRPr="00171F3F" w:rsidRDefault="00B702ED" w:rsidP="00D14898">
      <w:pPr>
        <w:pStyle w:val="standard0"/>
        <w:numPr>
          <w:ilvl w:val="0"/>
          <w:numId w:val="17"/>
        </w:numPr>
        <w:spacing w:after="120" w:line="240" w:lineRule="auto"/>
        <w:ind w:right="720"/>
        <w:rPr>
          <w:rFonts w:ascii="Book Antiqua" w:hAnsi="Book Antiqua"/>
        </w:rPr>
      </w:pPr>
      <w:r w:rsidRPr="00171F3F">
        <w:rPr>
          <w:rFonts w:ascii="Book Antiqua" w:hAnsi="Book Antiqua"/>
        </w:rPr>
        <w:t xml:space="preserve">The utilities want the Commission to issue a timely </w:t>
      </w:r>
      <w:r w:rsidR="00004360">
        <w:rPr>
          <w:rFonts w:ascii="Book Antiqua" w:hAnsi="Book Antiqua"/>
        </w:rPr>
        <w:t xml:space="preserve">final </w:t>
      </w:r>
      <w:r w:rsidRPr="00171F3F">
        <w:rPr>
          <w:rFonts w:ascii="Book Antiqua" w:hAnsi="Book Antiqua"/>
        </w:rPr>
        <w:t xml:space="preserve">decision </w:t>
      </w:r>
      <w:r w:rsidR="009B11ED" w:rsidRPr="00171F3F">
        <w:rPr>
          <w:rFonts w:ascii="Book Antiqua" w:hAnsi="Book Antiqua"/>
        </w:rPr>
        <w:t xml:space="preserve">adopting </w:t>
      </w:r>
      <w:r w:rsidR="00004360">
        <w:rPr>
          <w:rFonts w:ascii="Book Antiqua" w:hAnsi="Book Antiqua"/>
        </w:rPr>
        <w:t>their</w:t>
      </w:r>
      <w:r w:rsidR="00004360" w:rsidRPr="00171F3F">
        <w:rPr>
          <w:rFonts w:ascii="Book Antiqua" w:hAnsi="Book Antiqua"/>
        </w:rPr>
        <w:t xml:space="preserve"> </w:t>
      </w:r>
      <w:r w:rsidR="009B11ED" w:rsidRPr="00171F3F">
        <w:rPr>
          <w:rFonts w:ascii="Book Antiqua" w:hAnsi="Book Antiqua"/>
        </w:rPr>
        <w:t xml:space="preserve">revenue requirement </w:t>
      </w:r>
      <w:r w:rsidR="00004360">
        <w:rPr>
          <w:rFonts w:ascii="Book Antiqua" w:hAnsi="Book Antiqua"/>
        </w:rPr>
        <w:t>in time to</w:t>
      </w:r>
      <w:r w:rsidRPr="00171F3F">
        <w:rPr>
          <w:rFonts w:ascii="Book Antiqua" w:hAnsi="Book Antiqua"/>
        </w:rPr>
        <w:t xml:space="preserve"> be implemented on January 1st of the test year; </w:t>
      </w:r>
    </w:p>
    <w:p w14:paraId="6AF7536E" w14:textId="77777777" w:rsidR="00B702ED" w:rsidRPr="000F7254" w:rsidRDefault="00E37E34" w:rsidP="00D14898">
      <w:pPr>
        <w:pStyle w:val="standard0"/>
        <w:numPr>
          <w:ilvl w:val="0"/>
          <w:numId w:val="17"/>
        </w:numPr>
        <w:spacing w:after="120" w:line="240" w:lineRule="auto"/>
        <w:ind w:right="720"/>
        <w:rPr>
          <w:rFonts w:ascii="Book Antiqua" w:hAnsi="Book Antiqua"/>
        </w:rPr>
      </w:pPr>
      <w:r>
        <w:rPr>
          <w:rFonts w:ascii="Book Antiqua" w:hAnsi="Book Antiqua"/>
        </w:rPr>
        <w:t xml:space="preserve">The </w:t>
      </w:r>
      <w:r w:rsidR="003933C4">
        <w:rPr>
          <w:rFonts w:ascii="Book Antiqua" w:hAnsi="Book Antiqua"/>
        </w:rPr>
        <w:t>Public Advocates Office</w:t>
      </w:r>
      <w:r w:rsidR="00B702ED" w:rsidRPr="000F7254">
        <w:rPr>
          <w:rFonts w:ascii="Book Antiqua" w:hAnsi="Book Antiqua"/>
        </w:rPr>
        <w:t xml:space="preserve"> </w:t>
      </w:r>
      <w:r w:rsidR="009E602D">
        <w:rPr>
          <w:rFonts w:ascii="Book Antiqua" w:hAnsi="Book Antiqua"/>
        </w:rPr>
        <w:t>requires sufficient</w:t>
      </w:r>
      <w:r w:rsidR="00B702ED" w:rsidRPr="000F7254">
        <w:rPr>
          <w:rFonts w:ascii="Book Antiqua" w:hAnsi="Book Antiqua"/>
        </w:rPr>
        <w:t xml:space="preserve"> time to conduct discovery and prepare its testimony, </w:t>
      </w:r>
      <w:r w:rsidR="00F976C3">
        <w:rPr>
          <w:rFonts w:ascii="Book Antiqua" w:hAnsi="Book Antiqua"/>
        </w:rPr>
        <w:t xml:space="preserve">because </w:t>
      </w:r>
      <w:r>
        <w:rPr>
          <w:rFonts w:ascii="Book Antiqua" w:hAnsi="Book Antiqua"/>
        </w:rPr>
        <w:t>its</w:t>
      </w:r>
      <w:r w:rsidR="00F976C3">
        <w:rPr>
          <w:rFonts w:ascii="Book Antiqua" w:hAnsi="Book Antiqua"/>
        </w:rPr>
        <w:t xml:space="preserve"> analysis </w:t>
      </w:r>
      <w:r>
        <w:rPr>
          <w:rFonts w:ascii="Book Antiqua" w:hAnsi="Book Antiqua"/>
        </w:rPr>
        <w:t xml:space="preserve">and recommendations </w:t>
      </w:r>
      <w:r w:rsidR="00B702ED" w:rsidRPr="000F7254">
        <w:rPr>
          <w:rFonts w:ascii="Book Antiqua" w:hAnsi="Book Antiqua"/>
        </w:rPr>
        <w:t xml:space="preserve">serve as a point of reference for </w:t>
      </w:r>
      <w:r w:rsidR="00F976C3">
        <w:rPr>
          <w:rFonts w:ascii="Book Antiqua" w:hAnsi="Book Antiqua"/>
        </w:rPr>
        <w:t xml:space="preserve">the testimony served by </w:t>
      </w:r>
      <w:r w:rsidR="00B702ED" w:rsidRPr="000F7254">
        <w:rPr>
          <w:rFonts w:ascii="Book Antiqua" w:hAnsi="Book Antiqua"/>
        </w:rPr>
        <w:t>other intervenors</w:t>
      </w:r>
      <w:r w:rsidR="00F976C3">
        <w:rPr>
          <w:rFonts w:ascii="Book Antiqua" w:hAnsi="Book Antiqua"/>
        </w:rPr>
        <w:t xml:space="preserve"> a month later</w:t>
      </w:r>
      <w:r w:rsidR="00B702ED" w:rsidRPr="000F7254">
        <w:rPr>
          <w:rFonts w:ascii="Book Antiqua" w:hAnsi="Book Antiqua"/>
        </w:rPr>
        <w:t xml:space="preserve">; </w:t>
      </w:r>
    </w:p>
    <w:p w14:paraId="2D489A53" w14:textId="77777777" w:rsidR="00B702ED" w:rsidRPr="000F7254" w:rsidRDefault="00F976C3" w:rsidP="00D14898">
      <w:pPr>
        <w:pStyle w:val="standard0"/>
        <w:numPr>
          <w:ilvl w:val="0"/>
          <w:numId w:val="17"/>
        </w:numPr>
        <w:spacing w:after="120" w:line="240" w:lineRule="auto"/>
        <w:ind w:right="720"/>
        <w:rPr>
          <w:rFonts w:ascii="Book Antiqua" w:hAnsi="Book Antiqua"/>
        </w:rPr>
      </w:pPr>
      <w:r>
        <w:rPr>
          <w:rFonts w:ascii="Book Antiqua" w:hAnsi="Book Antiqua"/>
        </w:rPr>
        <w:t>The o</w:t>
      </w:r>
      <w:r w:rsidR="00B702ED" w:rsidRPr="000F7254">
        <w:rPr>
          <w:rFonts w:ascii="Book Antiqua" w:hAnsi="Book Antiqua"/>
        </w:rPr>
        <w:t xml:space="preserve">ther intervenors should </w:t>
      </w:r>
      <w:r>
        <w:rPr>
          <w:rFonts w:ascii="Book Antiqua" w:hAnsi="Book Antiqua"/>
        </w:rPr>
        <w:t>also</w:t>
      </w:r>
      <w:r w:rsidR="00B702ED" w:rsidRPr="000F7254">
        <w:rPr>
          <w:rFonts w:ascii="Book Antiqua" w:hAnsi="Book Antiqua"/>
        </w:rPr>
        <w:t xml:space="preserve"> be provided with sufficient time after</w:t>
      </w:r>
      <w:r w:rsidR="00934D39">
        <w:rPr>
          <w:rFonts w:ascii="Book Antiqua" w:hAnsi="Book Antiqua"/>
        </w:rPr>
        <w:t xml:space="preserve"> the</w:t>
      </w:r>
      <w:r w:rsidR="00B702ED" w:rsidRPr="000F7254">
        <w:rPr>
          <w:rFonts w:ascii="Book Antiqua" w:hAnsi="Book Antiqua"/>
        </w:rPr>
        <w:t xml:space="preserve"> </w:t>
      </w:r>
      <w:r w:rsidR="003933C4">
        <w:rPr>
          <w:rFonts w:ascii="Book Antiqua" w:hAnsi="Book Antiqua"/>
        </w:rPr>
        <w:t>Public Advocates Office</w:t>
      </w:r>
      <w:r w:rsidR="00B702ED" w:rsidRPr="000F7254">
        <w:rPr>
          <w:rFonts w:ascii="Book Antiqua" w:hAnsi="Book Antiqua"/>
        </w:rPr>
        <w:t xml:space="preserve"> serves its testimony</w:t>
      </w:r>
      <w:r w:rsidR="009E602D">
        <w:rPr>
          <w:rFonts w:ascii="Book Antiqua" w:hAnsi="Book Antiqua"/>
        </w:rPr>
        <w:t>,</w:t>
      </w:r>
      <w:r w:rsidR="00B702ED" w:rsidRPr="000F7254">
        <w:rPr>
          <w:rFonts w:ascii="Book Antiqua" w:hAnsi="Book Antiqua"/>
        </w:rPr>
        <w:t xml:space="preserve"> to complete their own discovery and prepare their testimony; </w:t>
      </w:r>
    </w:p>
    <w:p w14:paraId="55552344" w14:textId="77777777" w:rsidR="00B702ED" w:rsidRPr="000F7254" w:rsidRDefault="00004360" w:rsidP="00D14898">
      <w:pPr>
        <w:pStyle w:val="standard0"/>
        <w:numPr>
          <w:ilvl w:val="0"/>
          <w:numId w:val="17"/>
        </w:numPr>
        <w:spacing w:after="120" w:line="240" w:lineRule="auto"/>
        <w:ind w:right="720"/>
        <w:rPr>
          <w:rFonts w:ascii="Book Antiqua" w:hAnsi="Book Antiqua"/>
        </w:rPr>
      </w:pPr>
      <w:r>
        <w:rPr>
          <w:rFonts w:ascii="Book Antiqua" w:hAnsi="Book Antiqua"/>
        </w:rPr>
        <w:t>Once all testimony</w:t>
      </w:r>
      <w:r w:rsidR="009E602D">
        <w:rPr>
          <w:rFonts w:ascii="Book Antiqua" w:hAnsi="Book Antiqua"/>
        </w:rPr>
        <w:t xml:space="preserve"> has been</w:t>
      </w:r>
      <w:r>
        <w:rPr>
          <w:rFonts w:ascii="Book Antiqua" w:hAnsi="Book Antiqua"/>
        </w:rPr>
        <w:t xml:space="preserve"> served, all</w:t>
      </w:r>
      <w:r w:rsidR="00B702ED" w:rsidRPr="000F7254">
        <w:rPr>
          <w:rFonts w:ascii="Book Antiqua" w:hAnsi="Book Antiqua"/>
        </w:rPr>
        <w:t xml:space="preserve"> parties</w:t>
      </w:r>
      <w:r>
        <w:rPr>
          <w:rFonts w:ascii="Book Antiqua" w:hAnsi="Book Antiqua"/>
        </w:rPr>
        <w:t xml:space="preserve"> in the proceeding </w:t>
      </w:r>
      <w:r w:rsidR="00B702ED" w:rsidRPr="000F7254">
        <w:rPr>
          <w:rFonts w:ascii="Book Antiqua" w:hAnsi="Book Antiqua"/>
        </w:rPr>
        <w:t xml:space="preserve">should </w:t>
      </w:r>
      <w:r>
        <w:rPr>
          <w:rFonts w:ascii="Book Antiqua" w:hAnsi="Book Antiqua"/>
        </w:rPr>
        <w:t>have</w:t>
      </w:r>
      <w:r w:rsidR="00B702ED" w:rsidRPr="000F7254">
        <w:rPr>
          <w:rFonts w:ascii="Book Antiqua" w:hAnsi="Book Antiqua"/>
        </w:rPr>
        <w:t xml:space="preserve"> sufficient time to prepare their rebuttal testimony;</w:t>
      </w:r>
    </w:p>
    <w:p w14:paraId="3E36BBA0" w14:textId="5CC92A28" w:rsidR="00B702ED" w:rsidRDefault="00004360" w:rsidP="00D14898">
      <w:pPr>
        <w:pStyle w:val="standard0"/>
        <w:numPr>
          <w:ilvl w:val="0"/>
          <w:numId w:val="17"/>
        </w:numPr>
        <w:spacing w:after="120" w:line="240" w:lineRule="auto"/>
        <w:ind w:right="720"/>
        <w:rPr>
          <w:rFonts w:ascii="Book Antiqua" w:hAnsi="Book Antiqua"/>
        </w:rPr>
      </w:pPr>
      <w:r>
        <w:rPr>
          <w:rFonts w:ascii="Book Antiqua" w:hAnsi="Book Antiqua"/>
        </w:rPr>
        <w:lastRenderedPageBreak/>
        <w:t xml:space="preserve">After rebuttal testimony </w:t>
      </w:r>
      <w:r w:rsidR="009E602D">
        <w:rPr>
          <w:rFonts w:ascii="Book Antiqua" w:hAnsi="Book Antiqua"/>
        </w:rPr>
        <w:t>has been</w:t>
      </w:r>
      <w:r>
        <w:rPr>
          <w:rFonts w:ascii="Book Antiqua" w:hAnsi="Book Antiqua"/>
        </w:rPr>
        <w:t xml:space="preserve"> served, a</w:t>
      </w:r>
      <w:r w:rsidR="00B702ED" w:rsidRPr="000F7254">
        <w:rPr>
          <w:rFonts w:ascii="Book Antiqua" w:hAnsi="Book Antiqua"/>
        </w:rPr>
        <w:t xml:space="preserve">ll parties should </w:t>
      </w:r>
      <w:r>
        <w:rPr>
          <w:rFonts w:ascii="Book Antiqua" w:hAnsi="Book Antiqua"/>
        </w:rPr>
        <w:t>have</w:t>
      </w:r>
      <w:r w:rsidR="00B702ED" w:rsidRPr="000F7254">
        <w:rPr>
          <w:rFonts w:ascii="Book Antiqua" w:hAnsi="Book Antiqua"/>
        </w:rPr>
        <w:t xml:space="preserve"> sufficient time to prepare for evidentiary hearings</w:t>
      </w:r>
      <w:r w:rsidR="006A0DA1">
        <w:rPr>
          <w:rFonts w:ascii="Book Antiqua" w:hAnsi="Book Antiqua"/>
        </w:rPr>
        <w:t xml:space="preserve">, </w:t>
      </w:r>
      <w:r>
        <w:rPr>
          <w:rFonts w:ascii="Book Antiqua" w:hAnsi="Book Antiqua"/>
        </w:rPr>
        <w:t>and to subsequently</w:t>
      </w:r>
      <w:r w:rsidR="006A0DA1">
        <w:rPr>
          <w:rFonts w:ascii="Book Antiqua" w:hAnsi="Book Antiqua"/>
        </w:rPr>
        <w:t xml:space="preserve"> prepare post</w:t>
      </w:r>
      <w:r w:rsidR="00FE5496">
        <w:rPr>
          <w:rFonts w:ascii="Book Antiqua" w:hAnsi="Book Antiqua"/>
        </w:rPr>
        <w:noBreakHyphen/>
      </w:r>
      <w:r w:rsidR="006A0DA1">
        <w:rPr>
          <w:rFonts w:ascii="Book Antiqua" w:hAnsi="Book Antiqua"/>
        </w:rPr>
        <w:t>hearing briefs and reply briefs</w:t>
      </w:r>
      <w:r w:rsidR="009E602D">
        <w:rPr>
          <w:rFonts w:ascii="Book Antiqua" w:hAnsi="Book Antiqua"/>
        </w:rPr>
        <w:t>; and</w:t>
      </w:r>
    </w:p>
    <w:p w14:paraId="54C8AD62" w14:textId="77777777" w:rsidR="00C526E5" w:rsidRDefault="00C526E5" w:rsidP="00D14898">
      <w:pPr>
        <w:pStyle w:val="standard0"/>
        <w:numPr>
          <w:ilvl w:val="0"/>
          <w:numId w:val="17"/>
        </w:numPr>
        <w:spacing w:after="240" w:line="240" w:lineRule="auto"/>
        <w:ind w:right="720"/>
        <w:rPr>
          <w:rFonts w:ascii="Book Antiqua" w:hAnsi="Book Antiqua"/>
        </w:rPr>
      </w:pPr>
      <w:r>
        <w:rPr>
          <w:rFonts w:ascii="Book Antiqua" w:hAnsi="Book Antiqua"/>
        </w:rPr>
        <w:t xml:space="preserve">Once the case is submitted, the assigned ALJ and Commission staff should have sufficient time to prepare the </w:t>
      </w:r>
      <w:r w:rsidR="00004360">
        <w:rPr>
          <w:rFonts w:ascii="Book Antiqua" w:hAnsi="Book Antiqua"/>
        </w:rPr>
        <w:t>proposed decision,</w:t>
      </w:r>
      <w:r>
        <w:rPr>
          <w:rFonts w:ascii="Book Antiqua" w:hAnsi="Book Antiqua"/>
        </w:rPr>
        <w:t xml:space="preserve"> and </w:t>
      </w:r>
      <w:r w:rsidR="00004360">
        <w:rPr>
          <w:rFonts w:ascii="Book Antiqua" w:hAnsi="Book Antiqua"/>
        </w:rPr>
        <w:t xml:space="preserve">to </w:t>
      </w:r>
      <w:r>
        <w:rPr>
          <w:rFonts w:ascii="Book Antiqua" w:hAnsi="Book Antiqua"/>
        </w:rPr>
        <w:t xml:space="preserve">calculate the </w:t>
      </w:r>
      <w:r w:rsidR="00004360">
        <w:rPr>
          <w:rFonts w:ascii="Book Antiqua" w:hAnsi="Book Antiqua"/>
        </w:rPr>
        <w:t>resulting</w:t>
      </w:r>
      <w:r>
        <w:rPr>
          <w:rFonts w:ascii="Book Antiqua" w:hAnsi="Book Antiqua"/>
        </w:rPr>
        <w:t xml:space="preserve"> </w:t>
      </w:r>
      <w:r w:rsidR="009E602D">
        <w:rPr>
          <w:rFonts w:ascii="Book Antiqua" w:hAnsi="Book Antiqua"/>
        </w:rPr>
        <w:t>S</w:t>
      </w:r>
      <w:r w:rsidR="00004360">
        <w:rPr>
          <w:rFonts w:ascii="Book Antiqua" w:hAnsi="Book Antiqua"/>
        </w:rPr>
        <w:t xml:space="preserve">ummary of </w:t>
      </w:r>
      <w:r w:rsidR="009E602D">
        <w:rPr>
          <w:rFonts w:ascii="Book Antiqua" w:hAnsi="Book Antiqua"/>
        </w:rPr>
        <w:t>E</w:t>
      </w:r>
      <w:r w:rsidR="00004360">
        <w:rPr>
          <w:rFonts w:ascii="Book Antiqua" w:hAnsi="Book Antiqua"/>
        </w:rPr>
        <w:t>arnings</w:t>
      </w:r>
      <w:r>
        <w:rPr>
          <w:rFonts w:ascii="Book Antiqua" w:hAnsi="Book Antiqua"/>
        </w:rPr>
        <w:t xml:space="preserve"> and </w:t>
      </w:r>
      <w:r w:rsidR="009E602D">
        <w:rPr>
          <w:rFonts w:ascii="Book Antiqua" w:hAnsi="Book Antiqua"/>
        </w:rPr>
        <w:t xml:space="preserve">authorized </w:t>
      </w:r>
      <w:r>
        <w:rPr>
          <w:rFonts w:ascii="Book Antiqua" w:hAnsi="Book Antiqua"/>
        </w:rPr>
        <w:t>annual revenue requirements</w:t>
      </w:r>
      <w:r w:rsidR="00004360">
        <w:rPr>
          <w:rFonts w:ascii="Book Antiqua" w:hAnsi="Book Antiqua"/>
        </w:rPr>
        <w:t xml:space="preserve"> using the </w:t>
      </w:r>
      <w:r w:rsidR="009E602D">
        <w:rPr>
          <w:rFonts w:ascii="Book Antiqua" w:hAnsi="Book Antiqua"/>
        </w:rPr>
        <w:t>RO</w:t>
      </w:r>
      <w:r w:rsidR="00004360">
        <w:rPr>
          <w:rFonts w:ascii="Book Antiqua" w:hAnsi="Book Antiqua"/>
        </w:rPr>
        <w:t xml:space="preserve"> model.</w:t>
      </w:r>
    </w:p>
    <w:p w14:paraId="31B074A6" w14:textId="0FEDEA23" w:rsidR="006A0DA1" w:rsidRDefault="006A0DA1" w:rsidP="006A0DA1">
      <w:pPr>
        <w:pStyle w:val="standard0"/>
        <w:rPr>
          <w:rFonts w:ascii="Book Antiqua" w:hAnsi="Book Antiqua"/>
        </w:rPr>
      </w:pPr>
      <w:r>
        <w:rPr>
          <w:rFonts w:ascii="Book Antiqua" w:hAnsi="Book Antiqua"/>
        </w:rPr>
        <w:t xml:space="preserve">Our consideration of the challenges listed above </w:t>
      </w:r>
      <w:r w:rsidR="00F976C3">
        <w:rPr>
          <w:rFonts w:ascii="Book Antiqua" w:hAnsi="Book Antiqua"/>
        </w:rPr>
        <w:t>is illuminated by</w:t>
      </w:r>
      <w:r>
        <w:rPr>
          <w:rFonts w:ascii="Book Antiqua" w:hAnsi="Book Antiqua"/>
        </w:rPr>
        <w:t xml:space="preserve"> our very recent experience in SCE’s test year 2018 GRC proceeding </w:t>
      </w:r>
      <w:r w:rsidRPr="006A0DA1">
        <w:rPr>
          <w:rFonts w:ascii="Book Antiqua" w:hAnsi="Book Antiqua"/>
        </w:rPr>
        <w:t>(A.16</w:t>
      </w:r>
      <w:r w:rsidR="00FE5496">
        <w:rPr>
          <w:rFonts w:ascii="Book Antiqua" w:hAnsi="Book Antiqua"/>
        </w:rPr>
        <w:noBreakHyphen/>
      </w:r>
      <w:r w:rsidRPr="006A0DA1">
        <w:rPr>
          <w:rFonts w:ascii="Book Antiqua" w:hAnsi="Book Antiqua"/>
        </w:rPr>
        <w:t>09</w:t>
      </w:r>
      <w:r w:rsidR="00FE5496">
        <w:rPr>
          <w:rFonts w:ascii="Book Antiqua" w:hAnsi="Book Antiqua"/>
        </w:rPr>
        <w:noBreakHyphen/>
      </w:r>
      <w:r w:rsidRPr="006A0DA1">
        <w:rPr>
          <w:rFonts w:ascii="Book Antiqua" w:hAnsi="Book Antiqua"/>
        </w:rPr>
        <w:t>001)</w:t>
      </w:r>
      <w:r>
        <w:rPr>
          <w:rFonts w:ascii="Book Antiqua" w:hAnsi="Book Antiqua"/>
        </w:rPr>
        <w:t xml:space="preserve">.  That case was </w:t>
      </w:r>
      <w:r w:rsidR="00506C38">
        <w:rPr>
          <w:rFonts w:ascii="Book Antiqua" w:hAnsi="Book Antiqua"/>
        </w:rPr>
        <w:t xml:space="preserve">a </w:t>
      </w:r>
      <w:r>
        <w:rPr>
          <w:rFonts w:ascii="Book Antiqua" w:hAnsi="Book Antiqua"/>
        </w:rPr>
        <w:t>“typical”</w:t>
      </w:r>
      <w:r w:rsidR="00506C38">
        <w:rPr>
          <w:rFonts w:ascii="Book Antiqua" w:hAnsi="Book Antiqua"/>
        </w:rPr>
        <w:t xml:space="preserve"> GRC</w:t>
      </w:r>
      <w:r>
        <w:rPr>
          <w:rFonts w:ascii="Book Antiqua" w:hAnsi="Book Antiqua"/>
        </w:rPr>
        <w:t xml:space="preserve"> in many ways because it closely tracked the RCP schedule</w:t>
      </w:r>
      <w:r w:rsidR="009E602D">
        <w:rPr>
          <w:rFonts w:ascii="Book Antiqua" w:hAnsi="Book Antiqua"/>
        </w:rPr>
        <w:t xml:space="preserve"> mandated by D.14</w:t>
      </w:r>
      <w:r w:rsidR="00FE5496">
        <w:rPr>
          <w:rFonts w:ascii="Book Antiqua" w:hAnsi="Book Antiqua"/>
        </w:rPr>
        <w:noBreakHyphen/>
      </w:r>
      <w:r w:rsidR="009E602D">
        <w:rPr>
          <w:rFonts w:ascii="Book Antiqua" w:hAnsi="Book Antiqua"/>
        </w:rPr>
        <w:t>12</w:t>
      </w:r>
      <w:r w:rsidR="00FE5496">
        <w:rPr>
          <w:rFonts w:ascii="Book Antiqua" w:hAnsi="Book Antiqua"/>
        </w:rPr>
        <w:noBreakHyphen/>
      </w:r>
      <w:r w:rsidR="009E602D">
        <w:rPr>
          <w:rFonts w:ascii="Book Antiqua" w:hAnsi="Book Antiqua"/>
        </w:rPr>
        <w:t>025</w:t>
      </w:r>
      <w:r>
        <w:rPr>
          <w:rFonts w:ascii="Book Antiqua" w:hAnsi="Book Antiqua"/>
        </w:rPr>
        <w:t xml:space="preserve">:  </w:t>
      </w:r>
    </w:p>
    <w:p w14:paraId="5977DB4C" w14:textId="77777777" w:rsidR="006A0DA1" w:rsidRDefault="006A0DA1" w:rsidP="00D14898">
      <w:pPr>
        <w:pStyle w:val="standard0"/>
        <w:numPr>
          <w:ilvl w:val="0"/>
          <w:numId w:val="17"/>
        </w:numPr>
        <w:spacing w:after="120" w:line="240" w:lineRule="auto"/>
        <w:ind w:right="720"/>
        <w:rPr>
          <w:rFonts w:ascii="Book Antiqua" w:hAnsi="Book Antiqua"/>
        </w:rPr>
      </w:pPr>
      <w:r>
        <w:rPr>
          <w:rFonts w:ascii="Book Antiqua" w:hAnsi="Book Antiqua"/>
        </w:rPr>
        <w:t>SCE filed</w:t>
      </w:r>
      <w:r w:rsidR="0097055D">
        <w:rPr>
          <w:rFonts w:ascii="Book Antiqua" w:hAnsi="Book Antiqua"/>
        </w:rPr>
        <w:t xml:space="preserve"> and served</w:t>
      </w:r>
      <w:r>
        <w:rPr>
          <w:rFonts w:ascii="Book Antiqua" w:hAnsi="Book Antiqua"/>
        </w:rPr>
        <w:t xml:space="preserve"> its </w:t>
      </w:r>
      <w:r w:rsidR="0097055D">
        <w:rPr>
          <w:rFonts w:ascii="Book Antiqua" w:hAnsi="Book Antiqua"/>
        </w:rPr>
        <w:t xml:space="preserve">GRC </w:t>
      </w:r>
      <w:r>
        <w:rPr>
          <w:rFonts w:ascii="Book Antiqua" w:hAnsi="Book Antiqua"/>
        </w:rPr>
        <w:t>application on the September 1 due date</w:t>
      </w:r>
      <w:r w:rsidR="00F976C3">
        <w:rPr>
          <w:rFonts w:ascii="Book Antiqua" w:hAnsi="Book Antiqua"/>
        </w:rPr>
        <w:t>;</w:t>
      </w:r>
    </w:p>
    <w:p w14:paraId="6624C807" w14:textId="5A331507" w:rsidR="00506C38" w:rsidRDefault="006A0DA1" w:rsidP="00D14898">
      <w:pPr>
        <w:pStyle w:val="standard0"/>
        <w:numPr>
          <w:ilvl w:val="0"/>
          <w:numId w:val="17"/>
        </w:numPr>
        <w:spacing w:after="120" w:line="240" w:lineRule="auto"/>
        <w:ind w:right="720"/>
        <w:rPr>
          <w:rFonts w:ascii="Book Antiqua" w:hAnsi="Book Antiqua"/>
        </w:rPr>
      </w:pPr>
      <w:r>
        <w:rPr>
          <w:rFonts w:ascii="Book Antiqua" w:hAnsi="Book Antiqua"/>
        </w:rPr>
        <w:t>The schedule adopted in the scoping memo</w:t>
      </w:r>
      <w:r w:rsidR="000432A0">
        <w:rPr>
          <w:rFonts w:ascii="Book Antiqua" w:hAnsi="Book Antiqua"/>
        </w:rPr>
        <w:t xml:space="preserve"> </w:t>
      </w:r>
      <w:r w:rsidR="00506C38">
        <w:rPr>
          <w:rFonts w:ascii="Book Antiqua" w:hAnsi="Book Antiqua"/>
        </w:rPr>
        <w:t xml:space="preserve">provided </w:t>
      </w:r>
      <w:r w:rsidR="00506C38" w:rsidRPr="00506C38">
        <w:rPr>
          <w:rFonts w:ascii="Book Antiqua" w:hAnsi="Book Antiqua"/>
          <w:u w:val="single"/>
        </w:rPr>
        <w:t>almost</w:t>
      </w:r>
      <w:r w:rsidR="00506C38">
        <w:rPr>
          <w:rFonts w:ascii="Book Antiqua" w:hAnsi="Book Antiqua"/>
        </w:rPr>
        <w:t xml:space="preserve"> all the other “must</w:t>
      </w:r>
      <w:r w:rsidR="00FE5496">
        <w:rPr>
          <w:rFonts w:ascii="Book Antiqua" w:hAnsi="Book Antiqua"/>
        </w:rPr>
        <w:noBreakHyphen/>
      </w:r>
      <w:r w:rsidR="00506C38">
        <w:rPr>
          <w:rFonts w:ascii="Book Antiqua" w:hAnsi="Book Antiqua"/>
        </w:rPr>
        <w:t>haves” listed above</w:t>
      </w:r>
      <w:r w:rsidR="000432A0">
        <w:rPr>
          <w:rFonts w:ascii="Book Antiqua" w:hAnsi="Book Antiqua"/>
        </w:rPr>
        <w:t>:</w:t>
      </w:r>
    </w:p>
    <w:p w14:paraId="2C1A9115" w14:textId="4BC2C687" w:rsidR="000432A0" w:rsidRDefault="000432A0" w:rsidP="00D14898">
      <w:pPr>
        <w:pStyle w:val="standard0"/>
        <w:numPr>
          <w:ilvl w:val="1"/>
          <w:numId w:val="17"/>
        </w:numPr>
        <w:spacing w:after="120" w:line="240" w:lineRule="auto"/>
        <w:ind w:right="720"/>
        <w:rPr>
          <w:rFonts w:ascii="Book Antiqua" w:hAnsi="Book Antiqua"/>
        </w:rPr>
      </w:pPr>
      <w:r>
        <w:rPr>
          <w:rFonts w:ascii="Book Antiqua" w:hAnsi="Book Antiqua"/>
        </w:rPr>
        <w:t xml:space="preserve">ORA received </w:t>
      </w:r>
      <w:r w:rsidR="00985D4E">
        <w:rPr>
          <w:rFonts w:ascii="Book Antiqua" w:hAnsi="Book Antiqua"/>
        </w:rPr>
        <w:t xml:space="preserve">two </w:t>
      </w:r>
      <w:r>
        <w:rPr>
          <w:rFonts w:ascii="Book Antiqua" w:hAnsi="Book Antiqua"/>
        </w:rPr>
        <w:t>extra months to prepare its testimony;</w:t>
      </w:r>
    </w:p>
    <w:p w14:paraId="123C929F" w14:textId="77777777" w:rsidR="000432A0" w:rsidRDefault="000432A0" w:rsidP="00D14898">
      <w:pPr>
        <w:pStyle w:val="standard0"/>
        <w:numPr>
          <w:ilvl w:val="1"/>
          <w:numId w:val="17"/>
        </w:numPr>
        <w:spacing w:after="120" w:line="240" w:lineRule="auto"/>
        <w:ind w:right="720"/>
        <w:rPr>
          <w:rFonts w:ascii="Book Antiqua" w:hAnsi="Book Antiqua"/>
        </w:rPr>
      </w:pPr>
      <w:r>
        <w:rPr>
          <w:rFonts w:ascii="Book Antiqua" w:hAnsi="Book Antiqua"/>
        </w:rPr>
        <w:t>the intervals between other major procedural milestones were established as requested by parties;</w:t>
      </w:r>
    </w:p>
    <w:p w14:paraId="38D195E2" w14:textId="77777777" w:rsidR="000432A0" w:rsidRDefault="000432A0" w:rsidP="00D14898">
      <w:pPr>
        <w:pStyle w:val="standard0"/>
        <w:numPr>
          <w:ilvl w:val="1"/>
          <w:numId w:val="17"/>
        </w:numPr>
        <w:spacing w:after="120" w:line="240" w:lineRule="auto"/>
        <w:ind w:right="720"/>
        <w:rPr>
          <w:rFonts w:ascii="Book Antiqua" w:hAnsi="Book Antiqua"/>
        </w:rPr>
      </w:pPr>
      <w:r>
        <w:rPr>
          <w:rFonts w:ascii="Book Antiqua" w:hAnsi="Book Antiqua"/>
        </w:rPr>
        <w:t>based on the submittal date in the Scoping Memo, the proposed decision would be issued by the end of December 2017 for consideration by the Commission at a voting meeting 30 days later, i.e., approximately one month after the 2018 test year began.</w:t>
      </w:r>
    </w:p>
    <w:p w14:paraId="5B6FDAD0" w14:textId="0F910B35" w:rsidR="00506C38" w:rsidRDefault="007C03EC" w:rsidP="00D14898">
      <w:pPr>
        <w:pStyle w:val="standard0"/>
        <w:numPr>
          <w:ilvl w:val="0"/>
          <w:numId w:val="17"/>
        </w:numPr>
        <w:spacing w:after="240" w:line="240" w:lineRule="auto"/>
        <w:ind w:right="720"/>
        <w:rPr>
          <w:rFonts w:ascii="Book Antiqua" w:hAnsi="Book Antiqua"/>
        </w:rPr>
      </w:pPr>
      <w:r>
        <w:rPr>
          <w:rFonts w:ascii="Book Antiqua" w:hAnsi="Book Antiqua"/>
        </w:rPr>
        <w:t>All the major issues in t</w:t>
      </w:r>
      <w:r w:rsidR="00506C38">
        <w:rPr>
          <w:rFonts w:ascii="Book Antiqua" w:hAnsi="Book Antiqua"/>
        </w:rPr>
        <w:t>he case w</w:t>
      </w:r>
      <w:r>
        <w:rPr>
          <w:rFonts w:ascii="Book Antiqua" w:hAnsi="Book Antiqua"/>
        </w:rPr>
        <w:t>ere</w:t>
      </w:r>
      <w:r w:rsidR="00506C38">
        <w:rPr>
          <w:rFonts w:ascii="Book Antiqua" w:hAnsi="Book Antiqua"/>
        </w:rPr>
        <w:t xml:space="preserve"> fully litigated, rather than settled, so </w:t>
      </w:r>
      <w:r w:rsidR="00985D4E">
        <w:rPr>
          <w:rFonts w:ascii="Book Antiqua" w:hAnsi="Book Antiqua"/>
        </w:rPr>
        <w:t xml:space="preserve">the “typical” </w:t>
      </w:r>
      <w:r w:rsidR="00506C38">
        <w:rPr>
          <w:rFonts w:ascii="Book Antiqua" w:hAnsi="Book Antiqua"/>
        </w:rPr>
        <w:t xml:space="preserve">three weeks of evidentiary hearings were held, and voluminous briefs and reply briefs were filed and served by SCE, </w:t>
      </w:r>
      <w:r w:rsidR="003933C4">
        <w:rPr>
          <w:rFonts w:ascii="Book Antiqua" w:hAnsi="Book Antiqua"/>
        </w:rPr>
        <w:t>Public Advocates Office</w:t>
      </w:r>
      <w:r w:rsidR="00506C38">
        <w:rPr>
          <w:rFonts w:ascii="Book Antiqua" w:hAnsi="Book Antiqua"/>
        </w:rPr>
        <w:t xml:space="preserve"> and other intervenors.</w:t>
      </w:r>
    </w:p>
    <w:p w14:paraId="6D2A43FD" w14:textId="644E86DB" w:rsidR="00E36B85" w:rsidRDefault="00590FE8">
      <w:pPr>
        <w:pStyle w:val="standard0"/>
        <w:rPr>
          <w:rFonts w:ascii="Book Antiqua" w:hAnsi="Book Antiqua"/>
        </w:rPr>
      </w:pPr>
      <w:r>
        <w:rPr>
          <w:rFonts w:ascii="Book Antiqua" w:hAnsi="Book Antiqua"/>
        </w:rPr>
        <w:t xml:space="preserve">The proceeding </w:t>
      </w:r>
      <w:r w:rsidR="000432A0">
        <w:rPr>
          <w:rFonts w:ascii="Book Antiqua" w:hAnsi="Book Antiqua"/>
        </w:rPr>
        <w:t>tracked</w:t>
      </w:r>
      <w:r>
        <w:rPr>
          <w:rFonts w:ascii="Book Antiqua" w:hAnsi="Book Antiqua"/>
        </w:rPr>
        <w:t xml:space="preserve"> </w:t>
      </w:r>
      <w:r w:rsidR="007C03EC">
        <w:rPr>
          <w:rFonts w:ascii="Book Antiqua" w:hAnsi="Book Antiqua"/>
        </w:rPr>
        <w:t xml:space="preserve">the schedule required by the RCP </w:t>
      </w:r>
      <w:r w:rsidR="000432A0">
        <w:rPr>
          <w:rFonts w:ascii="Book Antiqua" w:hAnsi="Book Antiqua"/>
        </w:rPr>
        <w:t xml:space="preserve">through the </w:t>
      </w:r>
      <w:r>
        <w:rPr>
          <w:rFonts w:ascii="Book Antiqua" w:hAnsi="Book Antiqua"/>
        </w:rPr>
        <w:t>submitt</w:t>
      </w:r>
      <w:r w:rsidR="000432A0">
        <w:rPr>
          <w:rFonts w:ascii="Book Antiqua" w:hAnsi="Book Antiqua"/>
        </w:rPr>
        <w:t xml:space="preserve">al date in September </w:t>
      </w:r>
      <w:r>
        <w:rPr>
          <w:rFonts w:ascii="Book Antiqua" w:hAnsi="Book Antiqua"/>
        </w:rPr>
        <w:t>2017</w:t>
      </w:r>
      <w:r w:rsidR="00985D4E">
        <w:rPr>
          <w:rFonts w:ascii="Book Antiqua" w:hAnsi="Book Antiqua"/>
        </w:rPr>
        <w:t>, when reply briefs were filed and served</w:t>
      </w:r>
      <w:r>
        <w:rPr>
          <w:rFonts w:ascii="Book Antiqua" w:hAnsi="Book Antiqua"/>
        </w:rPr>
        <w:t xml:space="preserve">.  </w:t>
      </w:r>
      <w:r w:rsidR="000432A0">
        <w:rPr>
          <w:rFonts w:ascii="Book Antiqua" w:hAnsi="Book Antiqua"/>
        </w:rPr>
        <w:t xml:space="preserve">From that point onward, however, the Commission did not follow the RCP.  </w:t>
      </w:r>
      <w:r w:rsidR="007C03EC">
        <w:rPr>
          <w:rFonts w:ascii="Book Antiqua" w:hAnsi="Book Antiqua"/>
        </w:rPr>
        <w:t>In fact,</w:t>
      </w:r>
      <w:r>
        <w:rPr>
          <w:rFonts w:ascii="Book Antiqua" w:hAnsi="Book Antiqua"/>
        </w:rPr>
        <w:t xml:space="preserve"> the proposed decision of the two assigned ALJs was issued on April </w:t>
      </w:r>
      <w:r w:rsidR="00BE4F8E">
        <w:rPr>
          <w:rFonts w:ascii="Book Antiqua" w:hAnsi="Book Antiqua"/>
        </w:rPr>
        <w:t xml:space="preserve">12, </w:t>
      </w:r>
      <w:r w:rsidR="00BE4F8E" w:rsidRPr="006F0AC0">
        <w:rPr>
          <w:rFonts w:ascii="Book Antiqua" w:hAnsi="Book Antiqua"/>
          <w:i/>
          <w:iCs/>
          <w:u w:val="single"/>
        </w:rPr>
        <w:t>2019</w:t>
      </w:r>
      <w:r w:rsidR="00E36B85" w:rsidRPr="006F0AC0">
        <w:rPr>
          <w:rFonts w:ascii="Book Antiqua" w:hAnsi="Book Antiqua"/>
        </w:rPr>
        <w:t xml:space="preserve"> (</w:t>
      </w:r>
      <w:r w:rsidR="00E36B85">
        <w:rPr>
          <w:rFonts w:ascii="Book Antiqua" w:hAnsi="Book Antiqua"/>
        </w:rPr>
        <w:t xml:space="preserve">i.e., </w:t>
      </w:r>
      <w:r w:rsidR="00985D4E">
        <w:rPr>
          <w:rFonts w:ascii="Book Antiqua" w:hAnsi="Book Antiqua"/>
        </w:rPr>
        <w:lastRenderedPageBreak/>
        <w:t xml:space="preserve">more than </w:t>
      </w:r>
      <w:r w:rsidR="00E36B85" w:rsidRPr="006F0AC0">
        <w:rPr>
          <w:rFonts w:ascii="Book Antiqua" w:hAnsi="Book Antiqua"/>
        </w:rPr>
        <w:t>18 months after the submittal date)</w:t>
      </w:r>
      <w:r w:rsidR="00C251A2" w:rsidRPr="006F0AC0">
        <w:rPr>
          <w:rFonts w:ascii="Book Antiqua" w:hAnsi="Book Antiqua"/>
        </w:rPr>
        <w:t>.</w:t>
      </w:r>
      <w:r w:rsidR="007C03EC">
        <w:rPr>
          <w:rFonts w:ascii="Book Antiqua" w:hAnsi="Book Antiqua"/>
        </w:rPr>
        <w:t xml:space="preserve"> </w:t>
      </w:r>
      <w:r w:rsidR="00C251A2">
        <w:rPr>
          <w:rFonts w:ascii="Book Antiqua" w:hAnsi="Book Antiqua"/>
        </w:rPr>
        <w:t xml:space="preserve"> T</w:t>
      </w:r>
      <w:r w:rsidR="00BE4F8E">
        <w:rPr>
          <w:rFonts w:ascii="Book Antiqua" w:hAnsi="Book Antiqua"/>
        </w:rPr>
        <w:t xml:space="preserve">he Commission </w:t>
      </w:r>
      <w:r w:rsidR="007C03EC">
        <w:rPr>
          <w:rFonts w:ascii="Book Antiqua" w:hAnsi="Book Antiqua"/>
        </w:rPr>
        <w:t xml:space="preserve">adopted the PD </w:t>
      </w:r>
      <w:r w:rsidR="00BE4F8E">
        <w:rPr>
          <w:rFonts w:ascii="Book Antiqua" w:hAnsi="Book Antiqua"/>
        </w:rPr>
        <w:t>at its next meeting on May</w:t>
      </w:r>
      <w:r w:rsidR="00326D0E">
        <w:rPr>
          <w:rFonts w:ascii="Book Antiqua" w:hAnsi="Book Antiqua"/>
        </w:rPr>
        <w:t xml:space="preserve"> </w:t>
      </w:r>
      <w:r w:rsidR="00BE4F8E">
        <w:rPr>
          <w:rFonts w:ascii="Book Antiqua" w:hAnsi="Book Antiqua"/>
        </w:rPr>
        <w:t>16</w:t>
      </w:r>
      <w:r w:rsidR="00A146D9">
        <w:rPr>
          <w:rFonts w:ascii="Book Antiqua" w:hAnsi="Book Antiqua"/>
        </w:rPr>
        <w:t>,</w:t>
      </w:r>
      <w:r w:rsidR="00326D0E">
        <w:rPr>
          <w:rFonts w:ascii="Book Antiqua" w:hAnsi="Book Antiqua"/>
        </w:rPr>
        <w:t xml:space="preserve"> </w:t>
      </w:r>
      <w:r w:rsidR="00BE4F8E">
        <w:rPr>
          <w:rFonts w:ascii="Book Antiqua" w:hAnsi="Book Antiqua"/>
        </w:rPr>
        <w:t xml:space="preserve">2019.  In short, the applicant and the other parties met </w:t>
      </w:r>
      <w:r w:rsidR="007C03EC">
        <w:rPr>
          <w:rFonts w:ascii="Book Antiqua" w:hAnsi="Book Antiqua"/>
        </w:rPr>
        <w:t xml:space="preserve">the </w:t>
      </w:r>
      <w:r w:rsidR="00BE4F8E">
        <w:rPr>
          <w:rFonts w:ascii="Book Antiqua" w:hAnsi="Book Antiqua"/>
        </w:rPr>
        <w:t>require</w:t>
      </w:r>
      <w:r w:rsidR="007C03EC">
        <w:rPr>
          <w:rFonts w:ascii="Book Antiqua" w:hAnsi="Book Antiqua"/>
        </w:rPr>
        <w:t>ments and deadlines of the RCP</w:t>
      </w:r>
      <w:r w:rsidR="00BE4F8E">
        <w:rPr>
          <w:rFonts w:ascii="Book Antiqua" w:hAnsi="Book Antiqua"/>
        </w:rPr>
        <w:t>, but the Commission, collectively, did not.</w:t>
      </w:r>
      <w:r w:rsidR="00BE4F8E">
        <w:rPr>
          <w:rStyle w:val="FootnoteReference"/>
          <w:rFonts w:ascii="Book Antiqua" w:hAnsi="Book Antiqua"/>
        </w:rPr>
        <w:footnoteReference w:id="46"/>
      </w:r>
    </w:p>
    <w:p w14:paraId="097F265E" w14:textId="0B01478F" w:rsidR="007C03EC" w:rsidRDefault="004D724F" w:rsidP="006F0AC0">
      <w:pPr>
        <w:pStyle w:val="standard0"/>
        <w:rPr>
          <w:rFonts w:ascii="Book Antiqua" w:hAnsi="Book Antiqua"/>
        </w:rPr>
      </w:pPr>
      <w:r w:rsidRPr="00A80EEC">
        <w:rPr>
          <w:rFonts w:ascii="Book Antiqua" w:hAnsi="Book Antiqua"/>
        </w:rPr>
        <w:t xml:space="preserve">We consider a delay of </w:t>
      </w:r>
      <w:r w:rsidR="00C251A2" w:rsidRPr="00A80EEC">
        <w:rPr>
          <w:rFonts w:ascii="Book Antiqua" w:hAnsi="Book Antiqua"/>
        </w:rPr>
        <w:t xml:space="preserve">this </w:t>
      </w:r>
      <w:r w:rsidRPr="00A80EEC">
        <w:rPr>
          <w:rFonts w:ascii="Book Antiqua" w:hAnsi="Book Antiqua"/>
        </w:rPr>
        <w:t>magnitude to be a one</w:t>
      </w:r>
      <w:r w:rsidR="00FE5496">
        <w:rPr>
          <w:rFonts w:ascii="Book Antiqua" w:hAnsi="Book Antiqua"/>
        </w:rPr>
        <w:noBreakHyphen/>
      </w:r>
      <w:r w:rsidRPr="00A80EEC">
        <w:rPr>
          <w:rFonts w:ascii="Book Antiqua" w:hAnsi="Book Antiqua"/>
        </w:rPr>
        <w:t>time occurrence</w:t>
      </w:r>
      <w:r w:rsidR="00E36B85" w:rsidRPr="00A80EEC">
        <w:rPr>
          <w:rFonts w:ascii="Book Antiqua" w:hAnsi="Book Antiqua"/>
        </w:rPr>
        <w:t xml:space="preserve">.  </w:t>
      </w:r>
      <w:r w:rsidRPr="00A80EEC">
        <w:rPr>
          <w:rFonts w:ascii="Book Antiqua" w:hAnsi="Book Antiqua"/>
        </w:rPr>
        <w:t xml:space="preserve">Still, </w:t>
      </w:r>
      <w:r w:rsidR="00C526E5" w:rsidRPr="00A80EEC">
        <w:rPr>
          <w:rFonts w:ascii="Book Antiqua" w:hAnsi="Book Antiqua"/>
        </w:rPr>
        <w:t>the</w:t>
      </w:r>
      <w:r w:rsidRPr="00A80EEC">
        <w:rPr>
          <w:rFonts w:ascii="Book Antiqua" w:hAnsi="Book Antiqua"/>
        </w:rPr>
        <w:t xml:space="preserve"> </w:t>
      </w:r>
      <w:r w:rsidR="00D1113D" w:rsidRPr="00A80EEC">
        <w:rPr>
          <w:rFonts w:ascii="Book Antiqua" w:hAnsi="Book Antiqua"/>
        </w:rPr>
        <w:t xml:space="preserve">long </w:t>
      </w:r>
      <w:r w:rsidRPr="00A80EEC">
        <w:rPr>
          <w:rFonts w:ascii="Book Antiqua" w:hAnsi="Book Antiqua"/>
        </w:rPr>
        <w:t xml:space="preserve">delay </w:t>
      </w:r>
      <w:r w:rsidR="00C526E5" w:rsidRPr="00A80EEC">
        <w:rPr>
          <w:rFonts w:ascii="Book Antiqua" w:hAnsi="Book Antiqua"/>
        </w:rPr>
        <w:t>in issuing th</w:t>
      </w:r>
      <w:r w:rsidR="00D1113D" w:rsidRPr="00A80EEC">
        <w:rPr>
          <w:rFonts w:ascii="Book Antiqua" w:hAnsi="Book Antiqua"/>
        </w:rPr>
        <w:t>is particular</w:t>
      </w:r>
      <w:r w:rsidR="00C526E5" w:rsidRPr="00A80EEC">
        <w:rPr>
          <w:rFonts w:ascii="Book Antiqua" w:hAnsi="Book Antiqua"/>
        </w:rPr>
        <w:t xml:space="preserve"> PD </w:t>
      </w:r>
      <w:r w:rsidRPr="00A80EEC">
        <w:rPr>
          <w:rFonts w:ascii="Book Antiqua" w:hAnsi="Book Antiqua"/>
        </w:rPr>
        <w:t xml:space="preserve">was </w:t>
      </w:r>
      <w:r w:rsidR="00C526E5" w:rsidRPr="00A80EEC">
        <w:rPr>
          <w:rFonts w:ascii="Book Antiqua" w:hAnsi="Book Antiqua"/>
        </w:rPr>
        <w:t xml:space="preserve">merely </w:t>
      </w:r>
      <w:r w:rsidRPr="00A80EEC">
        <w:rPr>
          <w:rFonts w:ascii="Book Antiqua" w:hAnsi="Book Antiqua"/>
        </w:rPr>
        <w:t xml:space="preserve">an extreme example of what </w:t>
      </w:r>
      <w:r w:rsidR="00363D1D" w:rsidRPr="00A80EEC">
        <w:rPr>
          <w:rFonts w:ascii="Book Antiqua" w:hAnsi="Book Antiqua"/>
        </w:rPr>
        <w:t xml:space="preserve">parties </w:t>
      </w:r>
      <w:r w:rsidRPr="00A80EEC">
        <w:rPr>
          <w:rFonts w:ascii="Book Antiqua" w:hAnsi="Book Antiqua"/>
        </w:rPr>
        <w:t>consider</w:t>
      </w:r>
      <w:r w:rsidR="00363D1D" w:rsidRPr="00A80EEC">
        <w:rPr>
          <w:rFonts w:ascii="Book Antiqua" w:hAnsi="Book Antiqua"/>
        </w:rPr>
        <w:t xml:space="preserve"> to be</w:t>
      </w:r>
      <w:r w:rsidRPr="00A80EEC">
        <w:rPr>
          <w:rFonts w:ascii="Book Antiqua" w:hAnsi="Book Antiqua"/>
        </w:rPr>
        <w:t xml:space="preserve"> typical in </w:t>
      </w:r>
      <w:r w:rsidR="00363D1D" w:rsidRPr="00A80EEC">
        <w:rPr>
          <w:rFonts w:ascii="Book Antiqua" w:hAnsi="Book Antiqua"/>
        </w:rPr>
        <w:t xml:space="preserve">large </w:t>
      </w:r>
      <w:r w:rsidRPr="00A80EEC">
        <w:rPr>
          <w:rFonts w:ascii="Book Antiqua" w:hAnsi="Book Antiqua"/>
        </w:rPr>
        <w:t xml:space="preserve">GRC proceedings:  the PD is rarely completed </w:t>
      </w:r>
      <w:r w:rsidR="00985D4E">
        <w:rPr>
          <w:rFonts w:ascii="Book Antiqua" w:hAnsi="Book Antiqua"/>
        </w:rPr>
        <w:t>and issued by</w:t>
      </w:r>
      <w:r w:rsidR="00985D4E" w:rsidRPr="00A80EEC">
        <w:rPr>
          <w:rFonts w:ascii="Book Antiqua" w:hAnsi="Book Antiqua"/>
        </w:rPr>
        <w:t xml:space="preserve"> </w:t>
      </w:r>
      <w:r w:rsidRPr="00A80EEC">
        <w:rPr>
          <w:rFonts w:ascii="Book Antiqua" w:hAnsi="Book Antiqua"/>
        </w:rPr>
        <w:t>the 90</w:t>
      </w:r>
      <w:r w:rsidR="00FE5496">
        <w:rPr>
          <w:rFonts w:ascii="Book Antiqua" w:hAnsi="Book Antiqua"/>
        </w:rPr>
        <w:noBreakHyphen/>
      </w:r>
      <w:r w:rsidRPr="00A80EEC">
        <w:rPr>
          <w:rFonts w:ascii="Book Antiqua" w:hAnsi="Book Antiqua"/>
        </w:rPr>
        <w:t>day statutory deadline.</w:t>
      </w:r>
    </w:p>
    <w:p w14:paraId="6DEF9586" w14:textId="769370C2" w:rsidR="00714F93" w:rsidRDefault="001D51BC" w:rsidP="00B702ED">
      <w:pPr>
        <w:pStyle w:val="standard0"/>
        <w:rPr>
          <w:rFonts w:ascii="Book Antiqua" w:hAnsi="Book Antiqua"/>
        </w:rPr>
      </w:pPr>
      <w:r>
        <w:rPr>
          <w:rFonts w:ascii="Book Antiqua" w:hAnsi="Book Antiqua"/>
        </w:rPr>
        <w:t xml:space="preserve">Based on </w:t>
      </w:r>
      <w:r w:rsidR="00714F93">
        <w:rPr>
          <w:rFonts w:ascii="Book Antiqua" w:hAnsi="Book Antiqua"/>
        </w:rPr>
        <w:t xml:space="preserve">our review of the history of the RCP at the Commission, </w:t>
      </w:r>
      <w:r w:rsidR="0097055D">
        <w:rPr>
          <w:rFonts w:ascii="Book Antiqua" w:hAnsi="Book Antiqua"/>
        </w:rPr>
        <w:t xml:space="preserve">related </w:t>
      </w:r>
      <w:r w:rsidR="00714F93">
        <w:rPr>
          <w:rFonts w:ascii="Book Antiqua" w:hAnsi="Book Antiqua"/>
        </w:rPr>
        <w:t>statutory requirements</w:t>
      </w:r>
      <w:r>
        <w:rPr>
          <w:rFonts w:ascii="Book Antiqua" w:hAnsi="Book Antiqua"/>
        </w:rPr>
        <w:t xml:space="preserve">, and </w:t>
      </w:r>
      <w:r w:rsidR="00714F93">
        <w:rPr>
          <w:rFonts w:ascii="Book Antiqua" w:hAnsi="Book Antiqua"/>
        </w:rPr>
        <w:t xml:space="preserve">with the benefit of very recent hindsight regarding the SCE GRC, </w:t>
      </w:r>
      <w:r>
        <w:rPr>
          <w:rFonts w:ascii="Book Antiqua" w:hAnsi="Book Antiqua"/>
        </w:rPr>
        <w:t xml:space="preserve">we </w:t>
      </w:r>
      <w:r w:rsidR="00714F93">
        <w:rPr>
          <w:rFonts w:ascii="Book Antiqua" w:hAnsi="Book Antiqua"/>
        </w:rPr>
        <w:t xml:space="preserve">nevertheless </w:t>
      </w:r>
      <w:r>
        <w:rPr>
          <w:rFonts w:ascii="Book Antiqua" w:hAnsi="Book Antiqua"/>
        </w:rPr>
        <w:t xml:space="preserve">find that several </w:t>
      </w:r>
      <w:r w:rsidR="00714F93">
        <w:rPr>
          <w:rFonts w:ascii="Book Antiqua" w:hAnsi="Book Antiqua"/>
        </w:rPr>
        <w:t xml:space="preserve">relatively </w:t>
      </w:r>
      <w:r>
        <w:rPr>
          <w:rFonts w:ascii="Book Antiqua" w:hAnsi="Book Antiqua"/>
        </w:rPr>
        <w:t xml:space="preserve">simple </w:t>
      </w:r>
      <w:r w:rsidR="00714F93">
        <w:rPr>
          <w:rFonts w:ascii="Book Antiqua" w:hAnsi="Book Antiqua"/>
        </w:rPr>
        <w:t xml:space="preserve">changes </w:t>
      </w:r>
      <w:r>
        <w:rPr>
          <w:rFonts w:ascii="Book Antiqua" w:hAnsi="Book Antiqua"/>
        </w:rPr>
        <w:t xml:space="preserve">will address many of the challenges created by the current RCP schedule. </w:t>
      </w:r>
      <w:r w:rsidR="00714F93">
        <w:rPr>
          <w:rFonts w:ascii="Book Antiqua" w:hAnsi="Book Antiqua"/>
        </w:rPr>
        <w:t xml:space="preserve"> Those scheduling changes, along with other procedural recommendations from the Staff Report or parties that we </w:t>
      </w:r>
      <w:r w:rsidR="0097055D">
        <w:rPr>
          <w:rFonts w:ascii="Book Antiqua" w:hAnsi="Book Antiqua"/>
        </w:rPr>
        <w:t xml:space="preserve">also </w:t>
      </w:r>
      <w:r w:rsidR="00714F93">
        <w:rPr>
          <w:rFonts w:ascii="Book Antiqua" w:hAnsi="Book Antiqua"/>
        </w:rPr>
        <w:t xml:space="preserve">adopt </w:t>
      </w:r>
      <w:r w:rsidR="0097055D">
        <w:rPr>
          <w:rFonts w:ascii="Book Antiqua" w:hAnsi="Book Antiqua"/>
        </w:rPr>
        <w:t>herein</w:t>
      </w:r>
      <w:r w:rsidR="00714F93">
        <w:rPr>
          <w:rFonts w:ascii="Book Antiqua" w:hAnsi="Book Antiqua"/>
        </w:rPr>
        <w:t xml:space="preserve">, should greatly improve our ability to produce timely </w:t>
      </w:r>
      <w:r w:rsidR="0097055D">
        <w:rPr>
          <w:rFonts w:ascii="Book Antiqua" w:hAnsi="Book Antiqua"/>
        </w:rPr>
        <w:t xml:space="preserve">GRC </w:t>
      </w:r>
      <w:r w:rsidR="00714F93">
        <w:rPr>
          <w:rFonts w:ascii="Book Antiqua" w:hAnsi="Book Antiqua"/>
        </w:rPr>
        <w:t xml:space="preserve">decisions </w:t>
      </w:r>
      <w:r w:rsidR="00985D4E">
        <w:rPr>
          <w:rFonts w:ascii="Book Antiqua" w:hAnsi="Book Antiqua"/>
        </w:rPr>
        <w:t>following</w:t>
      </w:r>
      <w:r w:rsidR="00714F93">
        <w:rPr>
          <w:rFonts w:ascii="Book Antiqua" w:hAnsi="Book Antiqua"/>
        </w:rPr>
        <w:t xml:space="preserve"> a fair administrative hearing process, on a schedule that provides predictable outcomes for the utilities and the stakeholders in the regulatory compact:  investors and customers.</w:t>
      </w:r>
    </w:p>
    <w:p w14:paraId="1B482A6C" w14:textId="0FB7A753" w:rsidR="001D51BC" w:rsidRDefault="001D51BC" w:rsidP="00B702ED">
      <w:pPr>
        <w:pStyle w:val="standard0"/>
        <w:rPr>
          <w:rFonts w:ascii="Book Antiqua" w:hAnsi="Book Antiqua"/>
        </w:rPr>
      </w:pPr>
      <w:r>
        <w:rPr>
          <w:rFonts w:ascii="Book Antiqua" w:hAnsi="Book Antiqua"/>
        </w:rPr>
        <w:t>T</w:t>
      </w:r>
      <w:r w:rsidR="007B53C7">
        <w:rPr>
          <w:rFonts w:ascii="Book Antiqua" w:hAnsi="Book Antiqua"/>
        </w:rPr>
        <w:t xml:space="preserve">o simplify the </w:t>
      </w:r>
      <w:r w:rsidR="0097055D">
        <w:rPr>
          <w:rFonts w:ascii="Book Antiqua" w:hAnsi="Book Antiqua"/>
        </w:rPr>
        <w:t>solution</w:t>
      </w:r>
      <w:r w:rsidR="004824E0">
        <w:rPr>
          <w:rFonts w:ascii="Book Antiqua" w:hAnsi="Book Antiqua"/>
        </w:rPr>
        <w:t>,</w:t>
      </w:r>
      <w:r w:rsidR="007B53C7">
        <w:rPr>
          <w:rFonts w:ascii="Book Antiqua" w:hAnsi="Book Antiqua"/>
        </w:rPr>
        <w:t xml:space="preserve"> we can </w:t>
      </w:r>
      <w:r w:rsidR="00934D39">
        <w:rPr>
          <w:rFonts w:ascii="Book Antiqua" w:hAnsi="Book Antiqua"/>
        </w:rPr>
        <w:t>begin with</w:t>
      </w:r>
      <w:r w:rsidR="00C251A2">
        <w:rPr>
          <w:rFonts w:ascii="Book Antiqua" w:hAnsi="Book Antiqua"/>
        </w:rPr>
        <w:t xml:space="preserve"> </w:t>
      </w:r>
      <w:r w:rsidR="007B53C7">
        <w:rPr>
          <w:rFonts w:ascii="Book Antiqua" w:hAnsi="Book Antiqua"/>
        </w:rPr>
        <w:t xml:space="preserve">two </w:t>
      </w:r>
      <w:r w:rsidR="00C251A2">
        <w:rPr>
          <w:rFonts w:ascii="Book Antiqua" w:hAnsi="Book Antiqua"/>
        </w:rPr>
        <w:t>“must</w:t>
      </w:r>
      <w:r w:rsidR="00FE5496">
        <w:rPr>
          <w:rFonts w:ascii="Book Antiqua" w:hAnsi="Book Antiqua"/>
        </w:rPr>
        <w:noBreakHyphen/>
      </w:r>
      <w:r w:rsidR="00C251A2">
        <w:rPr>
          <w:rFonts w:ascii="Book Antiqua" w:hAnsi="Book Antiqua"/>
        </w:rPr>
        <w:t>haves”</w:t>
      </w:r>
      <w:r w:rsidR="007B53C7">
        <w:rPr>
          <w:rFonts w:ascii="Book Antiqua" w:hAnsi="Book Antiqua"/>
        </w:rPr>
        <w:t xml:space="preserve"> and work backwards from those milestones to create a </w:t>
      </w:r>
      <w:r>
        <w:rPr>
          <w:rFonts w:ascii="Book Antiqua" w:hAnsi="Book Antiqua"/>
        </w:rPr>
        <w:t xml:space="preserve">new </w:t>
      </w:r>
      <w:r w:rsidR="00B702ED" w:rsidRPr="000F7254">
        <w:rPr>
          <w:rFonts w:ascii="Book Antiqua" w:hAnsi="Book Antiqua"/>
        </w:rPr>
        <w:t>RCP schedule</w:t>
      </w:r>
      <w:r w:rsidR="00C251A2">
        <w:rPr>
          <w:rFonts w:ascii="Book Antiqua" w:hAnsi="Book Antiqua"/>
        </w:rPr>
        <w:t>.  F</w:t>
      </w:r>
      <w:r w:rsidR="007B53C7">
        <w:rPr>
          <w:rFonts w:ascii="Book Antiqua" w:hAnsi="Book Antiqua"/>
        </w:rPr>
        <w:t xml:space="preserve">irst, we </w:t>
      </w:r>
      <w:r>
        <w:rPr>
          <w:rFonts w:ascii="Book Antiqua" w:hAnsi="Book Antiqua"/>
        </w:rPr>
        <w:t xml:space="preserve">should </w:t>
      </w:r>
      <w:r w:rsidR="00823765">
        <w:rPr>
          <w:rFonts w:ascii="Book Antiqua" w:hAnsi="Book Antiqua"/>
        </w:rPr>
        <w:t xml:space="preserve">plan </w:t>
      </w:r>
      <w:r w:rsidR="007B53C7">
        <w:rPr>
          <w:rFonts w:ascii="Book Antiqua" w:hAnsi="Book Antiqua"/>
        </w:rPr>
        <w:t xml:space="preserve">that the Commission will issue its </w:t>
      </w:r>
      <w:r w:rsidR="0097055D">
        <w:rPr>
          <w:rFonts w:ascii="Book Antiqua" w:hAnsi="Book Antiqua"/>
        </w:rPr>
        <w:t xml:space="preserve">final </w:t>
      </w:r>
      <w:r w:rsidR="007B53C7">
        <w:rPr>
          <w:rFonts w:ascii="Book Antiqua" w:hAnsi="Book Antiqua"/>
        </w:rPr>
        <w:t>decision on December 1</w:t>
      </w:r>
      <w:r w:rsidR="007B53C7" w:rsidRPr="007B53C7">
        <w:rPr>
          <w:rFonts w:ascii="Book Antiqua" w:hAnsi="Book Antiqua"/>
          <w:vertAlign w:val="superscript"/>
        </w:rPr>
        <w:t>st</w:t>
      </w:r>
      <w:r w:rsidR="007B53C7">
        <w:rPr>
          <w:rFonts w:ascii="Book Antiqua" w:hAnsi="Book Antiqua"/>
        </w:rPr>
        <w:t xml:space="preserve"> of the year preceding the test year.  This meets the utilities’ stated must</w:t>
      </w:r>
      <w:r w:rsidR="00FE5496">
        <w:rPr>
          <w:rFonts w:ascii="Book Antiqua" w:hAnsi="Book Antiqua"/>
        </w:rPr>
        <w:noBreakHyphen/>
      </w:r>
      <w:r w:rsidR="007B53C7">
        <w:rPr>
          <w:rFonts w:ascii="Book Antiqua" w:hAnsi="Book Antiqua"/>
        </w:rPr>
        <w:t xml:space="preserve">have and provides them with 30 days to incorporate the Commission’s decision into </w:t>
      </w:r>
      <w:r w:rsidR="00C251A2">
        <w:rPr>
          <w:rFonts w:ascii="Book Antiqua" w:hAnsi="Book Antiqua"/>
        </w:rPr>
        <w:t xml:space="preserve">any </w:t>
      </w:r>
      <w:r w:rsidR="007B53C7">
        <w:rPr>
          <w:rFonts w:ascii="Book Antiqua" w:hAnsi="Book Antiqua"/>
        </w:rPr>
        <w:t>rate change</w:t>
      </w:r>
      <w:r w:rsidR="001F6BE2">
        <w:rPr>
          <w:rFonts w:ascii="Book Antiqua" w:hAnsi="Book Antiqua"/>
        </w:rPr>
        <w:t xml:space="preserve"> that takes effect on January 1</w:t>
      </w:r>
      <w:r w:rsidR="001F6BE2" w:rsidRPr="007B53C7">
        <w:rPr>
          <w:rFonts w:ascii="Book Antiqua" w:hAnsi="Book Antiqua"/>
          <w:vertAlign w:val="superscript"/>
        </w:rPr>
        <w:t>st</w:t>
      </w:r>
      <w:r w:rsidR="001F6BE2">
        <w:rPr>
          <w:rFonts w:ascii="Book Antiqua" w:hAnsi="Book Antiqua"/>
          <w:vertAlign w:val="superscript"/>
        </w:rPr>
        <w:t xml:space="preserve"> </w:t>
      </w:r>
      <w:r w:rsidR="001F6BE2" w:rsidRPr="001F6BE2">
        <w:rPr>
          <w:rFonts w:ascii="Book Antiqua" w:hAnsi="Book Antiqua"/>
        </w:rPr>
        <w:t xml:space="preserve">of </w:t>
      </w:r>
      <w:r w:rsidR="001F6BE2">
        <w:rPr>
          <w:rFonts w:ascii="Book Antiqua" w:hAnsi="Book Antiqua"/>
        </w:rPr>
        <w:t>the test year</w:t>
      </w:r>
      <w:r w:rsidR="007B53C7">
        <w:rPr>
          <w:rFonts w:ascii="Book Antiqua" w:hAnsi="Book Antiqua"/>
        </w:rPr>
        <w:t xml:space="preserve">.  Second, we </w:t>
      </w:r>
      <w:r>
        <w:rPr>
          <w:rFonts w:ascii="Book Antiqua" w:hAnsi="Book Antiqua"/>
        </w:rPr>
        <w:t xml:space="preserve">should modify the </w:t>
      </w:r>
      <w:r>
        <w:rPr>
          <w:rFonts w:ascii="Book Antiqua" w:hAnsi="Book Antiqua"/>
        </w:rPr>
        <w:lastRenderedPageBreak/>
        <w:t xml:space="preserve">RCP schedule to </w:t>
      </w:r>
      <w:r w:rsidR="007B53C7">
        <w:rPr>
          <w:rFonts w:ascii="Book Antiqua" w:hAnsi="Book Antiqua"/>
        </w:rPr>
        <w:t xml:space="preserve">provide </w:t>
      </w:r>
      <w:r w:rsidR="00C251A2">
        <w:rPr>
          <w:rFonts w:ascii="Book Antiqua" w:hAnsi="Book Antiqua"/>
        </w:rPr>
        <w:t xml:space="preserve">the </w:t>
      </w:r>
      <w:r w:rsidR="003933C4">
        <w:rPr>
          <w:rFonts w:ascii="Book Antiqua" w:hAnsi="Book Antiqua"/>
        </w:rPr>
        <w:t>Public Advocates Office</w:t>
      </w:r>
      <w:r w:rsidR="007B53C7">
        <w:rPr>
          <w:rFonts w:ascii="Book Antiqua" w:hAnsi="Book Antiqua"/>
        </w:rPr>
        <w:t xml:space="preserve"> with the </w:t>
      </w:r>
      <w:r>
        <w:rPr>
          <w:rFonts w:ascii="Book Antiqua" w:hAnsi="Book Antiqua"/>
        </w:rPr>
        <w:t xml:space="preserve">time it </w:t>
      </w:r>
      <w:r w:rsidR="00C251A2">
        <w:rPr>
          <w:rFonts w:ascii="Book Antiqua" w:hAnsi="Book Antiqua"/>
        </w:rPr>
        <w:t>has consistently stated i</w:t>
      </w:r>
      <w:r w:rsidR="009A1CEA">
        <w:rPr>
          <w:rFonts w:ascii="Book Antiqua" w:hAnsi="Book Antiqua"/>
        </w:rPr>
        <w:t>t</w:t>
      </w:r>
      <w:r w:rsidR="00C251A2">
        <w:rPr>
          <w:rFonts w:ascii="Book Antiqua" w:hAnsi="Book Antiqua"/>
        </w:rPr>
        <w:t xml:space="preserve"> </w:t>
      </w:r>
      <w:r>
        <w:rPr>
          <w:rFonts w:ascii="Book Antiqua" w:hAnsi="Book Antiqua"/>
        </w:rPr>
        <w:t>require</w:t>
      </w:r>
      <w:r w:rsidR="009A1CEA">
        <w:rPr>
          <w:rFonts w:ascii="Book Antiqua" w:hAnsi="Book Antiqua"/>
        </w:rPr>
        <w:t>s</w:t>
      </w:r>
      <w:r w:rsidR="007B53C7">
        <w:rPr>
          <w:rFonts w:ascii="Book Antiqua" w:hAnsi="Book Antiqua"/>
        </w:rPr>
        <w:t xml:space="preserve"> </w:t>
      </w:r>
      <w:r w:rsidR="001F6BE2">
        <w:rPr>
          <w:rFonts w:ascii="Book Antiqua" w:hAnsi="Book Antiqua"/>
        </w:rPr>
        <w:t xml:space="preserve">to </w:t>
      </w:r>
      <w:r w:rsidR="009A1CEA">
        <w:rPr>
          <w:rFonts w:ascii="Book Antiqua" w:hAnsi="Book Antiqua"/>
        </w:rPr>
        <w:t xml:space="preserve">conduct discovery and </w:t>
      </w:r>
      <w:r w:rsidR="001F6BE2">
        <w:rPr>
          <w:rFonts w:ascii="Book Antiqua" w:hAnsi="Book Antiqua"/>
        </w:rPr>
        <w:t>prepare its testimony</w:t>
      </w:r>
      <w:r>
        <w:rPr>
          <w:rFonts w:ascii="Book Antiqua" w:hAnsi="Book Antiqua"/>
        </w:rPr>
        <w:t>.</w:t>
      </w:r>
      <w:r w:rsidR="001F6BE2">
        <w:rPr>
          <w:rFonts w:ascii="Book Antiqua" w:hAnsi="Book Antiqua"/>
        </w:rPr>
        <w:t xml:space="preserve"> </w:t>
      </w:r>
      <w:r>
        <w:rPr>
          <w:rFonts w:ascii="Book Antiqua" w:hAnsi="Book Antiqua"/>
        </w:rPr>
        <w:t xml:space="preserve"> </w:t>
      </w:r>
      <w:r w:rsidR="00B57094">
        <w:rPr>
          <w:rFonts w:ascii="Book Antiqua" w:hAnsi="Book Antiqua"/>
        </w:rPr>
        <w:t>With these two “must</w:t>
      </w:r>
      <w:r w:rsidR="00FE5496">
        <w:rPr>
          <w:rFonts w:ascii="Book Antiqua" w:hAnsi="Book Antiqua"/>
        </w:rPr>
        <w:noBreakHyphen/>
      </w:r>
      <w:r w:rsidR="00B57094">
        <w:rPr>
          <w:rFonts w:ascii="Book Antiqua" w:hAnsi="Book Antiqua"/>
        </w:rPr>
        <w:t>haves” in place</w:t>
      </w:r>
      <w:r>
        <w:rPr>
          <w:rFonts w:ascii="Book Antiqua" w:hAnsi="Book Antiqua"/>
        </w:rPr>
        <w:t xml:space="preserve">, we should </w:t>
      </w:r>
      <w:r w:rsidR="009A1CEA">
        <w:rPr>
          <w:rFonts w:ascii="Book Antiqua" w:hAnsi="Book Antiqua"/>
        </w:rPr>
        <w:t>also</w:t>
      </w:r>
      <w:r w:rsidR="00B57094">
        <w:rPr>
          <w:rFonts w:ascii="Book Antiqua" w:hAnsi="Book Antiqua"/>
        </w:rPr>
        <w:t xml:space="preserve"> </w:t>
      </w:r>
      <w:r>
        <w:rPr>
          <w:rFonts w:ascii="Book Antiqua" w:hAnsi="Book Antiqua"/>
        </w:rPr>
        <w:t xml:space="preserve">maintain the time </w:t>
      </w:r>
      <w:r w:rsidR="009A1CEA">
        <w:rPr>
          <w:rFonts w:ascii="Book Antiqua" w:hAnsi="Book Antiqua"/>
        </w:rPr>
        <w:t xml:space="preserve">gaps </w:t>
      </w:r>
      <w:r>
        <w:rPr>
          <w:rFonts w:ascii="Book Antiqua" w:hAnsi="Book Antiqua"/>
        </w:rPr>
        <w:t>between other major milestones</w:t>
      </w:r>
      <w:r w:rsidR="00985D4E" w:rsidRPr="00985D4E">
        <w:rPr>
          <w:rFonts w:ascii="Book Antiqua" w:hAnsi="Book Antiqua"/>
        </w:rPr>
        <w:t xml:space="preserve"> </w:t>
      </w:r>
      <w:r w:rsidR="00985D4E">
        <w:rPr>
          <w:rFonts w:ascii="Book Antiqua" w:hAnsi="Book Antiqua"/>
        </w:rPr>
        <w:t>in the proceeding</w:t>
      </w:r>
      <w:r w:rsidR="00B57094">
        <w:rPr>
          <w:rFonts w:ascii="Book Antiqua" w:hAnsi="Book Antiqua"/>
        </w:rPr>
        <w:t xml:space="preserve">, as requested by other </w:t>
      </w:r>
      <w:r>
        <w:rPr>
          <w:rFonts w:ascii="Book Antiqua" w:hAnsi="Book Antiqua"/>
        </w:rPr>
        <w:t>parties</w:t>
      </w:r>
      <w:r w:rsidR="00B57094">
        <w:rPr>
          <w:rFonts w:ascii="Book Antiqua" w:hAnsi="Book Antiqua"/>
        </w:rPr>
        <w:t>.</w:t>
      </w:r>
      <w:r w:rsidR="0097055D">
        <w:rPr>
          <w:rFonts w:ascii="Book Antiqua" w:hAnsi="Book Antiqua"/>
        </w:rPr>
        <w:t xml:space="preserve">  Finally,</w:t>
      </w:r>
      <w:r w:rsidR="00FF1353">
        <w:rPr>
          <w:rFonts w:ascii="Book Antiqua" w:hAnsi="Book Antiqua"/>
        </w:rPr>
        <w:t xml:space="preserve"> a realistic period of</w:t>
      </w:r>
      <w:r w:rsidR="0097055D">
        <w:rPr>
          <w:rFonts w:ascii="Book Antiqua" w:hAnsi="Book Antiqua"/>
        </w:rPr>
        <w:t xml:space="preserve"> time </w:t>
      </w:r>
      <w:r w:rsidR="00FF1353">
        <w:rPr>
          <w:rFonts w:ascii="Book Antiqua" w:hAnsi="Book Antiqua"/>
        </w:rPr>
        <w:t>should be established</w:t>
      </w:r>
      <w:r w:rsidR="0097055D">
        <w:rPr>
          <w:rFonts w:ascii="Book Antiqua" w:hAnsi="Book Antiqua"/>
        </w:rPr>
        <w:t xml:space="preserve"> for the ALJ or ALJs to draft the PD </w:t>
      </w:r>
      <w:r w:rsidR="00FF1353">
        <w:rPr>
          <w:rFonts w:ascii="Book Antiqua" w:hAnsi="Book Antiqua"/>
        </w:rPr>
        <w:t xml:space="preserve">and oversee calculation of the resulting Summary of Earnings. </w:t>
      </w:r>
    </w:p>
    <w:p w14:paraId="3A9024B6" w14:textId="33EC1810" w:rsidR="00261BFC" w:rsidRDefault="00B57094" w:rsidP="006F0AC0">
      <w:pPr>
        <w:pStyle w:val="Standard"/>
      </w:pPr>
      <w:r>
        <w:t xml:space="preserve">With the above </w:t>
      </w:r>
      <w:r w:rsidR="00C854D3">
        <w:t>schedul</w:t>
      </w:r>
      <w:r w:rsidR="00A80EEC">
        <w:t>ing</w:t>
      </w:r>
      <w:r w:rsidR="00C854D3">
        <w:t xml:space="preserve"> milestones </w:t>
      </w:r>
      <w:r>
        <w:t xml:space="preserve">in mind, we find that </w:t>
      </w:r>
      <w:r w:rsidR="00261BFC">
        <w:t xml:space="preserve">if </w:t>
      </w:r>
      <w:r w:rsidR="00FF1353">
        <w:t xml:space="preserve">we modify </w:t>
      </w:r>
      <w:r w:rsidR="00261BFC">
        <w:t xml:space="preserve">the RCP schedule to require the utilities to file their GRC applications </w:t>
      </w:r>
      <w:r w:rsidR="0092213A">
        <w:t>several</w:t>
      </w:r>
      <w:r w:rsidR="00EF1499">
        <w:t xml:space="preserve"> </w:t>
      </w:r>
      <w:r w:rsidR="00261BFC">
        <w:t xml:space="preserve">months earlier, on </w:t>
      </w:r>
      <w:r w:rsidR="0092213A">
        <w:t>May 15</w:t>
      </w:r>
      <w:r w:rsidR="0092213A" w:rsidRPr="0092213A">
        <w:rPr>
          <w:vertAlign w:val="superscript"/>
        </w:rPr>
        <w:t>th</w:t>
      </w:r>
      <w:r w:rsidR="00261BFC">
        <w:t xml:space="preserve"> instead of September 1</w:t>
      </w:r>
      <w:r w:rsidR="00261BFC" w:rsidRPr="001F6BE2">
        <w:rPr>
          <w:vertAlign w:val="superscript"/>
        </w:rPr>
        <w:t>st</w:t>
      </w:r>
      <w:r w:rsidR="00261BFC">
        <w:t xml:space="preserve"> of “test</w:t>
      </w:r>
      <w:r w:rsidR="00FE5496">
        <w:noBreakHyphen/>
      </w:r>
      <w:r w:rsidR="00261BFC">
        <w:t>year minus</w:t>
      </w:r>
      <w:r w:rsidR="00FE5496">
        <w:noBreakHyphen/>
      </w:r>
      <w:r w:rsidR="00C66B80">
        <w:t>2</w:t>
      </w:r>
      <w:r w:rsidR="00261BFC">
        <w:t xml:space="preserve">” then </w:t>
      </w:r>
      <w:r>
        <w:t xml:space="preserve">the </w:t>
      </w:r>
      <w:r w:rsidR="003933C4">
        <w:t>Public Advocates Office</w:t>
      </w:r>
      <w:r w:rsidR="00261BFC">
        <w:t xml:space="preserve"> can be given a realistic amount of time to prepare its testimony, and the utilities can receive their decision prior to the start of their test year, all while preserving the other intervals between major milestones that parties have indicated are important to them.</w:t>
      </w:r>
    </w:p>
    <w:p w14:paraId="46DD2BCA" w14:textId="712534A6" w:rsidR="00B702ED" w:rsidRDefault="007B53C7" w:rsidP="00B702ED">
      <w:pPr>
        <w:pStyle w:val="standard0"/>
        <w:rPr>
          <w:rFonts w:ascii="Book Antiqua" w:hAnsi="Book Antiqua"/>
        </w:rPr>
      </w:pPr>
      <w:r>
        <w:rPr>
          <w:rFonts w:ascii="Book Antiqua" w:hAnsi="Book Antiqua"/>
        </w:rPr>
        <w:t xml:space="preserve">The </w:t>
      </w:r>
      <w:r w:rsidR="00985D4E">
        <w:rPr>
          <w:rFonts w:ascii="Book Antiqua" w:hAnsi="Book Antiqua"/>
        </w:rPr>
        <w:t xml:space="preserve">illustrative </w:t>
      </w:r>
      <w:r>
        <w:rPr>
          <w:rFonts w:ascii="Book Antiqua" w:hAnsi="Book Antiqua"/>
        </w:rPr>
        <w:t xml:space="preserve">generic schedule in </w:t>
      </w:r>
      <w:r w:rsidR="00331253">
        <w:rPr>
          <w:rFonts w:ascii="Book Antiqua" w:hAnsi="Book Antiqua"/>
        </w:rPr>
        <w:t>T</w:t>
      </w:r>
      <w:r>
        <w:rPr>
          <w:rFonts w:ascii="Book Antiqua" w:hAnsi="Book Antiqua"/>
        </w:rPr>
        <w:t>able</w:t>
      </w:r>
      <w:r w:rsidR="00331253">
        <w:rPr>
          <w:rFonts w:ascii="Book Antiqua" w:hAnsi="Book Antiqua"/>
        </w:rPr>
        <w:t xml:space="preserve"> 2</w:t>
      </w:r>
      <w:r>
        <w:rPr>
          <w:rFonts w:ascii="Book Antiqua" w:hAnsi="Book Antiqua"/>
        </w:rPr>
        <w:t xml:space="preserve"> below</w:t>
      </w:r>
      <w:r w:rsidR="00B702ED" w:rsidRPr="000F7254">
        <w:rPr>
          <w:rFonts w:ascii="Book Antiqua" w:hAnsi="Book Antiqua"/>
        </w:rPr>
        <w:t xml:space="preserve"> is the result</w:t>
      </w:r>
      <w:r w:rsidR="001D51BC">
        <w:rPr>
          <w:rFonts w:ascii="Book Antiqua" w:hAnsi="Book Antiqua"/>
        </w:rPr>
        <w:t xml:space="preserve"> of applying these criteria</w:t>
      </w:r>
      <w:r w:rsidR="00B702ED" w:rsidRPr="000F7254">
        <w:rPr>
          <w:rFonts w:ascii="Book Antiqua" w:hAnsi="Book Antiqua"/>
        </w:rPr>
        <w:t>:</w:t>
      </w:r>
    </w:p>
    <w:p w14:paraId="4A720E6A" w14:textId="77777777" w:rsidR="00331253" w:rsidRDefault="00331253" w:rsidP="00C2141D">
      <w:pPr>
        <w:pStyle w:val="standard0"/>
        <w:keepNext/>
        <w:keepLines/>
        <w:spacing w:line="240" w:lineRule="auto"/>
        <w:ind w:firstLine="0"/>
        <w:jc w:val="center"/>
        <w:rPr>
          <w:rFonts w:ascii="Book Antiqua" w:hAnsi="Book Antiqua"/>
          <w:b/>
          <w:bCs/>
        </w:rPr>
      </w:pPr>
      <w:r>
        <w:rPr>
          <w:rFonts w:ascii="Book Antiqua" w:hAnsi="Book Antiqua"/>
          <w:b/>
          <w:bCs/>
        </w:rPr>
        <w:lastRenderedPageBreak/>
        <w:t>Table 2</w:t>
      </w:r>
    </w:p>
    <w:p w14:paraId="14240240" w14:textId="605FFC2E" w:rsidR="0092213A" w:rsidRPr="005C6549" w:rsidRDefault="00F17BAC" w:rsidP="007C78CD">
      <w:pPr>
        <w:pStyle w:val="standard0"/>
        <w:keepNext/>
        <w:keepLines/>
        <w:spacing w:line="240" w:lineRule="auto"/>
        <w:ind w:firstLine="0"/>
        <w:jc w:val="center"/>
        <w:rPr>
          <w:rFonts w:ascii="Book Antiqua" w:hAnsi="Book Antiqua"/>
          <w:b/>
          <w:bCs/>
        </w:rPr>
      </w:pPr>
      <w:r w:rsidRPr="005C6549">
        <w:rPr>
          <w:rFonts w:ascii="Book Antiqua" w:hAnsi="Book Antiqua"/>
          <w:b/>
          <w:bCs/>
        </w:rPr>
        <w:t>Illustrative Generic GRC Schedule</w:t>
      </w:r>
      <w:r w:rsidR="0092213A">
        <w:rPr>
          <w:rFonts w:ascii="Book Antiqua" w:hAnsi="Book Antiqua"/>
          <w:b/>
          <w:bCs/>
        </w:rPr>
        <w:br/>
        <w:t xml:space="preserve">(RAMP omitted)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188"/>
        <w:gridCol w:w="6745"/>
      </w:tblGrid>
      <w:tr w:rsidR="00326D0E" w:rsidRPr="009A1CEA" w14:paraId="1C487E2C" w14:textId="77777777" w:rsidTr="007C78CD">
        <w:trPr>
          <w:trHeight w:val="264"/>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61AE2327" w14:textId="77777777" w:rsidR="00326D0E" w:rsidRPr="009A1CEA" w:rsidRDefault="00326D0E">
            <w:pPr>
              <w:keepNext/>
              <w:keepLines/>
              <w:spacing w:line="240" w:lineRule="auto"/>
              <w:ind w:firstLine="0"/>
              <w:jc w:val="center"/>
              <w:rPr>
                <w:b/>
                <w:bCs/>
                <w:sz w:val="24"/>
                <w:szCs w:val="24"/>
              </w:rPr>
            </w:pPr>
            <w:r>
              <w:rPr>
                <w:b/>
                <w:bCs/>
                <w:sz w:val="24"/>
                <w:szCs w:val="24"/>
              </w:rPr>
              <w:t>Date</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70878148" w14:textId="5D3973DD" w:rsidR="00326D0E" w:rsidRPr="009A1CEA" w:rsidRDefault="007A3073">
            <w:pPr>
              <w:keepNext/>
              <w:keepLines/>
              <w:spacing w:line="240" w:lineRule="auto"/>
              <w:ind w:firstLine="0"/>
              <w:jc w:val="center"/>
              <w:rPr>
                <w:b/>
                <w:bCs/>
                <w:sz w:val="24"/>
                <w:szCs w:val="24"/>
              </w:rPr>
            </w:pPr>
            <w:r>
              <w:rPr>
                <w:b/>
                <w:bCs/>
                <w:sz w:val="24"/>
                <w:szCs w:val="24"/>
              </w:rPr>
              <w:t xml:space="preserve">~ </w:t>
            </w:r>
            <w:r w:rsidR="00326D0E">
              <w:rPr>
                <w:b/>
                <w:bCs/>
                <w:sz w:val="24"/>
                <w:szCs w:val="24"/>
              </w:rPr>
              <w:t>Day</w:t>
            </w:r>
            <w:r w:rsidR="004B289D">
              <w:rPr>
                <w:b/>
                <w:bCs/>
                <w:sz w:val="24"/>
                <w:szCs w:val="24"/>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14:paraId="19779980" w14:textId="77777777" w:rsidR="00326D0E" w:rsidRPr="009A1CEA" w:rsidRDefault="00326D0E">
            <w:pPr>
              <w:keepNext/>
              <w:keepLines/>
              <w:spacing w:line="240" w:lineRule="auto"/>
              <w:ind w:firstLine="0"/>
              <w:jc w:val="center"/>
              <w:rPr>
                <w:b/>
                <w:bCs/>
                <w:sz w:val="24"/>
                <w:szCs w:val="24"/>
              </w:rPr>
            </w:pPr>
            <w:r>
              <w:rPr>
                <w:b/>
                <w:bCs/>
                <w:sz w:val="24"/>
                <w:szCs w:val="24"/>
              </w:rPr>
              <w:t>Milestone</w:t>
            </w:r>
          </w:p>
        </w:tc>
      </w:tr>
      <w:tr w:rsidR="00326D0E" w:rsidRPr="009A1CEA" w14:paraId="02DEF9C2" w14:textId="77777777" w:rsidTr="007C78CD">
        <w:trPr>
          <w:trHeight w:val="264"/>
        </w:trPr>
        <w:tc>
          <w:tcPr>
            <w:tcW w:w="9350" w:type="dxa"/>
            <w:gridSpan w:val="3"/>
            <w:shd w:val="clear" w:color="auto" w:fill="D9D9D9" w:themeFill="background1" w:themeFillShade="D9"/>
          </w:tcPr>
          <w:p w14:paraId="0D07E4BE" w14:textId="2D1AD39A" w:rsidR="00326D0E" w:rsidRPr="009A1CEA" w:rsidRDefault="00326D0E" w:rsidP="00517029">
            <w:pPr>
              <w:keepNext/>
              <w:keepLines/>
              <w:spacing w:line="240" w:lineRule="auto"/>
              <w:ind w:firstLine="0"/>
              <w:jc w:val="center"/>
              <w:rPr>
                <w:b/>
                <w:bCs/>
                <w:sz w:val="24"/>
                <w:szCs w:val="24"/>
              </w:rPr>
            </w:pPr>
            <w:r w:rsidRPr="009A1CEA">
              <w:rPr>
                <w:b/>
                <w:bCs/>
                <w:sz w:val="24"/>
                <w:szCs w:val="24"/>
              </w:rPr>
              <w:t>Test Year minus</w:t>
            </w:r>
            <w:r w:rsidR="00FE5496">
              <w:rPr>
                <w:b/>
                <w:bCs/>
                <w:sz w:val="24"/>
                <w:szCs w:val="24"/>
              </w:rPr>
              <w:noBreakHyphen/>
            </w:r>
            <w:r w:rsidRPr="009A1CEA">
              <w:rPr>
                <w:b/>
                <w:bCs/>
                <w:sz w:val="24"/>
                <w:szCs w:val="24"/>
              </w:rPr>
              <w:t>2</w:t>
            </w:r>
          </w:p>
        </w:tc>
      </w:tr>
      <w:tr w:rsidR="00517029" w:rsidRPr="009A1CEA" w14:paraId="307DF849" w14:textId="77777777" w:rsidTr="007C78CD">
        <w:trPr>
          <w:cantSplit/>
          <w:trHeight w:val="264"/>
        </w:trPr>
        <w:tc>
          <w:tcPr>
            <w:tcW w:w="1818" w:type="dxa"/>
            <w:vAlign w:val="center"/>
          </w:tcPr>
          <w:p w14:paraId="3F204BD0" w14:textId="50296CC2" w:rsidR="00517029" w:rsidRPr="009A1CEA" w:rsidDel="004943A9" w:rsidRDefault="0092213A" w:rsidP="00517029">
            <w:pPr>
              <w:keepNext/>
              <w:keepLines/>
              <w:spacing w:line="240" w:lineRule="auto"/>
              <w:ind w:firstLine="0"/>
              <w:rPr>
                <w:sz w:val="24"/>
                <w:szCs w:val="24"/>
              </w:rPr>
            </w:pPr>
            <w:r>
              <w:rPr>
                <w:sz w:val="24"/>
                <w:szCs w:val="24"/>
              </w:rPr>
              <w:t>May</w:t>
            </w:r>
            <w:r w:rsidR="00EF1499" w:rsidRPr="009A1CEA">
              <w:rPr>
                <w:sz w:val="24"/>
                <w:szCs w:val="24"/>
              </w:rPr>
              <w:t xml:space="preserve"> </w:t>
            </w:r>
            <w:r w:rsidR="00517029" w:rsidRPr="009A1CEA">
              <w:rPr>
                <w:sz w:val="24"/>
                <w:szCs w:val="24"/>
              </w:rPr>
              <w:t>1</w:t>
            </w:r>
            <w:r>
              <w:rPr>
                <w:sz w:val="24"/>
                <w:szCs w:val="24"/>
              </w:rPr>
              <w:t>5</w:t>
            </w:r>
          </w:p>
        </w:tc>
        <w:tc>
          <w:tcPr>
            <w:tcW w:w="1188" w:type="dxa"/>
            <w:vAlign w:val="center"/>
          </w:tcPr>
          <w:p w14:paraId="55093737" w14:textId="77777777" w:rsidR="00517029" w:rsidRPr="009A1CEA" w:rsidRDefault="00517029" w:rsidP="006F0AC0">
            <w:pPr>
              <w:keepNext/>
              <w:keepLines/>
              <w:spacing w:line="240" w:lineRule="auto"/>
              <w:ind w:right="39" w:firstLine="0"/>
              <w:jc w:val="right"/>
              <w:rPr>
                <w:sz w:val="24"/>
                <w:szCs w:val="24"/>
              </w:rPr>
            </w:pPr>
            <w:r w:rsidRPr="009A1CEA">
              <w:rPr>
                <w:sz w:val="24"/>
                <w:szCs w:val="24"/>
              </w:rPr>
              <w:t>0</w:t>
            </w:r>
          </w:p>
        </w:tc>
        <w:tc>
          <w:tcPr>
            <w:tcW w:w="6745" w:type="dxa"/>
            <w:shd w:val="clear" w:color="auto" w:fill="auto"/>
            <w:noWrap/>
            <w:vAlign w:val="center"/>
            <w:hideMark/>
          </w:tcPr>
          <w:p w14:paraId="5D9822DA" w14:textId="77777777" w:rsidR="00517029" w:rsidRPr="009A1CEA" w:rsidRDefault="00517029" w:rsidP="00517029">
            <w:pPr>
              <w:keepNext/>
              <w:keepLines/>
              <w:spacing w:line="240" w:lineRule="auto"/>
              <w:ind w:firstLine="0"/>
              <w:rPr>
                <w:sz w:val="24"/>
                <w:szCs w:val="24"/>
              </w:rPr>
            </w:pPr>
            <w:r w:rsidRPr="009A1CEA">
              <w:rPr>
                <w:sz w:val="24"/>
                <w:szCs w:val="24"/>
              </w:rPr>
              <w:t>Utility files GRC application and serves prepared testimony</w:t>
            </w:r>
          </w:p>
        </w:tc>
      </w:tr>
      <w:tr w:rsidR="009A1CEA" w:rsidRPr="009A1CEA" w14:paraId="53354723" w14:textId="77777777" w:rsidTr="007C78CD">
        <w:trPr>
          <w:trHeight w:val="264"/>
        </w:trPr>
        <w:tc>
          <w:tcPr>
            <w:tcW w:w="1818" w:type="dxa"/>
            <w:vAlign w:val="center"/>
          </w:tcPr>
          <w:p w14:paraId="6BAAE25B" w14:textId="603E2218" w:rsidR="009A1CEA" w:rsidRPr="009A1CEA" w:rsidRDefault="0092213A" w:rsidP="009A1CEA">
            <w:pPr>
              <w:keepNext/>
              <w:keepLines/>
              <w:spacing w:line="240" w:lineRule="auto"/>
              <w:ind w:firstLine="0"/>
              <w:rPr>
                <w:sz w:val="24"/>
                <w:szCs w:val="24"/>
              </w:rPr>
            </w:pPr>
            <w:r w:rsidRPr="009A1CEA">
              <w:rPr>
                <w:sz w:val="24"/>
                <w:szCs w:val="24"/>
              </w:rPr>
              <w:t xml:space="preserve">December </w:t>
            </w:r>
            <w:r>
              <w:rPr>
                <w:sz w:val="24"/>
                <w:szCs w:val="24"/>
              </w:rPr>
              <w:t>15</w:t>
            </w:r>
          </w:p>
        </w:tc>
        <w:tc>
          <w:tcPr>
            <w:tcW w:w="1188" w:type="dxa"/>
            <w:shd w:val="clear" w:color="auto" w:fill="auto"/>
          </w:tcPr>
          <w:p w14:paraId="15BAB519" w14:textId="4AAEE7D5" w:rsidR="009A1CEA" w:rsidRPr="009A1CEA" w:rsidRDefault="0092213A" w:rsidP="006F0AC0">
            <w:pPr>
              <w:keepNext/>
              <w:keepLines/>
              <w:spacing w:line="240" w:lineRule="auto"/>
              <w:ind w:right="39" w:firstLine="0"/>
              <w:jc w:val="right"/>
              <w:rPr>
                <w:sz w:val="24"/>
                <w:szCs w:val="24"/>
              </w:rPr>
            </w:pPr>
            <w:r w:rsidRPr="006F0AC0">
              <w:rPr>
                <w:sz w:val="24"/>
                <w:szCs w:val="24"/>
              </w:rPr>
              <w:t>2</w:t>
            </w:r>
            <w:r>
              <w:rPr>
                <w:sz w:val="24"/>
                <w:szCs w:val="24"/>
              </w:rPr>
              <w:t>1</w:t>
            </w:r>
            <w:r w:rsidR="00254993">
              <w:rPr>
                <w:sz w:val="24"/>
                <w:szCs w:val="24"/>
              </w:rPr>
              <w:t>5</w:t>
            </w:r>
          </w:p>
        </w:tc>
        <w:tc>
          <w:tcPr>
            <w:tcW w:w="6745" w:type="dxa"/>
            <w:shd w:val="clear" w:color="auto" w:fill="auto"/>
            <w:noWrap/>
            <w:vAlign w:val="center"/>
            <w:hideMark/>
          </w:tcPr>
          <w:p w14:paraId="36C23342" w14:textId="77777777" w:rsidR="009A1CEA" w:rsidRPr="009A1CEA" w:rsidRDefault="009A1CEA" w:rsidP="009A1CEA">
            <w:pPr>
              <w:keepNext/>
              <w:keepLines/>
              <w:spacing w:line="240" w:lineRule="auto"/>
              <w:ind w:firstLine="0"/>
              <w:rPr>
                <w:sz w:val="24"/>
                <w:szCs w:val="24"/>
              </w:rPr>
            </w:pPr>
            <w:r w:rsidRPr="009A1CEA">
              <w:rPr>
                <w:sz w:val="24"/>
                <w:szCs w:val="24"/>
              </w:rPr>
              <w:t>Public Advocates Office serves opening testimony</w:t>
            </w:r>
          </w:p>
        </w:tc>
      </w:tr>
      <w:tr w:rsidR="007F2F67" w:rsidRPr="009A1CEA" w14:paraId="36F7F61A" w14:textId="77777777" w:rsidTr="007C78CD">
        <w:trPr>
          <w:cantSplit/>
          <w:trHeight w:val="264"/>
        </w:trPr>
        <w:tc>
          <w:tcPr>
            <w:tcW w:w="9350" w:type="dxa"/>
            <w:gridSpan w:val="3"/>
            <w:shd w:val="clear" w:color="auto" w:fill="D9D9D9" w:themeFill="background1" w:themeFillShade="D9"/>
          </w:tcPr>
          <w:p w14:paraId="0CDA8A4A" w14:textId="6CA7E974" w:rsidR="007F2F67" w:rsidRPr="009A1CEA" w:rsidRDefault="007F2F67" w:rsidP="00F01B35">
            <w:pPr>
              <w:keepNext/>
              <w:keepLines/>
              <w:spacing w:line="240" w:lineRule="auto"/>
              <w:ind w:firstLine="0"/>
              <w:jc w:val="center"/>
              <w:rPr>
                <w:b/>
                <w:bCs/>
                <w:sz w:val="24"/>
                <w:szCs w:val="24"/>
              </w:rPr>
            </w:pPr>
            <w:r w:rsidRPr="009A1CEA">
              <w:rPr>
                <w:b/>
                <w:bCs/>
                <w:sz w:val="24"/>
                <w:szCs w:val="24"/>
              </w:rPr>
              <w:t>Test Year minus</w:t>
            </w:r>
            <w:r w:rsidR="00FE5496">
              <w:rPr>
                <w:b/>
                <w:bCs/>
                <w:sz w:val="24"/>
                <w:szCs w:val="24"/>
              </w:rPr>
              <w:noBreakHyphen/>
            </w:r>
            <w:r w:rsidRPr="009A1CEA">
              <w:rPr>
                <w:b/>
                <w:bCs/>
                <w:sz w:val="24"/>
                <w:szCs w:val="24"/>
              </w:rPr>
              <w:t>1</w:t>
            </w:r>
          </w:p>
        </w:tc>
      </w:tr>
      <w:tr w:rsidR="009A1CEA" w:rsidRPr="009A1CEA" w14:paraId="659BA8C3" w14:textId="77777777" w:rsidTr="00B74EB8">
        <w:trPr>
          <w:trHeight w:val="264"/>
        </w:trPr>
        <w:tc>
          <w:tcPr>
            <w:tcW w:w="1818" w:type="dxa"/>
            <w:vAlign w:val="center"/>
          </w:tcPr>
          <w:p w14:paraId="3DF6F397" w14:textId="5BF44DB4" w:rsidR="009A1CEA" w:rsidRPr="009A1CEA" w:rsidRDefault="007A3073" w:rsidP="009A1CEA">
            <w:pPr>
              <w:keepNext/>
              <w:keepLines/>
              <w:spacing w:line="240" w:lineRule="auto"/>
              <w:ind w:firstLine="0"/>
              <w:rPr>
                <w:sz w:val="24"/>
                <w:szCs w:val="24"/>
              </w:rPr>
            </w:pPr>
            <w:r>
              <w:rPr>
                <w:sz w:val="24"/>
                <w:szCs w:val="24"/>
              </w:rPr>
              <w:t>January 9</w:t>
            </w:r>
          </w:p>
        </w:tc>
        <w:tc>
          <w:tcPr>
            <w:tcW w:w="1188" w:type="dxa"/>
          </w:tcPr>
          <w:p w14:paraId="45EBB495" w14:textId="65564BE5" w:rsidR="009A1CEA" w:rsidRPr="009A1CEA" w:rsidRDefault="009A1CEA" w:rsidP="006F0AC0">
            <w:pPr>
              <w:keepNext/>
              <w:keepLines/>
              <w:spacing w:line="240" w:lineRule="auto"/>
              <w:ind w:right="39" w:firstLine="0"/>
              <w:jc w:val="right"/>
              <w:rPr>
                <w:sz w:val="24"/>
                <w:szCs w:val="24"/>
              </w:rPr>
            </w:pPr>
            <w:r w:rsidRPr="006F0AC0">
              <w:rPr>
                <w:sz w:val="24"/>
                <w:szCs w:val="24"/>
              </w:rPr>
              <w:t>2</w:t>
            </w:r>
            <w:r w:rsidR="007A3073">
              <w:rPr>
                <w:sz w:val="24"/>
                <w:szCs w:val="24"/>
              </w:rPr>
              <w:t>4</w:t>
            </w:r>
            <w:r w:rsidR="00254993">
              <w:rPr>
                <w:sz w:val="24"/>
                <w:szCs w:val="24"/>
              </w:rPr>
              <w:t>0</w:t>
            </w:r>
          </w:p>
        </w:tc>
        <w:tc>
          <w:tcPr>
            <w:tcW w:w="6745" w:type="dxa"/>
            <w:shd w:val="clear" w:color="auto" w:fill="auto"/>
            <w:noWrap/>
            <w:vAlign w:val="center"/>
            <w:hideMark/>
          </w:tcPr>
          <w:p w14:paraId="7E7B91F7" w14:textId="77777777" w:rsidR="009A1CEA" w:rsidRPr="009A1CEA" w:rsidRDefault="009A1CEA" w:rsidP="009A1CEA">
            <w:pPr>
              <w:keepNext/>
              <w:keepLines/>
              <w:spacing w:line="240" w:lineRule="auto"/>
              <w:ind w:firstLine="0"/>
              <w:rPr>
                <w:sz w:val="24"/>
                <w:szCs w:val="24"/>
              </w:rPr>
            </w:pPr>
            <w:r w:rsidRPr="009A1CEA">
              <w:rPr>
                <w:sz w:val="24"/>
                <w:szCs w:val="24"/>
              </w:rPr>
              <w:t>Intervenors serve opening testimony</w:t>
            </w:r>
          </w:p>
        </w:tc>
      </w:tr>
      <w:tr w:rsidR="009A1CEA" w:rsidRPr="009A1CEA" w14:paraId="6A1CD800" w14:textId="77777777" w:rsidTr="00B74EB8">
        <w:trPr>
          <w:trHeight w:val="264"/>
        </w:trPr>
        <w:tc>
          <w:tcPr>
            <w:tcW w:w="1818" w:type="dxa"/>
            <w:vAlign w:val="center"/>
          </w:tcPr>
          <w:p w14:paraId="1FA640BF" w14:textId="3AAA7951" w:rsidR="009A1CEA" w:rsidRPr="009A1CEA" w:rsidRDefault="007A3073" w:rsidP="009A1CEA">
            <w:pPr>
              <w:keepNext/>
              <w:keepLines/>
              <w:spacing w:line="240" w:lineRule="auto"/>
              <w:ind w:firstLine="0"/>
              <w:rPr>
                <w:sz w:val="24"/>
                <w:szCs w:val="24"/>
              </w:rPr>
            </w:pPr>
            <w:bookmarkStart w:id="31" w:name="_Hlk23709724"/>
            <w:r>
              <w:rPr>
                <w:sz w:val="24"/>
                <w:szCs w:val="24"/>
              </w:rPr>
              <w:t>February 23</w:t>
            </w:r>
            <w:bookmarkEnd w:id="31"/>
          </w:p>
        </w:tc>
        <w:tc>
          <w:tcPr>
            <w:tcW w:w="1188" w:type="dxa"/>
          </w:tcPr>
          <w:p w14:paraId="480E952F" w14:textId="1DEB4F54" w:rsidR="009A1CEA" w:rsidRPr="009A1CEA" w:rsidRDefault="007A3073" w:rsidP="006F0AC0">
            <w:pPr>
              <w:keepNext/>
              <w:keepLines/>
              <w:spacing w:line="240" w:lineRule="auto"/>
              <w:ind w:right="39" w:firstLine="0"/>
              <w:jc w:val="right"/>
              <w:rPr>
                <w:sz w:val="24"/>
                <w:szCs w:val="24"/>
              </w:rPr>
            </w:pPr>
            <w:r>
              <w:rPr>
                <w:sz w:val="24"/>
                <w:szCs w:val="24"/>
              </w:rPr>
              <w:t>285</w:t>
            </w:r>
          </w:p>
        </w:tc>
        <w:tc>
          <w:tcPr>
            <w:tcW w:w="6745" w:type="dxa"/>
            <w:shd w:val="clear" w:color="auto" w:fill="auto"/>
            <w:noWrap/>
            <w:vAlign w:val="center"/>
            <w:hideMark/>
          </w:tcPr>
          <w:p w14:paraId="727E15F2" w14:textId="77777777" w:rsidR="009A1CEA" w:rsidRPr="009A1CEA" w:rsidRDefault="009A1CEA" w:rsidP="009A1CEA">
            <w:pPr>
              <w:keepNext/>
              <w:keepLines/>
              <w:spacing w:line="240" w:lineRule="auto"/>
              <w:ind w:firstLine="0"/>
              <w:rPr>
                <w:sz w:val="24"/>
                <w:szCs w:val="24"/>
              </w:rPr>
            </w:pPr>
            <w:r w:rsidRPr="009A1CEA">
              <w:rPr>
                <w:sz w:val="24"/>
                <w:szCs w:val="24"/>
              </w:rPr>
              <w:t>Concurrent rebuttal testimony served</w:t>
            </w:r>
          </w:p>
        </w:tc>
      </w:tr>
      <w:tr w:rsidR="009A1CEA" w:rsidRPr="009A1CEA" w14:paraId="56D2CD4B" w14:textId="77777777" w:rsidTr="007C78CD">
        <w:trPr>
          <w:trHeight w:val="264"/>
        </w:trPr>
        <w:tc>
          <w:tcPr>
            <w:tcW w:w="1818" w:type="dxa"/>
            <w:vAlign w:val="center"/>
          </w:tcPr>
          <w:p w14:paraId="7A4C51D9" w14:textId="1A18E6E4" w:rsidR="009A1CEA" w:rsidRPr="009A1CEA" w:rsidDel="004943A9" w:rsidRDefault="007A3073" w:rsidP="009A1CEA">
            <w:pPr>
              <w:keepNext/>
              <w:keepLines/>
              <w:spacing w:line="240" w:lineRule="auto"/>
              <w:ind w:firstLine="0"/>
              <w:rPr>
                <w:sz w:val="24"/>
                <w:szCs w:val="24"/>
              </w:rPr>
            </w:pPr>
            <w:r>
              <w:rPr>
                <w:sz w:val="24"/>
                <w:szCs w:val="24"/>
              </w:rPr>
              <w:t>March 19</w:t>
            </w:r>
          </w:p>
        </w:tc>
        <w:tc>
          <w:tcPr>
            <w:tcW w:w="1188" w:type="dxa"/>
          </w:tcPr>
          <w:p w14:paraId="5CECF45B" w14:textId="485E706D" w:rsidR="009A1CEA" w:rsidRPr="009A1CEA" w:rsidRDefault="007A3073" w:rsidP="006F0AC0">
            <w:pPr>
              <w:keepNext/>
              <w:keepLines/>
              <w:spacing w:line="240" w:lineRule="auto"/>
              <w:ind w:firstLine="0"/>
              <w:jc w:val="right"/>
              <w:rPr>
                <w:sz w:val="24"/>
                <w:szCs w:val="24"/>
              </w:rPr>
            </w:pPr>
            <w:r>
              <w:rPr>
                <w:sz w:val="24"/>
                <w:szCs w:val="24"/>
              </w:rPr>
              <w:t>310</w:t>
            </w:r>
          </w:p>
        </w:tc>
        <w:tc>
          <w:tcPr>
            <w:tcW w:w="6745" w:type="dxa"/>
            <w:shd w:val="clear" w:color="auto" w:fill="auto"/>
            <w:noWrap/>
            <w:vAlign w:val="center"/>
            <w:hideMark/>
          </w:tcPr>
          <w:p w14:paraId="09673116" w14:textId="77777777" w:rsidR="009A1CEA" w:rsidRPr="009A1CEA" w:rsidRDefault="009A1CEA" w:rsidP="009A1CEA">
            <w:pPr>
              <w:keepNext/>
              <w:keepLines/>
              <w:spacing w:line="240" w:lineRule="auto"/>
              <w:ind w:firstLine="0"/>
              <w:rPr>
                <w:sz w:val="24"/>
                <w:szCs w:val="24"/>
              </w:rPr>
            </w:pPr>
            <w:r w:rsidRPr="009A1CEA">
              <w:rPr>
                <w:sz w:val="24"/>
                <w:szCs w:val="24"/>
              </w:rPr>
              <w:t>Evidentiary Hearings Begin</w:t>
            </w:r>
          </w:p>
        </w:tc>
      </w:tr>
      <w:tr w:rsidR="009A1CEA" w:rsidRPr="009A1CEA" w14:paraId="269AC5BA" w14:textId="77777777" w:rsidTr="007C78CD">
        <w:trPr>
          <w:trHeight w:val="264"/>
        </w:trPr>
        <w:tc>
          <w:tcPr>
            <w:tcW w:w="1818" w:type="dxa"/>
            <w:vAlign w:val="center"/>
          </w:tcPr>
          <w:p w14:paraId="701A87D7" w14:textId="6A0BD6E5" w:rsidR="009A1CEA" w:rsidRPr="009A1CEA" w:rsidDel="004943A9" w:rsidRDefault="007A3073" w:rsidP="009A1CEA">
            <w:pPr>
              <w:keepNext/>
              <w:keepLines/>
              <w:spacing w:line="240" w:lineRule="auto"/>
              <w:ind w:firstLine="0"/>
              <w:rPr>
                <w:sz w:val="24"/>
                <w:szCs w:val="24"/>
              </w:rPr>
            </w:pPr>
            <w:r>
              <w:rPr>
                <w:sz w:val="24"/>
                <w:szCs w:val="24"/>
              </w:rPr>
              <w:t>April 8</w:t>
            </w:r>
          </w:p>
        </w:tc>
        <w:tc>
          <w:tcPr>
            <w:tcW w:w="1188" w:type="dxa"/>
          </w:tcPr>
          <w:p w14:paraId="44DA3BE4" w14:textId="633FEC1A" w:rsidR="009A1CEA" w:rsidRPr="009A1CEA" w:rsidRDefault="007A3073" w:rsidP="006F0AC0">
            <w:pPr>
              <w:keepNext/>
              <w:keepLines/>
              <w:spacing w:line="240" w:lineRule="auto"/>
              <w:ind w:firstLine="0"/>
              <w:jc w:val="right"/>
              <w:rPr>
                <w:sz w:val="24"/>
                <w:szCs w:val="24"/>
              </w:rPr>
            </w:pPr>
            <w:r>
              <w:rPr>
                <w:sz w:val="24"/>
                <w:szCs w:val="24"/>
              </w:rPr>
              <w:t>330</w:t>
            </w:r>
          </w:p>
        </w:tc>
        <w:tc>
          <w:tcPr>
            <w:tcW w:w="6745" w:type="dxa"/>
            <w:shd w:val="clear" w:color="auto" w:fill="auto"/>
            <w:noWrap/>
            <w:vAlign w:val="center"/>
            <w:hideMark/>
          </w:tcPr>
          <w:p w14:paraId="03386C2E" w14:textId="77777777" w:rsidR="009A1CEA" w:rsidRPr="009A1CEA" w:rsidRDefault="009A1CEA" w:rsidP="009A1CEA">
            <w:pPr>
              <w:keepNext/>
              <w:keepLines/>
              <w:spacing w:line="240" w:lineRule="auto"/>
              <w:ind w:firstLine="0"/>
              <w:rPr>
                <w:sz w:val="24"/>
                <w:szCs w:val="24"/>
              </w:rPr>
            </w:pPr>
            <w:r w:rsidRPr="009A1CEA">
              <w:rPr>
                <w:sz w:val="24"/>
                <w:szCs w:val="24"/>
              </w:rPr>
              <w:t>Evidentiary Hearings End</w:t>
            </w:r>
          </w:p>
        </w:tc>
      </w:tr>
      <w:tr w:rsidR="009A1CEA" w:rsidRPr="009A1CEA" w14:paraId="4D49781A" w14:textId="77777777" w:rsidTr="007C78CD">
        <w:trPr>
          <w:trHeight w:val="264"/>
        </w:trPr>
        <w:tc>
          <w:tcPr>
            <w:tcW w:w="1818" w:type="dxa"/>
            <w:vAlign w:val="center"/>
          </w:tcPr>
          <w:p w14:paraId="1AA04013" w14:textId="26518447" w:rsidR="009A1CEA" w:rsidRPr="009A1CEA" w:rsidDel="004943A9" w:rsidRDefault="007A3073" w:rsidP="009A1CEA">
            <w:pPr>
              <w:keepNext/>
              <w:keepLines/>
              <w:spacing w:line="240" w:lineRule="auto"/>
              <w:ind w:firstLine="0"/>
              <w:rPr>
                <w:sz w:val="24"/>
                <w:szCs w:val="24"/>
              </w:rPr>
            </w:pPr>
            <w:r>
              <w:rPr>
                <w:sz w:val="24"/>
                <w:szCs w:val="24"/>
              </w:rPr>
              <w:t>May 13</w:t>
            </w:r>
          </w:p>
        </w:tc>
        <w:tc>
          <w:tcPr>
            <w:tcW w:w="1188" w:type="dxa"/>
          </w:tcPr>
          <w:p w14:paraId="10C6D8AB" w14:textId="204C61AD" w:rsidR="009A1CEA" w:rsidRPr="009A1CEA" w:rsidRDefault="007A3073" w:rsidP="006F0AC0">
            <w:pPr>
              <w:keepNext/>
              <w:keepLines/>
              <w:spacing w:line="240" w:lineRule="auto"/>
              <w:ind w:firstLine="0"/>
              <w:jc w:val="right"/>
              <w:rPr>
                <w:sz w:val="24"/>
                <w:szCs w:val="24"/>
              </w:rPr>
            </w:pPr>
            <w:r>
              <w:rPr>
                <w:sz w:val="24"/>
                <w:szCs w:val="24"/>
              </w:rPr>
              <w:t>365</w:t>
            </w:r>
          </w:p>
        </w:tc>
        <w:tc>
          <w:tcPr>
            <w:tcW w:w="6745" w:type="dxa"/>
            <w:shd w:val="clear" w:color="auto" w:fill="auto"/>
            <w:noWrap/>
            <w:vAlign w:val="center"/>
            <w:hideMark/>
          </w:tcPr>
          <w:p w14:paraId="3772E1B4" w14:textId="77777777" w:rsidR="009A1CEA" w:rsidRPr="009A1CEA" w:rsidRDefault="009A1CEA" w:rsidP="009A1CEA">
            <w:pPr>
              <w:keepNext/>
              <w:keepLines/>
              <w:spacing w:line="240" w:lineRule="auto"/>
              <w:ind w:firstLine="0"/>
              <w:rPr>
                <w:sz w:val="24"/>
                <w:szCs w:val="24"/>
              </w:rPr>
            </w:pPr>
            <w:r w:rsidRPr="009A1CEA">
              <w:rPr>
                <w:sz w:val="24"/>
                <w:szCs w:val="24"/>
              </w:rPr>
              <w:t>Briefs filed</w:t>
            </w:r>
          </w:p>
        </w:tc>
      </w:tr>
      <w:tr w:rsidR="009A1CEA" w:rsidRPr="009A1CEA" w14:paraId="28FBE70D" w14:textId="77777777" w:rsidTr="007C78CD">
        <w:trPr>
          <w:trHeight w:val="264"/>
        </w:trPr>
        <w:tc>
          <w:tcPr>
            <w:tcW w:w="1818" w:type="dxa"/>
            <w:vAlign w:val="center"/>
          </w:tcPr>
          <w:p w14:paraId="169162C0" w14:textId="2D4BE112" w:rsidR="009A1CEA" w:rsidRPr="009A1CEA" w:rsidDel="004943A9" w:rsidRDefault="007A3073" w:rsidP="009A1CEA">
            <w:pPr>
              <w:keepNext/>
              <w:keepLines/>
              <w:spacing w:line="240" w:lineRule="auto"/>
              <w:ind w:firstLine="0"/>
              <w:rPr>
                <w:sz w:val="24"/>
                <w:szCs w:val="24"/>
              </w:rPr>
            </w:pPr>
            <w:r>
              <w:rPr>
                <w:sz w:val="24"/>
                <w:szCs w:val="24"/>
              </w:rPr>
              <w:t>June 3</w:t>
            </w:r>
          </w:p>
        </w:tc>
        <w:tc>
          <w:tcPr>
            <w:tcW w:w="1188" w:type="dxa"/>
          </w:tcPr>
          <w:p w14:paraId="62862967" w14:textId="5306445B" w:rsidR="009A1CEA" w:rsidRPr="009A1CEA" w:rsidRDefault="007A3073" w:rsidP="006F0AC0">
            <w:pPr>
              <w:keepNext/>
              <w:keepLines/>
              <w:spacing w:line="240" w:lineRule="auto"/>
              <w:ind w:firstLine="0"/>
              <w:jc w:val="right"/>
              <w:rPr>
                <w:sz w:val="24"/>
                <w:szCs w:val="24"/>
              </w:rPr>
            </w:pPr>
            <w:r>
              <w:rPr>
                <w:sz w:val="24"/>
                <w:szCs w:val="24"/>
              </w:rPr>
              <w:t>385</w:t>
            </w:r>
          </w:p>
        </w:tc>
        <w:tc>
          <w:tcPr>
            <w:tcW w:w="6745" w:type="dxa"/>
            <w:shd w:val="clear" w:color="auto" w:fill="auto"/>
            <w:noWrap/>
            <w:vAlign w:val="center"/>
            <w:hideMark/>
          </w:tcPr>
          <w:p w14:paraId="4FEF4376" w14:textId="77777777" w:rsidR="009A1CEA" w:rsidRPr="009A1CEA" w:rsidRDefault="009A1CEA" w:rsidP="009A1CEA">
            <w:pPr>
              <w:keepNext/>
              <w:keepLines/>
              <w:spacing w:line="240" w:lineRule="auto"/>
              <w:ind w:firstLine="0"/>
              <w:rPr>
                <w:sz w:val="24"/>
                <w:szCs w:val="24"/>
              </w:rPr>
            </w:pPr>
            <w:r w:rsidRPr="009A1CEA">
              <w:rPr>
                <w:sz w:val="24"/>
                <w:szCs w:val="24"/>
              </w:rPr>
              <w:t>Reply briefs filed</w:t>
            </w:r>
          </w:p>
        </w:tc>
      </w:tr>
      <w:tr w:rsidR="009A1CEA" w:rsidRPr="009A1CEA" w14:paraId="3FAA36A1" w14:textId="77777777" w:rsidTr="007C78CD">
        <w:trPr>
          <w:trHeight w:val="264"/>
        </w:trPr>
        <w:tc>
          <w:tcPr>
            <w:tcW w:w="1818" w:type="dxa"/>
            <w:vAlign w:val="center"/>
          </w:tcPr>
          <w:p w14:paraId="62DBA7C0" w14:textId="77777777" w:rsidR="009A1CEA" w:rsidRPr="009A1CEA" w:rsidRDefault="009A1CEA" w:rsidP="009A1CEA">
            <w:pPr>
              <w:keepNext/>
              <w:keepLines/>
              <w:spacing w:line="240" w:lineRule="auto"/>
              <w:ind w:firstLine="0"/>
              <w:rPr>
                <w:sz w:val="24"/>
                <w:szCs w:val="24"/>
              </w:rPr>
            </w:pPr>
            <w:r w:rsidRPr="009A1CEA">
              <w:rPr>
                <w:sz w:val="24"/>
                <w:szCs w:val="24"/>
              </w:rPr>
              <w:t>November 1</w:t>
            </w:r>
          </w:p>
        </w:tc>
        <w:tc>
          <w:tcPr>
            <w:tcW w:w="1188" w:type="dxa"/>
          </w:tcPr>
          <w:p w14:paraId="1FBF5C46" w14:textId="32794893" w:rsidR="009A1CEA" w:rsidRPr="009A1CEA" w:rsidRDefault="007A3073" w:rsidP="006F0AC0">
            <w:pPr>
              <w:keepNext/>
              <w:keepLines/>
              <w:spacing w:line="240" w:lineRule="auto"/>
              <w:ind w:firstLine="0"/>
              <w:jc w:val="right"/>
              <w:rPr>
                <w:sz w:val="24"/>
                <w:szCs w:val="24"/>
              </w:rPr>
            </w:pPr>
            <w:r>
              <w:rPr>
                <w:sz w:val="24"/>
                <w:szCs w:val="24"/>
              </w:rPr>
              <w:t>535</w:t>
            </w:r>
          </w:p>
        </w:tc>
        <w:tc>
          <w:tcPr>
            <w:tcW w:w="6745" w:type="dxa"/>
            <w:shd w:val="clear" w:color="auto" w:fill="auto"/>
            <w:noWrap/>
            <w:vAlign w:val="center"/>
            <w:hideMark/>
          </w:tcPr>
          <w:p w14:paraId="0B43B603" w14:textId="77777777" w:rsidR="009A1CEA" w:rsidRPr="009A1CEA" w:rsidRDefault="009A1CEA" w:rsidP="009A1CEA">
            <w:pPr>
              <w:keepNext/>
              <w:keepLines/>
              <w:spacing w:line="240" w:lineRule="auto"/>
              <w:ind w:firstLine="0"/>
              <w:rPr>
                <w:sz w:val="24"/>
                <w:szCs w:val="24"/>
              </w:rPr>
            </w:pPr>
            <w:r w:rsidRPr="009A1CEA">
              <w:rPr>
                <w:sz w:val="24"/>
                <w:szCs w:val="24"/>
              </w:rPr>
              <w:t>Proposed decision mailed for comment</w:t>
            </w:r>
          </w:p>
        </w:tc>
      </w:tr>
      <w:tr w:rsidR="009A1CEA" w:rsidRPr="009A1CEA" w14:paraId="3DB30551" w14:textId="77777777" w:rsidTr="007C78CD">
        <w:trPr>
          <w:trHeight w:val="264"/>
        </w:trPr>
        <w:tc>
          <w:tcPr>
            <w:tcW w:w="1818" w:type="dxa"/>
            <w:vAlign w:val="center"/>
          </w:tcPr>
          <w:p w14:paraId="7FFE9866" w14:textId="77777777" w:rsidR="009A1CEA" w:rsidRPr="009A1CEA" w:rsidRDefault="009A1CEA" w:rsidP="009A1CEA">
            <w:pPr>
              <w:keepNext/>
              <w:keepLines/>
              <w:spacing w:line="240" w:lineRule="auto"/>
              <w:ind w:firstLine="0"/>
              <w:rPr>
                <w:sz w:val="24"/>
                <w:szCs w:val="24"/>
              </w:rPr>
            </w:pPr>
            <w:r w:rsidRPr="009A1CEA">
              <w:rPr>
                <w:sz w:val="24"/>
                <w:szCs w:val="24"/>
              </w:rPr>
              <w:t>December 1</w:t>
            </w:r>
          </w:p>
        </w:tc>
        <w:tc>
          <w:tcPr>
            <w:tcW w:w="1188" w:type="dxa"/>
          </w:tcPr>
          <w:p w14:paraId="6529800E" w14:textId="71E2105B" w:rsidR="009A1CEA" w:rsidRPr="009A1CEA" w:rsidRDefault="007A3073" w:rsidP="006F0AC0">
            <w:pPr>
              <w:keepNext/>
              <w:keepLines/>
              <w:spacing w:line="240" w:lineRule="auto"/>
              <w:ind w:firstLine="0"/>
              <w:jc w:val="right"/>
              <w:rPr>
                <w:sz w:val="24"/>
                <w:szCs w:val="24"/>
              </w:rPr>
            </w:pPr>
            <w:r>
              <w:rPr>
                <w:sz w:val="24"/>
                <w:szCs w:val="24"/>
              </w:rPr>
              <w:t>565</w:t>
            </w:r>
          </w:p>
        </w:tc>
        <w:tc>
          <w:tcPr>
            <w:tcW w:w="6745" w:type="dxa"/>
            <w:shd w:val="clear" w:color="auto" w:fill="auto"/>
            <w:noWrap/>
            <w:vAlign w:val="center"/>
            <w:hideMark/>
          </w:tcPr>
          <w:p w14:paraId="042294CC" w14:textId="77777777" w:rsidR="009A1CEA" w:rsidRPr="009A1CEA" w:rsidRDefault="009A1CEA" w:rsidP="009A1CEA">
            <w:pPr>
              <w:keepNext/>
              <w:keepLines/>
              <w:spacing w:line="240" w:lineRule="auto"/>
              <w:ind w:firstLine="0"/>
              <w:rPr>
                <w:sz w:val="24"/>
                <w:szCs w:val="24"/>
              </w:rPr>
            </w:pPr>
            <w:r w:rsidRPr="009A1CEA">
              <w:rPr>
                <w:sz w:val="24"/>
                <w:szCs w:val="24"/>
              </w:rPr>
              <w:t>Final decision adopted</w:t>
            </w:r>
          </w:p>
        </w:tc>
      </w:tr>
      <w:tr w:rsidR="00326D0E" w:rsidRPr="009A1CEA" w14:paraId="7CB73DE0" w14:textId="77777777" w:rsidTr="007C78CD">
        <w:trPr>
          <w:cantSplit/>
          <w:trHeight w:val="264"/>
        </w:trPr>
        <w:tc>
          <w:tcPr>
            <w:tcW w:w="9350" w:type="dxa"/>
            <w:gridSpan w:val="3"/>
            <w:shd w:val="clear" w:color="auto" w:fill="D9D9D9" w:themeFill="background1" w:themeFillShade="D9"/>
          </w:tcPr>
          <w:p w14:paraId="17DFB88A" w14:textId="77777777" w:rsidR="00326D0E" w:rsidRPr="009A1CEA" w:rsidRDefault="00326D0E" w:rsidP="00517029">
            <w:pPr>
              <w:keepNext/>
              <w:keepLines/>
              <w:spacing w:line="240" w:lineRule="auto"/>
              <w:ind w:firstLine="0"/>
              <w:jc w:val="center"/>
              <w:rPr>
                <w:b/>
                <w:bCs/>
                <w:sz w:val="24"/>
                <w:szCs w:val="24"/>
              </w:rPr>
            </w:pPr>
            <w:r w:rsidRPr="009A1CEA">
              <w:rPr>
                <w:b/>
                <w:bCs/>
                <w:sz w:val="24"/>
                <w:szCs w:val="24"/>
              </w:rPr>
              <w:t>Test Year</w:t>
            </w:r>
          </w:p>
        </w:tc>
      </w:tr>
      <w:tr w:rsidR="00517029" w:rsidRPr="009A1CEA" w14:paraId="33AE78FB" w14:textId="77777777" w:rsidTr="007C78CD">
        <w:trPr>
          <w:trHeight w:val="264"/>
        </w:trPr>
        <w:tc>
          <w:tcPr>
            <w:tcW w:w="1818" w:type="dxa"/>
          </w:tcPr>
          <w:p w14:paraId="1CCDBFFA" w14:textId="77777777" w:rsidR="00517029" w:rsidRPr="009A1CEA" w:rsidRDefault="00517029" w:rsidP="002F33D3">
            <w:pPr>
              <w:spacing w:line="240" w:lineRule="auto"/>
              <w:ind w:firstLine="0"/>
              <w:rPr>
                <w:sz w:val="24"/>
                <w:szCs w:val="24"/>
              </w:rPr>
            </w:pPr>
            <w:r w:rsidRPr="009A1CEA">
              <w:rPr>
                <w:sz w:val="24"/>
                <w:szCs w:val="24"/>
              </w:rPr>
              <w:t>January 1</w:t>
            </w:r>
          </w:p>
        </w:tc>
        <w:tc>
          <w:tcPr>
            <w:tcW w:w="1188" w:type="dxa"/>
            <w:vAlign w:val="center"/>
          </w:tcPr>
          <w:p w14:paraId="1C4A8834" w14:textId="089A74EA" w:rsidR="00517029" w:rsidRPr="009A1CEA" w:rsidRDefault="007A3073" w:rsidP="002F33D3">
            <w:pPr>
              <w:spacing w:line="240" w:lineRule="auto"/>
              <w:ind w:firstLine="0"/>
              <w:jc w:val="right"/>
              <w:rPr>
                <w:sz w:val="24"/>
                <w:szCs w:val="24"/>
              </w:rPr>
            </w:pPr>
            <w:r>
              <w:rPr>
                <w:sz w:val="24"/>
                <w:szCs w:val="24"/>
              </w:rPr>
              <w:t>595</w:t>
            </w:r>
          </w:p>
        </w:tc>
        <w:tc>
          <w:tcPr>
            <w:tcW w:w="6745" w:type="dxa"/>
            <w:shd w:val="clear" w:color="auto" w:fill="auto"/>
            <w:noWrap/>
            <w:vAlign w:val="center"/>
            <w:hideMark/>
          </w:tcPr>
          <w:p w14:paraId="7257F713" w14:textId="77777777" w:rsidR="00517029" w:rsidRPr="009A1CEA" w:rsidRDefault="00517029" w:rsidP="002F33D3">
            <w:pPr>
              <w:spacing w:line="240" w:lineRule="auto"/>
              <w:ind w:firstLine="0"/>
              <w:rPr>
                <w:sz w:val="24"/>
                <w:szCs w:val="24"/>
              </w:rPr>
            </w:pPr>
            <w:r w:rsidRPr="009A1CEA">
              <w:rPr>
                <w:sz w:val="24"/>
                <w:szCs w:val="24"/>
              </w:rPr>
              <w:t>Effective date of final decision</w:t>
            </w:r>
          </w:p>
        </w:tc>
      </w:tr>
    </w:tbl>
    <w:p w14:paraId="4764105F" w14:textId="6BCFC30E" w:rsidR="00261BFC" w:rsidRDefault="00261BFC" w:rsidP="00D14898">
      <w:pPr>
        <w:pStyle w:val="Standard"/>
        <w:spacing w:before="240"/>
      </w:pPr>
      <w:r>
        <w:t xml:space="preserve">These changes are </w:t>
      </w:r>
      <w:r w:rsidR="00FF1353">
        <w:t xml:space="preserve">deceptively </w:t>
      </w:r>
      <w:r>
        <w:t>simple</w:t>
      </w:r>
      <w:r w:rsidR="00FF1353">
        <w:t xml:space="preserve">.  However, </w:t>
      </w:r>
      <w:r w:rsidR="009A1CEA">
        <w:t xml:space="preserve">given the complexity of GRCs and the importance of adhering to a schedule </w:t>
      </w:r>
      <w:r w:rsidR="00FF1353">
        <w:t xml:space="preserve">that </w:t>
      </w:r>
      <w:r w:rsidR="009A1CEA">
        <w:t>results in a final Commission decision by a predictable “date</w:t>
      </w:r>
      <w:r w:rsidR="00FE5496">
        <w:noBreakHyphen/>
      </w:r>
      <w:r w:rsidR="009A1CEA">
        <w:t>certain”</w:t>
      </w:r>
      <w:r w:rsidR="00FF1353">
        <w:t xml:space="preserve"> we note that</w:t>
      </w:r>
      <w:r>
        <w:t xml:space="preserve"> the Commission </w:t>
      </w:r>
      <w:r w:rsidR="00FF1353">
        <w:t xml:space="preserve">must still </w:t>
      </w:r>
      <w:r>
        <w:t xml:space="preserve">support </w:t>
      </w:r>
      <w:r w:rsidR="009A1CEA">
        <w:t xml:space="preserve">major </w:t>
      </w:r>
      <w:r>
        <w:t xml:space="preserve">GRC proceedings with adequate </w:t>
      </w:r>
      <w:r w:rsidR="00FF1353">
        <w:t xml:space="preserve">staff </w:t>
      </w:r>
      <w:r>
        <w:t>resources</w:t>
      </w:r>
      <w:r w:rsidR="00FF1353">
        <w:t xml:space="preserve"> to ensure success.  T</w:t>
      </w:r>
      <w:r>
        <w:t xml:space="preserve">his </w:t>
      </w:r>
      <w:r w:rsidR="00FF1353">
        <w:t xml:space="preserve">begins </w:t>
      </w:r>
      <w:r>
        <w:t xml:space="preserve">at the ALJ level, but </w:t>
      </w:r>
      <w:r w:rsidR="00FF1353">
        <w:t>extends to</w:t>
      </w:r>
      <w:r>
        <w:t xml:space="preserve"> the staff level in the industry divisions so that the ALJs and the Commissioners have</w:t>
      </w:r>
      <w:r w:rsidR="00FF1353">
        <w:t xml:space="preserve"> sufficient</w:t>
      </w:r>
      <w:r>
        <w:t xml:space="preserve"> analytical resources to support their decision</w:t>
      </w:r>
      <w:r w:rsidR="00FE5496">
        <w:noBreakHyphen/>
      </w:r>
      <w:r>
        <w:t xml:space="preserve">making.  </w:t>
      </w:r>
      <w:r w:rsidR="00FF1353">
        <w:t>In fact, t</w:t>
      </w:r>
      <w:r>
        <w:t>his</w:t>
      </w:r>
      <w:r w:rsidR="009A1CEA">
        <w:t xml:space="preserve"> expanded staffing</w:t>
      </w:r>
      <w:r>
        <w:t xml:space="preserve"> is already occurring in the Commission’s Energy Division</w:t>
      </w:r>
      <w:r w:rsidR="009A1CEA">
        <w:t xml:space="preserve"> and Safety and Enforcement Division</w:t>
      </w:r>
      <w:r>
        <w:t xml:space="preserve"> </w:t>
      </w:r>
      <w:r w:rsidR="00FF1353">
        <w:t xml:space="preserve">so </w:t>
      </w:r>
      <w:r>
        <w:t xml:space="preserve">we </w:t>
      </w:r>
      <w:r w:rsidR="00FF1353">
        <w:t xml:space="preserve">need mainly to </w:t>
      </w:r>
      <w:r>
        <w:t>ensure that this trend continues</w:t>
      </w:r>
      <w:r w:rsidR="00A13377">
        <w:t xml:space="preserve"> and is sustained</w:t>
      </w:r>
      <w:r>
        <w:t>.</w:t>
      </w:r>
    </w:p>
    <w:p w14:paraId="64D4E886" w14:textId="77777777" w:rsidR="00BA49AA" w:rsidRDefault="00BA49AA" w:rsidP="000F7254">
      <w:pPr>
        <w:pStyle w:val="Standard"/>
      </w:pPr>
      <w:r>
        <w:t xml:space="preserve">With this </w:t>
      </w:r>
      <w:r w:rsidR="00A80EEC">
        <w:t xml:space="preserve">partially </w:t>
      </w:r>
      <w:r>
        <w:t xml:space="preserve">modified RCP schedule as </w:t>
      </w:r>
      <w:r w:rsidR="009A1CEA">
        <w:t>our initial</w:t>
      </w:r>
      <w:r>
        <w:t xml:space="preserve"> reference point, we turn next to the specific recommendations in the Staff Report</w:t>
      </w:r>
      <w:r w:rsidR="009A1CEA">
        <w:t>, and determine how a modified schedule would or would not accommodate them</w:t>
      </w:r>
      <w:r>
        <w:t>.</w:t>
      </w:r>
    </w:p>
    <w:p w14:paraId="56E9389E" w14:textId="30561B9A" w:rsidR="00B702ED" w:rsidRPr="00FD54BE" w:rsidRDefault="00F01D67" w:rsidP="00FE5496">
      <w:pPr>
        <w:pStyle w:val="Heading2"/>
      </w:pPr>
      <w:bookmarkStart w:id="32" w:name="_Toc13244194"/>
      <w:bookmarkStart w:id="33" w:name="_Toc20998448"/>
      <w:bookmarkStart w:id="34" w:name="_Toc29817392"/>
      <w:r w:rsidRPr="00FE5496">
        <w:lastRenderedPageBreak/>
        <w:t>Retention</w:t>
      </w:r>
      <w:r>
        <w:t xml:space="preserve"> </w:t>
      </w:r>
      <w:r w:rsidR="00C66B80">
        <w:t xml:space="preserve">or Change </w:t>
      </w:r>
      <w:r>
        <w:t>of t</w:t>
      </w:r>
      <w:r w:rsidR="00BA49AA">
        <w:t xml:space="preserve">he </w:t>
      </w:r>
      <w:r w:rsidR="00B702ED" w:rsidRPr="00FD54BE">
        <w:t>Three</w:t>
      </w:r>
      <w:r w:rsidR="00FE5496">
        <w:noBreakHyphen/>
      </w:r>
      <w:r w:rsidR="00B702ED" w:rsidRPr="00FD54BE">
        <w:t>Year GRC Cycle</w:t>
      </w:r>
      <w:bookmarkEnd w:id="32"/>
      <w:bookmarkEnd w:id="33"/>
      <w:bookmarkEnd w:id="34"/>
    </w:p>
    <w:p w14:paraId="4C2DDA5E" w14:textId="646BF857" w:rsidR="00F2493A" w:rsidRDefault="00F2493A" w:rsidP="000F7254">
      <w:pPr>
        <w:pStyle w:val="Standard"/>
      </w:pPr>
      <w:r>
        <w:t xml:space="preserve">As we explained above, </w:t>
      </w:r>
      <w:r w:rsidRPr="00F2493A">
        <w:t>in D.16</w:t>
      </w:r>
      <w:r w:rsidR="00FE5496">
        <w:noBreakHyphen/>
      </w:r>
      <w:r w:rsidRPr="00F2493A">
        <w:t>06</w:t>
      </w:r>
      <w:r w:rsidR="00FE5496">
        <w:noBreakHyphen/>
      </w:r>
      <w:r w:rsidRPr="00F2493A">
        <w:t xml:space="preserve">005 the Commission </w:t>
      </w:r>
      <w:r>
        <w:t xml:space="preserve">indicated it wished </w:t>
      </w:r>
      <w:r w:rsidRPr="00F2493A">
        <w:t xml:space="preserve">to explore </w:t>
      </w:r>
      <w:r>
        <w:t xml:space="preserve">lengthening the </w:t>
      </w:r>
      <w:r w:rsidRPr="00F2493A">
        <w:t xml:space="preserve">GRC cycle </w:t>
      </w:r>
      <w:r>
        <w:t>“</w:t>
      </w:r>
      <w:r w:rsidRPr="00F2493A">
        <w:t>in the context of timely processing all of the recurring major rate</w:t>
      </w:r>
      <w:r w:rsidR="00FE5496">
        <w:noBreakHyphen/>
      </w:r>
      <w:r w:rsidRPr="00F2493A">
        <w:t>related proceedings, such as the GRCs, cost allocation proceedings, and PG&amp;E’s gas transmission and storage proceeding, in addition to the added processes of the S</w:t>
      </w:r>
      <w:r w:rsidR="00FE5496">
        <w:noBreakHyphen/>
      </w:r>
      <w:r w:rsidRPr="00F2493A">
        <w:t>MAP and RAMP</w:t>
      </w:r>
      <w:r>
        <w:t>.”</w:t>
      </w:r>
      <w:r>
        <w:rPr>
          <w:rStyle w:val="FootnoteReference"/>
        </w:rPr>
        <w:footnoteReference w:id="47"/>
      </w:r>
    </w:p>
    <w:p w14:paraId="434AF9E0" w14:textId="2ED089EF" w:rsidR="00940885" w:rsidRDefault="00C526E5" w:rsidP="000F7254">
      <w:pPr>
        <w:pStyle w:val="Standard"/>
      </w:pPr>
      <w:r>
        <w:t xml:space="preserve">In our view, parties at times conflate two </w:t>
      </w:r>
      <w:r w:rsidR="00FF1353">
        <w:t xml:space="preserve">distinct </w:t>
      </w:r>
      <w:r>
        <w:t>issues</w:t>
      </w:r>
      <w:r w:rsidR="005F5156">
        <w:t xml:space="preserve"> to</w:t>
      </w:r>
      <w:r>
        <w:t xml:space="preserve"> contend that</w:t>
      </w:r>
      <w:r w:rsidR="005F5156">
        <w:t xml:space="preserve"> (1)</w:t>
      </w:r>
      <w:r w:rsidR="00FE5496">
        <w:t> </w:t>
      </w:r>
      <w:r>
        <w:t xml:space="preserve">the Commission would find it easier to complete GRCs “on time” if </w:t>
      </w:r>
      <w:r w:rsidR="005F5156">
        <w:t xml:space="preserve">(2) </w:t>
      </w:r>
      <w:r>
        <w:t>the GRC cycle was lengthened from three years to four years.  We disagree</w:t>
      </w:r>
      <w:r w:rsidR="005F5156">
        <w:t xml:space="preserve"> with this formulation</w:t>
      </w:r>
      <w:r>
        <w:t xml:space="preserve">.  </w:t>
      </w:r>
      <w:r w:rsidR="00940885">
        <w:t xml:space="preserve">In order to issue a GRC decision prior to the test year, the Commission, the ALJs and the staff must process a large amount of information and accurately calculate a large revenue requirement in a short period of time. </w:t>
      </w:r>
      <w:r w:rsidR="00F37165">
        <w:t>G</w:t>
      </w:r>
      <w:r w:rsidR="00F37165" w:rsidRPr="00A02AD1">
        <w:t xml:space="preserve">iven </w:t>
      </w:r>
      <w:r w:rsidR="00F37165">
        <w:t>the</w:t>
      </w:r>
      <w:r w:rsidR="00F37165" w:rsidRPr="00A02AD1">
        <w:t xml:space="preserve"> complex</w:t>
      </w:r>
      <w:r w:rsidR="00F37165">
        <w:t>ity of large energy</w:t>
      </w:r>
      <w:r w:rsidR="00F37165" w:rsidRPr="00A02AD1">
        <w:t xml:space="preserve"> GRCs</w:t>
      </w:r>
      <w:r w:rsidR="00F37165">
        <w:t xml:space="preserve">, in practical terms </w:t>
      </w:r>
      <w:r w:rsidR="00F37165" w:rsidRPr="00A02AD1">
        <w:t xml:space="preserve">it will remain difficult to </w:t>
      </w:r>
      <w:r w:rsidR="00F37165">
        <w:t xml:space="preserve">prepare the draft decision within </w:t>
      </w:r>
      <w:r w:rsidR="00F37165" w:rsidRPr="00A02AD1">
        <w:t xml:space="preserve">the </w:t>
      </w:r>
      <w:r w:rsidR="00F37165">
        <w:t>90</w:t>
      </w:r>
      <w:r w:rsidR="00FE5496">
        <w:noBreakHyphen/>
      </w:r>
      <w:r w:rsidR="00F37165">
        <w:t xml:space="preserve">day </w:t>
      </w:r>
      <w:r w:rsidR="00F37165" w:rsidRPr="00A02AD1">
        <w:t xml:space="preserve">statutory deadline </w:t>
      </w:r>
      <w:r w:rsidR="00F37165">
        <w:t>following submittal of the</w:t>
      </w:r>
      <w:r w:rsidR="00F37165" w:rsidRPr="00A02AD1">
        <w:t xml:space="preserve"> proceeding</w:t>
      </w:r>
      <w:r w:rsidR="00F37165">
        <w:t>, r</w:t>
      </w:r>
      <w:r w:rsidR="00A02AD1" w:rsidRPr="00A02AD1">
        <w:t xml:space="preserve">egardless of whether the GRC cycle is </w:t>
      </w:r>
      <w:r w:rsidR="00A02AD1">
        <w:t>three</w:t>
      </w:r>
      <w:r w:rsidR="00A02AD1" w:rsidRPr="00A02AD1">
        <w:t xml:space="preserve"> or </w:t>
      </w:r>
      <w:r w:rsidR="00A02AD1">
        <w:t>four</w:t>
      </w:r>
      <w:r w:rsidR="00A02AD1" w:rsidRPr="00A02AD1">
        <w:t xml:space="preserve"> years</w:t>
      </w:r>
      <w:r w:rsidR="00EF54F7">
        <w:t>.</w:t>
      </w:r>
      <w:r w:rsidR="00F37165">
        <w:t xml:space="preserve">  That said, a</w:t>
      </w:r>
      <w:r w:rsidR="00F2493A">
        <w:t>lthough we do not consider a four</w:t>
      </w:r>
      <w:r w:rsidR="00FE5496">
        <w:noBreakHyphen/>
      </w:r>
      <w:r w:rsidR="00F2493A">
        <w:t xml:space="preserve">year GRC cycle </w:t>
      </w:r>
      <w:r w:rsidR="0072275B">
        <w:t xml:space="preserve">as </w:t>
      </w:r>
      <w:r w:rsidR="00F2493A" w:rsidRPr="008B0E15">
        <w:rPr>
          <w:i/>
          <w:iCs/>
        </w:rPr>
        <w:t>the</w:t>
      </w:r>
      <w:r w:rsidR="00F2493A">
        <w:t xml:space="preserve"> solution to t</w:t>
      </w:r>
      <w:r w:rsidR="00D02EBA">
        <w:t>he need for timely decisions</w:t>
      </w:r>
      <w:r w:rsidR="00F2493A">
        <w:t>,</w:t>
      </w:r>
      <w:r w:rsidR="00D02EBA">
        <w:t xml:space="preserve"> </w:t>
      </w:r>
      <w:r w:rsidR="00F37165">
        <w:t>parties offered</w:t>
      </w:r>
      <w:r w:rsidR="00940885">
        <w:t xml:space="preserve"> other reasons for lengthening the GRC cycle, and we consider those now.</w:t>
      </w:r>
    </w:p>
    <w:p w14:paraId="2E60E29D" w14:textId="2C9B98B0" w:rsidR="00B702ED" w:rsidRPr="000F7254" w:rsidRDefault="00153AB4" w:rsidP="000F7254">
      <w:pPr>
        <w:pStyle w:val="Standard"/>
      </w:pPr>
      <w:r>
        <w:t>At the outset, we note t</w:t>
      </w:r>
      <w:r w:rsidR="00B702ED">
        <w:t>he Staff Report recommends the Commission retain a three</w:t>
      </w:r>
      <w:r w:rsidR="00FE5496">
        <w:noBreakHyphen/>
      </w:r>
      <w:r w:rsidR="00B702ED">
        <w:t>year GRC cycle at this time.</w:t>
      </w:r>
      <w:r w:rsidR="006F009E">
        <w:rPr>
          <w:rStyle w:val="FootnoteReference"/>
        </w:rPr>
        <w:footnoteReference w:id="48"/>
      </w:r>
      <w:r w:rsidR="00B702ED">
        <w:t xml:space="preserve">  </w:t>
      </w:r>
      <w:r w:rsidR="00F37165">
        <w:t xml:space="preserve">Staff </w:t>
      </w:r>
      <w:r w:rsidR="00B702ED">
        <w:t>acknowledg</w:t>
      </w:r>
      <w:r w:rsidR="00F37165">
        <w:t>es</w:t>
      </w:r>
      <w:r w:rsidR="00B702ED">
        <w:t xml:space="preserve"> the drawbacks of a three</w:t>
      </w:r>
      <w:r w:rsidR="00FE5496">
        <w:noBreakHyphen/>
      </w:r>
      <w:r w:rsidR="00B702ED">
        <w:t>year cycle</w:t>
      </w:r>
      <w:r w:rsidR="000B0E09">
        <w:t xml:space="preserve"> (primarily related to the relative burden placed on resources of the applicant, the intervenors, and the Commission)</w:t>
      </w:r>
      <w:r w:rsidR="00B702ED">
        <w:t xml:space="preserve">, </w:t>
      </w:r>
      <w:r w:rsidR="00F37165">
        <w:t xml:space="preserve">but </w:t>
      </w:r>
      <w:r w:rsidR="00B702ED">
        <w:t>suggests the</w:t>
      </w:r>
      <w:r w:rsidR="000B0E09">
        <w:t xml:space="preserve">se </w:t>
      </w:r>
      <w:r w:rsidR="000B0E09">
        <w:lastRenderedPageBreak/>
        <w:t>drawbacks</w:t>
      </w:r>
      <w:r w:rsidR="00B702ED">
        <w:t xml:space="preserve"> are outweighed by the potential problems that could come with a longer GRC cycle, such as:</w:t>
      </w:r>
    </w:p>
    <w:p w14:paraId="55E26B83" w14:textId="77777777" w:rsidR="00B702ED" w:rsidRPr="000F7254" w:rsidRDefault="00DE1345" w:rsidP="006F0AC0">
      <w:pPr>
        <w:pStyle w:val="standard0"/>
        <w:numPr>
          <w:ilvl w:val="0"/>
          <w:numId w:val="16"/>
        </w:numPr>
        <w:spacing w:after="120" w:line="240" w:lineRule="auto"/>
        <w:ind w:right="720"/>
        <w:rPr>
          <w:rFonts w:ascii="Book Antiqua" w:hAnsi="Book Antiqua"/>
        </w:rPr>
      </w:pPr>
      <w:r>
        <w:rPr>
          <w:rFonts w:ascii="Book Antiqua" w:hAnsi="Book Antiqua"/>
        </w:rPr>
        <w:t>I</w:t>
      </w:r>
      <w:r w:rsidR="00B702ED" w:rsidRPr="000F7254">
        <w:rPr>
          <w:rFonts w:ascii="Book Antiqua" w:hAnsi="Book Antiqua"/>
        </w:rPr>
        <w:t xml:space="preserve">ncreased uncertainty </w:t>
      </w:r>
      <w:r>
        <w:rPr>
          <w:rFonts w:ascii="Book Antiqua" w:hAnsi="Book Antiqua"/>
        </w:rPr>
        <w:t xml:space="preserve">regarding </w:t>
      </w:r>
      <w:r w:rsidR="00B702ED" w:rsidRPr="000F7254">
        <w:rPr>
          <w:rFonts w:ascii="Book Antiqua" w:hAnsi="Book Antiqua"/>
        </w:rPr>
        <w:t>forecast</w:t>
      </w:r>
      <w:r>
        <w:rPr>
          <w:rFonts w:ascii="Book Antiqua" w:hAnsi="Book Antiqua"/>
        </w:rPr>
        <w:t xml:space="preserve"> expenditures for the third at</w:t>
      </w:r>
      <w:r w:rsidR="00B702ED" w:rsidRPr="000F7254">
        <w:rPr>
          <w:rFonts w:ascii="Book Antiqua" w:hAnsi="Book Antiqua"/>
        </w:rPr>
        <w:t>trition year</w:t>
      </w:r>
      <w:r>
        <w:rPr>
          <w:rFonts w:ascii="Book Antiqua" w:hAnsi="Book Antiqua"/>
        </w:rPr>
        <w:t>;</w:t>
      </w:r>
      <w:r w:rsidR="00B702ED" w:rsidRPr="000F7254">
        <w:rPr>
          <w:rFonts w:ascii="Book Antiqua" w:hAnsi="Book Antiqua"/>
        </w:rPr>
        <w:t xml:space="preserve"> </w:t>
      </w:r>
    </w:p>
    <w:p w14:paraId="6A436F8E" w14:textId="1503F658" w:rsidR="00153AB4" w:rsidRPr="000F7254" w:rsidRDefault="00F37165" w:rsidP="006F0AC0">
      <w:pPr>
        <w:pStyle w:val="standard0"/>
        <w:numPr>
          <w:ilvl w:val="0"/>
          <w:numId w:val="16"/>
        </w:numPr>
        <w:spacing w:after="120" w:line="240" w:lineRule="auto"/>
        <w:ind w:right="720"/>
        <w:rPr>
          <w:rFonts w:ascii="Book Antiqua" w:hAnsi="Book Antiqua"/>
        </w:rPr>
      </w:pPr>
      <w:r>
        <w:rPr>
          <w:rFonts w:ascii="Book Antiqua" w:hAnsi="Book Antiqua"/>
        </w:rPr>
        <w:t>Greater</w:t>
      </w:r>
      <w:r w:rsidRPr="000F7254">
        <w:rPr>
          <w:rFonts w:ascii="Book Antiqua" w:hAnsi="Book Antiqua"/>
        </w:rPr>
        <w:t xml:space="preserve"> </w:t>
      </w:r>
      <w:r w:rsidR="00153AB4" w:rsidRPr="000F7254">
        <w:rPr>
          <w:rFonts w:ascii="Book Antiqua" w:hAnsi="Book Antiqua"/>
        </w:rPr>
        <w:t xml:space="preserve">reliance on </w:t>
      </w:r>
      <w:r w:rsidR="00153AB4">
        <w:rPr>
          <w:rFonts w:ascii="Book Antiqua" w:hAnsi="Book Antiqua"/>
        </w:rPr>
        <w:t xml:space="preserve">the accuracy of </w:t>
      </w:r>
      <w:r w:rsidR="00153AB4" w:rsidRPr="000F7254">
        <w:rPr>
          <w:rFonts w:ascii="Book Antiqua" w:hAnsi="Book Antiqua"/>
        </w:rPr>
        <w:t>post</w:t>
      </w:r>
      <w:r w:rsidR="00FE5496">
        <w:rPr>
          <w:rFonts w:ascii="Book Antiqua" w:hAnsi="Book Antiqua"/>
        </w:rPr>
        <w:noBreakHyphen/>
      </w:r>
      <w:r w:rsidR="00153AB4" w:rsidRPr="000F7254">
        <w:rPr>
          <w:rFonts w:ascii="Book Antiqua" w:hAnsi="Book Antiqua"/>
        </w:rPr>
        <w:t>test year ratemaking mechanism</w:t>
      </w:r>
      <w:r w:rsidR="00153AB4">
        <w:rPr>
          <w:rFonts w:ascii="Book Antiqua" w:hAnsi="Book Antiqua"/>
        </w:rPr>
        <w:t>s;</w:t>
      </w:r>
      <w:r w:rsidR="00153AB4" w:rsidRPr="000F7254">
        <w:rPr>
          <w:rFonts w:ascii="Book Antiqua" w:hAnsi="Book Antiqua"/>
        </w:rPr>
        <w:t xml:space="preserve"> </w:t>
      </w:r>
    </w:p>
    <w:p w14:paraId="381B9B2A" w14:textId="2AE5C7EF" w:rsidR="00153AB4" w:rsidRPr="000F7254" w:rsidRDefault="00153AB4" w:rsidP="006F0AC0">
      <w:pPr>
        <w:pStyle w:val="standard0"/>
        <w:numPr>
          <w:ilvl w:val="0"/>
          <w:numId w:val="16"/>
        </w:numPr>
        <w:spacing w:after="120" w:line="240" w:lineRule="auto"/>
        <w:ind w:right="720"/>
        <w:rPr>
          <w:rFonts w:ascii="Book Antiqua" w:hAnsi="Book Antiqua"/>
        </w:rPr>
      </w:pPr>
      <w:r>
        <w:rPr>
          <w:rFonts w:ascii="Book Antiqua" w:hAnsi="Book Antiqua"/>
        </w:rPr>
        <w:t xml:space="preserve">Concerns </w:t>
      </w:r>
      <w:r w:rsidR="00F37165">
        <w:rPr>
          <w:rFonts w:ascii="Book Antiqua" w:hAnsi="Book Antiqua"/>
        </w:rPr>
        <w:t xml:space="preserve">that </w:t>
      </w:r>
      <w:r w:rsidRPr="000F7254">
        <w:rPr>
          <w:rFonts w:ascii="Book Antiqua" w:hAnsi="Book Antiqua"/>
        </w:rPr>
        <w:t xml:space="preserve">attrition year revenue requirements </w:t>
      </w:r>
      <w:r>
        <w:rPr>
          <w:rFonts w:ascii="Book Antiqua" w:hAnsi="Book Antiqua"/>
        </w:rPr>
        <w:t xml:space="preserve">tend to be higher than </w:t>
      </w:r>
      <w:r w:rsidRPr="000F7254">
        <w:rPr>
          <w:rFonts w:ascii="Book Antiqua" w:hAnsi="Book Antiqua"/>
        </w:rPr>
        <w:t>test year revenue requirements</w:t>
      </w:r>
      <w:r w:rsidR="00F37165">
        <w:rPr>
          <w:rFonts w:ascii="Book Antiqua" w:hAnsi="Book Antiqua"/>
        </w:rPr>
        <w:t xml:space="preserve"> (perhaps due to less scrutiny of the attrition year forecasts)</w:t>
      </w:r>
      <w:r>
        <w:rPr>
          <w:rFonts w:ascii="Book Antiqua" w:hAnsi="Book Antiqua"/>
        </w:rPr>
        <w:t>;</w:t>
      </w:r>
      <w:r w:rsidRPr="000F7254">
        <w:rPr>
          <w:rFonts w:ascii="Book Antiqua" w:hAnsi="Book Antiqua"/>
        </w:rPr>
        <w:t xml:space="preserve"> and </w:t>
      </w:r>
    </w:p>
    <w:p w14:paraId="161C6869" w14:textId="422261E3" w:rsidR="00B702ED" w:rsidRPr="000F7254" w:rsidRDefault="00924A86" w:rsidP="006F0AC0">
      <w:pPr>
        <w:pStyle w:val="standard0"/>
        <w:numPr>
          <w:ilvl w:val="0"/>
          <w:numId w:val="16"/>
        </w:numPr>
        <w:spacing w:after="240" w:line="240" w:lineRule="auto"/>
        <w:ind w:right="720"/>
        <w:rPr>
          <w:rFonts w:ascii="Book Antiqua" w:hAnsi="Book Antiqua"/>
        </w:rPr>
      </w:pPr>
      <w:r>
        <w:rPr>
          <w:rFonts w:ascii="Book Antiqua" w:hAnsi="Book Antiqua"/>
        </w:rPr>
        <w:t>Concerns that i</w:t>
      </w:r>
      <w:r w:rsidR="00F37165">
        <w:rPr>
          <w:rFonts w:ascii="Book Antiqua" w:hAnsi="Book Antiqua"/>
        </w:rPr>
        <w:t xml:space="preserve">t may be more difficult </w:t>
      </w:r>
      <w:r w:rsidR="00DE1345">
        <w:rPr>
          <w:rFonts w:ascii="Book Antiqua" w:hAnsi="Book Antiqua"/>
        </w:rPr>
        <w:t xml:space="preserve">for the Commission </w:t>
      </w:r>
      <w:r w:rsidR="00B702ED" w:rsidRPr="000F7254">
        <w:rPr>
          <w:rFonts w:ascii="Book Antiqua" w:hAnsi="Book Antiqua"/>
        </w:rPr>
        <w:t xml:space="preserve">to address emergent issues during the </w:t>
      </w:r>
      <w:r w:rsidR="00DE1345">
        <w:rPr>
          <w:rFonts w:ascii="Book Antiqua" w:hAnsi="Book Antiqua"/>
        </w:rPr>
        <w:t xml:space="preserve">three </w:t>
      </w:r>
      <w:r w:rsidR="00B702ED" w:rsidRPr="000F7254">
        <w:rPr>
          <w:rFonts w:ascii="Book Antiqua" w:hAnsi="Book Antiqua"/>
        </w:rPr>
        <w:t>attrition year</w:t>
      </w:r>
      <w:r w:rsidR="00DE1345">
        <w:rPr>
          <w:rFonts w:ascii="Book Antiqua" w:hAnsi="Book Antiqua"/>
        </w:rPr>
        <w:t>s</w:t>
      </w:r>
      <w:r w:rsidR="00B702ED" w:rsidRPr="000F7254">
        <w:rPr>
          <w:rFonts w:ascii="Book Antiqua" w:hAnsi="Book Antiqua"/>
        </w:rPr>
        <w:t>, particularly given the rapid changes currently occurring in the electric sector (</w:t>
      </w:r>
      <w:r w:rsidR="00B702ED" w:rsidRPr="006F0AC0">
        <w:rPr>
          <w:rFonts w:ascii="Book Antiqua" w:hAnsi="Book Antiqua"/>
        </w:rPr>
        <w:t>e.g</w:t>
      </w:r>
      <w:r w:rsidR="00B702ED" w:rsidRPr="00153AB4">
        <w:rPr>
          <w:rFonts w:ascii="Book Antiqua" w:hAnsi="Book Antiqua"/>
        </w:rPr>
        <w:t>.,</w:t>
      </w:r>
      <w:r w:rsidR="00B702ED" w:rsidRPr="000F7254">
        <w:rPr>
          <w:rFonts w:ascii="Book Antiqua" w:hAnsi="Book Antiqua"/>
        </w:rPr>
        <w:t xml:space="preserve"> </w:t>
      </w:r>
      <w:r w:rsidR="00153AB4">
        <w:rPr>
          <w:rFonts w:ascii="Book Antiqua" w:hAnsi="Book Antiqua"/>
        </w:rPr>
        <w:t>expected</w:t>
      </w:r>
      <w:r w:rsidR="00B702ED" w:rsidRPr="000F7254">
        <w:rPr>
          <w:rFonts w:ascii="Book Antiqua" w:hAnsi="Book Antiqua"/>
        </w:rPr>
        <w:t xml:space="preserve"> increase</w:t>
      </w:r>
      <w:r w:rsidR="00153AB4">
        <w:rPr>
          <w:rFonts w:ascii="Book Antiqua" w:hAnsi="Book Antiqua"/>
        </w:rPr>
        <w:t>s</w:t>
      </w:r>
      <w:r w:rsidR="00B702ED" w:rsidRPr="000F7254">
        <w:rPr>
          <w:rFonts w:ascii="Book Antiqua" w:hAnsi="Book Antiqua"/>
        </w:rPr>
        <w:t xml:space="preserve"> in distributed energy resources</w:t>
      </w:r>
      <w:r w:rsidR="00153AB4">
        <w:rPr>
          <w:rFonts w:ascii="Book Antiqua" w:hAnsi="Book Antiqua"/>
        </w:rPr>
        <w:t xml:space="preserve"> and, most recently, increased wildfire</w:t>
      </w:r>
      <w:r w:rsidR="00FE5496">
        <w:rPr>
          <w:rFonts w:ascii="Book Antiqua" w:hAnsi="Book Antiqua"/>
        </w:rPr>
        <w:noBreakHyphen/>
      </w:r>
      <w:r w:rsidR="00153AB4">
        <w:rPr>
          <w:rFonts w:ascii="Book Antiqua" w:hAnsi="Book Antiqua"/>
        </w:rPr>
        <w:t>related costs</w:t>
      </w:r>
      <w:r w:rsidR="00B702ED" w:rsidRPr="000F7254">
        <w:rPr>
          <w:rFonts w:ascii="Book Antiqua" w:hAnsi="Book Antiqua"/>
        </w:rPr>
        <w:t>).</w:t>
      </w:r>
      <w:r w:rsidR="00B702ED" w:rsidRPr="000F7254">
        <w:rPr>
          <w:rStyle w:val="FootnoteReference"/>
          <w:rFonts w:ascii="Book Antiqua" w:hAnsi="Book Antiqua"/>
        </w:rPr>
        <w:footnoteReference w:id="49"/>
      </w:r>
    </w:p>
    <w:p w14:paraId="5ADE48ED" w14:textId="58F16D4B" w:rsidR="00B702ED" w:rsidRPr="000F7254" w:rsidRDefault="00153AB4" w:rsidP="00B702ED">
      <w:pPr>
        <w:pStyle w:val="standard0"/>
        <w:rPr>
          <w:rFonts w:ascii="Book Antiqua" w:hAnsi="Book Antiqua"/>
        </w:rPr>
      </w:pPr>
      <w:r>
        <w:rPr>
          <w:rFonts w:ascii="Book Antiqua" w:hAnsi="Book Antiqua"/>
        </w:rPr>
        <w:t>Staff</w:t>
      </w:r>
      <w:r w:rsidR="00F816FE">
        <w:rPr>
          <w:rFonts w:ascii="Book Antiqua" w:hAnsi="Book Antiqua"/>
        </w:rPr>
        <w:t xml:space="preserve"> </w:t>
      </w:r>
      <w:r w:rsidR="00F37165">
        <w:rPr>
          <w:rFonts w:ascii="Book Antiqua" w:hAnsi="Book Antiqua"/>
        </w:rPr>
        <w:t xml:space="preserve">tempers its </w:t>
      </w:r>
      <w:r w:rsidR="00F816FE">
        <w:rPr>
          <w:rFonts w:ascii="Book Antiqua" w:hAnsi="Book Antiqua"/>
        </w:rPr>
        <w:t>recommend</w:t>
      </w:r>
      <w:r w:rsidR="00F37165">
        <w:rPr>
          <w:rFonts w:ascii="Book Antiqua" w:hAnsi="Book Antiqua"/>
        </w:rPr>
        <w:t>ation to</w:t>
      </w:r>
      <w:r w:rsidR="00F816FE">
        <w:rPr>
          <w:rFonts w:ascii="Book Antiqua" w:hAnsi="Book Antiqua"/>
        </w:rPr>
        <w:t xml:space="preserve"> retain a three</w:t>
      </w:r>
      <w:r w:rsidR="00FE5496">
        <w:rPr>
          <w:rFonts w:ascii="Book Antiqua" w:hAnsi="Book Antiqua"/>
        </w:rPr>
        <w:noBreakHyphen/>
      </w:r>
      <w:r w:rsidR="00F816FE">
        <w:rPr>
          <w:rFonts w:ascii="Book Antiqua" w:hAnsi="Book Antiqua"/>
        </w:rPr>
        <w:t>year cycle</w:t>
      </w:r>
      <w:r w:rsidR="00F37165">
        <w:rPr>
          <w:rFonts w:ascii="Book Antiqua" w:hAnsi="Book Antiqua"/>
        </w:rPr>
        <w:t xml:space="preserve"> </w:t>
      </w:r>
      <w:r w:rsidR="00B702ED" w:rsidRPr="000F7254">
        <w:rPr>
          <w:rFonts w:ascii="Book Antiqua" w:hAnsi="Book Antiqua"/>
        </w:rPr>
        <w:t xml:space="preserve">by noting </w:t>
      </w:r>
      <w:r w:rsidR="00E521F4">
        <w:rPr>
          <w:rFonts w:ascii="Book Antiqua" w:hAnsi="Book Antiqua"/>
        </w:rPr>
        <w:t xml:space="preserve">workshop participants seemed </w:t>
      </w:r>
      <w:r w:rsidR="00B702ED" w:rsidRPr="000F7254">
        <w:rPr>
          <w:rFonts w:ascii="Book Antiqua" w:hAnsi="Book Antiqua"/>
        </w:rPr>
        <w:t>most concern</w:t>
      </w:r>
      <w:r w:rsidR="00E521F4">
        <w:rPr>
          <w:rFonts w:ascii="Book Antiqua" w:hAnsi="Book Antiqua"/>
        </w:rPr>
        <w:t xml:space="preserve">ed that </w:t>
      </w:r>
      <w:r w:rsidR="00B702ED" w:rsidRPr="000F7254">
        <w:rPr>
          <w:rFonts w:ascii="Book Antiqua" w:hAnsi="Book Antiqua"/>
        </w:rPr>
        <w:t>a four</w:t>
      </w:r>
      <w:r w:rsidR="00FE5496">
        <w:rPr>
          <w:rFonts w:ascii="Book Antiqua" w:hAnsi="Book Antiqua"/>
        </w:rPr>
        <w:noBreakHyphen/>
      </w:r>
      <w:r w:rsidR="00B702ED" w:rsidRPr="000F7254">
        <w:rPr>
          <w:rFonts w:ascii="Book Antiqua" w:hAnsi="Book Antiqua"/>
        </w:rPr>
        <w:t xml:space="preserve">year GRC cycle </w:t>
      </w:r>
      <w:r w:rsidR="00E521F4">
        <w:rPr>
          <w:rFonts w:ascii="Book Antiqua" w:hAnsi="Book Antiqua"/>
        </w:rPr>
        <w:t>would result in greater</w:t>
      </w:r>
      <w:r w:rsidR="00B702ED" w:rsidRPr="000F7254">
        <w:rPr>
          <w:rFonts w:ascii="Book Antiqua" w:hAnsi="Book Antiqua"/>
        </w:rPr>
        <w:t xml:space="preserve"> </w:t>
      </w:r>
      <w:r w:rsidR="00E521F4">
        <w:rPr>
          <w:rFonts w:ascii="Book Antiqua" w:hAnsi="Book Antiqua"/>
        </w:rPr>
        <w:t xml:space="preserve">uncertainty </w:t>
      </w:r>
      <w:r>
        <w:rPr>
          <w:rFonts w:ascii="Book Antiqua" w:hAnsi="Book Antiqua"/>
        </w:rPr>
        <w:t xml:space="preserve">about </w:t>
      </w:r>
      <w:r w:rsidR="00B702ED" w:rsidRPr="000F7254">
        <w:rPr>
          <w:rFonts w:ascii="Book Antiqua" w:hAnsi="Book Antiqua"/>
        </w:rPr>
        <w:t>attrition</w:t>
      </w:r>
      <w:r w:rsidR="000B0E09">
        <w:rPr>
          <w:rFonts w:ascii="Book Antiqua" w:hAnsi="Book Antiqua"/>
        </w:rPr>
        <w:t xml:space="preserve"> year forecasts</w:t>
      </w:r>
      <w:r w:rsidR="00B702ED" w:rsidRPr="000F7254">
        <w:rPr>
          <w:rFonts w:ascii="Book Antiqua" w:hAnsi="Book Antiqua"/>
        </w:rPr>
        <w:t xml:space="preserve"> and post</w:t>
      </w:r>
      <w:r w:rsidR="00FE5496">
        <w:rPr>
          <w:rFonts w:ascii="Book Antiqua" w:hAnsi="Book Antiqua"/>
        </w:rPr>
        <w:noBreakHyphen/>
      </w:r>
      <w:r w:rsidR="00B702ED" w:rsidRPr="000F7254">
        <w:rPr>
          <w:rFonts w:ascii="Book Antiqua" w:hAnsi="Book Antiqua"/>
        </w:rPr>
        <w:t>test year ratemaking</w:t>
      </w:r>
      <w:r>
        <w:rPr>
          <w:rFonts w:ascii="Book Antiqua" w:hAnsi="Book Antiqua"/>
        </w:rPr>
        <w:t xml:space="preserve">.  </w:t>
      </w:r>
      <w:r w:rsidR="00DE1345">
        <w:rPr>
          <w:rFonts w:ascii="Book Antiqua" w:hAnsi="Book Antiqua"/>
        </w:rPr>
        <w:t xml:space="preserve">Staff thus </w:t>
      </w:r>
      <w:r w:rsidR="00B702ED" w:rsidRPr="000F7254">
        <w:rPr>
          <w:rFonts w:ascii="Book Antiqua" w:hAnsi="Book Antiqua"/>
        </w:rPr>
        <w:t>recommends the Commission reconsider the merits of a four</w:t>
      </w:r>
      <w:r w:rsidR="00FE5496">
        <w:rPr>
          <w:rFonts w:ascii="Book Antiqua" w:hAnsi="Book Antiqua"/>
        </w:rPr>
        <w:noBreakHyphen/>
      </w:r>
      <w:r w:rsidR="00B702ED" w:rsidRPr="000F7254">
        <w:rPr>
          <w:rFonts w:ascii="Book Antiqua" w:hAnsi="Book Antiqua"/>
        </w:rPr>
        <w:t xml:space="preserve">year GRC cycle if the Commission receives input from future workshops that </w:t>
      </w:r>
      <w:r w:rsidR="000B0E09">
        <w:rPr>
          <w:rFonts w:ascii="Book Antiqua" w:hAnsi="Book Antiqua"/>
        </w:rPr>
        <w:t>address</w:t>
      </w:r>
      <w:r>
        <w:rPr>
          <w:rFonts w:ascii="Book Antiqua" w:hAnsi="Book Antiqua"/>
        </w:rPr>
        <w:t>es</w:t>
      </w:r>
      <w:r w:rsidR="000B0E09">
        <w:rPr>
          <w:rFonts w:ascii="Book Antiqua" w:hAnsi="Book Antiqua"/>
        </w:rPr>
        <w:t xml:space="preserve"> these concerns</w:t>
      </w:r>
      <w:r w:rsidR="00B702ED" w:rsidRPr="000F7254">
        <w:rPr>
          <w:rFonts w:ascii="Book Antiqua" w:hAnsi="Book Antiqua"/>
        </w:rPr>
        <w:t>:</w:t>
      </w:r>
    </w:p>
    <w:p w14:paraId="1CA0A290" w14:textId="77777777" w:rsidR="00B702ED" w:rsidRPr="000F7254" w:rsidRDefault="00B702ED" w:rsidP="006F0AC0">
      <w:pPr>
        <w:pStyle w:val="BlockQuote"/>
        <w:spacing w:after="240"/>
      </w:pPr>
      <w:r w:rsidRPr="000F7254">
        <w:t xml:space="preserve">If the Commission were able to establish a </w:t>
      </w:r>
      <w:r w:rsidRPr="00FE0D5B">
        <w:rPr>
          <w:u w:val="single"/>
        </w:rPr>
        <w:t>uniform and consistent</w:t>
      </w:r>
      <w:r w:rsidRPr="000F7254">
        <w:t xml:space="preserve"> attrition year ratemaking mechanism that would factor in uncertainties during the attrition years, </w:t>
      </w:r>
      <w:r w:rsidRPr="00FE0D5B">
        <w:rPr>
          <w:u w:val="single"/>
        </w:rPr>
        <w:t>the risks of inaccurate cost forecasts associated with an additional attrition year</w:t>
      </w:r>
      <w:r w:rsidRPr="000F7254">
        <w:t xml:space="preserve"> would be mitigated.</w:t>
      </w:r>
      <w:r w:rsidRPr="000F7254">
        <w:rPr>
          <w:rStyle w:val="FootnoteReference"/>
        </w:rPr>
        <w:footnoteReference w:id="50"/>
      </w:r>
    </w:p>
    <w:p w14:paraId="3F00E7FC" w14:textId="5B815F4A" w:rsidR="002B36E2" w:rsidRDefault="002B36E2" w:rsidP="00F40615">
      <w:pPr>
        <w:pStyle w:val="standard0"/>
        <w:rPr>
          <w:rFonts w:ascii="Book Antiqua" w:hAnsi="Book Antiqua"/>
        </w:rPr>
      </w:pPr>
      <w:r>
        <w:rPr>
          <w:rFonts w:ascii="Book Antiqua" w:hAnsi="Book Antiqua"/>
        </w:rPr>
        <w:t>R</w:t>
      </w:r>
      <w:r w:rsidRPr="00171F3F">
        <w:rPr>
          <w:rFonts w:ascii="Book Antiqua" w:hAnsi="Book Antiqua"/>
        </w:rPr>
        <w:t>etention of the current three</w:t>
      </w:r>
      <w:r w:rsidR="00FE5496">
        <w:rPr>
          <w:rFonts w:ascii="Book Antiqua" w:hAnsi="Book Antiqua"/>
        </w:rPr>
        <w:noBreakHyphen/>
      </w:r>
      <w:r w:rsidRPr="00171F3F">
        <w:rPr>
          <w:rFonts w:ascii="Book Antiqua" w:hAnsi="Book Antiqua"/>
        </w:rPr>
        <w:t>year cycle</w:t>
      </w:r>
      <w:r>
        <w:rPr>
          <w:rFonts w:ascii="Book Antiqua" w:hAnsi="Book Antiqua"/>
        </w:rPr>
        <w:t xml:space="preserve"> is supported i</w:t>
      </w:r>
      <w:r w:rsidR="00B702ED" w:rsidRPr="000F7254">
        <w:rPr>
          <w:rFonts w:ascii="Book Antiqua" w:hAnsi="Book Antiqua"/>
        </w:rPr>
        <w:t xml:space="preserve">n the </w:t>
      </w:r>
      <w:r w:rsidR="00F95B1E">
        <w:rPr>
          <w:rFonts w:ascii="Book Antiqua" w:hAnsi="Book Antiqua"/>
        </w:rPr>
        <w:t xml:space="preserve">comments </w:t>
      </w:r>
      <w:r w:rsidR="00B702ED" w:rsidRPr="000F7254">
        <w:rPr>
          <w:rFonts w:ascii="Book Antiqua" w:hAnsi="Book Antiqua"/>
        </w:rPr>
        <w:t>and/or reply comments</w:t>
      </w:r>
      <w:r>
        <w:rPr>
          <w:rFonts w:ascii="Book Antiqua" w:hAnsi="Book Antiqua"/>
        </w:rPr>
        <w:t xml:space="preserve"> of </w:t>
      </w:r>
      <w:r w:rsidR="00F95B1E" w:rsidRPr="000F7254">
        <w:rPr>
          <w:rFonts w:ascii="Book Antiqua" w:hAnsi="Book Antiqua"/>
        </w:rPr>
        <w:t>SCE, SCGC and TURN</w:t>
      </w:r>
      <w:r>
        <w:rPr>
          <w:rFonts w:ascii="Book Antiqua" w:hAnsi="Book Antiqua"/>
        </w:rPr>
        <w:t>.</w:t>
      </w:r>
      <w:r w:rsidR="005B0037">
        <w:rPr>
          <w:rFonts w:ascii="Book Antiqua" w:hAnsi="Book Antiqua"/>
        </w:rPr>
        <w:t xml:space="preserve">  SCGC states its agreement </w:t>
      </w:r>
      <w:r w:rsidR="005B0037">
        <w:rPr>
          <w:rFonts w:ascii="Book Antiqua" w:hAnsi="Book Antiqua"/>
        </w:rPr>
        <w:lastRenderedPageBreak/>
        <w:t>with Staff’s framing of the potential problems of a four</w:t>
      </w:r>
      <w:r w:rsidR="00FE5496">
        <w:rPr>
          <w:rFonts w:ascii="Book Antiqua" w:hAnsi="Book Antiqua"/>
        </w:rPr>
        <w:noBreakHyphen/>
      </w:r>
      <w:r w:rsidR="005B0037">
        <w:rPr>
          <w:rFonts w:ascii="Book Antiqua" w:hAnsi="Book Antiqua"/>
        </w:rPr>
        <w:t>year cycle (summarized above) and adds that it is unclear to SCGC how standardizing attrition year ratemaking would address Staff’s concerns:  “</w:t>
      </w:r>
      <w:r w:rsidR="005B0037" w:rsidRPr="005B0037">
        <w:rPr>
          <w:rFonts w:ascii="Book Antiqua" w:hAnsi="Book Antiqua"/>
        </w:rPr>
        <w:t>standardization would not address the uncertainty that is inherit in forecasting an additional year of attrition year experience, and standardization would not address issues that may emerge during the attrition period.</w:t>
      </w:r>
      <w:r w:rsidR="005B0037">
        <w:rPr>
          <w:rFonts w:ascii="Book Antiqua" w:hAnsi="Book Antiqua"/>
        </w:rPr>
        <w:t>”</w:t>
      </w:r>
      <w:r w:rsidR="005B0037">
        <w:rPr>
          <w:rStyle w:val="FootnoteReference"/>
          <w:rFonts w:ascii="Book Antiqua" w:hAnsi="Book Antiqua"/>
        </w:rPr>
        <w:footnoteReference w:id="51"/>
      </w:r>
      <w:r w:rsidR="005B0037">
        <w:rPr>
          <w:rFonts w:ascii="Book Antiqua" w:hAnsi="Book Antiqua"/>
        </w:rPr>
        <w:t xml:space="preserve">  TURN also concurs with Staff’s recommendations and supporting analysis</w:t>
      </w:r>
      <w:r w:rsidR="00D60417">
        <w:rPr>
          <w:rFonts w:ascii="Book Antiqua" w:hAnsi="Book Antiqua"/>
        </w:rPr>
        <w:t>,</w:t>
      </w:r>
      <w:r w:rsidR="00D60417">
        <w:rPr>
          <w:rStyle w:val="FootnoteReference"/>
          <w:rFonts w:ascii="Book Antiqua" w:hAnsi="Book Antiqua"/>
        </w:rPr>
        <w:footnoteReference w:id="52"/>
      </w:r>
      <w:r w:rsidR="00D60417">
        <w:rPr>
          <w:rFonts w:ascii="Book Antiqua" w:hAnsi="Book Antiqua"/>
        </w:rPr>
        <w:t xml:space="preserve"> while also </w:t>
      </w:r>
      <w:r w:rsidR="0033216D">
        <w:rPr>
          <w:rFonts w:ascii="Book Antiqua" w:hAnsi="Book Antiqua"/>
        </w:rPr>
        <w:t>endorsing</w:t>
      </w:r>
      <w:r w:rsidR="00D60417">
        <w:rPr>
          <w:rFonts w:ascii="Book Antiqua" w:hAnsi="Book Antiqua"/>
        </w:rPr>
        <w:t xml:space="preserve"> Staff’s recommendation that a workshop process further explore a third attrition year</w:t>
      </w:r>
      <w:r w:rsidR="00F40615">
        <w:rPr>
          <w:rFonts w:ascii="Book Antiqua" w:hAnsi="Book Antiqua"/>
        </w:rPr>
        <w:t xml:space="preserve"> while</w:t>
      </w:r>
      <w:r w:rsidR="00D60417">
        <w:rPr>
          <w:rFonts w:ascii="Book Antiqua" w:hAnsi="Book Antiqua"/>
        </w:rPr>
        <w:t xml:space="preserve"> “retaining </w:t>
      </w:r>
      <w:r w:rsidR="00D60417" w:rsidRPr="00D60417">
        <w:rPr>
          <w:rFonts w:ascii="Book Antiqua" w:hAnsi="Book Antiqua"/>
        </w:rPr>
        <w:t>the</w:t>
      </w:r>
      <w:r w:rsidR="00D60417">
        <w:rPr>
          <w:rFonts w:ascii="Book Antiqua" w:hAnsi="Book Antiqua"/>
        </w:rPr>
        <w:t xml:space="preserve"> </w:t>
      </w:r>
      <w:r w:rsidR="00D60417" w:rsidRPr="00D60417">
        <w:rPr>
          <w:rFonts w:ascii="Book Antiqua" w:hAnsi="Book Antiqua"/>
        </w:rPr>
        <w:t>three</w:t>
      </w:r>
      <w:r w:rsidR="00FE5496">
        <w:rPr>
          <w:rFonts w:ascii="Book Antiqua" w:hAnsi="Book Antiqua"/>
        </w:rPr>
        <w:noBreakHyphen/>
      </w:r>
      <w:r w:rsidR="00D60417" w:rsidRPr="00D60417">
        <w:rPr>
          <w:rFonts w:ascii="Book Antiqua" w:hAnsi="Book Antiqua"/>
        </w:rPr>
        <w:t>year GRC cycle in the meantime.</w:t>
      </w:r>
      <w:r w:rsidR="00D60417">
        <w:rPr>
          <w:rFonts w:ascii="Book Antiqua" w:hAnsi="Book Antiqua"/>
        </w:rPr>
        <w:t>”</w:t>
      </w:r>
      <w:r w:rsidR="00D60417">
        <w:rPr>
          <w:rStyle w:val="FootnoteReference"/>
          <w:rFonts w:ascii="Book Antiqua" w:hAnsi="Book Antiqua"/>
        </w:rPr>
        <w:footnoteReference w:id="53"/>
      </w:r>
      <w:r w:rsidR="00F40615">
        <w:rPr>
          <w:rFonts w:ascii="Book Antiqua" w:hAnsi="Book Antiqua"/>
        </w:rPr>
        <w:t xml:space="preserve">  SCE</w:t>
      </w:r>
      <w:r w:rsidR="00F40615" w:rsidRPr="00F40615">
        <w:t xml:space="preserve"> </w:t>
      </w:r>
      <w:r w:rsidR="00F40615" w:rsidRPr="00F40615">
        <w:rPr>
          <w:rFonts w:ascii="Book Antiqua" w:hAnsi="Book Antiqua"/>
        </w:rPr>
        <w:t>does not oppose a four</w:t>
      </w:r>
      <w:r w:rsidR="00FE5496">
        <w:rPr>
          <w:rFonts w:ascii="Book Antiqua" w:hAnsi="Book Antiqua"/>
        </w:rPr>
        <w:noBreakHyphen/>
      </w:r>
      <w:r w:rsidR="00F40615" w:rsidRPr="00F40615">
        <w:rPr>
          <w:rFonts w:ascii="Book Antiqua" w:hAnsi="Book Antiqua"/>
        </w:rPr>
        <w:t xml:space="preserve">year cycle </w:t>
      </w:r>
      <w:r w:rsidR="00F40615">
        <w:rPr>
          <w:rFonts w:ascii="Book Antiqua" w:hAnsi="Book Antiqua"/>
        </w:rPr>
        <w:t>“</w:t>
      </w:r>
      <w:r w:rsidR="00F40615" w:rsidRPr="00F40615">
        <w:rPr>
          <w:rFonts w:ascii="Book Antiqua" w:hAnsi="Book Antiqua"/>
        </w:rPr>
        <w:t>outright</w:t>
      </w:r>
      <w:r w:rsidR="00F40615">
        <w:rPr>
          <w:rFonts w:ascii="Book Antiqua" w:hAnsi="Book Antiqua"/>
        </w:rPr>
        <w:t>” but contends that a change to a four</w:t>
      </w:r>
      <w:r w:rsidR="00FE5496">
        <w:rPr>
          <w:rFonts w:ascii="Book Antiqua" w:hAnsi="Book Antiqua"/>
        </w:rPr>
        <w:noBreakHyphen/>
      </w:r>
      <w:r w:rsidR="00F40615">
        <w:rPr>
          <w:rFonts w:ascii="Book Antiqua" w:hAnsi="Book Antiqua"/>
        </w:rPr>
        <w:t>year cycle must (1) include an attrition year mechanism that provides the funding necessary for safe and reliable service, and does not lead to shortfalls in authorized spending; (2)</w:t>
      </w:r>
      <w:r w:rsidR="00343152">
        <w:rPr>
          <w:rFonts w:ascii="Book Antiqua" w:hAnsi="Book Antiqua"/>
        </w:rPr>
        <w:t> </w:t>
      </w:r>
      <w:r w:rsidR="00F40615">
        <w:rPr>
          <w:rFonts w:ascii="Book Antiqua" w:hAnsi="Book Antiqua"/>
        </w:rPr>
        <w:t xml:space="preserve">incorporate “[a] </w:t>
      </w:r>
      <w:r w:rsidR="00F40615" w:rsidRPr="00F40615">
        <w:rPr>
          <w:rFonts w:ascii="Book Antiqua" w:hAnsi="Book Antiqua"/>
        </w:rPr>
        <w:t>greater tolerance on the part of the Commission and parties with respect to errors and</w:t>
      </w:r>
      <w:r w:rsidR="00F40615">
        <w:rPr>
          <w:rFonts w:ascii="Book Antiqua" w:hAnsi="Book Antiqua"/>
        </w:rPr>
        <w:t xml:space="preserve"> </w:t>
      </w:r>
      <w:r w:rsidR="00F40615" w:rsidRPr="00F40615">
        <w:rPr>
          <w:rFonts w:ascii="Book Antiqua" w:hAnsi="Book Antiqua"/>
        </w:rPr>
        <w:t>variances in forecasting</w:t>
      </w:r>
      <w:r w:rsidR="00F40615">
        <w:rPr>
          <w:rFonts w:ascii="Book Antiqua" w:hAnsi="Book Antiqua"/>
        </w:rPr>
        <w:t>;” and (3) consider the necessity of using a Z</w:t>
      </w:r>
      <w:r w:rsidR="00FE5496">
        <w:rPr>
          <w:rFonts w:ascii="Book Antiqua" w:hAnsi="Book Antiqua"/>
        </w:rPr>
        <w:noBreakHyphen/>
      </w:r>
      <w:r w:rsidR="00F40615">
        <w:rPr>
          <w:rFonts w:ascii="Book Antiqua" w:hAnsi="Book Antiqua"/>
        </w:rPr>
        <w:t>factor mechanism to “</w:t>
      </w:r>
      <w:r w:rsidR="00F40615" w:rsidRPr="00F40615">
        <w:rPr>
          <w:rFonts w:ascii="Book Antiqua" w:hAnsi="Book Antiqua"/>
        </w:rPr>
        <w:t>help mitigate unforeseen developments that necessarily are more likely to occur in the</w:t>
      </w:r>
      <w:r w:rsidR="00F40615">
        <w:rPr>
          <w:rFonts w:ascii="Book Antiqua" w:hAnsi="Book Antiqua"/>
        </w:rPr>
        <w:t xml:space="preserve"> </w:t>
      </w:r>
      <w:r w:rsidR="00F40615" w:rsidRPr="00F40615">
        <w:rPr>
          <w:rFonts w:ascii="Book Antiqua" w:hAnsi="Book Antiqua"/>
        </w:rPr>
        <w:t>attrition period when a rate case cycle is extended another year</w:t>
      </w:r>
      <w:r w:rsidR="00F40615">
        <w:rPr>
          <w:rFonts w:ascii="Book Antiqua" w:hAnsi="Book Antiqua"/>
        </w:rPr>
        <w:t>.”</w:t>
      </w:r>
      <w:r w:rsidR="00F40615">
        <w:rPr>
          <w:rStyle w:val="FootnoteReference"/>
          <w:rFonts w:ascii="Book Antiqua" w:hAnsi="Book Antiqua"/>
        </w:rPr>
        <w:footnoteReference w:id="54"/>
      </w:r>
    </w:p>
    <w:p w14:paraId="59892875" w14:textId="1683ED0E" w:rsidR="00B702ED" w:rsidRDefault="00B702ED" w:rsidP="00B702ED">
      <w:pPr>
        <w:pStyle w:val="standard0"/>
        <w:rPr>
          <w:rFonts w:ascii="Book Antiqua" w:hAnsi="Book Antiqua"/>
        </w:rPr>
      </w:pPr>
      <w:r w:rsidRPr="00171F3F">
        <w:rPr>
          <w:rFonts w:ascii="Book Antiqua" w:hAnsi="Book Antiqua"/>
        </w:rPr>
        <w:t>Movement to a four</w:t>
      </w:r>
      <w:r w:rsidR="00FE5496">
        <w:rPr>
          <w:rFonts w:ascii="Book Antiqua" w:hAnsi="Book Antiqua"/>
        </w:rPr>
        <w:noBreakHyphen/>
      </w:r>
      <w:r w:rsidRPr="00171F3F">
        <w:rPr>
          <w:rFonts w:ascii="Book Antiqua" w:hAnsi="Book Antiqua"/>
        </w:rPr>
        <w:t xml:space="preserve">year cycle is supported by PG&amp;E, </w:t>
      </w:r>
      <w:bookmarkStart w:id="35" w:name="_Hlk20923319"/>
      <w:r w:rsidRPr="00171F3F">
        <w:rPr>
          <w:rFonts w:ascii="Book Antiqua" w:hAnsi="Book Antiqua"/>
        </w:rPr>
        <w:t>SDG&amp;E and SoCalGas</w:t>
      </w:r>
      <w:bookmarkEnd w:id="35"/>
      <w:r w:rsidRPr="00171F3F">
        <w:rPr>
          <w:rFonts w:ascii="Book Antiqua" w:hAnsi="Book Antiqua"/>
        </w:rPr>
        <w:t xml:space="preserve">, and </w:t>
      </w:r>
      <w:r w:rsidR="00934D39">
        <w:rPr>
          <w:rFonts w:ascii="Book Antiqua" w:hAnsi="Book Antiqua"/>
        </w:rPr>
        <w:t xml:space="preserve">the </w:t>
      </w:r>
      <w:r w:rsidR="003933C4" w:rsidRPr="00171F3F">
        <w:rPr>
          <w:rFonts w:ascii="Book Antiqua" w:hAnsi="Book Antiqua"/>
        </w:rPr>
        <w:t>Public Advocates Office</w:t>
      </w:r>
      <w:r w:rsidRPr="00171F3F">
        <w:rPr>
          <w:rFonts w:ascii="Book Antiqua" w:hAnsi="Book Antiqua"/>
        </w:rPr>
        <w:t>.</w:t>
      </w:r>
      <w:r w:rsidR="00F40615">
        <w:rPr>
          <w:rFonts w:ascii="Book Antiqua" w:hAnsi="Book Antiqua"/>
        </w:rPr>
        <w:t xml:space="preserve">  </w:t>
      </w:r>
      <w:r w:rsidR="00F40615" w:rsidRPr="00F40615">
        <w:rPr>
          <w:rFonts w:ascii="Book Antiqua" w:hAnsi="Book Antiqua"/>
        </w:rPr>
        <w:t xml:space="preserve">PG&amp;E </w:t>
      </w:r>
      <w:r w:rsidR="005E5492">
        <w:rPr>
          <w:rFonts w:ascii="Book Antiqua" w:hAnsi="Book Antiqua"/>
        </w:rPr>
        <w:t>links its support to “</w:t>
      </w:r>
      <w:r w:rsidR="00F40615" w:rsidRPr="00F40615">
        <w:rPr>
          <w:rFonts w:ascii="Book Antiqua" w:hAnsi="Book Antiqua"/>
        </w:rPr>
        <w:t xml:space="preserve">appropriate attrition mechanisms and other mechanisms to adjust the revenue </w:t>
      </w:r>
      <w:r w:rsidR="00F40615" w:rsidRPr="00F40615">
        <w:rPr>
          <w:rFonts w:ascii="Book Antiqua" w:hAnsi="Book Antiqua"/>
        </w:rPr>
        <w:lastRenderedPageBreak/>
        <w:t>requirement during the GRC period – if needed – to address unusual circumstances.</w:t>
      </w:r>
      <w:r w:rsidR="005E5492">
        <w:rPr>
          <w:rFonts w:ascii="Book Antiqua" w:hAnsi="Book Antiqua"/>
        </w:rPr>
        <w:t>”  PG&amp;E also notes the four</w:t>
      </w:r>
      <w:r w:rsidR="00FE5496">
        <w:rPr>
          <w:rFonts w:ascii="Book Antiqua" w:hAnsi="Book Antiqua"/>
        </w:rPr>
        <w:noBreakHyphen/>
      </w:r>
      <w:r w:rsidR="005E5492">
        <w:rPr>
          <w:rFonts w:ascii="Book Antiqua" w:hAnsi="Book Antiqua"/>
        </w:rPr>
        <w:t xml:space="preserve">year cycle </w:t>
      </w:r>
      <w:r w:rsidR="005E5492" w:rsidRPr="005E5492">
        <w:rPr>
          <w:rFonts w:ascii="Book Antiqua" w:hAnsi="Book Antiqua"/>
        </w:rPr>
        <w:t xml:space="preserve">would provide the Commission with additional time to weigh </w:t>
      </w:r>
      <w:r w:rsidR="005E5492">
        <w:rPr>
          <w:rFonts w:ascii="Book Antiqua" w:hAnsi="Book Antiqua"/>
        </w:rPr>
        <w:t>“</w:t>
      </w:r>
      <w:r w:rsidR="005E5492" w:rsidRPr="005E5492">
        <w:rPr>
          <w:rFonts w:ascii="Book Antiqua" w:hAnsi="Book Antiqua"/>
        </w:rPr>
        <w:t>the extraordinary amount of evidence</w:t>
      </w:r>
      <w:r w:rsidR="005E5492">
        <w:rPr>
          <w:rFonts w:ascii="Book Antiqua" w:hAnsi="Book Antiqua"/>
        </w:rPr>
        <w:t>”</w:t>
      </w:r>
      <w:r w:rsidR="005E5492" w:rsidRPr="005E5492">
        <w:rPr>
          <w:rFonts w:ascii="Book Antiqua" w:hAnsi="Book Antiqua"/>
        </w:rPr>
        <w:t xml:space="preserve"> presented in GRCs</w:t>
      </w:r>
      <w:r w:rsidR="005E5492">
        <w:rPr>
          <w:rFonts w:ascii="Book Antiqua" w:hAnsi="Book Antiqua"/>
        </w:rPr>
        <w:t>; to</w:t>
      </w:r>
      <w:r w:rsidR="005E5492" w:rsidRPr="005E5492">
        <w:rPr>
          <w:rFonts w:ascii="Book Antiqua" w:hAnsi="Book Antiqua"/>
        </w:rPr>
        <w:t xml:space="preserve"> review additional financial data, including the data regarding the IOUs</w:t>
      </w:r>
      <w:r w:rsidR="005E5492">
        <w:rPr>
          <w:rFonts w:ascii="Book Antiqua" w:hAnsi="Book Antiqua"/>
        </w:rPr>
        <w:t>’</w:t>
      </w:r>
      <w:r w:rsidR="005E5492" w:rsidRPr="005E5492">
        <w:rPr>
          <w:rFonts w:ascii="Book Antiqua" w:hAnsi="Book Antiqua"/>
        </w:rPr>
        <w:t xml:space="preserve"> expenditures in the filing year</w:t>
      </w:r>
      <w:r w:rsidR="005E5492">
        <w:rPr>
          <w:rFonts w:ascii="Book Antiqua" w:hAnsi="Book Antiqua"/>
        </w:rPr>
        <w:t xml:space="preserve">;  </w:t>
      </w:r>
      <w:r w:rsidR="005E5492" w:rsidRPr="005E5492">
        <w:rPr>
          <w:rFonts w:ascii="Book Antiqua" w:hAnsi="Book Antiqua"/>
        </w:rPr>
        <w:t>allow an improved assessment of the IOUs</w:t>
      </w:r>
      <w:r w:rsidR="005E5492">
        <w:rPr>
          <w:rFonts w:ascii="Book Antiqua" w:hAnsi="Book Antiqua"/>
        </w:rPr>
        <w:t>’</w:t>
      </w:r>
      <w:r w:rsidR="005E5492" w:rsidRPr="005E5492">
        <w:rPr>
          <w:rFonts w:ascii="Book Antiqua" w:hAnsi="Book Antiqua"/>
        </w:rPr>
        <w:t xml:space="preserve"> risks and risk</w:t>
      </w:r>
      <w:r w:rsidR="00FE5496">
        <w:rPr>
          <w:rFonts w:ascii="Book Antiqua" w:hAnsi="Book Antiqua"/>
        </w:rPr>
        <w:noBreakHyphen/>
      </w:r>
      <w:r w:rsidR="005E5492" w:rsidRPr="005E5492">
        <w:rPr>
          <w:rFonts w:ascii="Book Antiqua" w:hAnsi="Book Antiqua"/>
        </w:rPr>
        <w:t>related spending</w:t>
      </w:r>
      <w:r w:rsidR="005E5492">
        <w:rPr>
          <w:rFonts w:ascii="Book Antiqua" w:hAnsi="Book Antiqua"/>
        </w:rPr>
        <w:t xml:space="preserve">, including possibly changing the timing of the RAMP </w:t>
      </w:r>
      <w:r w:rsidR="002D4AFB">
        <w:rPr>
          <w:rFonts w:ascii="Book Antiqua" w:hAnsi="Book Antiqua"/>
        </w:rPr>
        <w:t xml:space="preserve">to </w:t>
      </w:r>
      <w:r w:rsidR="005E5492" w:rsidRPr="005E5492">
        <w:rPr>
          <w:rFonts w:ascii="Book Antiqua" w:hAnsi="Book Antiqua"/>
        </w:rPr>
        <w:t>allow for better integration into the IOUs</w:t>
      </w:r>
      <w:r w:rsidR="005E5492">
        <w:rPr>
          <w:rFonts w:ascii="Book Antiqua" w:hAnsi="Book Antiqua"/>
        </w:rPr>
        <w:t>’</w:t>
      </w:r>
      <w:r w:rsidR="005E5492" w:rsidRPr="005E5492">
        <w:rPr>
          <w:rFonts w:ascii="Book Antiqua" w:hAnsi="Book Antiqua"/>
        </w:rPr>
        <w:t xml:space="preserve"> GRCs.</w:t>
      </w:r>
      <w:r w:rsidR="005E5492">
        <w:rPr>
          <w:rStyle w:val="FootnoteReference"/>
          <w:rFonts w:ascii="Book Antiqua" w:hAnsi="Book Antiqua"/>
        </w:rPr>
        <w:footnoteReference w:id="55"/>
      </w:r>
      <w:r w:rsidR="005E5492">
        <w:rPr>
          <w:rFonts w:ascii="Book Antiqua" w:hAnsi="Book Antiqua"/>
        </w:rPr>
        <w:t xml:space="preserve">  PG&amp;E does acknowledge the concerns of Staff and other parties about adding a fourth year, but </w:t>
      </w:r>
      <w:r w:rsidR="003326B4" w:rsidRPr="003326B4">
        <w:rPr>
          <w:rFonts w:ascii="Book Antiqua" w:hAnsi="Book Antiqua"/>
        </w:rPr>
        <w:t>believes they can be addressed through an appropriate</w:t>
      </w:r>
      <w:r w:rsidR="003326B4">
        <w:rPr>
          <w:rFonts w:ascii="Book Antiqua" w:hAnsi="Book Antiqua"/>
        </w:rPr>
        <w:t xml:space="preserve"> and uniform</w:t>
      </w:r>
      <w:r w:rsidR="003326B4" w:rsidRPr="003326B4">
        <w:rPr>
          <w:rFonts w:ascii="Book Antiqua" w:hAnsi="Book Antiqua"/>
        </w:rPr>
        <w:t xml:space="preserve"> attrition mechanism</w:t>
      </w:r>
      <w:r w:rsidR="003326B4">
        <w:rPr>
          <w:rFonts w:ascii="Book Antiqua" w:hAnsi="Book Antiqua"/>
        </w:rPr>
        <w:t xml:space="preserve">, more flexibility regarding rate adjustments between GRCs, and existing memorandum accounts </w:t>
      </w:r>
      <w:r w:rsidR="003326B4" w:rsidRPr="003326B4">
        <w:rPr>
          <w:rFonts w:ascii="Book Antiqua" w:hAnsi="Book Antiqua"/>
        </w:rPr>
        <w:t>to address extraordinary circumstances</w:t>
      </w:r>
      <w:r w:rsidR="003326B4">
        <w:rPr>
          <w:rFonts w:ascii="Book Antiqua" w:hAnsi="Book Antiqua"/>
        </w:rPr>
        <w:t xml:space="preserve"> and other anticipated expenses.</w:t>
      </w:r>
      <w:r w:rsidR="00131FB5">
        <w:rPr>
          <w:rStyle w:val="FootnoteReference"/>
          <w:rFonts w:ascii="Book Antiqua" w:hAnsi="Book Antiqua"/>
        </w:rPr>
        <w:footnoteReference w:id="56"/>
      </w:r>
      <w:r w:rsidR="003326B4">
        <w:rPr>
          <w:rFonts w:ascii="Book Antiqua" w:hAnsi="Book Antiqua"/>
        </w:rPr>
        <w:t xml:space="preserve">  PG&amp;E </w:t>
      </w:r>
      <w:r w:rsidR="00131FB5">
        <w:rPr>
          <w:rFonts w:ascii="Book Antiqua" w:hAnsi="Book Antiqua"/>
        </w:rPr>
        <w:t xml:space="preserve">concludes by </w:t>
      </w:r>
      <w:r w:rsidR="003326B4">
        <w:rPr>
          <w:rFonts w:ascii="Book Antiqua" w:hAnsi="Book Antiqua"/>
        </w:rPr>
        <w:t>emphasiz</w:t>
      </w:r>
      <w:r w:rsidR="00131FB5">
        <w:rPr>
          <w:rFonts w:ascii="Book Antiqua" w:hAnsi="Book Antiqua"/>
        </w:rPr>
        <w:t>ing</w:t>
      </w:r>
      <w:r w:rsidR="003326B4">
        <w:rPr>
          <w:rFonts w:ascii="Book Antiqua" w:hAnsi="Book Antiqua"/>
        </w:rPr>
        <w:t xml:space="preserve"> its agreement with Staff </w:t>
      </w:r>
      <w:r w:rsidR="00131FB5">
        <w:rPr>
          <w:rFonts w:ascii="Book Antiqua" w:hAnsi="Book Antiqua"/>
        </w:rPr>
        <w:t>that</w:t>
      </w:r>
      <w:r w:rsidR="003326B4">
        <w:rPr>
          <w:rFonts w:ascii="Book Antiqua" w:hAnsi="Book Antiqua"/>
        </w:rPr>
        <w:t xml:space="preserve"> </w:t>
      </w:r>
      <w:r w:rsidR="00131FB5" w:rsidRPr="00131FB5">
        <w:rPr>
          <w:rFonts w:ascii="Book Antiqua" w:hAnsi="Book Antiqua"/>
        </w:rPr>
        <w:t>resol</w:t>
      </w:r>
      <w:r w:rsidR="00131FB5">
        <w:rPr>
          <w:rFonts w:ascii="Book Antiqua" w:hAnsi="Book Antiqua"/>
        </w:rPr>
        <w:t>ving</w:t>
      </w:r>
      <w:r w:rsidR="00131FB5" w:rsidRPr="00131FB5">
        <w:rPr>
          <w:rFonts w:ascii="Book Antiqua" w:hAnsi="Book Antiqua"/>
        </w:rPr>
        <w:t xml:space="preserve"> the attrition issue and</w:t>
      </w:r>
      <w:r w:rsidR="00131FB5">
        <w:rPr>
          <w:rFonts w:ascii="Book Antiqua" w:hAnsi="Book Antiqua"/>
        </w:rPr>
        <w:t xml:space="preserve"> examining</w:t>
      </w:r>
      <w:r w:rsidR="00131FB5" w:rsidRPr="00131FB5">
        <w:rPr>
          <w:rFonts w:ascii="Book Antiqua" w:hAnsi="Book Antiqua"/>
        </w:rPr>
        <w:t xml:space="preserve"> processes to request interim changes to the revenue requirement where appropriate could resolve some of the larger </w:t>
      </w:r>
      <w:r w:rsidR="00131FB5">
        <w:rPr>
          <w:rFonts w:ascii="Book Antiqua" w:hAnsi="Book Antiqua"/>
        </w:rPr>
        <w:t>concerns that led Staff to recommend</w:t>
      </w:r>
      <w:r w:rsidR="00131FB5" w:rsidRPr="00131FB5">
        <w:rPr>
          <w:rFonts w:ascii="Book Antiqua" w:hAnsi="Book Antiqua"/>
        </w:rPr>
        <w:t xml:space="preserve"> retaining a three</w:t>
      </w:r>
      <w:r w:rsidR="00FE5496">
        <w:rPr>
          <w:rFonts w:ascii="Book Antiqua" w:hAnsi="Book Antiqua"/>
        </w:rPr>
        <w:noBreakHyphen/>
      </w:r>
      <w:r w:rsidR="00131FB5" w:rsidRPr="00131FB5">
        <w:rPr>
          <w:rFonts w:ascii="Book Antiqua" w:hAnsi="Book Antiqua"/>
        </w:rPr>
        <w:t>year cycle.</w:t>
      </w:r>
      <w:r w:rsidR="00131FB5">
        <w:rPr>
          <w:rStyle w:val="FootnoteReference"/>
          <w:rFonts w:ascii="Book Antiqua" w:hAnsi="Book Antiqua"/>
        </w:rPr>
        <w:footnoteReference w:id="57"/>
      </w:r>
    </w:p>
    <w:p w14:paraId="4D79209D" w14:textId="0C88C6C0" w:rsidR="00131FB5" w:rsidRDefault="00131FB5" w:rsidP="00FD00E7">
      <w:pPr>
        <w:pStyle w:val="standard0"/>
        <w:rPr>
          <w:rFonts w:ascii="Book Antiqua" w:hAnsi="Book Antiqua"/>
        </w:rPr>
      </w:pPr>
      <w:r w:rsidRPr="00131FB5">
        <w:rPr>
          <w:rFonts w:ascii="Book Antiqua" w:hAnsi="Book Antiqua"/>
        </w:rPr>
        <w:t>SDG&amp;E and SoCalGas</w:t>
      </w:r>
      <w:r>
        <w:rPr>
          <w:rFonts w:ascii="Book Antiqua" w:hAnsi="Book Antiqua"/>
        </w:rPr>
        <w:t xml:space="preserve"> </w:t>
      </w:r>
      <w:r w:rsidR="00FD00E7">
        <w:rPr>
          <w:rFonts w:ascii="Book Antiqua" w:hAnsi="Book Antiqua"/>
        </w:rPr>
        <w:t xml:space="preserve">reiterate their </w:t>
      </w:r>
      <w:r w:rsidR="00FD00E7" w:rsidRPr="00FD00E7">
        <w:rPr>
          <w:rFonts w:ascii="Book Antiqua" w:hAnsi="Book Antiqua"/>
        </w:rPr>
        <w:t xml:space="preserve">support </w:t>
      </w:r>
      <w:r w:rsidR="00FD00E7">
        <w:rPr>
          <w:rFonts w:ascii="Book Antiqua" w:hAnsi="Book Antiqua"/>
        </w:rPr>
        <w:t>for a</w:t>
      </w:r>
      <w:r w:rsidR="00FD00E7" w:rsidRPr="00FD00E7">
        <w:rPr>
          <w:rFonts w:ascii="Book Antiqua" w:hAnsi="Book Antiqua"/>
        </w:rPr>
        <w:t xml:space="preserve"> four</w:t>
      </w:r>
      <w:r w:rsidR="00FE5496">
        <w:rPr>
          <w:rFonts w:ascii="Book Antiqua" w:hAnsi="Book Antiqua"/>
        </w:rPr>
        <w:noBreakHyphen/>
      </w:r>
      <w:r w:rsidR="00FD00E7" w:rsidRPr="00FD00E7">
        <w:rPr>
          <w:rFonts w:ascii="Book Antiqua" w:hAnsi="Book Antiqua"/>
        </w:rPr>
        <w:t>year cycle.</w:t>
      </w:r>
      <w:r w:rsidR="00FD00E7">
        <w:rPr>
          <w:rFonts w:ascii="Book Antiqua" w:hAnsi="Book Antiqua"/>
        </w:rPr>
        <w:t xml:space="preserve">  Here, they endorse further efforts to standardize attrition mechanisms.  They also note that </w:t>
      </w:r>
      <w:r w:rsidR="00FD00E7" w:rsidRPr="00FD00E7">
        <w:rPr>
          <w:rFonts w:ascii="Book Antiqua" w:hAnsi="Book Antiqua"/>
        </w:rPr>
        <w:t>the RAMP phase adds a long lead time and this adds to resource constraints on all parties, including Commission staff, utilities, and intervenors.</w:t>
      </w:r>
    </w:p>
    <w:p w14:paraId="14B6BCC1" w14:textId="639D974A" w:rsidR="00FD00E7" w:rsidRDefault="00FD00E7" w:rsidP="00FD00E7">
      <w:pPr>
        <w:pStyle w:val="standard0"/>
        <w:rPr>
          <w:rFonts w:ascii="Book Antiqua" w:hAnsi="Book Antiqua"/>
        </w:rPr>
      </w:pPr>
      <w:r>
        <w:rPr>
          <w:rFonts w:ascii="Book Antiqua" w:hAnsi="Book Antiqua"/>
        </w:rPr>
        <w:t>Lastly, the Public Advocates</w:t>
      </w:r>
      <w:r w:rsidR="0087003B">
        <w:rPr>
          <w:rFonts w:ascii="Book Antiqua" w:hAnsi="Book Antiqua"/>
        </w:rPr>
        <w:t xml:space="preserve"> Office</w:t>
      </w:r>
      <w:r>
        <w:rPr>
          <w:rFonts w:ascii="Book Antiqua" w:hAnsi="Book Antiqua"/>
        </w:rPr>
        <w:t xml:space="preserve"> </w:t>
      </w:r>
      <w:r w:rsidR="00B94B28">
        <w:rPr>
          <w:rFonts w:ascii="Book Antiqua" w:hAnsi="Book Antiqua"/>
        </w:rPr>
        <w:t>ha</w:t>
      </w:r>
      <w:r w:rsidR="0087003B">
        <w:rPr>
          <w:rFonts w:ascii="Book Antiqua" w:hAnsi="Book Antiqua"/>
        </w:rPr>
        <w:t>s</w:t>
      </w:r>
      <w:r w:rsidR="00B94B28">
        <w:rPr>
          <w:rFonts w:ascii="Book Antiqua" w:hAnsi="Book Antiqua"/>
        </w:rPr>
        <w:t xml:space="preserve"> consistently advocated for a four</w:t>
      </w:r>
      <w:r w:rsidR="00FE5496">
        <w:rPr>
          <w:rFonts w:ascii="Book Antiqua" w:hAnsi="Book Antiqua"/>
        </w:rPr>
        <w:noBreakHyphen/>
      </w:r>
      <w:r w:rsidR="00B94B28">
        <w:rPr>
          <w:rFonts w:ascii="Book Antiqua" w:hAnsi="Book Antiqua"/>
        </w:rPr>
        <w:t xml:space="preserve">year cycle.  As the party that conducts the most comprehensive quantitative </w:t>
      </w:r>
      <w:r w:rsidR="00B94B28">
        <w:rPr>
          <w:rFonts w:ascii="Book Antiqua" w:hAnsi="Book Antiqua"/>
        </w:rPr>
        <w:lastRenderedPageBreak/>
        <w:t>analysis of GRC filings, their comments include a useful explanation of one challenge inherent in the three</w:t>
      </w:r>
      <w:r w:rsidR="00FE5496">
        <w:rPr>
          <w:rFonts w:ascii="Book Antiqua" w:hAnsi="Book Antiqua"/>
        </w:rPr>
        <w:noBreakHyphen/>
      </w:r>
      <w:r w:rsidR="00B94B28">
        <w:rPr>
          <w:rFonts w:ascii="Book Antiqua" w:hAnsi="Book Antiqua"/>
        </w:rPr>
        <w:t>year cycle:</w:t>
      </w:r>
    </w:p>
    <w:p w14:paraId="365C571D" w14:textId="29B81C39" w:rsidR="00B94B28" w:rsidRDefault="00B00D73" w:rsidP="00B94B28">
      <w:pPr>
        <w:pStyle w:val="BlockQuote"/>
        <w:spacing w:after="240"/>
      </w:pPr>
      <w:r>
        <w:t>T</w:t>
      </w:r>
      <w:r w:rsidR="00B94B28" w:rsidRPr="00B94B28">
        <w:t>est years</w:t>
      </w:r>
      <w:r w:rsidR="00B94B28">
        <w:t xml:space="preserve"> </w:t>
      </w:r>
      <w:r w:rsidR="00B94B28" w:rsidRPr="00B94B28">
        <w:t xml:space="preserve">of the initial case serve as base years for the following rate case. </w:t>
      </w:r>
      <w:r w:rsidR="00B94B28">
        <w:t xml:space="preserve"> </w:t>
      </w:r>
      <w:r w:rsidR="00B94B28" w:rsidRPr="00B94B28">
        <w:t>This presents a problem because recorded test year costs may not be representative of future costs, as utilities</w:t>
      </w:r>
      <w:r w:rsidR="00B94B28">
        <w:t xml:space="preserve"> </w:t>
      </w:r>
      <w:r w:rsidR="00B94B28" w:rsidRPr="00B94B28">
        <w:t>often initiate new programs during the test year, and these initial costs may not be</w:t>
      </w:r>
      <w:r w:rsidR="00B94B28">
        <w:t xml:space="preserve"> </w:t>
      </w:r>
      <w:r w:rsidR="00B94B28" w:rsidRPr="00B94B28">
        <w:t xml:space="preserve">representative of a </w:t>
      </w:r>
      <w:r w:rsidR="00B94B28">
        <w:t>m</w:t>
      </w:r>
      <w:r w:rsidR="00B94B28" w:rsidRPr="00B94B28">
        <w:t>ore stable or steady</w:t>
      </w:r>
      <w:r w:rsidR="00FE5496">
        <w:noBreakHyphen/>
      </w:r>
      <w:r w:rsidR="00B94B28" w:rsidRPr="00B94B28">
        <w:t>state level of expenses or expenditures.</w:t>
      </w:r>
      <w:r w:rsidR="00B94B28">
        <w:t xml:space="preserve">  </w:t>
      </w:r>
      <w:r w:rsidR="00B94B28" w:rsidRPr="00B94B28">
        <w:t>A 4</w:t>
      </w:r>
      <w:r w:rsidR="00FE5496">
        <w:noBreakHyphen/>
      </w:r>
      <w:r w:rsidR="00B94B28" w:rsidRPr="00B94B28">
        <w:t>year GRC term allows for better utility financial and operational management of spending and investment.</w:t>
      </w:r>
      <w:r w:rsidR="00924A86">
        <w:rPr>
          <w:rStyle w:val="FootnoteReference"/>
        </w:rPr>
        <w:footnoteReference w:id="58"/>
      </w:r>
    </w:p>
    <w:p w14:paraId="28BFDFC6" w14:textId="0879DC72" w:rsidR="00D26E3A" w:rsidRDefault="00B94B28" w:rsidP="00D26E3A">
      <w:pPr>
        <w:pStyle w:val="Standard"/>
      </w:pPr>
      <w:r>
        <w:t>T</w:t>
      </w:r>
      <w:r w:rsidRPr="00B94B28">
        <w:t>he Public Advocates</w:t>
      </w:r>
      <w:r w:rsidR="0087003B">
        <w:t xml:space="preserve"> Office</w:t>
      </w:r>
      <w:r w:rsidR="00D26E3A">
        <w:t>’</w:t>
      </w:r>
      <w:r w:rsidR="0087003B">
        <w:t>s</w:t>
      </w:r>
      <w:r w:rsidR="00D26E3A">
        <w:t xml:space="preserve"> comments</w:t>
      </w:r>
      <w:r>
        <w:t xml:space="preserve"> also reference testimony by SDG&amp;E and SoCalGas in their then</w:t>
      </w:r>
      <w:r w:rsidR="00FE5496">
        <w:noBreakHyphen/>
      </w:r>
      <w:r>
        <w:t>pending GRC applications, where both utilities proposed that the Commission authorize four</w:t>
      </w:r>
      <w:r w:rsidR="00FE5496">
        <w:noBreakHyphen/>
      </w:r>
      <w:r>
        <w:t>year GRC cycles (2019</w:t>
      </w:r>
      <w:r w:rsidR="00FE5496">
        <w:noBreakHyphen/>
      </w:r>
      <w:r>
        <w:t>2022).</w:t>
      </w:r>
      <w:r w:rsidR="00D26E3A">
        <w:t xml:space="preserve">  SDG&amp;E noted that the GRC process has become more complex and subject to extended delays, which is now compounded by new processes, reviews, and reporting emerging from the S</w:t>
      </w:r>
      <w:r w:rsidR="00FE5496">
        <w:noBreakHyphen/>
      </w:r>
      <w:r w:rsidR="00D26E3A">
        <w:t>MAP and RAMP proceedings.</w:t>
      </w:r>
      <w:r w:rsidR="00D26E3A">
        <w:rPr>
          <w:rStyle w:val="FootnoteReference"/>
        </w:rPr>
        <w:footnoteReference w:id="59"/>
      </w:r>
      <w:r w:rsidR="00D26E3A">
        <w:t xml:space="preserve">  SoCalGas echoed SDG&amp;E, and added that a </w:t>
      </w:r>
      <w:r w:rsidR="00D26E3A" w:rsidRPr="00D26E3A">
        <w:t>four</w:t>
      </w:r>
      <w:r w:rsidR="00FE5496">
        <w:noBreakHyphen/>
      </w:r>
      <w:r w:rsidR="00D26E3A" w:rsidRPr="00D26E3A">
        <w:t xml:space="preserve">year GRC </w:t>
      </w:r>
      <w:r w:rsidR="00D26E3A">
        <w:t>cycle</w:t>
      </w:r>
      <w:r w:rsidR="00D26E3A" w:rsidRPr="00D26E3A">
        <w:t xml:space="preserve"> would </w:t>
      </w:r>
      <w:r w:rsidR="00D26E3A">
        <w:t>“</w:t>
      </w:r>
      <w:r w:rsidR="00D26E3A" w:rsidRPr="00D26E3A">
        <w:t>reduce the administrative burden on all parties, and allow the utility to more effectively operate its business while implementing new risk</w:t>
      </w:r>
      <w:r w:rsidR="00FE5496">
        <w:noBreakHyphen/>
      </w:r>
      <w:r w:rsidR="00D26E3A" w:rsidRPr="00D26E3A">
        <w:t>mitigation and accountability structures, processes and reporting requirements.</w:t>
      </w:r>
      <w:r w:rsidR="00D26E3A">
        <w:t>”</w:t>
      </w:r>
      <w:r w:rsidR="00D26E3A">
        <w:rPr>
          <w:rStyle w:val="FootnoteReference"/>
        </w:rPr>
        <w:footnoteReference w:id="60"/>
      </w:r>
    </w:p>
    <w:p w14:paraId="744510B8" w14:textId="6F742EAA" w:rsidR="00282192" w:rsidRPr="00171F3F" w:rsidRDefault="00A769EB" w:rsidP="00343152">
      <w:pPr>
        <w:pStyle w:val="Standard"/>
        <w:ind w:firstLine="810"/>
      </w:pPr>
      <w:r>
        <w:t>While we acknowledge Staff’s reasons for retaining the three</w:t>
      </w:r>
      <w:r w:rsidR="00FE5496">
        <w:noBreakHyphen/>
      </w:r>
      <w:r>
        <w:t>year cycle, we adopt a four</w:t>
      </w:r>
      <w:r w:rsidR="00FE5496">
        <w:noBreakHyphen/>
      </w:r>
      <w:r>
        <w:t xml:space="preserve">year cycle in this decision.  </w:t>
      </w:r>
      <w:r w:rsidR="00D26E3A">
        <w:t xml:space="preserve">As summarized above, we have found parties’ comments on both sides of this question to be very useful in deciding </w:t>
      </w:r>
      <w:r w:rsidR="004D6AB1">
        <w:t>whether to move to a four</w:t>
      </w:r>
      <w:r w:rsidR="00FE5496">
        <w:noBreakHyphen/>
      </w:r>
      <w:r w:rsidR="004D6AB1">
        <w:t xml:space="preserve">year GRC cycle.  </w:t>
      </w:r>
      <w:r w:rsidR="00282192">
        <w:t>Based on our review, we find that a four</w:t>
      </w:r>
      <w:r w:rsidR="00FE5496">
        <w:noBreakHyphen/>
      </w:r>
      <w:r w:rsidR="00282192">
        <w:t>year cycle should improve the GRC process in two ways</w:t>
      </w:r>
      <w:r w:rsidR="003604C3">
        <w:t>.  F</w:t>
      </w:r>
      <w:r w:rsidR="00282192">
        <w:t xml:space="preserve">irst, </w:t>
      </w:r>
      <w:r w:rsidR="003604C3">
        <w:lastRenderedPageBreak/>
        <w:t>the</w:t>
      </w:r>
      <w:r w:rsidR="00282192">
        <w:t xml:space="preserve"> longer cycle will allow the utilities and stakeholders to </w:t>
      </w:r>
      <w:r w:rsidR="003604C3">
        <w:t xml:space="preserve">dedicate more time to implementing </w:t>
      </w:r>
      <w:r w:rsidR="003604C3" w:rsidRPr="003604C3">
        <w:t>the new risk</w:t>
      </w:r>
      <w:r w:rsidR="00FE5496">
        <w:noBreakHyphen/>
      </w:r>
      <w:r w:rsidR="003604C3" w:rsidRPr="003604C3">
        <w:t>mitigation and accountability structures that this Commission established earlier in this rulemaking</w:t>
      </w:r>
      <w:r w:rsidR="003604C3">
        <w:t>, and less time litigating GRC applications.  Second, the longer cycle will enable the Commission and staff to shift their focus to monitoring utility spending in something closer to real</w:t>
      </w:r>
      <w:r w:rsidR="00FE5496">
        <w:noBreakHyphen/>
      </w:r>
      <w:r w:rsidR="003604C3">
        <w:t>time, especially when the utility decides to re</w:t>
      </w:r>
      <w:r w:rsidR="00FE5496">
        <w:noBreakHyphen/>
      </w:r>
      <w:r w:rsidR="003604C3">
        <w:t>prioritize authorized funding for another purpose.</w:t>
      </w:r>
      <w:r w:rsidR="00462B84" w:rsidDel="00462B84">
        <w:rPr>
          <w:rStyle w:val="FootnoteReference"/>
        </w:rPr>
        <w:t xml:space="preserve"> </w:t>
      </w:r>
    </w:p>
    <w:p w14:paraId="1B7CA909" w14:textId="5C46F97A" w:rsidR="007F4694" w:rsidRDefault="004D6AB1" w:rsidP="009549AA">
      <w:pPr>
        <w:pStyle w:val="Standard"/>
      </w:pPr>
      <w:r>
        <w:t xml:space="preserve">The </w:t>
      </w:r>
      <w:r w:rsidR="003604C3">
        <w:t xml:space="preserve">first of these expected improvements is the </w:t>
      </w:r>
      <w:r>
        <w:t>most compelling reason for this shift</w:t>
      </w:r>
      <w:r w:rsidR="003604C3">
        <w:t xml:space="preserve">.  </w:t>
      </w:r>
      <w:r w:rsidR="008F30F4">
        <w:t>It</w:t>
      </w:r>
      <w:r>
        <w:t xml:space="preserve"> is importan</w:t>
      </w:r>
      <w:r w:rsidR="008F30F4">
        <w:t>t to</w:t>
      </w:r>
      <w:r>
        <w:t xml:space="preserve"> </w:t>
      </w:r>
      <w:r w:rsidR="007344D8">
        <w:t xml:space="preserve">create more time for </w:t>
      </w:r>
      <w:r>
        <w:t>the utilities to focus on day</w:t>
      </w:r>
      <w:r w:rsidR="00FE5496">
        <w:noBreakHyphen/>
      </w:r>
      <w:r>
        <w:t>to</w:t>
      </w:r>
      <w:r w:rsidR="00FE5496">
        <w:noBreakHyphen/>
      </w:r>
      <w:r>
        <w:t xml:space="preserve">day operations </w:t>
      </w:r>
      <w:r w:rsidR="007344D8">
        <w:t xml:space="preserve">while implementing </w:t>
      </w:r>
      <w:r>
        <w:t xml:space="preserve">the </w:t>
      </w:r>
      <w:r w:rsidR="007344D8">
        <w:t>still</w:t>
      </w:r>
      <w:r w:rsidR="00FE5496">
        <w:noBreakHyphen/>
      </w:r>
      <w:r w:rsidR="007344D8">
        <w:t>relatively</w:t>
      </w:r>
      <w:r w:rsidR="00FE5496">
        <w:noBreakHyphen/>
      </w:r>
      <w:r w:rsidR="007344D8">
        <w:t xml:space="preserve">new </w:t>
      </w:r>
      <w:r w:rsidR="008F30F4">
        <w:t>framework for</w:t>
      </w:r>
      <w:r w:rsidR="0033216D">
        <w:t xml:space="preserve"> risk</w:t>
      </w:r>
      <w:r w:rsidR="00FE5496">
        <w:noBreakHyphen/>
      </w:r>
      <w:r w:rsidR="0033216D">
        <w:t xml:space="preserve">mitigation and accountability </w:t>
      </w:r>
      <w:r w:rsidR="008F30F4">
        <w:t>that we established in D.14</w:t>
      </w:r>
      <w:r w:rsidR="00FE5496">
        <w:noBreakHyphen/>
      </w:r>
      <w:r w:rsidR="008F30F4">
        <w:t>12</w:t>
      </w:r>
      <w:r w:rsidR="00FE5496">
        <w:noBreakHyphen/>
      </w:r>
      <w:r w:rsidR="008F30F4">
        <w:t>025</w:t>
      </w:r>
      <w:r w:rsidR="0033216D">
        <w:t xml:space="preserve">.  We agree with parties’ comments contending that </w:t>
      </w:r>
      <w:r w:rsidR="008F30F4">
        <w:t>the Commission’s directives</w:t>
      </w:r>
      <w:r w:rsidR="0033216D">
        <w:t xml:space="preserve"> can be better implemented if the GRC cycle is longer</w:t>
      </w:r>
      <w:r w:rsidR="008F30F4">
        <w:t xml:space="preserve">. </w:t>
      </w:r>
      <w:r w:rsidR="000D2BB0">
        <w:t xml:space="preserve"> </w:t>
      </w:r>
      <w:r w:rsidR="008F30F4">
        <w:t>By l</w:t>
      </w:r>
      <w:r w:rsidR="00F81780">
        <w:t xml:space="preserve">engthening the GRC cycle </w:t>
      </w:r>
      <w:r w:rsidR="008F30F4">
        <w:t>we can shift Commission resources to implementing the expanded</w:t>
      </w:r>
      <w:r w:rsidR="00A769EB">
        <w:t xml:space="preserve"> </w:t>
      </w:r>
      <w:r w:rsidR="008F30F4">
        <w:t xml:space="preserve">utility </w:t>
      </w:r>
      <w:r w:rsidR="00A769EB">
        <w:t>reporting requirements</w:t>
      </w:r>
      <w:r w:rsidR="008F30F4">
        <w:t xml:space="preserve">.  This will assist </w:t>
      </w:r>
      <w:r w:rsidR="00A769EB">
        <w:t xml:space="preserve">our </w:t>
      </w:r>
      <w:r w:rsidR="00F81780">
        <w:t>oversight</w:t>
      </w:r>
      <w:r w:rsidR="00A769EB">
        <w:t xml:space="preserve"> over utility risk management and safety spending, resulting in greater </w:t>
      </w:r>
      <w:r w:rsidR="00F81780">
        <w:t>transparency and accountability</w:t>
      </w:r>
      <w:r w:rsidR="00A769EB">
        <w:t xml:space="preserve"> of utility actions</w:t>
      </w:r>
      <w:r w:rsidR="00F81780">
        <w:t>.</w:t>
      </w:r>
      <w:r w:rsidR="00A769EB">
        <w:t xml:space="preserve">  We finalized this </w:t>
      </w:r>
      <w:r w:rsidR="008F30F4">
        <w:t xml:space="preserve">reporting </w:t>
      </w:r>
      <w:r w:rsidR="00A769EB">
        <w:t>framework earlier this year in D.19</w:t>
      </w:r>
      <w:r w:rsidR="00FE5496">
        <w:noBreakHyphen/>
      </w:r>
      <w:r w:rsidR="00A769EB">
        <w:t>04</w:t>
      </w:r>
      <w:r w:rsidR="00FE5496">
        <w:noBreakHyphen/>
      </w:r>
      <w:r w:rsidR="00A769EB">
        <w:t xml:space="preserve">020, our decision adopting </w:t>
      </w:r>
      <w:r w:rsidR="00B310FE" w:rsidRPr="00B310FE">
        <w:t>risk spending accountability report</w:t>
      </w:r>
      <w:r w:rsidR="00D42DF8">
        <w:t>ing</w:t>
      </w:r>
      <w:r w:rsidR="00B310FE" w:rsidRPr="00B310FE">
        <w:t xml:space="preserve"> requirements and safety performance metrics for</w:t>
      </w:r>
      <w:r w:rsidR="00B310FE">
        <w:t xml:space="preserve"> PG&amp;E, SCE, SDG&amp;E and So</w:t>
      </w:r>
      <w:r w:rsidR="002C0224">
        <w:t>CalGas.</w:t>
      </w:r>
      <w:r w:rsidR="002C0224">
        <w:rPr>
          <w:rStyle w:val="FootnoteReference"/>
        </w:rPr>
        <w:t xml:space="preserve"> </w:t>
      </w:r>
      <w:r w:rsidR="008A43DB">
        <w:t xml:space="preserve"> </w:t>
      </w:r>
      <w:r w:rsidR="00B310FE">
        <w:t>That decision reviewed the first S</w:t>
      </w:r>
      <w:r w:rsidR="00FE5496">
        <w:noBreakHyphen/>
      </w:r>
      <w:r w:rsidR="00B310FE">
        <w:t>MAP applications filed by these utilities pursuant to D.14</w:t>
      </w:r>
      <w:r w:rsidR="00FE5496">
        <w:noBreakHyphen/>
      </w:r>
      <w:r w:rsidR="00B310FE">
        <w:t>12</w:t>
      </w:r>
      <w:r w:rsidR="00FE5496">
        <w:noBreakHyphen/>
      </w:r>
      <w:r w:rsidR="00B310FE">
        <w:t xml:space="preserve">025 and </w:t>
      </w:r>
      <w:r w:rsidR="008D00D2">
        <w:t>finalized</w:t>
      </w:r>
      <w:r w:rsidR="00B310FE">
        <w:t xml:space="preserve"> the following reporting requirements</w:t>
      </w:r>
      <w:r w:rsidR="001722DC">
        <w:t xml:space="preserve"> in order to “</w:t>
      </w:r>
      <w:r w:rsidR="008D00D2" w:rsidRPr="008D00D2">
        <w:t>allow Commission staff to more readily review and verify these safety</w:t>
      </w:r>
      <w:r w:rsidR="00FE5496">
        <w:noBreakHyphen/>
      </w:r>
      <w:r w:rsidR="008D00D2" w:rsidRPr="008D00D2">
        <w:t>related activities, and to understand the reasons for the changes in priority that may have taken place</w:t>
      </w:r>
      <w:r w:rsidR="008D00D2">
        <w:t>.”</w:t>
      </w:r>
      <w:r w:rsidR="00517680">
        <w:rPr>
          <w:rStyle w:val="FootnoteReference"/>
        </w:rPr>
        <w:footnoteReference w:id="61"/>
      </w:r>
    </w:p>
    <w:p w14:paraId="084CD6BC" w14:textId="2DBB68E5" w:rsidR="00B310FE" w:rsidRPr="00F1715B" w:rsidRDefault="00B310FE" w:rsidP="00343152">
      <w:pPr>
        <w:pStyle w:val="ListBullet"/>
        <w:tabs>
          <w:tab w:val="clear" w:pos="360"/>
          <w:tab w:val="num" w:pos="1080"/>
        </w:tabs>
        <w:ind w:left="1080" w:right="720"/>
      </w:pPr>
      <w:r w:rsidRPr="000C3AA2">
        <w:lastRenderedPageBreak/>
        <w:t>PG&amp;E, SCE, SDG&amp;E and SoCalGas</w:t>
      </w:r>
      <w:r w:rsidRPr="000F23C1">
        <w:t xml:space="preserve"> shall </w:t>
      </w:r>
      <w:r w:rsidRPr="00880E8B">
        <w:t>report annually on 26</w:t>
      </w:r>
      <w:r w:rsidR="00343152">
        <w:t> </w:t>
      </w:r>
      <w:r w:rsidRPr="00880E8B">
        <w:t xml:space="preserve">safety performance metrics to measure achieved safety improvements.  </w:t>
      </w:r>
    </w:p>
    <w:p w14:paraId="74219312" w14:textId="35B4C94A" w:rsidR="00B310FE" w:rsidRPr="00840EC2" w:rsidRDefault="00B310FE" w:rsidP="00343152">
      <w:pPr>
        <w:pStyle w:val="ListBullet"/>
        <w:tabs>
          <w:tab w:val="clear" w:pos="360"/>
          <w:tab w:val="num" w:pos="1080"/>
        </w:tabs>
        <w:ind w:left="1080" w:right="720"/>
      </w:pPr>
      <w:r w:rsidRPr="00F1715B">
        <w:t xml:space="preserve">To improve understanding of the metrics, </w:t>
      </w:r>
      <w:r w:rsidR="008D00D2" w:rsidRPr="00F1715B">
        <w:t>the repor</w:t>
      </w:r>
      <w:r w:rsidR="008D00D2" w:rsidRPr="009F585B">
        <w:t>ts shall</w:t>
      </w:r>
      <w:r w:rsidRPr="00480F95">
        <w:t xml:space="preserve"> inc</w:t>
      </w:r>
      <w:r w:rsidRPr="00414E5E">
        <w:t>lude</w:t>
      </w:r>
      <w:r w:rsidR="008D00D2" w:rsidRPr="00773108">
        <w:t xml:space="preserve"> </w:t>
      </w:r>
      <w:r w:rsidRPr="00840EC2">
        <w:t xml:space="preserve">examples of how the </w:t>
      </w:r>
      <w:r w:rsidR="008D00D2" w:rsidRPr="00840EC2">
        <w:t xml:space="preserve">metrics were </w:t>
      </w:r>
      <w:r w:rsidRPr="00840EC2">
        <w:t>used to improve safety training, take corrective action and support risk based decision</w:t>
      </w:r>
      <w:r w:rsidR="00FE5496">
        <w:noBreakHyphen/>
      </w:r>
      <w:r w:rsidRPr="00840EC2">
        <w:t xml:space="preserve">making.  </w:t>
      </w:r>
    </w:p>
    <w:p w14:paraId="67D64F15" w14:textId="56EE209B" w:rsidR="00B310FE" w:rsidRPr="000F23C1" w:rsidRDefault="008D00D2" w:rsidP="00343152">
      <w:pPr>
        <w:pStyle w:val="ListBullet"/>
        <w:tabs>
          <w:tab w:val="clear" w:pos="360"/>
          <w:tab w:val="num" w:pos="1080"/>
        </w:tabs>
        <w:ind w:left="1080" w:right="720"/>
      </w:pPr>
      <w:r w:rsidRPr="00C33734">
        <w:t>The reports shall</w:t>
      </w:r>
      <w:r w:rsidR="00B310FE" w:rsidRPr="009027E2">
        <w:t xml:space="preserve"> include summaries of how reported data reflect progress against the risk mitigation and management goals approved in </w:t>
      </w:r>
      <w:r w:rsidRPr="009027E2">
        <w:t xml:space="preserve">each utility’s </w:t>
      </w:r>
      <w:r w:rsidR="00B310FE" w:rsidRPr="009027E2">
        <w:t xml:space="preserve">applicable </w:t>
      </w:r>
      <w:r w:rsidRPr="009027E2">
        <w:t>RAMP</w:t>
      </w:r>
      <w:r w:rsidR="00B310FE" w:rsidRPr="006E1C33">
        <w:t xml:space="preserve"> filing and GRC application</w:t>
      </w:r>
      <w:r w:rsidRPr="006E1C33">
        <w:t>,</w:t>
      </w:r>
      <w:r w:rsidR="00B310FE" w:rsidRPr="006E1C33">
        <w:t xml:space="preserve"> and </w:t>
      </w:r>
      <w:r w:rsidR="006E1C33">
        <w:t xml:space="preserve">shall </w:t>
      </w:r>
      <w:r w:rsidR="00B310FE" w:rsidRPr="000C3AA2">
        <w:t xml:space="preserve">identify and provide additional information for any metrics that may be linked to financial incentives.  </w:t>
      </w:r>
    </w:p>
    <w:p w14:paraId="37D745C5" w14:textId="3AC43609" w:rsidR="00B310FE" w:rsidRPr="00840EC2" w:rsidRDefault="008D00D2" w:rsidP="00343152">
      <w:pPr>
        <w:pStyle w:val="ListBullet"/>
        <w:tabs>
          <w:tab w:val="clear" w:pos="360"/>
          <w:tab w:val="num" w:pos="1080"/>
        </w:tabs>
        <w:ind w:left="1080" w:right="720"/>
      </w:pPr>
      <w:r w:rsidRPr="000F23C1">
        <w:t xml:space="preserve">Each utility shall </w:t>
      </w:r>
      <w:r w:rsidRPr="00880E8B">
        <w:t>file an</w:t>
      </w:r>
      <w:r w:rsidR="00B310FE" w:rsidRPr="00880E8B">
        <w:t xml:space="preserve"> annual Safety Performance Metrics report</w:t>
      </w:r>
      <w:r w:rsidRPr="00880E8B">
        <w:t>.  T</w:t>
      </w:r>
      <w:r w:rsidR="00B310FE" w:rsidRPr="00F1715B">
        <w:t>he Commission’s</w:t>
      </w:r>
      <w:r w:rsidR="00B310FE" w:rsidRPr="009F585B">
        <w:t xml:space="preserve"> Safety and Enforcement Div</w:t>
      </w:r>
      <w:r w:rsidR="00B310FE" w:rsidRPr="00480F95">
        <w:t xml:space="preserve">ision staff </w:t>
      </w:r>
      <w:r w:rsidRPr="00414E5E">
        <w:t>will</w:t>
      </w:r>
      <w:r w:rsidR="00B310FE" w:rsidRPr="00773108">
        <w:t xml:space="preserve"> submit a review of each </w:t>
      </w:r>
      <w:r w:rsidR="00B310FE" w:rsidRPr="00840EC2">
        <w:t>report.</w:t>
      </w:r>
    </w:p>
    <w:p w14:paraId="6280FA6D" w14:textId="243E2001" w:rsidR="00B310FE" w:rsidRPr="000C3AA2" w:rsidRDefault="006E1C33" w:rsidP="00343152">
      <w:pPr>
        <w:pStyle w:val="ListBullet"/>
        <w:tabs>
          <w:tab w:val="clear" w:pos="360"/>
          <w:tab w:val="num" w:pos="1080"/>
        </w:tabs>
        <w:spacing w:after="240"/>
        <w:ind w:left="1080" w:right="720"/>
      </w:pPr>
      <w:r>
        <w:t>A standard format is established for the</w:t>
      </w:r>
      <w:r w:rsidR="00B310FE" w:rsidRPr="000C3AA2">
        <w:t xml:space="preserve"> annual Risk Spending Accountability Reports (RSARs) </w:t>
      </w:r>
      <w:r>
        <w:t>by the utilities, w</w:t>
      </w:r>
      <w:r w:rsidR="00B310FE" w:rsidRPr="000C3AA2">
        <w:t xml:space="preserve">hich will report on deviations between approved and actual </w:t>
      </w:r>
      <w:r w:rsidR="00B310FE" w:rsidRPr="000F23C1">
        <w:t xml:space="preserve">risk mitigation and maintenance spending and activities.  </w:t>
      </w:r>
      <w:r>
        <w:t>A process for parties to comment on the RSARs is established.</w:t>
      </w:r>
    </w:p>
    <w:p w14:paraId="23DCA95E" w14:textId="14343598" w:rsidR="003F3669" w:rsidRDefault="003F3669" w:rsidP="004D6AB1">
      <w:pPr>
        <w:pStyle w:val="Standard"/>
      </w:pPr>
      <w:r>
        <w:t>In sum, then, the first advantage we see in moving to a four</w:t>
      </w:r>
      <w:r w:rsidR="00FE5496">
        <w:noBreakHyphen/>
      </w:r>
      <w:r>
        <w:t xml:space="preserve">year GRC cycle is that we expect </w:t>
      </w:r>
      <w:r w:rsidR="00D42DF8">
        <w:t xml:space="preserve">the extra year between each utility’s GRC </w:t>
      </w:r>
      <w:r>
        <w:t xml:space="preserve">to facilitate the efforts of the Commission, its staff, and intervenors to </w:t>
      </w:r>
      <w:r w:rsidR="00D90C88">
        <w:t>use the mandated reporting to fulfill the intent expressed by the Commission in D.14</w:t>
      </w:r>
      <w:r w:rsidR="00FE5496">
        <w:noBreakHyphen/>
      </w:r>
      <w:r w:rsidR="00D90C88">
        <w:t>12</w:t>
      </w:r>
      <w:r w:rsidR="00FE5496">
        <w:noBreakHyphen/>
      </w:r>
      <w:r w:rsidR="00D90C88">
        <w:t>025:</w:t>
      </w:r>
    </w:p>
    <w:p w14:paraId="22A9B1F0" w14:textId="34325EBB" w:rsidR="00D90C88" w:rsidRDefault="00D90C88" w:rsidP="00840EC2">
      <w:pPr>
        <w:pStyle w:val="BlockQuote"/>
        <w:spacing w:after="240"/>
      </w:pPr>
      <w:r w:rsidRPr="00D90C88">
        <w:t>It is our intent that the adoption of these additional procedures will result in additional transparency and participation on how the safety risks for energy utilities are prioritized by the Commission and the energy utilities, and provide accountability for how these safety risks are managed, mitigated and minimized.</w:t>
      </w:r>
      <w:r>
        <w:rPr>
          <w:rStyle w:val="FootnoteReference"/>
        </w:rPr>
        <w:footnoteReference w:id="62"/>
      </w:r>
    </w:p>
    <w:p w14:paraId="33216981" w14:textId="5DFA0165" w:rsidR="00A86DB3" w:rsidRDefault="00D90C88" w:rsidP="004D6AB1">
      <w:pPr>
        <w:pStyle w:val="Standard"/>
      </w:pPr>
      <w:r>
        <w:lastRenderedPageBreak/>
        <w:t xml:space="preserve">The second </w:t>
      </w:r>
      <w:r w:rsidR="002F3CA5">
        <w:t>improvement we expect from</w:t>
      </w:r>
      <w:r>
        <w:t xml:space="preserve"> moving </w:t>
      </w:r>
      <w:r w:rsidR="00D42DF8">
        <w:t xml:space="preserve">to </w:t>
      </w:r>
      <w:r w:rsidR="002F3CA5">
        <w:t>the</w:t>
      </w:r>
      <w:r>
        <w:t xml:space="preserve"> four</w:t>
      </w:r>
      <w:r w:rsidR="00FE5496">
        <w:noBreakHyphen/>
      </w:r>
      <w:r>
        <w:t>year cycle is</w:t>
      </w:r>
      <w:r w:rsidR="002F3CA5">
        <w:t xml:space="preserve"> related to the first, but warrants separate discussion:  a longer GRC cycle will </w:t>
      </w:r>
      <w:r w:rsidR="00A86DB3">
        <w:t>facilitate</w:t>
      </w:r>
      <w:r w:rsidR="002F3CA5">
        <w:t xml:space="preserve"> the Commission’s adjustment</w:t>
      </w:r>
      <w:r w:rsidR="00A86DB3">
        <w:t xml:space="preserve"> to</w:t>
      </w:r>
      <w:r>
        <w:t xml:space="preserve"> </w:t>
      </w:r>
      <w:r w:rsidR="00A86DB3" w:rsidRPr="009549AA">
        <w:t>an</w:t>
      </w:r>
      <w:r w:rsidRPr="009549AA">
        <w:t xml:space="preserve"> emerging realit</w:t>
      </w:r>
      <w:r w:rsidR="00A86DB3" w:rsidRPr="009549AA">
        <w:t>y</w:t>
      </w:r>
      <w:r>
        <w:t xml:space="preserve"> of modern utility regulation, </w:t>
      </w:r>
      <w:r w:rsidR="00A86DB3" w:rsidRPr="0092213A">
        <w:t xml:space="preserve">one that implies </w:t>
      </w:r>
      <w:r w:rsidR="00B72473" w:rsidRPr="0092213A">
        <w:t xml:space="preserve">a </w:t>
      </w:r>
      <w:r w:rsidR="00A86DB3" w:rsidRPr="0092213A">
        <w:t xml:space="preserve">fundamental </w:t>
      </w:r>
      <w:r w:rsidRPr="0092213A">
        <w:t>chang</w:t>
      </w:r>
      <w:r w:rsidR="00A86DB3" w:rsidRPr="0092213A">
        <w:t>e in the</w:t>
      </w:r>
      <w:r w:rsidRPr="0092213A">
        <w:t xml:space="preserve"> role </w:t>
      </w:r>
      <w:r w:rsidR="00A86DB3" w:rsidRPr="0092213A">
        <w:t>of</w:t>
      </w:r>
      <w:r w:rsidRPr="0092213A">
        <w:t xml:space="preserve"> GRC</w:t>
      </w:r>
      <w:r w:rsidR="00A86DB3" w:rsidRPr="0092213A">
        <w:t xml:space="preserve"> proceedings</w:t>
      </w:r>
      <w:r>
        <w:t>.</w:t>
      </w:r>
      <w:r w:rsidR="00514FAC">
        <w:t xml:space="preserve">  </w:t>
      </w:r>
      <w:r w:rsidR="00B72473">
        <w:t xml:space="preserve">In earlier days, the theoretical and </w:t>
      </w:r>
      <w:r w:rsidR="00A86DB3">
        <w:t>real</w:t>
      </w:r>
      <w:r w:rsidR="00FE5496">
        <w:noBreakHyphen/>
      </w:r>
      <w:r w:rsidR="00A86DB3">
        <w:t>world</w:t>
      </w:r>
      <w:r w:rsidR="00B72473">
        <w:t xml:space="preserve"> purpose</w:t>
      </w:r>
      <w:r w:rsidR="00A86DB3">
        <w:t>s</w:t>
      </w:r>
      <w:r w:rsidR="00B72473">
        <w:t xml:space="preserve"> of a GRC were essentially the same:  </w:t>
      </w:r>
      <w:r w:rsidR="00463BD5">
        <w:t xml:space="preserve">the Commission authorized the revenue requirement necessary to allow the utility </w:t>
      </w:r>
      <w:r w:rsidR="00463BD5" w:rsidRPr="00463BD5">
        <w:t xml:space="preserve">to recover </w:t>
      </w:r>
      <w:r w:rsidR="00463BD5">
        <w:t xml:space="preserve">the </w:t>
      </w:r>
      <w:r w:rsidR="00463BD5" w:rsidRPr="00463BD5">
        <w:t xml:space="preserve">reasonable costs </w:t>
      </w:r>
      <w:r w:rsidR="00463BD5">
        <w:t xml:space="preserve">of providing safe and reliable service, </w:t>
      </w:r>
      <w:r w:rsidR="00463BD5" w:rsidRPr="00463BD5">
        <w:t xml:space="preserve">and </w:t>
      </w:r>
      <w:r w:rsidR="00463BD5">
        <w:t xml:space="preserve">to </w:t>
      </w:r>
      <w:r w:rsidR="00463BD5" w:rsidRPr="00463BD5">
        <w:t>have an opportunity to earn a fair return on</w:t>
      </w:r>
      <w:r w:rsidR="00463BD5">
        <w:t xml:space="preserve"> its</w:t>
      </w:r>
      <w:r w:rsidR="00463BD5" w:rsidRPr="00463BD5">
        <w:t xml:space="preserve"> investment</w:t>
      </w:r>
      <w:r w:rsidR="00A86DB3">
        <w:t>s</w:t>
      </w:r>
      <w:r w:rsidR="00463BD5">
        <w:t xml:space="preserve">.  </w:t>
      </w:r>
      <w:r w:rsidR="00A86DB3">
        <w:t>This focus on basic utility service was a workable approach d</w:t>
      </w:r>
      <w:r w:rsidR="00463BD5">
        <w:t>uring a time of less rapid technological change, relatively stable costs, and growing populations</w:t>
      </w:r>
      <w:r w:rsidR="00D42DF8">
        <w:t xml:space="preserve"> and demand for utility service.  The core activities of the GRC process</w:t>
      </w:r>
      <w:r w:rsidR="00A86DB3">
        <w:t xml:space="preserve"> </w:t>
      </w:r>
      <w:r w:rsidR="00463BD5">
        <w:t>needed only to be repeated on a periodic basis</w:t>
      </w:r>
      <w:r w:rsidR="00A86DB3">
        <w:t xml:space="preserve"> to maintain fairness for all stakeholders</w:t>
      </w:r>
      <w:r w:rsidR="00463BD5">
        <w:t>.</w:t>
      </w:r>
    </w:p>
    <w:p w14:paraId="6E39130E" w14:textId="16B5C433" w:rsidR="006E3C36" w:rsidRDefault="00463BD5" w:rsidP="004D6AB1">
      <w:pPr>
        <w:pStyle w:val="Standard"/>
      </w:pPr>
      <w:r>
        <w:t>Over time, GRC</w:t>
      </w:r>
      <w:r w:rsidR="00A86DB3">
        <w:t xml:space="preserve"> proceeding</w:t>
      </w:r>
      <w:r>
        <w:t>s</w:t>
      </w:r>
      <w:r w:rsidR="00A86DB3">
        <w:t xml:space="preserve"> at the Commission</w:t>
      </w:r>
      <w:r>
        <w:t xml:space="preserve"> have </w:t>
      </w:r>
      <w:r w:rsidR="00A86DB3">
        <w:t>become much less simple and straightforward</w:t>
      </w:r>
      <w:r>
        <w:t xml:space="preserve">.  </w:t>
      </w:r>
      <w:r w:rsidR="00A86DB3">
        <w:t>For example, i</w:t>
      </w:r>
      <w:r w:rsidR="00514FAC">
        <w:t xml:space="preserve">n our </w:t>
      </w:r>
      <w:r w:rsidR="00A12A69">
        <w:t xml:space="preserve">review of the “regulatory compact” earlier in this decision, we noted that </w:t>
      </w:r>
      <w:r w:rsidR="00A86DB3">
        <w:t xml:space="preserve">a utility’s response to </w:t>
      </w:r>
      <w:r w:rsidR="00A12A69">
        <w:t>rapidly unfolding events that affect utility service, such as the catastrophic wildfires in 2007, 2017</w:t>
      </w:r>
      <w:r w:rsidR="00D42DF8">
        <w:t xml:space="preserve">, </w:t>
      </w:r>
      <w:r w:rsidR="00A12A69">
        <w:t>2018</w:t>
      </w:r>
      <w:r w:rsidR="00D42DF8">
        <w:t xml:space="preserve"> and now, 2019</w:t>
      </w:r>
      <w:r w:rsidR="00A12A69">
        <w:t xml:space="preserve"> </w:t>
      </w:r>
      <w:r w:rsidR="00977E59">
        <w:t xml:space="preserve">may require </w:t>
      </w:r>
      <w:r w:rsidR="00D42DF8">
        <w:t>a utility to fund its response by quickly</w:t>
      </w:r>
      <w:r w:rsidR="00977E59">
        <w:t xml:space="preserve"> re</w:t>
      </w:r>
      <w:r w:rsidR="00FE5496">
        <w:noBreakHyphen/>
      </w:r>
      <w:r w:rsidR="00D42DF8">
        <w:t>directing Commission</w:t>
      </w:r>
      <w:r w:rsidR="00FE5496">
        <w:noBreakHyphen/>
      </w:r>
      <w:r w:rsidR="00D42DF8">
        <w:t>authorized GRC funding from its originally</w:t>
      </w:r>
      <w:r w:rsidR="00FE5496">
        <w:noBreakHyphen/>
      </w:r>
      <w:r w:rsidR="00D42DF8">
        <w:t xml:space="preserve">intended purpose to a wholly different purpose.  Under the Commission’s standard GRC framework, those </w:t>
      </w:r>
      <w:r w:rsidR="00977E59">
        <w:t>re</w:t>
      </w:r>
      <w:r w:rsidR="00FE5496">
        <w:noBreakHyphen/>
      </w:r>
      <w:r w:rsidR="00977E59">
        <w:t xml:space="preserve">prioritizations </w:t>
      </w:r>
      <w:r w:rsidR="00D42DF8">
        <w:t>would be subject to</w:t>
      </w:r>
      <w:r w:rsidR="00977E59">
        <w:t xml:space="preserve"> review</w:t>
      </w:r>
      <w:r w:rsidR="00A12A69">
        <w:t xml:space="preserve"> in </w:t>
      </w:r>
      <w:r w:rsidR="00D42DF8">
        <w:t xml:space="preserve">the </w:t>
      </w:r>
      <w:r w:rsidR="00A12A69">
        <w:t xml:space="preserve">utility’s </w:t>
      </w:r>
      <w:r w:rsidR="00D42DF8" w:rsidRPr="00D53A4B">
        <w:rPr>
          <w:u w:val="single"/>
        </w:rPr>
        <w:t>next</w:t>
      </w:r>
      <w:r w:rsidR="00D42DF8">
        <w:t xml:space="preserve"> </w:t>
      </w:r>
      <w:r w:rsidR="00A12A69">
        <w:t>GRC</w:t>
      </w:r>
      <w:r w:rsidR="00977E59">
        <w:t>, often long after the event</w:t>
      </w:r>
      <w:r w:rsidR="00A12A69">
        <w:t xml:space="preserve">.  The Staff Report </w:t>
      </w:r>
      <w:r w:rsidR="006E3C36">
        <w:t xml:space="preserve">noted that </w:t>
      </w:r>
      <w:r w:rsidR="00A12A69">
        <w:t xml:space="preserve">workshop </w:t>
      </w:r>
      <w:r w:rsidR="006E3C36">
        <w:t xml:space="preserve">participants </w:t>
      </w:r>
      <w:r w:rsidR="00A12A69">
        <w:t>discuss</w:t>
      </w:r>
      <w:r w:rsidR="006E3C36">
        <w:t>ed</w:t>
      </w:r>
      <w:r w:rsidR="00A12A69">
        <w:t xml:space="preserve"> the </w:t>
      </w:r>
      <w:r w:rsidR="00AB2DFE">
        <w:t>relatively rapid developments in the electric utility industry in recent years</w:t>
      </w:r>
      <w:r w:rsidR="006E3C36">
        <w:t xml:space="preserve">; </w:t>
      </w:r>
      <w:r w:rsidR="00AB2DFE">
        <w:t xml:space="preserve">the utilities, especially, described the challenges within the current GRC framework of </w:t>
      </w:r>
      <w:r w:rsidR="00AB2DFE">
        <w:lastRenderedPageBreak/>
        <w:t xml:space="preserve">bringing “emergent issues” </w:t>
      </w:r>
      <w:r w:rsidR="00B72473">
        <w:t xml:space="preserve">with substantial </w:t>
      </w:r>
      <w:r w:rsidR="00977E59">
        <w:t>revenue requirement</w:t>
      </w:r>
      <w:r w:rsidR="00B72473">
        <w:t xml:space="preserve"> implications to the Commission’s attention in attrition years</w:t>
      </w:r>
      <w:r w:rsidR="00977E59">
        <w:t xml:space="preserve">.  </w:t>
      </w:r>
    </w:p>
    <w:p w14:paraId="7AF60E55" w14:textId="10887191" w:rsidR="00E10BA9" w:rsidRDefault="006124E3" w:rsidP="004D6AB1">
      <w:pPr>
        <w:pStyle w:val="Standard"/>
      </w:pPr>
      <w:r>
        <w:t>Moving to a four</w:t>
      </w:r>
      <w:r w:rsidR="00FE5496">
        <w:noBreakHyphen/>
      </w:r>
      <w:r>
        <w:t xml:space="preserve">year cycle will enable the Commission to become more involved in monitoring </w:t>
      </w:r>
      <w:r w:rsidR="006D4FE3">
        <w:t xml:space="preserve">how </w:t>
      </w:r>
      <w:r>
        <w:t>utilit</w:t>
      </w:r>
      <w:r w:rsidR="006D4FE3">
        <w:t>ies</w:t>
      </w:r>
      <w:r>
        <w:t xml:space="preserve"> reprioritiz</w:t>
      </w:r>
      <w:r w:rsidR="006D4FE3">
        <w:t>e authorized GRC</w:t>
      </w:r>
      <w:r>
        <w:t xml:space="preserve"> funding, not less.  </w:t>
      </w:r>
      <w:r w:rsidR="00A02E87">
        <w:t xml:space="preserve">Implementing </w:t>
      </w:r>
      <w:r>
        <w:t>a four</w:t>
      </w:r>
      <w:r w:rsidR="00FE5496">
        <w:noBreakHyphen/>
      </w:r>
      <w:r>
        <w:t>year cycle</w:t>
      </w:r>
      <w:r w:rsidR="006D4FE3">
        <w:t xml:space="preserve"> and its attendant widening of “forecast error”</w:t>
      </w:r>
      <w:r>
        <w:t xml:space="preserve"> means that the Commission, the utilities and stakeholders will </w:t>
      </w:r>
      <w:r w:rsidR="00DC4DB6">
        <w:t>be able</w:t>
      </w:r>
      <w:r>
        <w:t xml:space="preserve"> to spend less time in a GRC trying to achieve precision in forecasts, </w:t>
      </w:r>
      <w:r w:rsidR="00A02E87">
        <w:t xml:space="preserve">and instead </w:t>
      </w:r>
      <w:r>
        <w:t xml:space="preserve">dedicate more time and effort </w:t>
      </w:r>
      <w:r w:rsidR="006D4FE3">
        <w:t xml:space="preserve">between GRCs </w:t>
      </w:r>
      <w:r w:rsidR="00DC4DB6">
        <w:t xml:space="preserve">to </w:t>
      </w:r>
      <w:r>
        <w:t xml:space="preserve">monitoring </w:t>
      </w:r>
      <w:r w:rsidR="00A02E87">
        <w:t xml:space="preserve">how each utility spends its </w:t>
      </w:r>
      <w:r>
        <w:t>authorized revenue requirements.</w:t>
      </w:r>
      <w:r w:rsidR="00DC4DB6">
        <w:t xml:space="preserve">  If the Commission is to accommodate the utilities’ suggestions that a four</w:t>
      </w:r>
      <w:r w:rsidR="00FE5496">
        <w:noBreakHyphen/>
      </w:r>
      <w:r w:rsidR="00DC4DB6">
        <w:t xml:space="preserve">year cycle requires </w:t>
      </w:r>
      <w:r w:rsidR="006D4FE3">
        <w:t xml:space="preserve">a </w:t>
      </w:r>
      <w:r w:rsidR="00DC4DB6">
        <w:t xml:space="preserve">more </w:t>
      </w:r>
      <w:r w:rsidR="006D4FE3">
        <w:t>flexible</w:t>
      </w:r>
      <w:r w:rsidR="006D4FE3" w:rsidRPr="006D4FE3">
        <w:t xml:space="preserve"> </w:t>
      </w:r>
      <w:r w:rsidR="006D4FE3">
        <w:t>regulatory approach</w:t>
      </w:r>
      <w:r w:rsidR="00DC4DB6">
        <w:t>, the utilities must</w:t>
      </w:r>
      <w:r w:rsidR="006D4FE3">
        <w:t xml:space="preserve"> reciprocate by more openly</w:t>
      </w:r>
      <w:r w:rsidR="00DC4DB6">
        <w:t xml:space="preserve"> engag</w:t>
      </w:r>
      <w:r w:rsidR="006D4FE3">
        <w:t>ing</w:t>
      </w:r>
      <w:r w:rsidR="00DC4DB6">
        <w:t xml:space="preserve"> in an ongoing dialog throughout the </w:t>
      </w:r>
      <w:r w:rsidR="00A02E87">
        <w:t xml:space="preserve">GRC </w:t>
      </w:r>
      <w:r w:rsidR="00DC4DB6">
        <w:t xml:space="preserve">cycle that enables the Commission to review their activity in a transparent manner </w:t>
      </w:r>
      <w:r w:rsidR="007643B7">
        <w:t xml:space="preserve">and </w:t>
      </w:r>
      <w:r w:rsidR="00DC4DB6">
        <w:t xml:space="preserve">ensure </w:t>
      </w:r>
      <w:r w:rsidR="007643B7">
        <w:t>the utilities</w:t>
      </w:r>
      <w:r w:rsidR="00DC4DB6">
        <w:t xml:space="preserve"> are held accountable for how they spend ratepayer funds.</w:t>
      </w:r>
      <w:r w:rsidR="00A02E87">
        <w:rPr>
          <w:rStyle w:val="FootnoteReference"/>
        </w:rPr>
        <w:footnoteReference w:id="63"/>
      </w:r>
      <w:r w:rsidR="00DC4DB6" w:rsidRPr="0092213A">
        <w:t>Again, this will fulfill the Commission’s intent that underlies the entire risk</w:t>
      </w:r>
      <w:r w:rsidR="00FE5496">
        <w:noBreakHyphen/>
      </w:r>
      <w:r w:rsidR="00DC4DB6" w:rsidRPr="0092213A">
        <w:t xml:space="preserve">mitigation framework adopted in </w:t>
      </w:r>
      <w:bookmarkStart w:id="37" w:name="_Hlk20994311"/>
      <w:r w:rsidR="00DC4DB6" w:rsidRPr="0092213A">
        <w:t>D.14</w:t>
      </w:r>
      <w:r w:rsidR="00FE5496">
        <w:noBreakHyphen/>
      </w:r>
      <w:r w:rsidR="00DC4DB6" w:rsidRPr="0092213A">
        <w:t>12</w:t>
      </w:r>
      <w:r w:rsidR="00FE5496">
        <w:noBreakHyphen/>
      </w:r>
      <w:r w:rsidR="00DC4DB6" w:rsidRPr="0092213A">
        <w:t>025</w:t>
      </w:r>
      <w:bookmarkEnd w:id="37"/>
      <w:r w:rsidR="00DC4DB6" w:rsidRPr="0092213A">
        <w:t>.</w:t>
      </w:r>
      <w:r w:rsidR="006D4FE3" w:rsidRPr="0092213A">
        <w:rPr>
          <w:rStyle w:val="FootnoteReference"/>
        </w:rPr>
        <w:footnoteReference w:id="64"/>
      </w:r>
    </w:p>
    <w:p w14:paraId="6828847C" w14:textId="69C96939" w:rsidR="00364766" w:rsidRDefault="00364766" w:rsidP="00364766">
      <w:pPr>
        <w:pStyle w:val="Standard"/>
      </w:pPr>
      <w:r>
        <w:t xml:space="preserve">There is a tradeoff inherent whenever a utility’s revenue requirement is authorized based on a future test year, followed by one or more attrition years:  </w:t>
      </w:r>
      <w:r>
        <w:lastRenderedPageBreak/>
        <w:t>the Commission’s decision on the test year is based on its examination of detailed utility budgets for a year very close in the future, while the revenue requirement for each subsequent attrition year is often established using escalation factors that are bound to be less precise for each successive attrition year.  This is the case even with our current three</w:t>
      </w:r>
      <w:r w:rsidR="00FE5496">
        <w:noBreakHyphen/>
      </w:r>
      <w:r>
        <w:t xml:space="preserve">year GRC cycle.  We do not find that adding a third attrition year will fundamentally change how we approach this task in future GRCs.  </w:t>
      </w:r>
      <w:r w:rsidRPr="007A5884">
        <w:t>Several parties’ comments on the PD indicated some uncertainty regarding the Commission’s intentions in this respect, and we address those comments here.</w:t>
      </w:r>
    </w:p>
    <w:p w14:paraId="756F79F6" w14:textId="43D2D52E" w:rsidR="00364766" w:rsidRDefault="00364766" w:rsidP="00364766">
      <w:pPr>
        <w:pStyle w:val="Standard"/>
      </w:pPr>
      <w:r>
        <w:t>For example, TURN’s comments on the PD described the benefit TURN sees in a multi</w:t>
      </w:r>
      <w:r w:rsidR="00FE5496">
        <w:noBreakHyphen/>
      </w:r>
      <w:r>
        <w:t>year GRC cycle with only limited attrition year rate adjustments:  “[b]y providing the utility a steady revenue requirement over a period of years, based on the Commission’s adopted forecast of the utility’s cost of service, the utility has a financial incentive to reduce costs during the rate case cycle through process improvements, cost</w:t>
      </w:r>
      <w:r w:rsidR="00FE5496">
        <w:noBreakHyphen/>
      </w:r>
      <w:r>
        <w:t>cutting measures, and increases in efficiencies or productivity.”</w:t>
      </w:r>
      <w:r>
        <w:rPr>
          <w:rStyle w:val="FootnoteReference"/>
        </w:rPr>
        <w:footnoteReference w:id="65"/>
      </w:r>
      <w:r>
        <w:t xml:space="preserve">  As TURN observes, this incentive to cut costs works to the benefit of the utility’s ratepayers.  However, TURN misreads the PD as possibly creating “confusion as to whether the Commission is intending to move away from this framework” as well as suggesting that “the review of a utility’s GRC forecasts is somehow less important because of spending accountability reporting requirements.”</w:t>
      </w:r>
      <w:r>
        <w:rPr>
          <w:rStyle w:val="FootnoteReference"/>
        </w:rPr>
        <w:footnoteReference w:id="66"/>
      </w:r>
    </w:p>
    <w:p w14:paraId="50A6C84E" w14:textId="4AEB26A5" w:rsidR="00364766" w:rsidRDefault="00364766" w:rsidP="00364766">
      <w:pPr>
        <w:pStyle w:val="Standard"/>
      </w:pPr>
      <w:r>
        <w:t xml:space="preserve">The utilities, on the other hand, appear to misread the same section of the PD as suggesting the Commission intends to introduce “a </w:t>
      </w:r>
      <w:r w:rsidRPr="0086433B">
        <w:t xml:space="preserve">rote exercise in which </w:t>
      </w:r>
      <w:r w:rsidRPr="0086433B">
        <w:lastRenderedPageBreak/>
        <w:t xml:space="preserve">utilities are </w:t>
      </w:r>
      <w:r w:rsidRPr="007643B7">
        <w:rPr>
          <w:u w:val="single"/>
        </w:rPr>
        <w:t>penalized</w:t>
      </w:r>
      <w:r w:rsidRPr="0086433B">
        <w:t xml:space="preserve"> for spending less than an authorized revenue requirement</w:t>
      </w:r>
      <w:r>
        <w:t>.”</w:t>
      </w:r>
      <w:r>
        <w:rPr>
          <w:rStyle w:val="FootnoteReference"/>
        </w:rPr>
        <w:footnoteReference w:id="67"/>
      </w:r>
      <w:r>
        <w:t xml:space="preserve">  </w:t>
      </w:r>
      <w:r w:rsidRPr="0086433B">
        <w:t>SCE supports moving to a four</w:t>
      </w:r>
      <w:r w:rsidR="00FE5496">
        <w:noBreakHyphen/>
      </w:r>
      <w:r w:rsidRPr="0086433B">
        <w:t xml:space="preserve">year rate case cycle “provided that language is added to the Proposed Decision stating that utilities will receive an attrition year mechanism that </w:t>
      </w:r>
      <w:r w:rsidRPr="007643B7">
        <w:rPr>
          <w:u w:val="single"/>
        </w:rPr>
        <w:t>fully funds</w:t>
      </w:r>
      <w:r w:rsidRPr="0086433B">
        <w:t xml:space="preserve"> reasonable spending during the three attrition years and avoids funding shortfalls.”</w:t>
      </w:r>
      <w:r>
        <w:rPr>
          <w:rStyle w:val="FootnoteReference"/>
        </w:rPr>
        <w:footnoteReference w:id="68"/>
      </w:r>
    </w:p>
    <w:p w14:paraId="295F2E95" w14:textId="1B8A1417" w:rsidR="00364766" w:rsidRDefault="00364766" w:rsidP="00364766">
      <w:pPr>
        <w:pStyle w:val="Standard"/>
      </w:pPr>
      <w:r>
        <w:t>TURN and the utilities need not be concerned, because the PD simply affirms the same ratemaking principles that guide their own approach to, and expectations of, GRCs.  To the extent necessary we have modified the PD to clarify that the task we face is how to adhere to these principles in a world where</w:t>
      </w:r>
      <w:r w:rsidR="00FE5496">
        <w:noBreakHyphen/>
      </w:r>
      <w:r w:rsidR="00FE5496">
        <w:noBreakHyphen/>
      </w:r>
      <w:r>
        <w:t>as all stakeholders can surely agree—events are moving much more quickly than can be accommodated by the existing GRC process.</w:t>
      </w:r>
    </w:p>
    <w:p w14:paraId="6DB460F0" w14:textId="53A16BEF" w:rsidR="00867AA7" w:rsidRDefault="00867AA7" w:rsidP="00867AA7">
      <w:pPr>
        <w:pStyle w:val="Standard"/>
      </w:pPr>
      <w:r>
        <w:t xml:space="preserve">In such circumstances, the importance of </w:t>
      </w:r>
      <w:r w:rsidRPr="007C78CD">
        <w:rPr>
          <w:u w:val="single"/>
        </w:rPr>
        <w:t>Commission</w:t>
      </w:r>
      <w:r>
        <w:t xml:space="preserve"> oversight </w:t>
      </w:r>
      <w:r>
        <w:rPr>
          <w:u w:val="single"/>
        </w:rPr>
        <w:t>in the midst of</w:t>
      </w:r>
      <w:r>
        <w:t xml:space="preserve"> a utility’s GRC cycle increases.  It is no longer sufficient for the Commission to authorize a multi</w:t>
      </w:r>
      <w:r w:rsidR="00FE5496">
        <w:noBreakHyphen/>
      </w:r>
      <w:r>
        <w:t xml:space="preserve">year GRC revenue requirement for the utility, and then sit back and wait for the utility and intervenors to report back three years later regarding whether the utility spent the authorized amounts, for specifically authorized purposes, or found it necessary to use the funds elsewhere.  Indeed, that is the “rote exercise” described by PG&amp;E, and it is an exercise we find to be less useful as a regulatory tool than it once may have been.  </w:t>
      </w:r>
    </w:p>
    <w:p w14:paraId="557C2D0A" w14:textId="635B476E" w:rsidR="00364766" w:rsidRPr="0092213A" w:rsidRDefault="00867AA7" w:rsidP="004D6AB1">
      <w:pPr>
        <w:pStyle w:val="Standard"/>
      </w:pPr>
      <w:r>
        <w:t xml:space="preserve">The Commission has always acknowledged that utilities may need to reprioritize spending between GRCs.  Now, given the evolving reality we described above, that necessity may even be growing.  However, we do not agree with PG&amp;E’s suggestion at the 2017 workshop that one of the necessities of </w:t>
      </w:r>
      <w:r>
        <w:lastRenderedPageBreak/>
        <w:t>moving to a four</w:t>
      </w:r>
      <w:r w:rsidR="00FE5496">
        <w:noBreakHyphen/>
      </w:r>
      <w:r>
        <w:t>year GRC cycle is “</w:t>
      </w:r>
      <w:r w:rsidRPr="006700E7">
        <w:t>stakeholder agreement on the utility’s need to reprioritize</w:t>
      </w:r>
      <w:r>
        <w:rPr>
          <w:rStyle w:val="FootnoteReference"/>
          <w:vertAlign w:val="baseline"/>
        </w:rPr>
        <w:t>.”</w:t>
      </w:r>
      <w:r>
        <w:rPr>
          <w:rStyle w:val="FootnoteReference"/>
        </w:rPr>
        <w:footnoteReference w:id="69"/>
      </w:r>
      <w:r>
        <w:t xml:space="preserve">  Similarly, </w:t>
      </w:r>
      <w:r w:rsidRPr="00E10BA9">
        <w:t>SCE suggest</w:t>
      </w:r>
      <w:r>
        <w:t>ed that</w:t>
      </w:r>
      <w:r w:rsidRPr="00E10BA9">
        <w:t xml:space="preserve"> adding a fourth year “would assign to the Commission a greater tolerance for forecast error and acceptance of recorded expenses and [capital expenditures] that departed more markedly from authorized levels.”</w:t>
      </w:r>
      <w:r>
        <w:rPr>
          <w:rStyle w:val="FootnoteReference"/>
        </w:rPr>
        <w:footnoteReference w:id="70"/>
      </w:r>
      <w:r>
        <w:t xml:space="preserve">  We disagree with SCE as well.</w:t>
      </w:r>
    </w:p>
    <w:p w14:paraId="685215DE" w14:textId="281C2209" w:rsidR="00607BBA" w:rsidRDefault="006D4FE3" w:rsidP="00FE0D5B">
      <w:pPr>
        <w:pStyle w:val="Standard"/>
      </w:pPr>
      <w:r>
        <w:t>Lastly, we note that s</w:t>
      </w:r>
      <w:r w:rsidR="0033216D">
        <w:t>upporters of the three</w:t>
      </w:r>
      <w:r w:rsidR="00FE5496">
        <w:noBreakHyphen/>
      </w:r>
      <w:r w:rsidR="0033216D">
        <w:t>year cycle such as TURN and, especially, SCE d</w:t>
      </w:r>
      <w:r w:rsidR="006700E7">
        <w:t>id</w:t>
      </w:r>
      <w:r w:rsidR="0033216D">
        <w:t xml:space="preserve"> not rule out further examination of a four</w:t>
      </w:r>
      <w:r w:rsidR="00FE5496">
        <w:noBreakHyphen/>
      </w:r>
      <w:r w:rsidR="0033216D">
        <w:t>year cycle</w:t>
      </w:r>
      <w:r>
        <w:t>, albeit on a slower timeline than we adopt in this decision</w:t>
      </w:r>
      <w:r w:rsidR="0033216D">
        <w:t xml:space="preserve">.  </w:t>
      </w:r>
      <w:r w:rsidR="00B63EF8">
        <w:t>As we touched upon above, t</w:t>
      </w:r>
      <w:r w:rsidR="0033216D">
        <w:t>heir comments</w:t>
      </w:r>
      <w:r w:rsidR="00B63EF8">
        <w:t xml:space="preserve"> and</w:t>
      </w:r>
      <w:r w:rsidR="0033216D">
        <w:t xml:space="preserve"> their </w:t>
      </w:r>
      <w:r w:rsidR="00B63EF8">
        <w:t xml:space="preserve">earlier </w:t>
      </w:r>
      <w:r w:rsidR="0033216D">
        <w:t>workshop presentations offer detailed and well</w:t>
      </w:r>
      <w:r w:rsidR="00FE5496">
        <w:noBreakHyphen/>
      </w:r>
      <w:r w:rsidR="0033216D">
        <w:t>reasoned analyses of the</w:t>
      </w:r>
      <w:r w:rsidR="00B63EF8">
        <w:t xml:space="preserve"> forecasting, accounting and ratemaking </w:t>
      </w:r>
      <w:r w:rsidR="00F10ECB">
        <w:t xml:space="preserve">challenges </w:t>
      </w:r>
      <w:r w:rsidR="00B63EF8">
        <w:t>that</w:t>
      </w:r>
      <w:r w:rsidR="00551271">
        <w:t xml:space="preserve"> we believe can be </w:t>
      </w:r>
      <w:r w:rsidR="00F10ECB">
        <w:t>addressed</w:t>
      </w:r>
      <w:r w:rsidR="00551271">
        <w:t xml:space="preserve"> so as to mollify</w:t>
      </w:r>
      <w:r w:rsidR="00B63EF8">
        <w:t xml:space="preserve"> </w:t>
      </w:r>
      <w:r w:rsidR="00551271">
        <w:t xml:space="preserve">parties’ </w:t>
      </w:r>
      <w:r w:rsidR="00B63EF8">
        <w:t>concerns about moving to a four</w:t>
      </w:r>
      <w:r w:rsidR="00FE5496">
        <w:noBreakHyphen/>
      </w:r>
      <w:r w:rsidR="00B63EF8">
        <w:t>year cycle.</w:t>
      </w:r>
      <w:r w:rsidR="00593CF4">
        <w:t xml:space="preserve"> </w:t>
      </w:r>
      <w:r w:rsidR="00666938">
        <w:t xml:space="preserve"> </w:t>
      </w:r>
      <w:r w:rsidR="00593CF4">
        <w:t xml:space="preserve">For example, TURN’s </w:t>
      </w:r>
      <w:bookmarkStart w:id="38" w:name="_Hlk20927573"/>
      <w:r w:rsidR="00593CF4">
        <w:t xml:space="preserve">workshop presentation identified </w:t>
      </w:r>
      <w:bookmarkEnd w:id="38"/>
      <w:r w:rsidR="00593CF4">
        <w:t>challenges such as (1) the added uncertainty inherent in forecasting c</w:t>
      </w:r>
      <w:r w:rsidR="00593CF4" w:rsidRPr="00B63EF8">
        <w:t xml:space="preserve">apital spending </w:t>
      </w:r>
      <w:r w:rsidR="00593CF4">
        <w:t xml:space="preserve">for a third attrition year so far in advance; (2) </w:t>
      </w:r>
      <w:r w:rsidR="00593CF4" w:rsidRPr="00B63EF8">
        <w:t>exacerbat</w:t>
      </w:r>
      <w:r w:rsidR="00593CF4">
        <w:t>ing</w:t>
      </w:r>
      <w:r w:rsidR="00593CF4" w:rsidRPr="00B63EF8">
        <w:t xml:space="preserve"> the </w:t>
      </w:r>
      <w:r w:rsidR="00593CF4">
        <w:t xml:space="preserve">overall </w:t>
      </w:r>
      <w:r w:rsidR="00593CF4" w:rsidRPr="00B63EF8">
        <w:t>risk of relying on outdated forecasts</w:t>
      </w:r>
      <w:r w:rsidR="00593CF4">
        <w:t xml:space="preserve">; and (3) the importance, at least initially, of reviewing the implementation of the </w:t>
      </w:r>
      <w:r w:rsidR="00593CF4" w:rsidRPr="000475AF">
        <w:t>safety and risk</w:t>
      </w:r>
      <w:r w:rsidR="00FE5496">
        <w:noBreakHyphen/>
      </w:r>
      <w:r w:rsidR="00593CF4" w:rsidRPr="000475AF">
        <w:t xml:space="preserve">related </w:t>
      </w:r>
      <w:r w:rsidR="00593CF4">
        <w:t>S</w:t>
      </w:r>
      <w:r w:rsidR="00FE5496">
        <w:noBreakHyphen/>
      </w:r>
      <w:r w:rsidR="00593CF4">
        <w:t xml:space="preserve">MAP and RAMP </w:t>
      </w:r>
      <w:r w:rsidR="00593CF4">
        <w:lastRenderedPageBreak/>
        <w:t>processes more often by retaining the three</w:t>
      </w:r>
      <w:r w:rsidR="00FE5496">
        <w:noBreakHyphen/>
      </w:r>
      <w:r w:rsidR="00593CF4">
        <w:t>year cycle.</w:t>
      </w:r>
      <w:r w:rsidR="00593CF4">
        <w:rPr>
          <w:rStyle w:val="FootnoteReference"/>
        </w:rPr>
        <w:footnoteReference w:id="71"/>
      </w:r>
      <w:r w:rsidR="00593CF4">
        <w:t xml:space="preserve">  As we have just explained, the improved monitoring tools provided by new reporting requirements should directly address the first two concerns listed by TURN.  Regarding TURN’s third point, the initial implementation of the S</w:t>
      </w:r>
      <w:r w:rsidR="00FE5496">
        <w:noBreakHyphen/>
      </w:r>
      <w:r w:rsidR="00593CF4">
        <w:t>MAP and RAMP processes are now mostly behind us, so we see less need to retain a three</w:t>
      </w:r>
      <w:r w:rsidR="00FE5496">
        <w:noBreakHyphen/>
      </w:r>
      <w:r w:rsidR="00593CF4">
        <w:t>year cycle to enable the more frequent review that TURN suggested at the workshop.</w:t>
      </w:r>
    </w:p>
    <w:p w14:paraId="631F42B7" w14:textId="2A55AFDB" w:rsidR="00AF4A28" w:rsidRDefault="00AF4A28" w:rsidP="00FE0D5B">
      <w:pPr>
        <w:pStyle w:val="Standard"/>
      </w:pPr>
      <w:r>
        <w:t xml:space="preserve">In its comments on the PD, SCE appears to go beyond its prior recommendations, stating it </w:t>
      </w:r>
      <w:r w:rsidRPr="00AF4A28">
        <w:t>supports moving to a four</w:t>
      </w:r>
      <w:r w:rsidR="00FE5496">
        <w:noBreakHyphen/>
      </w:r>
      <w:r w:rsidRPr="00AF4A28">
        <w:t xml:space="preserve">year rate case cycle, </w:t>
      </w:r>
      <w:r>
        <w:t>“</w:t>
      </w:r>
      <w:r w:rsidRPr="00AF4A28">
        <w:t xml:space="preserve">provided that language is added to the Proposed Decision stating that utilities will receive an attrition year mechanism that </w:t>
      </w:r>
      <w:r w:rsidRPr="00404110">
        <w:rPr>
          <w:u w:val="single"/>
        </w:rPr>
        <w:t>fully funds</w:t>
      </w:r>
      <w:r w:rsidRPr="00AF4A28">
        <w:t xml:space="preserve"> reasonable spending during the three attrition years and avoids funding shortfalls.</w:t>
      </w:r>
      <w:r>
        <w:t>”</w:t>
      </w:r>
      <w:r w:rsidR="00C548B4">
        <w:rPr>
          <w:rStyle w:val="FootnoteReference"/>
        </w:rPr>
        <w:footnoteReference w:id="72"/>
      </w:r>
      <w:r>
        <w:t xml:space="preserve">  SCE proposes adding the following Conclusion of Law:</w:t>
      </w:r>
    </w:p>
    <w:p w14:paraId="0E1285BD" w14:textId="5916F58D" w:rsidR="00AF4A28" w:rsidRDefault="00AF4A28" w:rsidP="00AF4A28">
      <w:pPr>
        <w:pStyle w:val="BlockQuote"/>
        <w:spacing w:after="240"/>
      </w:pPr>
      <w:r w:rsidRPr="00AF4A28">
        <w:t xml:space="preserve">Each utility in its general rate case will receive an attrition year mechanism that (a) </w:t>
      </w:r>
      <w:r w:rsidRPr="00404110">
        <w:rPr>
          <w:u w:val="single"/>
        </w:rPr>
        <w:t>fully compensates</w:t>
      </w:r>
      <w:r w:rsidRPr="00AF4A28">
        <w:t xml:space="preserve"> the utility for its costs of service in the attrition years, and (b) reflects that circumstances and needs may change over the course of three attrition years, so that the utility’s actual spending needs to provide safe and reliable service are addressed during the attrition years.</w:t>
      </w:r>
      <w:r>
        <w:rPr>
          <w:rStyle w:val="FootnoteReference"/>
        </w:rPr>
        <w:footnoteReference w:id="73"/>
      </w:r>
    </w:p>
    <w:p w14:paraId="268C1972" w14:textId="5149CF57" w:rsidR="00F10ECB" w:rsidRPr="00F446C2" w:rsidRDefault="00AF4A28" w:rsidP="0067096B">
      <w:pPr>
        <w:pStyle w:val="Standard"/>
      </w:pPr>
      <w:r>
        <w:t xml:space="preserve">In reply comments, TURN </w:t>
      </w:r>
      <w:r w:rsidR="00404110">
        <w:t xml:space="preserve">opposes SCE’s request because it is inconsistent with the purpose of an attrition mechanism, where the Commission has “long affirmed its discretion to grant or deny requests for revenue requirement </w:t>
      </w:r>
      <w:r w:rsidR="00404110">
        <w:lastRenderedPageBreak/>
        <w:t>increases in the post</w:t>
      </w:r>
      <w:r w:rsidR="00FE5496">
        <w:noBreakHyphen/>
      </w:r>
      <w:r w:rsidR="00404110">
        <w:t>test years through an attrition mechanism.”</w:t>
      </w:r>
      <w:r w:rsidR="00404110">
        <w:rPr>
          <w:rStyle w:val="FootnoteReference"/>
        </w:rPr>
        <w:footnoteReference w:id="74"/>
      </w:r>
      <w:r w:rsidR="00404110">
        <w:t xml:space="preserve">  </w:t>
      </w:r>
      <w:r w:rsidR="00F10ECB">
        <w:t>A</w:t>
      </w:r>
      <w:r w:rsidR="00F10ECB" w:rsidRPr="00F446C2">
        <w:t xml:space="preserve">s TURN noted, </w:t>
      </w:r>
      <w:r w:rsidR="00A1073D" w:rsidRPr="00F446C2">
        <w:t xml:space="preserve">the Commission </w:t>
      </w:r>
      <w:r w:rsidR="00A1073D">
        <w:t xml:space="preserve">has clarified that </w:t>
      </w:r>
      <w:r w:rsidR="00F10ECB" w:rsidRPr="00F446C2">
        <w:t xml:space="preserve">the annual “attrition adjustment” that </w:t>
      </w:r>
      <w:r w:rsidR="00A1073D">
        <w:t xml:space="preserve">it </w:t>
      </w:r>
      <w:r w:rsidR="00F10ECB" w:rsidRPr="00F446C2">
        <w:t>adopts in many</w:t>
      </w:r>
      <w:r w:rsidR="00A1073D">
        <w:t>, if not most,</w:t>
      </w:r>
      <w:r w:rsidR="00F10ECB" w:rsidRPr="00F446C2">
        <w:t xml:space="preserve"> GRC decisions</w:t>
      </w:r>
    </w:p>
    <w:p w14:paraId="48F31EFF" w14:textId="0DB8BCAF" w:rsidR="00F10ECB" w:rsidRDefault="00F10ECB" w:rsidP="00551271">
      <w:pPr>
        <w:pStyle w:val="BlockQuote"/>
        <w:spacing w:after="240"/>
      </w:pPr>
      <w:r w:rsidRPr="00F446C2">
        <w:t>is not intended to replicate a test year analysis, or to cover all potential cost changes so as to guarantee [the utility’s] rate of return [during the attrition years],” but “is merely to mitigate economic volatility between test years to a reasonable degree so that a well</w:t>
      </w:r>
      <w:r w:rsidR="00FE5496">
        <w:noBreakHyphen/>
      </w:r>
      <w:r w:rsidRPr="00F446C2">
        <w:t>managed utility can provide safe and reliable service while maintaining financial integrity.”</w:t>
      </w:r>
      <w:r w:rsidRPr="00F446C2">
        <w:rPr>
          <w:rStyle w:val="FootnoteReference"/>
        </w:rPr>
        <w:footnoteReference w:id="75"/>
      </w:r>
    </w:p>
    <w:p w14:paraId="3A57B86A" w14:textId="44557B3B" w:rsidR="00A1073D" w:rsidRDefault="00404110" w:rsidP="00404110">
      <w:pPr>
        <w:pStyle w:val="Standard"/>
      </w:pPr>
      <w:r>
        <w:t xml:space="preserve">TURN’s </w:t>
      </w:r>
      <w:r w:rsidR="00A1073D">
        <w:t xml:space="preserve">thorough </w:t>
      </w:r>
      <w:r>
        <w:t xml:space="preserve">recitation of the Commission’s history on this issue requires no </w:t>
      </w:r>
      <w:r w:rsidR="00A1073D">
        <w:t xml:space="preserve">further </w:t>
      </w:r>
      <w:r>
        <w:t>amplification.  We reject SCE’s request for additional assurances</w:t>
      </w:r>
      <w:r w:rsidR="00551271">
        <w:t xml:space="preserve"> because SCE’s proposed language would inappropriately shift financial risk from the utility to its ratepayers</w:t>
      </w:r>
      <w:r w:rsidR="00A1073D">
        <w:t>.</w:t>
      </w:r>
    </w:p>
    <w:p w14:paraId="60D70247" w14:textId="56338877" w:rsidR="00AF4A28" w:rsidRPr="000F7254" w:rsidRDefault="00A1073D" w:rsidP="00404110">
      <w:pPr>
        <w:pStyle w:val="Standard"/>
      </w:pPr>
      <w:r>
        <w:t xml:space="preserve">Although we have not substantively modified the PD in response to the comments and reply comments of TURN, PG&amp;E and SCE, we do find that </w:t>
      </w:r>
      <w:r w:rsidR="00404110">
        <w:t xml:space="preserve">further dialog </w:t>
      </w:r>
      <w:r>
        <w:t>at upcoming workshops would be useful.  Parties should discuss and develop recommendations r</w:t>
      </w:r>
      <w:r w:rsidR="00404110">
        <w:t>egarding how</w:t>
      </w:r>
      <w:r>
        <w:t xml:space="preserve"> the Commission should</w:t>
      </w:r>
      <w:r w:rsidR="00404110">
        <w:t xml:space="preserve"> apply the </w:t>
      </w:r>
      <w:r>
        <w:t>long</w:t>
      </w:r>
      <w:r w:rsidR="00FE5496">
        <w:noBreakHyphen/>
      </w:r>
      <w:r>
        <w:t xml:space="preserve">standing </w:t>
      </w:r>
      <w:r w:rsidR="00404110">
        <w:t xml:space="preserve">principles that underlie attrition adjustments to any particular challenges </w:t>
      </w:r>
      <w:r w:rsidR="00B40A98">
        <w:t xml:space="preserve">associated with </w:t>
      </w:r>
      <w:r w:rsidR="00094251">
        <w:t>a</w:t>
      </w:r>
      <w:r w:rsidR="00B40A98">
        <w:t xml:space="preserve"> four</w:t>
      </w:r>
      <w:r w:rsidR="00FE5496">
        <w:noBreakHyphen/>
      </w:r>
      <w:r w:rsidR="00B40A98">
        <w:t>year GRC cycle</w:t>
      </w:r>
      <w:r w:rsidR="006D389B">
        <w:t xml:space="preserve"> or emergent </w:t>
      </w:r>
      <w:r w:rsidR="002A219D">
        <w:t>issues</w:t>
      </w:r>
      <w:r w:rsidR="00B40A98">
        <w:t>.</w:t>
      </w:r>
      <w:r>
        <w:t xml:space="preserve">  We have added this task to the list of topics for future workshops, which we discuss </w:t>
      </w:r>
      <w:r w:rsidR="0067096B">
        <w:t>later in this decision.</w:t>
      </w:r>
    </w:p>
    <w:p w14:paraId="301DDE49" w14:textId="77777777" w:rsidR="00B702ED" w:rsidRPr="00FD54BE" w:rsidRDefault="00B702ED" w:rsidP="00FE5496">
      <w:pPr>
        <w:pStyle w:val="Heading2"/>
      </w:pPr>
      <w:bookmarkStart w:id="40" w:name="_Toc20998449"/>
      <w:bookmarkStart w:id="41" w:name="_Toc29817393"/>
      <w:r w:rsidRPr="00FD54BE">
        <w:t xml:space="preserve">Combining </w:t>
      </w:r>
      <w:bookmarkStart w:id="42" w:name="_Toc13244195"/>
      <w:r w:rsidRPr="00FD54BE">
        <w:t>PG&amp;E’s GT&amp;S and GRC Proceedings</w:t>
      </w:r>
      <w:bookmarkEnd w:id="40"/>
      <w:bookmarkEnd w:id="41"/>
      <w:bookmarkEnd w:id="42"/>
    </w:p>
    <w:p w14:paraId="56247C45" w14:textId="24082186" w:rsidR="00D86459" w:rsidRDefault="00AA0A4E" w:rsidP="00B702ED">
      <w:pPr>
        <w:pStyle w:val="standard0"/>
        <w:rPr>
          <w:rFonts w:ascii="Book Antiqua" w:hAnsi="Book Antiqua"/>
        </w:rPr>
      </w:pPr>
      <w:r>
        <w:rPr>
          <w:rFonts w:ascii="Book Antiqua" w:hAnsi="Book Antiqua"/>
        </w:rPr>
        <w:t xml:space="preserve">PG&amp;E is unique among California’s regulated utilities in that its revenue requirements for its gas transmission and storage systems are reviewed in a </w:t>
      </w:r>
      <w:r>
        <w:rPr>
          <w:rFonts w:ascii="Book Antiqua" w:hAnsi="Book Antiqua"/>
        </w:rPr>
        <w:lastRenderedPageBreak/>
        <w:t>separate rate case, not part of its GRC.  This framework dates back to 1997 when the Commission approved a settlement agreement between PG&amp;E and numerous other parties, labeled the Gas Accord.</w:t>
      </w:r>
      <w:r>
        <w:rPr>
          <w:rStyle w:val="FootnoteReference"/>
          <w:rFonts w:ascii="Book Antiqua" w:hAnsi="Book Antiqua"/>
        </w:rPr>
        <w:footnoteReference w:id="76"/>
      </w:r>
      <w:r>
        <w:rPr>
          <w:rFonts w:ascii="Book Antiqua" w:hAnsi="Book Antiqua"/>
        </w:rPr>
        <w:t xml:space="preserve">  The settling parties described the Gas Accord as a “Proposal for a New Gas Market Structure for Northern California.”  </w:t>
      </w:r>
      <w:r w:rsidR="00D86459">
        <w:rPr>
          <w:rFonts w:ascii="Book Antiqua" w:hAnsi="Book Antiqua"/>
        </w:rPr>
        <w:t>As adopted, the Gas Accord set PG&amp;E’s gas transmission and storage rates through the end of 2002.  The Commission subsequently approved similar settlements known as Gas Accords II, III, IV, and V, which carried the same approach to PG&amp;E’s gas transmission and storage rates forward through 2014.  The first fully litigated GT&amp;S rate case was A.13</w:t>
      </w:r>
      <w:r w:rsidR="00FE5496">
        <w:rPr>
          <w:rFonts w:ascii="Book Antiqua" w:hAnsi="Book Antiqua"/>
        </w:rPr>
        <w:noBreakHyphen/>
      </w:r>
      <w:r w:rsidR="00D86459">
        <w:rPr>
          <w:rFonts w:ascii="Book Antiqua" w:hAnsi="Book Antiqua"/>
        </w:rPr>
        <w:t>12</w:t>
      </w:r>
      <w:r w:rsidR="00FE5496">
        <w:rPr>
          <w:rFonts w:ascii="Book Antiqua" w:hAnsi="Book Antiqua"/>
        </w:rPr>
        <w:noBreakHyphen/>
      </w:r>
      <w:r w:rsidR="00D86459">
        <w:rPr>
          <w:rFonts w:ascii="Book Antiqua" w:hAnsi="Book Antiqua"/>
        </w:rPr>
        <w:t>012, which authorized revenue requirements and rates through 2018.  Most recently, D.19</w:t>
      </w:r>
      <w:r w:rsidR="00FE5496">
        <w:rPr>
          <w:rFonts w:ascii="Book Antiqua" w:hAnsi="Book Antiqua"/>
        </w:rPr>
        <w:noBreakHyphen/>
      </w:r>
      <w:r w:rsidR="00D86459">
        <w:rPr>
          <w:rFonts w:ascii="Book Antiqua" w:hAnsi="Book Antiqua"/>
        </w:rPr>
        <w:t>09</w:t>
      </w:r>
      <w:r w:rsidR="00FE5496">
        <w:rPr>
          <w:rFonts w:ascii="Book Antiqua" w:hAnsi="Book Antiqua"/>
        </w:rPr>
        <w:noBreakHyphen/>
      </w:r>
      <w:r w:rsidR="00D86459">
        <w:rPr>
          <w:rFonts w:ascii="Book Antiqua" w:hAnsi="Book Antiqua"/>
        </w:rPr>
        <w:t>025 addressed the most recent PG&amp;E GT&amp;S rate case, adopting revenue requirements and rates through 2022.</w:t>
      </w:r>
    </w:p>
    <w:p w14:paraId="04E55AEF" w14:textId="6828EE1F" w:rsidR="00B702ED" w:rsidRPr="000F7254" w:rsidRDefault="00B702ED" w:rsidP="00B702ED">
      <w:pPr>
        <w:pStyle w:val="standard0"/>
        <w:rPr>
          <w:rFonts w:ascii="Book Antiqua" w:hAnsi="Book Antiqua"/>
        </w:rPr>
      </w:pPr>
      <w:r w:rsidRPr="000F7254">
        <w:rPr>
          <w:rFonts w:ascii="Book Antiqua" w:hAnsi="Book Antiqua"/>
        </w:rPr>
        <w:t>The Staff Report recommends that PG&amp;E</w:t>
      </w:r>
      <w:r w:rsidR="00F01D67">
        <w:rPr>
          <w:rFonts w:ascii="Book Antiqua" w:hAnsi="Book Antiqua"/>
        </w:rPr>
        <w:t xml:space="preserve">’s </w:t>
      </w:r>
      <w:r w:rsidRPr="000F7254">
        <w:rPr>
          <w:rFonts w:ascii="Book Antiqua" w:hAnsi="Book Antiqua"/>
        </w:rPr>
        <w:t>GT&amp;S</w:t>
      </w:r>
      <w:r w:rsidR="00FE5496">
        <w:rPr>
          <w:rFonts w:ascii="Book Antiqua" w:hAnsi="Book Antiqua"/>
        </w:rPr>
        <w:noBreakHyphen/>
      </w:r>
      <w:r w:rsidR="00F01D67">
        <w:rPr>
          <w:rFonts w:ascii="Book Antiqua" w:hAnsi="Book Antiqua"/>
        </w:rPr>
        <w:t>related rate case requests and its GRC</w:t>
      </w:r>
      <w:r w:rsidR="00FE5496">
        <w:rPr>
          <w:rFonts w:ascii="Book Antiqua" w:hAnsi="Book Antiqua"/>
        </w:rPr>
        <w:noBreakHyphen/>
      </w:r>
      <w:r w:rsidR="00F01D67">
        <w:rPr>
          <w:rFonts w:ascii="Book Antiqua" w:hAnsi="Book Antiqua"/>
        </w:rPr>
        <w:t xml:space="preserve">related requests be submitted in </w:t>
      </w:r>
      <w:r w:rsidR="003C0A1B">
        <w:rPr>
          <w:rFonts w:ascii="Book Antiqua" w:hAnsi="Book Antiqua"/>
        </w:rPr>
        <w:t xml:space="preserve">a </w:t>
      </w:r>
      <w:r w:rsidR="00F01D67">
        <w:rPr>
          <w:rFonts w:ascii="Book Antiqua" w:hAnsi="Book Antiqua"/>
        </w:rPr>
        <w:t xml:space="preserve">single </w:t>
      </w:r>
      <w:r w:rsidRPr="000F7254">
        <w:rPr>
          <w:rFonts w:ascii="Book Antiqua" w:hAnsi="Book Antiqua"/>
        </w:rPr>
        <w:t>application.</w:t>
      </w:r>
      <w:r w:rsidR="006F009E">
        <w:rPr>
          <w:rStyle w:val="FootnoteReference"/>
          <w:rFonts w:ascii="Book Antiqua" w:hAnsi="Book Antiqua"/>
        </w:rPr>
        <w:footnoteReference w:id="77"/>
      </w:r>
      <w:r w:rsidRPr="000F7254">
        <w:rPr>
          <w:rFonts w:ascii="Book Antiqua" w:hAnsi="Book Antiqua"/>
        </w:rPr>
        <w:t xml:space="preserve">  Staff acknowledges that a combined GT&amp;S and GRC proceeding for PG&amp;E would result in a “very large” filing, but contends that </w:t>
      </w:r>
      <w:r w:rsidR="00F01D67">
        <w:rPr>
          <w:rFonts w:ascii="Book Antiqua" w:hAnsi="Book Antiqua"/>
        </w:rPr>
        <w:t>this</w:t>
      </w:r>
      <w:r w:rsidRPr="000F7254">
        <w:rPr>
          <w:rFonts w:ascii="Book Antiqua" w:hAnsi="Book Antiqua"/>
        </w:rPr>
        <w:t xml:space="preserve"> would also provide the Commission with a larger perspective on PG&amp;E’s company</w:t>
      </w:r>
      <w:r w:rsidR="00FE5496">
        <w:rPr>
          <w:rFonts w:ascii="Book Antiqua" w:hAnsi="Book Antiqua"/>
        </w:rPr>
        <w:noBreakHyphen/>
      </w:r>
      <w:r w:rsidR="00F01D67">
        <w:rPr>
          <w:rFonts w:ascii="Book Antiqua" w:hAnsi="Book Antiqua"/>
        </w:rPr>
        <w:t>wide</w:t>
      </w:r>
      <w:r w:rsidRPr="000F7254">
        <w:rPr>
          <w:rFonts w:ascii="Book Antiqua" w:hAnsi="Book Antiqua"/>
        </w:rPr>
        <w:t xml:space="preserve"> operation</w:t>
      </w:r>
      <w:r w:rsidR="00F01D67">
        <w:rPr>
          <w:rFonts w:ascii="Book Antiqua" w:hAnsi="Book Antiqua"/>
        </w:rPr>
        <w:t>s</w:t>
      </w:r>
      <w:r w:rsidRPr="000F7254">
        <w:rPr>
          <w:rFonts w:ascii="Book Antiqua" w:hAnsi="Book Antiqua"/>
        </w:rPr>
        <w:t xml:space="preserve"> and revenue requirement (</w:t>
      </w:r>
      <w:r w:rsidR="00F01D67">
        <w:rPr>
          <w:rFonts w:ascii="Book Antiqua" w:hAnsi="Book Antiqua"/>
        </w:rPr>
        <w:t xml:space="preserve">with the </w:t>
      </w:r>
      <w:r w:rsidRPr="000F7254">
        <w:rPr>
          <w:rFonts w:ascii="Book Antiqua" w:hAnsi="Book Antiqua"/>
        </w:rPr>
        <w:t>except</w:t>
      </w:r>
      <w:r w:rsidR="00F01D67">
        <w:rPr>
          <w:rFonts w:ascii="Book Antiqua" w:hAnsi="Book Antiqua"/>
        </w:rPr>
        <w:t>ion of</w:t>
      </w:r>
      <w:r w:rsidRPr="000F7254">
        <w:rPr>
          <w:rFonts w:ascii="Book Antiqua" w:hAnsi="Book Antiqua"/>
        </w:rPr>
        <w:t xml:space="preserve"> PG&amp;E’s FERC</w:t>
      </w:r>
      <w:r w:rsidR="00FE5496">
        <w:rPr>
          <w:rFonts w:ascii="Book Antiqua" w:hAnsi="Book Antiqua"/>
        </w:rPr>
        <w:noBreakHyphen/>
      </w:r>
      <w:r w:rsidRPr="000F7254">
        <w:rPr>
          <w:rFonts w:ascii="Book Antiqua" w:hAnsi="Book Antiqua"/>
        </w:rPr>
        <w:t xml:space="preserve">regulated transmission system).  Staff also recommends </w:t>
      </w:r>
      <w:r w:rsidR="00F01D67">
        <w:rPr>
          <w:rFonts w:ascii="Book Antiqua" w:hAnsi="Book Antiqua"/>
        </w:rPr>
        <w:t xml:space="preserve">that </w:t>
      </w:r>
      <w:r w:rsidRPr="000F7254">
        <w:rPr>
          <w:rFonts w:ascii="Book Antiqua" w:hAnsi="Book Antiqua"/>
        </w:rPr>
        <w:t>the Commission ensure that additional staff and resources are dedicated to the combined proceeding.</w:t>
      </w:r>
    </w:p>
    <w:p w14:paraId="6DDE3014" w14:textId="55EB5CBA" w:rsidR="00B702ED" w:rsidRPr="000F7254" w:rsidRDefault="00B702ED" w:rsidP="00F31494">
      <w:pPr>
        <w:pStyle w:val="standard0"/>
        <w:rPr>
          <w:rFonts w:ascii="Book Antiqua" w:hAnsi="Book Antiqua"/>
        </w:rPr>
      </w:pPr>
      <w:r w:rsidRPr="000F7254">
        <w:rPr>
          <w:rFonts w:ascii="Book Antiqua" w:hAnsi="Book Antiqua"/>
        </w:rPr>
        <w:t xml:space="preserve">PG&amp;E supports </w:t>
      </w:r>
      <w:r w:rsidR="001717C8">
        <w:rPr>
          <w:rFonts w:ascii="Book Antiqua" w:hAnsi="Book Antiqua"/>
        </w:rPr>
        <w:t>Staff’s</w:t>
      </w:r>
      <w:r w:rsidR="001717C8" w:rsidRPr="001717C8">
        <w:rPr>
          <w:rFonts w:ascii="Book Antiqua" w:hAnsi="Book Antiqua"/>
        </w:rPr>
        <w:t xml:space="preserve"> proposal to combine the revenue requirement components of </w:t>
      </w:r>
      <w:r w:rsidR="001717C8">
        <w:rPr>
          <w:rFonts w:ascii="Book Antiqua" w:hAnsi="Book Antiqua"/>
        </w:rPr>
        <w:t>its</w:t>
      </w:r>
      <w:r w:rsidR="001717C8" w:rsidRPr="001717C8">
        <w:rPr>
          <w:rFonts w:ascii="Book Antiqua" w:hAnsi="Book Antiqua"/>
        </w:rPr>
        <w:t xml:space="preserve"> GRC and GT&amp;S rate case proceedings</w:t>
      </w:r>
      <w:r w:rsidRPr="000F7254">
        <w:rPr>
          <w:rFonts w:ascii="Book Antiqua" w:hAnsi="Book Antiqua"/>
        </w:rPr>
        <w:t xml:space="preserve">, but requests </w:t>
      </w:r>
      <w:r w:rsidR="00C01C12" w:rsidRPr="000F7254">
        <w:rPr>
          <w:rFonts w:ascii="Book Antiqua" w:hAnsi="Book Antiqua"/>
        </w:rPr>
        <w:t>that</w:t>
      </w:r>
      <w:r w:rsidR="00F01D67">
        <w:rPr>
          <w:rFonts w:ascii="Book Antiqua" w:hAnsi="Book Antiqua"/>
        </w:rPr>
        <w:t xml:space="preserve"> the Commission also direct that </w:t>
      </w:r>
      <w:r w:rsidRPr="000F7254">
        <w:rPr>
          <w:rFonts w:ascii="Book Antiqua" w:hAnsi="Book Antiqua"/>
        </w:rPr>
        <w:t xml:space="preserve">GT&amp;S rate design and revenue allocation issues be </w:t>
      </w:r>
      <w:r w:rsidR="00F01D67">
        <w:rPr>
          <w:rFonts w:ascii="Book Antiqua" w:hAnsi="Book Antiqua"/>
        </w:rPr>
        <w:lastRenderedPageBreak/>
        <w:t>considered in a separate proceeding</w:t>
      </w:r>
      <w:r w:rsidRPr="000F7254">
        <w:rPr>
          <w:rFonts w:ascii="Book Antiqua" w:hAnsi="Book Antiqua"/>
        </w:rPr>
        <w:t xml:space="preserve">, </w:t>
      </w:r>
      <w:r w:rsidR="00C01C12" w:rsidRPr="000F7254">
        <w:rPr>
          <w:rFonts w:ascii="Book Antiqua" w:hAnsi="Book Antiqua"/>
        </w:rPr>
        <w:t>no</w:t>
      </w:r>
      <w:r w:rsidR="00F01D67">
        <w:rPr>
          <w:rFonts w:ascii="Book Antiqua" w:hAnsi="Book Antiqua"/>
        </w:rPr>
        <w:t xml:space="preserve">t as part of </w:t>
      </w:r>
      <w:r w:rsidRPr="000F7254">
        <w:rPr>
          <w:rFonts w:ascii="Book Antiqua" w:hAnsi="Book Antiqua"/>
        </w:rPr>
        <w:t>the GT&amp;S application as is the case today.  TURN agrees, and suggests PG&amp;</w:t>
      </w:r>
      <w:r w:rsidR="00880E8B" w:rsidRPr="000F7254">
        <w:rPr>
          <w:rFonts w:ascii="Book Antiqua" w:hAnsi="Book Antiqua"/>
        </w:rPr>
        <w:t>E</w:t>
      </w:r>
      <w:r w:rsidR="00880E8B">
        <w:rPr>
          <w:rFonts w:ascii="Book Antiqua" w:hAnsi="Book Antiqua"/>
        </w:rPr>
        <w:t>’</w:t>
      </w:r>
      <w:r w:rsidR="00880E8B" w:rsidRPr="000F7254">
        <w:rPr>
          <w:rFonts w:ascii="Book Antiqua" w:hAnsi="Book Antiqua"/>
        </w:rPr>
        <w:t xml:space="preserve">s </w:t>
      </w:r>
      <w:r w:rsidRPr="000F7254">
        <w:rPr>
          <w:rFonts w:ascii="Book Antiqua" w:hAnsi="Book Antiqua"/>
        </w:rPr>
        <w:t xml:space="preserve">periodic </w:t>
      </w:r>
      <w:bookmarkStart w:id="43" w:name="_Hlk20938619"/>
      <w:r w:rsidRPr="000F7254">
        <w:rPr>
          <w:rFonts w:ascii="Book Antiqua" w:hAnsi="Book Antiqua"/>
        </w:rPr>
        <w:t xml:space="preserve">gas cost allocation and rate design </w:t>
      </w:r>
      <w:bookmarkEnd w:id="43"/>
      <w:r w:rsidRPr="000F7254">
        <w:rPr>
          <w:rFonts w:ascii="Book Antiqua" w:hAnsi="Book Antiqua"/>
        </w:rPr>
        <w:t>proceedings</w:t>
      </w:r>
      <w:r w:rsidR="00F01D67">
        <w:rPr>
          <w:rFonts w:ascii="Book Antiqua" w:hAnsi="Book Antiqua"/>
        </w:rPr>
        <w:t xml:space="preserve"> as </w:t>
      </w:r>
      <w:r w:rsidR="00906567">
        <w:rPr>
          <w:rFonts w:ascii="Book Antiqua" w:hAnsi="Book Antiqua"/>
        </w:rPr>
        <w:t>the appropriate forum</w:t>
      </w:r>
      <w:r w:rsidR="00F31494">
        <w:rPr>
          <w:rFonts w:ascii="Book Antiqua" w:hAnsi="Book Antiqua"/>
        </w:rPr>
        <w:t xml:space="preserve">, because they </w:t>
      </w:r>
      <w:r w:rsidR="00F31494" w:rsidRPr="00F31494">
        <w:rPr>
          <w:rFonts w:ascii="Book Antiqua" w:hAnsi="Book Antiqua"/>
        </w:rPr>
        <w:t>are similar to</w:t>
      </w:r>
      <w:r w:rsidR="00F31494">
        <w:rPr>
          <w:rFonts w:ascii="Book Antiqua" w:hAnsi="Book Antiqua"/>
        </w:rPr>
        <w:t xml:space="preserve"> </w:t>
      </w:r>
      <w:r w:rsidR="00F31494" w:rsidRPr="00F31494">
        <w:rPr>
          <w:rFonts w:ascii="Book Antiqua" w:hAnsi="Book Antiqua"/>
        </w:rPr>
        <w:t>the electric GRC Phase 2 proceedings</w:t>
      </w:r>
      <w:r w:rsidR="00906567">
        <w:rPr>
          <w:rFonts w:ascii="Book Antiqua" w:hAnsi="Book Antiqua"/>
        </w:rPr>
        <w:t>.</w:t>
      </w:r>
      <w:r w:rsidR="005F28D5" w:rsidRPr="000F7254">
        <w:rPr>
          <w:rStyle w:val="FootnoteReference"/>
          <w:rFonts w:ascii="Book Antiqua" w:hAnsi="Book Antiqua"/>
        </w:rPr>
        <w:footnoteReference w:id="78"/>
      </w:r>
    </w:p>
    <w:p w14:paraId="7FE76460" w14:textId="77777777" w:rsidR="00B702ED" w:rsidRPr="000F7254" w:rsidRDefault="00B702ED" w:rsidP="00B702ED">
      <w:pPr>
        <w:pStyle w:val="standard0"/>
        <w:rPr>
          <w:rFonts w:ascii="Book Antiqua" w:hAnsi="Book Antiqua"/>
        </w:rPr>
      </w:pPr>
      <w:r w:rsidRPr="000F7254">
        <w:rPr>
          <w:rFonts w:ascii="Book Antiqua" w:hAnsi="Book Antiqua"/>
        </w:rPr>
        <w:t>We agree that</w:t>
      </w:r>
      <w:r w:rsidR="00906567">
        <w:rPr>
          <w:rFonts w:ascii="Book Antiqua" w:hAnsi="Book Antiqua"/>
        </w:rPr>
        <w:t xml:space="preserve"> the RCP should be modified to direct</w:t>
      </w:r>
      <w:r w:rsidRPr="000F7254">
        <w:rPr>
          <w:rFonts w:ascii="Book Antiqua" w:hAnsi="Book Antiqua"/>
        </w:rPr>
        <w:t xml:space="preserve"> PG&amp;E </w:t>
      </w:r>
      <w:r w:rsidR="00906567">
        <w:rPr>
          <w:rFonts w:ascii="Book Antiqua" w:hAnsi="Book Antiqua"/>
        </w:rPr>
        <w:t>to</w:t>
      </w:r>
      <w:r w:rsidRPr="000F7254">
        <w:rPr>
          <w:rFonts w:ascii="Book Antiqua" w:hAnsi="Book Antiqua"/>
        </w:rPr>
        <w:t xml:space="preserve"> file a single GRC application that incorporates </w:t>
      </w:r>
      <w:r w:rsidR="00906567">
        <w:rPr>
          <w:rFonts w:ascii="Book Antiqua" w:hAnsi="Book Antiqua"/>
        </w:rPr>
        <w:t>its</w:t>
      </w:r>
      <w:r w:rsidRPr="000F7254">
        <w:rPr>
          <w:rFonts w:ascii="Book Antiqua" w:hAnsi="Book Antiqua"/>
        </w:rPr>
        <w:t xml:space="preserve"> GT&amp;S</w:t>
      </w:r>
      <w:r w:rsidR="00D7674D">
        <w:rPr>
          <w:rFonts w:ascii="Book Antiqua" w:hAnsi="Book Antiqua"/>
        </w:rPr>
        <w:t xml:space="preserve"> revenue requirement</w:t>
      </w:r>
      <w:r w:rsidRPr="000F7254">
        <w:rPr>
          <w:rFonts w:ascii="Book Antiqua" w:hAnsi="Book Antiqua"/>
        </w:rPr>
        <w:t xml:space="preserve">.  </w:t>
      </w:r>
      <w:r w:rsidR="00906567">
        <w:rPr>
          <w:rFonts w:ascii="Book Antiqua" w:hAnsi="Book Antiqua"/>
        </w:rPr>
        <w:t>T</w:t>
      </w:r>
      <w:r w:rsidRPr="000F7254">
        <w:rPr>
          <w:rFonts w:ascii="Book Antiqua" w:hAnsi="Book Antiqua"/>
        </w:rPr>
        <w:t>his</w:t>
      </w:r>
      <w:r w:rsidR="00D7674D">
        <w:rPr>
          <w:rFonts w:ascii="Book Antiqua" w:hAnsi="Book Antiqua"/>
        </w:rPr>
        <w:t xml:space="preserve"> change</w:t>
      </w:r>
      <w:r w:rsidRPr="000F7254">
        <w:rPr>
          <w:rFonts w:ascii="Book Antiqua" w:hAnsi="Book Antiqua"/>
        </w:rPr>
        <w:t xml:space="preserve"> shall be implemented </w:t>
      </w:r>
      <w:r w:rsidR="00906567">
        <w:rPr>
          <w:rFonts w:ascii="Book Antiqua" w:hAnsi="Book Antiqua"/>
        </w:rPr>
        <w:t>as follows</w:t>
      </w:r>
      <w:r w:rsidRPr="000F7254">
        <w:rPr>
          <w:rFonts w:ascii="Book Antiqua" w:hAnsi="Book Antiqua"/>
        </w:rPr>
        <w:t>:</w:t>
      </w:r>
    </w:p>
    <w:p w14:paraId="6B02B37A" w14:textId="4E2FD90B" w:rsidR="000F7254" w:rsidRPr="00D7674D" w:rsidRDefault="00906567" w:rsidP="00FC75E8">
      <w:pPr>
        <w:pStyle w:val="standard0"/>
        <w:spacing w:after="120" w:line="240" w:lineRule="auto"/>
        <w:ind w:left="720" w:right="720" w:firstLine="0"/>
        <w:rPr>
          <w:rFonts w:ascii="Book Antiqua" w:hAnsi="Book Antiqua"/>
        </w:rPr>
      </w:pPr>
      <w:r w:rsidRPr="00906567">
        <w:rPr>
          <w:rFonts w:ascii="Book Antiqua" w:hAnsi="Book Antiqua"/>
          <w:u w:val="single"/>
        </w:rPr>
        <w:t>Step 1</w:t>
      </w:r>
      <w:r>
        <w:rPr>
          <w:rFonts w:ascii="Book Antiqua" w:hAnsi="Book Antiqua"/>
        </w:rPr>
        <w:t xml:space="preserve">:  </w:t>
      </w:r>
      <w:r w:rsidR="007839BE">
        <w:rPr>
          <w:rFonts w:ascii="Book Antiqua" w:hAnsi="Book Antiqua"/>
        </w:rPr>
        <w:t xml:space="preserve">the Commission addressed </w:t>
      </w:r>
      <w:bookmarkStart w:id="44" w:name="_Hlk16173552"/>
      <w:r w:rsidR="000F7254" w:rsidRPr="00D7674D">
        <w:rPr>
          <w:rFonts w:ascii="Book Antiqua" w:hAnsi="Book Antiqua"/>
        </w:rPr>
        <w:t xml:space="preserve">PG&amp;E’s </w:t>
      </w:r>
      <w:bookmarkEnd w:id="44"/>
      <w:r w:rsidR="00EE408C">
        <w:rPr>
          <w:rFonts w:ascii="Book Antiqua" w:hAnsi="Book Antiqua"/>
        </w:rPr>
        <w:t>t</w:t>
      </w:r>
      <w:r w:rsidR="000F7254" w:rsidRPr="00D7674D">
        <w:rPr>
          <w:rFonts w:ascii="Book Antiqua" w:hAnsi="Book Antiqua"/>
        </w:rPr>
        <w:t xml:space="preserve">est </w:t>
      </w:r>
      <w:r w:rsidR="00EE408C">
        <w:rPr>
          <w:rFonts w:ascii="Book Antiqua" w:hAnsi="Book Antiqua"/>
        </w:rPr>
        <w:t>y</w:t>
      </w:r>
      <w:r w:rsidR="00EE408C" w:rsidRPr="00D7674D">
        <w:rPr>
          <w:rFonts w:ascii="Book Antiqua" w:hAnsi="Book Antiqua"/>
        </w:rPr>
        <w:t xml:space="preserve">ear </w:t>
      </w:r>
      <w:r w:rsidR="000F7254" w:rsidRPr="00D7674D">
        <w:rPr>
          <w:rFonts w:ascii="Book Antiqua" w:hAnsi="Book Antiqua"/>
        </w:rPr>
        <w:t>2019 GT&amp;S application (A.17</w:t>
      </w:r>
      <w:r w:rsidR="00FE5496">
        <w:rPr>
          <w:rFonts w:ascii="Book Antiqua" w:hAnsi="Book Antiqua"/>
        </w:rPr>
        <w:noBreakHyphen/>
      </w:r>
      <w:r w:rsidR="000F7254" w:rsidRPr="00D7674D">
        <w:rPr>
          <w:rFonts w:ascii="Book Antiqua" w:hAnsi="Book Antiqua"/>
        </w:rPr>
        <w:t>11</w:t>
      </w:r>
      <w:r w:rsidR="00FE5496">
        <w:rPr>
          <w:rFonts w:ascii="Book Antiqua" w:hAnsi="Book Antiqua"/>
        </w:rPr>
        <w:noBreakHyphen/>
      </w:r>
      <w:r w:rsidR="000F7254" w:rsidRPr="00D7674D">
        <w:rPr>
          <w:rFonts w:ascii="Book Antiqua" w:hAnsi="Book Antiqua"/>
        </w:rPr>
        <w:t>009</w:t>
      </w:r>
      <w:r w:rsidR="003C58B6" w:rsidRPr="00D7674D">
        <w:rPr>
          <w:rFonts w:ascii="Book Antiqua" w:hAnsi="Book Antiqua"/>
        </w:rPr>
        <w:t>)</w:t>
      </w:r>
      <w:r w:rsidR="00D7674D" w:rsidRPr="00D7674D">
        <w:rPr>
          <w:rFonts w:ascii="Book Antiqua" w:hAnsi="Book Antiqua"/>
        </w:rPr>
        <w:t xml:space="preserve"> </w:t>
      </w:r>
      <w:r w:rsidR="007839BE">
        <w:rPr>
          <w:rFonts w:ascii="Book Antiqua" w:hAnsi="Book Antiqua"/>
        </w:rPr>
        <w:t xml:space="preserve">in </w:t>
      </w:r>
      <w:bookmarkStart w:id="45" w:name="_Hlk19197424"/>
      <w:r w:rsidR="007839BE" w:rsidRPr="00D14898">
        <w:rPr>
          <w:rFonts w:ascii="Book Antiqua" w:hAnsi="Book Antiqua"/>
        </w:rPr>
        <w:t>D.19</w:t>
      </w:r>
      <w:r w:rsidR="00FE5496">
        <w:rPr>
          <w:rFonts w:ascii="Book Antiqua" w:hAnsi="Book Antiqua"/>
        </w:rPr>
        <w:noBreakHyphen/>
      </w:r>
      <w:r w:rsidR="007839BE" w:rsidRPr="00D14898">
        <w:rPr>
          <w:rFonts w:ascii="Book Antiqua" w:hAnsi="Book Antiqua"/>
        </w:rPr>
        <w:t>09</w:t>
      </w:r>
      <w:r w:rsidR="00FE5496">
        <w:rPr>
          <w:rFonts w:ascii="Book Antiqua" w:hAnsi="Book Antiqua"/>
        </w:rPr>
        <w:noBreakHyphen/>
      </w:r>
      <w:r w:rsidR="00C66B80">
        <w:rPr>
          <w:rFonts w:ascii="Book Antiqua" w:hAnsi="Book Antiqua"/>
        </w:rPr>
        <w:t>025</w:t>
      </w:r>
      <w:r w:rsidR="007839BE">
        <w:rPr>
          <w:rFonts w:ascii="Book Antiqua" w:hAnsi="Book Antiqua"/>
        </w:rPr>
        <w:t xml:space="preserve"> </w:t>
      </w:r>
      <w:bookmarkEnd w:id="45"/>
      <w:r w:rsidR="007839BE">
        <w:rPr>
          <w:rFonts w:ascii="Book Antiqua" w:hAnsi="Book Antiqua"/>
        </w:rPr>
        <w:t>and</w:t>
      </w:r>
      <w:r w:rsidR="000F7254" w:rsidRPr="00D7674D">
        <w:rPr>
          <w:rFonts w:ascii="Book Antiqua" w:hAnsi="Book Antiqua"/>
        </w:rPr>
        <w:t xml:space="preserve"> </w:t>
      </w:r>
      <w:r w:rsidR="007839BE">
        <w:rPr>
          <w:rFonts w:ascii="Book Antiqua" w:hAnsi="Book Antiqua"/>
        </w:rPr>
        <w:t xml:space="preserve">authorized </w:t>
      </w:r>
      <w:r w:rsidR="000F7254" w:rsidRPr="00D7674D">
        <w:rPr>
          <w:rFonts w:ascii="Book Antiqua" w:hAnsi="Book Antiqua"/>
        </w:rPr>
        <w:t>revenue requirements for 2019</w:t>
      </w:r>
      <w:r w:rsidR="00FE5496">
        <w:rPr>
          <w:rFonts w:ascii="Book Antiqua" w:hAnsi="Book Antiqua"/>
        </w:rPr>
        <w:noBreakHyphen/>
      </w:r>
      <w:r w:rsidR="000F7254" w:rsidRPr="00D7674D">
        <w:rPr>
          <w:rFonts w:ascii="Book Antiqua" w:hAnsi="Book Antiqua"/>
        </w:rPr>
        <w:t>2021</w:t>
      </w:r>
      <w:r>
        <w:rPr>
          <w:rFonts w:ascii="Book Antiqua" w:hAnsi="Book Antiqua"/>
        </w:rPr>
        <w:t xml:space="preserve">.  The </w:t>
      </w:r>
      <w:r w:rsidR="007839BE">
        <w:rPr>
          <w:rFonts w:ascii="Book Antiqua" w:hAnsi="Book Antiqua"/>
        </w:rPr>
        <w:t xml:space="preserve">Commission also added a third attrition year, 2022, and determined that the next </w:t>
      </w:r>
      <w:r w:rsidR="00EE408C">
        <w:rPr>
          <w:rFonts w:ascii="Book Antiqua" w:hAnsi="Book Antiqua"/>
        </w:rPr>
        <w:t>t</w:t>
      </w:r>
      <w:r w:rsidR="007839BE">
        <w:rPr>
          <w:rFonts w:ascii="Book Antiqua" w:hAnsi="Book Antiqua"/>
        </w:rPr>
        <w:t xml:space="preserve">est </w:t>
      </w:r>
      <w:r w:rsidR="00EE408C">
        <w:rPr>
          <w:rFonts w:ascii="Book Antiqua" w:hAnsi="Book Antiqua"/>
        </w:rPr>
        <w:t>y</w:t>
      </w:r>
      <w:r w:rsidR="007839BE">
        <w:rPr>
          <w:rFonts w:ascii="Book Antiqua" w:hAnsi="Book Antiqua"/>
        </w:rPr>
        <w:t xml:space="preserve">ear for </w:t>
      </w:r>
      <w:r w:rsidR="00EE408C">
        <w:rPr>
          <w:rFonts w:ascii="Book Antiqua" w:hAnsi="Book Antiqua"/>
        </w:rPr>
        <w:t xml:space="preserve">PG&amp;E’s </w:t>
      </w:r>
      <w:r w:rsidR="007839BE">
        <w:rPr>
          <w:rFonts w:ascii="Book Antiqua" w:hAnsi="Book Antiqua"/>
        </w:rPr>
        <w:t>GT&amp;S will be 2023</w:t>
      </w:r>
      <w:r w:rsidR="006021DB">
        <w:rPr>
          <w:rFonts w:ascii="Book Antiqua" w:hAnsi="Book Antiqua"/>
        </w:rPr>
        <w:t>.</w:t>
      </w:r>
      <w:r w:rsidR="003A7A62">
        <w:rPr>
          <w:rStyle w:val="FootnoteReference"/>
          <w:rFonts w:ascii="Book Antiqua" w:hAnsi="Book Antiqua"/>
        </w:rPr>
        <w:footnoteReference w:id="79"/>
      </w:r>
    </w:p>
    <w:p w14:paraId="61AC5238" w14:textId="57283618" w:rsidR="003C58B6" w:rsidRPr="006021DB" w:rsidRDefault="00A57125" w:rsidP="00FC75E8">
      <w:pPr>
        <w:pStyle w:val="standard0"/>
        <w:spacing w:after="120" w:line="240" w:lineRule="auto"/>
        <w:ind w:left="720" w:right="720" w:firstLine="0"/>
        <w:rPr>
          <w:rFonts w:ascii="Book Antiqua" w:hAnsi="Book Antiqua"/>
        </w:rPr>
      </w:pPr>
      <w:r w:rsidRPr="00A57125">
        <w:rPr>
          <w:rFonts w:ascii="Book Antiqua" w:hAnsi="Book Antiqua"/>
          <w:u w:val="single"/>
        </w:rPr>
        <w:t>Step 2</w:t>
      </w:r>
      <w:r>
        <w:rPr>
          <w:rFonts w:ascii="Book Antiqua" w:hAnsi="Book Antiqua"/>
        </w:rPr>
        <w:t>:  i</w:t>
      </w:r>
      <w:r w:rsidR="006021DB" w:rsidRPr="006021DB">
        <w:rPr>
          <w:rFonts w:ascii="Book Antiqua" w:hAnsi="Book Antiqua"/>
        </w:rPr>
        <w:t xml:space="preserve">n </w:t>
      </w:r>
      <w:r w:rsidR="000F7254" w:rsidRPr="006021DB">
        <w:rPr>
          <w:rFonts w:ascii="Book Antiqua" w:hAnsi="Book Antiqua"/>
        </w:rPr>
        <w:t xml:space="preserve">PG&amp;E’s pending </w:t>
      </w:r>
      <w:r w:rsidR="00EE408C">
        <w:rPr>
          <w:rFonts w:ascii="Book Antiqua" w:hAnsi="Book Antiqua"/>
        </w:rPr>
        <w:t>t</w:t>
      </w:r>
      <w:r w:rsidR="00EE408C" w:rsidRPr="006021DB">
        <w:rPr>
          <w:rFonts w:ascii="Book Antiqua" w:hAnsi="Book Antiqua"/>
        </w:rPr>
        <w:t xml:space="preserve">est </w:t>
      </w:r>
      <w:r w:rsidR="00EE408C">
        <w:rPr>
          <w:rFonts w:ascii="Book Antiqua" w:hAnsi="Book Antiqua"/>
        </w:rPr>
        <w:t>y</w:t>
      </w:r>
      <w:r w:rsidR="00EE408C" w:rsidRPr="006021DB">
        <w:rPr>
          <w:rFonts w:ascii="Book Antiqua" w:hAnsi="Book Antiqua"/>
        </w:rPr>
        <w:t xml:space="preserve">ear </w:t>
      </w:r>
      <w:r w:rsidR="00B702ED" w:rsidRPr="006021DB">
        <w:rPr>
          <w:rFonts w:ascii="Book Antiqua" w:hAnsi="Book Antiqua"/>
        </w:rPr>
        <w:t xml:space="preserve">2020 GRC application </w:t>
      </w:r>
      <w:r w:rsidR="006F3DF3">
        <w:rPr>
          <w:rFonts w:ascii="Book Antiqua" w:hAnsi="Book Antiqua"/>
        </w:rPr>
        <w:br/>
      </w:r>
      <w:r w:rsidR="00B702ED" w:rsidRPr="006021DB">
        <w:rPr>
          <w:rFonts w:ascii="Book Antiqua" w:hAnsi="Book Antiqua"/>
        </w:rPr>
        <w:t>(A.18</w:t>
      </w:r>
      <w:r w:rsidR="00FE5496">
        <w:rPr>
          <w:rFonts w:ascii="Book Antiqua" w:hAnsi="Book Antiqua"/>
        </w:rPr>
        <w:noBreakHyphen/>
      </w:r>
      <w:r w:rsidR="00B702ED" w:rsidRPr="006021DB">
        <w:rPr>
          <w:rFonts w:ascii="Book Antiqua" w:hAnsi="Book Antiqua"/>
        </w:rPr>
        <w:t>12</w:t>
      </w:r>
      <w:r w:rsidR="00FE5496">
        <w:rPr>
          <w:rFonts w:ascii="Book Antiqua" w:hAnsi="Book Antiqua"/>
        </w:rPr>
        <w:noBreakHyphen/>
      </w:r>
      <w:r w:rsidR="00B702ED" w:rsidRPr="006021DB">
        <w:rPr>
          <w:rFonts w:ascii="Book Antiqua" w:hAnsi="Book Antiqua"/>
        </w:rPr>
        <w:t>008</w:t>
      </w:r>
      <w:r w:rsidR="003C58B6" w:rsidRPr="006021DB">
        <w:rPr>
          <w:rFonts w:ascii="Book Antiqua" w:hAnsi="Book Antiqua"/>
        </w:rPr>
        <w:t>)</w:t>
      </w:r>
      <w:r w:rsidR="006021DB" w:rsidRPr="006021DB">
        <w:rPr>
          <w:rFonts w:ascii="Book Antiqua" w:hAnsi="Book Antiqua"/>
        </w:rPr>
        <w:t xml:space="preserve">, </w:t>
      </w:r>
      <w:r w:rsidR="00B702ED" w:rsidRPr="006021DB">
        <w:rPr>
          <w:rFonts w:ascii="Book Antiqua" w:hAnsi="Book Antiqua"/>
        </w:rPr>
        <w:t>PG&amp;E seeks approval of revenue requirements for 2020</w:t>
      </w:r>
      <w:r w:rsidR="00FE5496">
        <w:rPr>
          <w:rFonts w:ascii="Book Antiqua" w:hAnsi="Book Antiqua"/>
        </w:rPr>
        <w:noBreakHyphen/>
      </w:r>
      <w:r w:rsidR="00B702ED" w:rsidRPr="006021DB">
        <w:rPr>
          <w:rFonts w:ascii="Book Antiqua" w:hAnsi="Book Antiqua"/>
        </w:rPr>
        <w:t>2022</w:t>
      </w:r>
      <w:r w:rsidR="007839BE">
        <w:rPr>
          <w:rFonts w:ascii="Book Antiqua" w:hAnsi="Book Antiqua"/>
        </w:rPr>
        <w:t xml:space="preserve">, so </w:t>
      </w:r>
      <w:r w:rsidR="00C9431C" w:rsidRPr="006021DB">
        <w:rPr>
          <w:rFonts w:ascii="Book Antiqua" w:hAnsi="Book Antiqua"/>
        </w:rPr>
        <w:t>PG&amp;E’s</w:t>
      </w:r>
      <w:r w:rsidR="007839BE">
        <w:rPr>
          <w:rFonts w:ascii="Book Antiqua" w:hAnsi="Book Antiqua"/>
        </w:rPr>
        <w:t xml:space="preserve"> next GRC </w:t>
      </w:r>
      <w:r w:rsidR="00EE408C">
        <w:rPr>
          <w:rFonts w:ascii="Book Antiqua" w:hAnsi="Book Antiqua"/>
        </w:rPr>
        <w:t>t</w:t>
      </w:r>
      <w:r w:rsidR="007839BE">
        <w:rPr>
          <w:rFonts w:ascii="Book Antiqua" w:hAnsi="Book Antiqua"/>
        </w:rPr>
        <w:t xml:space="preserve">est </w:t>
      </w:r>
      <w:r w:rsidR="00EE408C">
        <w:rPr>
          <w:rFonts w:ascii="Book Antiqua" w:hAnsi="Book Antiqua"/>
        </w:rPr>
        <w:t>y</w:t>
      </w:r>
      <w:r w:rsidR="007839BE">
        <w:rPr>
          <w:rFonts w:ascii="Book Antiqua" w:hAnsi="Book Antiqua"/>
        </w:rPr>
        <w:t>ear will also be 2023.</w:t>
      </w:r>
    </w:p>
    <w:p w14:paraId="2ADB14C6" w14:textId="630C082F" w:rsidR="003C58B6" w:rsidRPr="000F7254" w:rsidRDefault="00A57125" w:rsidP="00FC75E8">
      <w:pPr>
        <w:pStyle w:val="standard0"/>
        <w:spacing w:after="120" w:line="240" w:lineRule="auto"/>
        <w:ind w:left="720" w:right="720" w:firstLine="0"/>
        <w:rPr>
          <w:rFonts w:ascii="Book Antiqua" w:hAnsi="Book Antiqua"/>
        </w:rPr>
      </w:pPr>
      <w:r w:rsidRPr="00A57125">
        <w:rPr>
          <w:rFonts w:ascii="Book Antiqua" w:hAnsi="Book Antiqua"/>
          <w:u w:val="single"/>
        </w:rPr>
        <w:t>Step 3</w:t>
      </w:r>
      <w:r>
        <w:rPr>
          <w:rFonts w:ascii="Book Antiqua" w:hAnsi="Book Antiqua"/>
        </w:rPr>
        <w:t xml:space="preserve">:  </w:t>
      </w:r>
      <w:r w:rsidR="006021DB">
        <w:rPr>
          <w:rFonts w:ascii="Book Antiqua" w:hAnsi="Book Antiqua"/>
        </w:rPr>
        <w:t>PG&amp;E</w:t>
      </w:r>
      <w:r w:rsidR="003C58B6" w:rsidRPr="000F7254">
        <w:rPr>
          <w:rFonts w:ascii="Book Antiqua" w:hAnsi="Book Antiqua"/>
        </w:rPr>
        <w:t xml:space="preserve"> </w:t>
      </w:r>
      <w:r w:rsidR="003C58B6">
        <w:rPr>
          <w:rFonts w:ascii="Book Antiqua" w:hAnsi="Book Antiqua"/>
        </w:rPr>
        <w:t>sh</w:t>
      </w:r>
      <w:r w:rsidR="000B637E">
        <w:rPr>
          <w:rFonts w:ascii="Book Antiqua" w:hAnsi="Book Antiqua"/>
        </w:rPr>
        <w:t>ould</w:t>
      </w:r>
      <w:r w:rsidR="003C58B6" w:rsidRPr="000F7254">
        <w:rPr>
          <w:rFonts w:ascii="Book Antiqua" w:hAnsi="Book Antiqua"/>
        </w:rPr>
        <w:t xml:space="preserve"> </w:t>
      </w:r>
      <w:r w:rsidR="007839BE" w:rsidRPr="0092213A">
        <w:rPr>
          <w:rFonts w:ascii="Book Antiqua" w:hAnsi="Book Antiqua"/>
        </w:rPr>
        <w:t xml:space="preserve"> initiat</w:t>
      </w:r>
      <w:r w:rsidR="0092213A">
        <w:rPr>
          <w:rFonts w:ascii="Book Antiqua" w:hAnsi="Book Antiqua"/>
        </w:rPr>
        <w:t>e</w:t>
      </w:r>
      <w:r w:rsidR="007839BE" w:rsidRPr="0092213A">
        <w:rPr>
          <w:rFonts w:ascii="Book Antiqua" w:hAnsi="Book Antiqua"/>
        </w:rPr>
        <w:t xml:space="preserve"> </w:t>
      </w:r>
      <w:r w:rsidR="006021DB" w:rsidRPr="0092213A">
        <w:rPr>
          <w:rFonts w:ascii="Book Antiqua" w:hAnsi="Book Antiqua"/>
        </w:rPr>
        <w:t>its next</w:t>
      </w:r>
      <w:r w:rsidR="003C58B6" w:rsidRPr="0092213A">
        <w:rPr>
          <w:rFonts w:ascii="Book Antiqua" w:hAnsi="Book Antiqua"/>
        </w:rPr>
        <w:t xml:space="preserve"> RAMP proceeding</w:t>
      </w:r>
      <w:r w:rsidR="003C58B6" w:rsidRPr="000F7254">
        <w:rPr>
          <w:rFonts w:ascii="Book Antiqua" w:hAnsi="Book Antiqua"/>
        </w:rPr>
        <w:t xml:space="preserve"> </w:t>
      </w:r>
      <w:r w:rsidR="006021DB">
        <w:rPr>
          <w:rFonts w:ascii="Book Antiqua" w:hAnsi="Book Antiqua"/>
        </w:rPr>
        <w:t xml:space="preserve">in </w:t>
      </w:r>
      <w:r w:rsidR="001717C8">
        <w:rPr>
          <w:rFonts w:ascii="Book Antiqua" w:hAnsi="Book Antiqua"/>
        </w:rPr>
        <w:t xml:space="preserve">June </w:t>
      </w:r>
      <w:r w:rsidR="006021DB">
        <w:rPr>
          <w:rFonts w:ascii="Book Antiqua" w:hAnsi="Book Antiqua"/>
        </w:rPr>
        <w:t>2020, and t</w:t>
      </w:r>
      <w:r w:rsidR="003C58B6" w:rsidRPr="000F7254">
        <w:rPr>
          <w:rFonts w:ascii="Book Antiqua" w:hAnsi="Book Antiqua"/>
        </w:rPr>
        <w:t xml:space="preserve">hat filing should examine </w:t>
      </w:r>
      <w:r w:rsidR="006021DB">
        <w:rPr>
          <w:rFonts w:ascii="Book Antiqua" w:hAnsi="Book Antiqua"/>
        </w:rPr>
        <w:t xml:space="preserve">all </w:t>
      </w:r>
      <w:r w:rsidR="003C58B6" w:rsidRPr="000F7254">
        <w:rPr>
          <w:rFonts w:ascii="Book Antiqua" w:hAnsi="Book Antiqua"/>
        </w:rPr>
        <w:t>the risks that are currently addressed separately in PG&amp;E’s GT&amp;S and GRC proceedings</w:t>
      </w:r>
      <w:r w:rsidR="006021DB">
        <w:rPr>
          <w:rFonts w:ascii="Book Antiqua" w:hAnsi="Book Antiqua"/>
        </w:rPr>
        <w:t>.</w:t>
      </w:r>
    </w:p>
    <w:p w14:paraId="31B8AF05" w14:textId="3181A1FD" w:rsidR="003C58B6" w:rsidRDefault="00A57125" w:rsidP="007C78CD">
      <w:pPr>
        <w:pStyle w:val="standard0"/>
        <w:spacing w:after="240" w:line="240" w:lineRule="auto"/>
        <w:ind w:left="720" w:right="720" w:firstLine="0"/>
        <w:rPr>
          <w:rFonts w:ascii="Book Antiqua" w:hAnsi="Book Antiqua"/>
        </w:rPr>
      </w:pPr>
      <w:r w:rsidRPr="008B0E15">
        <w:rPr>
          <w:rFonts w:ascii="Book Antiqua" w:hAnsi="Book Antiqua"/>
          <w:u w:val="single"/>
        </w:rPr>
        <w:t>Step 4</w:t>
      </w:r>
      <w:r w:rsidRPr="008B0E15">
        <w:rPr>
          <w:rFonts w:ascii="Book Antiqua" w:hAnsi="Book Antiqua"/>
        </w:rPr>
        <w:t>:  i</w:t>
      </w:r>
      <w:r w:rsidR="006F009E" w:rsidRPr="008B0E15">
        <w:rPr>
          <w:rFonts w:ascii="Book Antiqua" w:hAnsi="Book Antiqua"/>
        </w:rPr>
        <w:t xml:space="preserve">n </w:t>
      </w:r>
      <w:r w:rsidR="001717C8">
        <w:rPr>
          <w:rFonts w:ascii="Book Antiqua" w:hAnsi="Book Antiqua"/>
        </w:rPr>
        <w:t xml:space="preserve">June </w:t>
      </w:r>
      <w:r w:rsidR="006F009E" w:rsidRPr="008B0E15">
        <w:rPr>
          <w:rFonts w:ascii="Book Antiqua" w:hAnsi="Book Antiqua"/>
        </w:rPr>
        <w:t xml:space="preserve">2021 </w:t>
      </w:r>
      <w:r w:rsidR="00B702ED" w:rsidRPr="008B0E15">
        <w:rPr>
          <w:rFonts w:ascii="Book Antiqua" w:hAnsi="Book Antiqua"/>
        </w:rPr>
        <w:t xml:space="preserve">PG&amp;E </w:t>
      </w:r>
      <w:r w:rsidR="003C58B6" w:rsidRPr="008B0E15">
        <w:rPr>
          <w:rFonts w:ascii="Book Antiqua" w:hAnsi="Book Antiqua"/>
        </w:rPr>
        <w:t>shall</w:t>
      </w:r>
      <w:r w:rsidR="00B702ED" w:rsidRPr="008B0E15">
        <w:rPr>
          <w:rFonts w:ascii="Book Antiqua" w:hAnsi="Book Antiqua"/>
        </w:rPr>
        <w:t xml:space="preserve"> </w:t>
      </w:r>
      <w:bookmarkStart w:id="46" w:name="_Hlk21015944"/>
      <w:r w:rsidR="00B702ED" w:rsidRPr="008B0E15">
        <w:rPr>
          <w:rFonts w:ascii="Book Antiqua" w:hAnsi="Book Antiqua"/>
        </w:rPr>
        <w:t xml:space="preserve">file </w:t>
      </w:r>
      <w:r w:rsidR="003C58B6" w:rsidRPr="008B0E15">
        <w:rPr>
          <w:rFonts w:ascii="Book Antiqua" w:hAnsi="Book Antiqua"/>
        </w:rPr>
        <w:t xml:space="preserve">a single </w:t>
      </w:r>
      <w:r w:rsidR="000B637E" w:rsidRPr="008B0E15">
        <w:rPr>
          <w:rFonts w:ascii="Book Antiqua" w:hAnsi="Book Antiqua"/>
        </w:rPr>
        <w:t xml:space="preserve">“general rate case” </w:t>
      </w:r>
      <w:r w:rsidR="003C58B6" w:rsidRPr="008B0E15">
        <w:rPr>
          <w:rFonts w:ascii="Book Antiqua" w:hAnsi="Book Antiqua"/>
        </w:rPr>
        <w:t>application request</w:t>
      </w:r>
      <w:r w:rsidR="006F009E" w:rsidRPr="008B0E15">
        <w:rPr>
          <w:rFonts w:ascii="Book Antiqua" w:hAnsi="Book Antiqua"/>
        </w:rPr>
        <w:t>ing</w:t>
      </w:r>
      <w:r w:rsidR="003C58B6" w:rsidRPr="008B0E15">
        <w:rPr>
          <w:rFonts w:ascii="Book Antiqua" w:hAnsi="Book Antiqua"/>
        </w:rPr>
        <w:t xml:space="preserve"> </w:t>
      </w:r>
      <w:r w:rsidR="00EE408C" w:rsidRPr="008B0E15">
        <w:rPr>
          <w:rFonts w:ascii="Book Antiqua" w:hAnsi="Book Antiqua"/>
        </w:rPr>
        <w:t xml:space="preserve">integrated </w:t>
      </w:r>
      <w:r w:rsidR="006F009E" w:rsidRPr="008B0E15">
        <w:rPr>
          <w:rFonts w:ascii="Book Antiqua" w:hAnsi="Book Antiqua"/>
        </w:rPr>
        <w:t>GRC</w:t>
      </w:r>
      <w:r w:rsidR="00FE5496">
        <w:rPr>
          <w:rFonts w:ascii="Book Antiqua" w:hAnsi="Book Antiqua"/>
        </w:rPr>
        <w:noBreakHyphen/>
      </w:r>
      <w:r w:rsidR="006F009E" w:rsidRPr="008B0E15">
        <w:rPr>
          <w:rFonts w:ascii="Book Antiqua" w:hAnsi="Book Antiqua"/>
        </w:rPr>
        <w:t xml:space="preserve"> </w:t>
      </w:r>
      <w:r w:rsidR="003C58B6" w:rsidRPr="008B0E15">
        <w:rPr>
          <w:rFonts w:ascii="Book Antiqua" w:hAnsi="Book Antiqua"/>
        </w:rPr>
        <w:t xml:space="preserve">and </w:t>
      </w:r>
      <w:r w:rsidR="006F009E" w:rsidRPr="008B0E15">
        <w:rPr>
          <w:rFonts w:ascii="Book Antiqua" w:hAnsi="Book Antiqua"/>
        </w:rPr>
        <w:t>GT&amp;S</w:t>
      </w:r>
      <w:r w:rsidR="00FE5496">
        <w:rPr>
          <w:rFonts w:ascii="Book Antiqua" w:hAnsi="Book Antiqua"/>
        </w:rPr>
        <w:noBreakHyphen/>
      </w:r>
      <w:r w:rsidR="00EE408C" w:rsidRPr="008B0E15">
        <w:rPr>
          <w:rFonts w:ascii="Book Antiqua" w:hAnsi="Book Antiqua"/>
        </w:rPr>
        <w:t>related</w:t>
      </w:r>
      <w:r w:rsidR="003C58B6" w:rsidRPr="008B0E15">
        <w:rPr>
          <w:rFonts w:ascii="Book Antiqua" w:hAnsi="Book Antiqua"/>
        </w:rPr>
        <w:t xml:space="preserve"> revenue requirements for </w:t>
      </w:r>
      <w:r w:rsidR="00EE408C" w:rsidRPr="008B0E15">
        <w:rPr>
          <w:rFonts w:ascii="Book Antiqua" w:hAnsi="Book Antiqua"/>
        </w:rPr>
        <w:t xml:space="preserve">test year </w:t>
      </w:r>
      <w:r w:rsidR="003C58B6" w:rsidRPr="008B0E15">
        <w:rPr>
          <w:rFonts w:ascii="Book Antiqua" w:hAnsi="Book Antiqua"/>
        </w:rPr>
        <w:t>2023</w:t>
      </w:r>
      <w:r w:rsidR="000B637E" w:rsidRPr="008B0E15">
        <w:rPr>
          <w:rFonts w:ascii="Book Antiqua" w:hAnsi="Book Antiqua"/>
        </w:rPr>
        <w:t xml:space="preserve">, and </w:t>
      </w:r>
      <w:r w:rsidR="007839BE" w:rsidRPr="008B0E15">
        <w:rPr>
          <w:rFonts w:ascii="Book Antiqua" w:hAnsi="Book Antiqua"/>
        </w:rPr>
        <w:t xml:space="preserve">three </w:t>
      </w:r>
      <w:r w:rsidR="000B637E" w:rsidRPr="008B0E15">
        <w:rPr>
          <w:rFonts w:ascii="Book Antiqua" w:hAnsi="Book Antiqua"/>
        </w:rPr>
        <w:t>attrition years</w:t>
      </w:r>
      <w:bookmarkEnd w:id="46"/>
      <w:r w:rsidR="006021DB" w:rsidRPr="008B0E15">
        <w:rPr>
          <w:rFonts w:ascii="Book Antiqua" w:hAnsi="Book Antiqua"/>
        </w:rPr>
        <w:t>.</w:t>
      </w:r>
    </w:p>
    <w:p w14:paraId="2BB2FADF" w14:textId="3F68D811" w:rsidR="001717C8" w:rsidRDefault="001717C8" w:rsidP="001717C8">
      <w:pPr>
        <w:pStyle w:val="standard0"/>
        <w:rPr>
          <w:rFonts w:ascii="Book Antiqua" w:hAnsi="Book Antiqua"/>
        </w:rPr>
      </w:pPr>
      <w:r>
        <w:rPr>
          <w:rFonts w:ascii="Book Antiqua" w:hAnsi="Book Antiqua"/>
        </w:rPr>
        <w:t xml:space="preserve">In its comments on the PD, PG&amp;E provided additional detail regarding how to schedule the rate design and cost allocation issues that are traditionally addressed in Phase 2 of the GRC.  PG&amp;E notes that </w:t>
      </w:r>
      <w:r w:rsidRPr="001717C8">
        <w:rPr>
          <w:rFonts w:ascii="Book Antiqua" w:hAnsi="Book Antiqua"/>
        </w:rPr>
        <w:t xml:space="preserve">the </w:t>
      </w:r>
      <w:r>
        <w:rPr>
          <w:rFonts w:ascii="Book Antiqua" w:hAnsi="Book Antiqua"/>
        </w:rPr>
        <w:t>RCP requires utilities to file</w:t>
      </w:r>
      <w:r w:rsidRPr="001717C8">
        <w:rPr>
          <w:rFonts w:ascii="Book Antiqua" w:hAnsi="Book Antiqua"/>
        </w:rPr>
        <w:t xml:space="preserve"> the</w:t>
      </w:r>
      <w:r>
        <w:rPr>
          <w:rFonts w:ascii="Book Antiqua" w:hAnsi="Book Antiqua"/>
        </w:rPr>
        <w:t>ir</w:t>
      </w:r>
      <w:r w:rsidRPr="001717C8">
        <w:rPr>
          <w:rFonts w:ascii="Book Antiqua" w:hAnsi="Book Antiqua"/>
        </w:rPr>
        <w:t xml:space="preserve"> Phase 2 application 90 days after the filing of the Phase 1 application</w:t>
      </w:r>
      <w:r>
        <w:rPr>
          <w:rFonts w:ascii="Book Antiqua" w:hAnsi="Book Antiqua"/>
        </w:rPr>
        <w:t>, but suggests “[t]</w:t>
      </w:r>
      <w:r w:rsidRPr="001717C8">
        <w:rPr>
          <w:rFonts w:ascii="Book Antiqua" w:hAnsi="Book Antiqua"/>
        </w:rPr>
        <w:t>his deadline has proven to be unrealistic in recent years.</w:t>
      </w:r>
      <w:r>
        <w:rPr>
          <w:rFonts w:ascii="Book Antiqua" w:hAnsi="Book Antiqua"/>
        </w:rPr>
        <w:t>”</w:t>
      </w:r>
      <w:r>
        <w:rPr>
          <w:rStyle w:val="FootnoteReference"/>
          <w:rFonts w:ascii="Book Antiqua" w:hAnsi="Book Antiqua"/>
        </w:rPr>
        <w:footnoteReference w:id="80"/>
      </w:r>
      <w:r w:rsidRPr="001717C8">
        <w:rPr>
          <w:rFonts w:ascii="Book Antiqua" w:hAnsi="Book Antiqua"/>
        </w:rPr>
        <w:t xml:space="preserve">  </w:t>
      </w:r>
      <w:r w:rsidR="002A2B0C">
        <w:rPr>
          <w:rFonts w:ascii="Book Antiqua" w:hAnsi="Book Antiqua"/>
        </w:rPr>
        <w:t xml:space="preserve">We </w:t>
      </w:r>
      <w:r w:rsidR="002A2B0C">
        <w:rPr>
          <w:rFonts w:ascii="Book Antiqua" w:hAnsi="Book Antiqua"/>
        </w:rPr>
        <w:lastRenderedPageBreak/>
        <w:t xml:space="preserve">also clarify that </w:t>
      </w:r>
      <w:r w:rsidR="002A2B0C" w:rsidRPr="002A2B0C">
        <w:rPr>
          <w:rFonts w:ascii="Book Antiqua" w:hAnsi="Book Antiqua"/>
        </w:rPr>
        <w:t>PG&amp;E</w:t>
      </w:r>
      <w:r w:rsidR="002A2B0C">
        <w:rPr>
          <w:rFonts w:ascii="Book Antiqua" w:hAnsi="Book Antiqua"/>
        </w:rPr>
        <w:t xml:space="preserve"> is not required to file its</w:t>
      </w:r>
      <w:r w:rsidR="002A2B0C" w:rsidRPr="002A2B0C">
        <w:rPr>
          <w:rFonts w:ascii="Book Antiqua" w:hAnsi="Book Antiqua"/>
        </w:rPr>
        <w:t xml:space="preserve"> gas cost allocation applications </w:t>
      </w:r>
      <w:r w:rsidR="002A2B0C">
        <w:rPr>
          <w:rFonts w:ascii="Book Antiqua" w:hAnsi="Book Antiqua"/>
        </w:rPr>
        <w:t>on any</w:t>
      </w:r>
      <w:r w:rsidR="002A2B0C" w:rsidRPr="002A2B0C">
        <w:rPr>
          <w:rFonts w:ascii="Book Antiqua" w:hAnsi="Book Antiqua"/>
        </w:rPr>
        <w:t xml:space="preserve"> set schedule</w:t>
      </w:r>
      <w:r w:rsidR="002A2B0C">
        <w:rPr>
          <w:rFonts w:ascii="Book Antiqua" w:hAnsi="Book Antiqua"/>
        </w:rPr>
        <w:t>.  On October 24, 201</w:t>
      </w:r>
      <w:r w:rsidR="008D0090">
        <w:rPr>
          <w:rFonts w:ascii="Book Antiqua" w:hAnsi="Book Antiqua"/>
        </w:rPr>
        <w:t>9</w:t>
      </w:r>
      <w:r w:rsidR="002A2B0C">
        <w:rPr>
          <w:rFonts w:ascii="Book Antiqua" w:hAnsi="Book Antiqua"/>
        </w:rPr>
        <w:t xml:space="preserve"> the Commission adopted D.19</w:t>
      </w:r>
      <w:r w:rsidR="00FE5496">
        <w:rPr>
          <w:rFonts w:ascii="Book Antiqua" w:hAnsi="Book Antiqua"/>
        </w:rPr>
        <w:noBreakHyphen/>
      </w:r>
      <w:r w:rsidR="002A2B0C">
        <w:rPr>
          <w:rFonts w:ascii="Book Antiqua" w:hAnsi="Book Antiqua"/>
        </w:rPr>
        <w:t>10</w:t>
      </w:r>
      <w:r w:rsidR="00FE5496">
        <w:rPr>
          <w:rFonts w:ascii="Book Antiqua" w:hAnsi="Book Antiqua"/>
        </w:rPr>
        <w:noBreakHyphen/>
      </w:r>
      <w:r w:rsidR="002A2B0C">
        <w:rPr>
          <w:rFonts w:ascii="Book Antiqua" w:hAnsi="Book Antiqua"/>
        </w:rPr>
        <w:t xml:space="preserve">036 in PG&amp;E’s 2017 GCAP proceeding.  Pursuant to Ordering Paragraph 12 of that decision, PG&amp;E shall file </w:t>
      </w:r>
      <w:r w:rsidR="002A2B0C" w:rsidRPr="002A2B0C">
        <w:rPr>
          <w:rFonts w:ascii="Book Antiqua" w:hAnsi="Book Antiqua"/>
        </w:rPr>
        <w:t>future GCAP applications in three</w:t>
      </w:r>
      <w:r w:rsidR="00FE5496">
        <w:rPr>
          <w:rFonts w:ascii="Book Antiqua" w:hAnsi="Book Antiqua"/>
        </w:rPr>
        <w:noBreakHyphen/>
      </w:r>
      <w:r w:rsidR="002A2B0C" w:rsidRPr="002A2B0C">
        <w:rPr>
          <w:rFonts w:ascii="Book Antiqua" w:hAnsi="Book Antiqua"/>
        </w:rPr>
        <w:t xml:space="preserve"> to five</w:t>
      </w:r>
      <w:r w:rsidR="00FE5496">
        <w:rPr>
          <w:rFonts w:ascii="Book Antiqua" w:hAnsi="Book Antiqua"/>
        </w:rPr>
        <w:noBreakHyphen/>
      </w:r>
      <w:r w:rsidR="002A2B0C" w:rsidRPr="002A2B0C">
        <w:rPr>
          <w:rFonts w:ascii="Book Antiqua" w:hAnsi="Book Antiqua"/>
        </w:rPr>
        <w:t>year cycles.</w:t>
      </w:r>
    </w:p>
    <w:p w14:paraId="3AEA4F1B" w14:textId="749A55E1" w:rsidR="002A2B0C" w:rsidRDefault="002A2B0C" w:rsidP="003640F5">
      <w:pPr>
        <w:pStyle w:val="standard0"/>
        <w:rPr>
          <w:rFonts w:ascii="Book Antiqua" w:hAnsi="Book Antiqua"/>
        </w:rPr>
      </w:pPr>
      <w:r>
        <w:rPr>
          <w:rFonts w:ascii="Book Antiqua" w:hAnsi="Book Antiqua"/>
        </w:rPr>
        <w:t xml:space="preserve">We agree with PG&amp;E that, because this </w:t>
      </w:r>
      <w:r w:rsidR="00551271">
        <w:rPr>
          <w:rFonts w:ascii="Book Antiqua" w:hAnsi="Book Antiqua"/>
        </w:rPr>
        <w:t xml:space="preserve">rulemaking </w:t>
      </w:r>
      <w:r>
        <w:rPr>
          <w:rFonts w:ascii="Book Antiqua" w:hAnsi="Book Antiqua"/>
        </w:rPr>
        <w:t xml:space="preserve">proceeding focused on Phase 1 of the GRCs, </w:t>
      </w:r>
      <w:bookmarkStart w:id="47" w:name="_Hlk23706833"/>
      <w:r>
        <w:rPr>
          <w:rFonts w:ascii="Book Antiqua" w:hAnsi="Book Antiqua"/>
        </w:rPr>
        <w:t>we would benefit from a more robust record on</w:t>
      </w:r>
      <w:r w:rsidR="007456E6">
        <w:rPr>
          <w:rFonts w:ascii="Book Antiqua" w:hAnsi="Book Antiqua"/>
        </w:rPr>
        <w:t xml:space="preserve"> whether to modify the filing requirements for Phase 2 applications.  </w:t>
      </w:r>
      <w:bookmarkEnd w:id="47"/>
      <w:r w:rsidR="007456E6">
        <w:rPr>
          <w:rFonts w:ascii="Book Antiqua" w:hAnsi="Book Antiqua"/>
        </w:rPr>
        <w:t>As PG&amp;E suggests, we have added that topic to the workshops listed later in this decision.  In the meantime, however, D.07</w:t>
      </w:r>
      <w:r w:rsidR="00FE5496">
        <w:rPr>
          <w:rFonts w:ascii="Book Antiqua" w:hAnsi="Book Antiqua"/>
        </w:rPr>
        <w:noBreakHyphen/>
      </w:r>
      <w:r w:rsidR="007456E6">
        <w:rPr>
          <w:rFonts w:ascii="Book Antiqua" w:hAnsi="Book Antiqua"/>
        </w:rPr>
        <w:t>07</w:t>
      </w:r>
      <w:r w:rsidR="00FE5496">
        <w:rPr>
          <w:rFonts w:ascii="Book Antiqua" w:hAnsi="Book Antiqua"/>
        </w:rPr>
        <w:noBreakHyphen/>
      </w:r>
      <w:r w:rsidR="007456E6">
        <w:rPr>
          <w:rFonts w:ascii="Book Antiqua" w:hAnsi="Book Antiqua"/>
        </w:rPr>
        <w:t>004 and D.19</w:t>
      </w:r>
      <w:r w:rsidR="00FE5496">
        <w:rPr>
          <w:rFonts w:ascii="Book Antiqua" w:hAnsi="Book Antiqua"/>
        </w:rPr>
        <w:noBreakHyphen/>
      </w:r>
      <w:r w:rsidR="007456E6">
        <w:rPr>
          <w:rFonts w:ascii="Book Antiqua" w:hAnsi="Book Antiqua"/>
        </w:rPr>
        <w:t>10</w:t>
      </w:r>
      <w:r w:rsidR="00FE5496">
        <w:rPr>
          <w:rFonts w:ascii="Book Antiqua" w:hAnsi="Book Antiqua"/>
        </w:rPr>
        <w:noBreakHyphen/>
      </w:r>
      <w:r w:rsidR="007456E6">
        <w:rPr>
          <w:rFonts w:ascii="Book Antiqua" w:hAnsi="Book Antiqua"/>
        </w:rPr>
        <w:t>036 remain in effect so each utility should follow the procedural vehicles provided in the Commission’s Rules if it cannot meet the deadlines required by those decisions.</w:t>
      </w:r>
      <w:r w:rsidR="007456E6">
        <w:rPr>
          <w:rStyle w:val="FootnoteReference"/>
          <w:rFonts w:ascii="Book Antiqua" w:hAnsi="Book Antiqua"/>
        </w:rPr>
        <w:footnoteReference w:id="81"/>
      </w:r>
    </w:p>
    <w:p w14:paraId="151F2A69" w14:textId="06F81EEC" w:rsidR="00B702ED" w:rsidRDefault="00B702ED" w:rsidP="00FE5496">
      <w:pPr>
        <w:pStyle w:val="Heading2"/>
      </w:pPr>
      <w:bookmarkStart w:id="48" w:name="_Toc27490093"/>
      <w:bookmarkStart w:id="49" w:name="_Toc13244196"/>
      <w:bookmarkStart w:id="50" w:name="_Toc20998450"/>
      <w:bookmarkStart w:id="51" w:name="_Toc29817394"/>
      <w:bookmarkEnd w:id="48"/>
      <w:r>
        <w:t xml:space="preserve">Moving the Due Date for </w:t>
      </w:r>
      <w:r w:rsidR="007839BE">
        <w:t xml:space="preserve">the </w:t>
      </w:r>
      <w:r w:rsidR="003933C4">
        <w:t>Public Advocates Office</w:t>
      </w:r>
      <w:r w:rsidRPr="007B3FD1">
        <w:t xml:space="preserve">’s </w:t>
      </w:r>
      <w:r>
        <w:t>O</w:t>
      </w:r>
      <w:r w:rsidRPr="007B3FD1">
        <w:t xml:space="preserve">pening </w:t>
      </w:r>
      <w:r>
        <w:t>T</w:t>
      </w:r>
      <w:r w:rsidRPr="007B3FD1">
        <w:t>estimony</w:t>
      </w:r>
      <w:bookmarkEnd w:id="49"/>
      <w:bookmarkEnd w:id="50"/>
      <w:bookmarkEnd w:id="51"/>
    </w:p>
    <w:p w14:paraId="67AABE95" w14:textId="52ABED71" w:rsidR="00F0251C" w:rsidRDefault="00A76961" w:rsidP="00B702ED">
      <w:pPr>
        <w:pStyle w:val="standard0"/>
        <w:rPr>
          <w:rFonts w:ascii="Book Antiqua" w:hAnsi="Book Antiqua"/>
        </w:rPr>
      </w:pPr>
      <w:r w:rsidRPr="000F7254">
        <w:rPr>
          <w:rFonts w:ascii="Book Antiqua" w:hAnsi="Book Antiqua"/>
        </w:rPr>
        <w:t xml:space="preserve">The Staff Report </w:t>
      </w:r>
      <w:r w:rsidR="00B702ED" w:rsidRPr="000F7254">
        <w:rPr>
          <w:rFonts w:ascii="Book Antiqua" w:hAnsi="Book Antiqua"/>
        </w:rPr>
        <w:t>recommends that the Commission modify the RCP schedule established in D.14</w:t>
      </w:r>
      <w:r w:rsidR="00FE5496">
        <w:rPr>
          <w:rFonts w:ascii="Book Antiqua" w:hAnsi="Book Antiqua"/>
        </w:rPr>
        <w:noBreakHyphen/>
      </w:r>
      <w:r w:rsidR="00B702ED" w:rsidRPr="000F7254">
        <w:rPr>
          <w:rFonts w:ascii="Book Antiqua" w:hAnsi="Book Antiqua"/>
        </w:rPr>
        <w:t>12</w:t>
      </w:r>
      <w:r w:rsidR="00FE5496">
        <w:rPr>
          <w:rFonts w:ascii="Book Antiqua" w:hAnsi="Book Antiqua"/>
        </w:rPr>
        <w:noBreakHyphen/>
      </w:r>
      <w:r w:rsidR="00B702ED" w:rsidRPr="000F7254">
        <w:rPr>
          <w:rFonts w:ascii="Book Antiqua" w:hAnsi="Book Antiqua"/>
        </w:rPr>
        <w:t xml:space="preserve">025 to move the due date for </w:t>
      </w:r>
      <w:r w:rsidR="00C35ADA">
        <w:rPr>
          <w:rFonts w:ascii="Book Antiqua" w:hAnsi="Book Antiqua"/>
        </w:rPr>
        <w:t xml:space="preserve">the </w:t>
      </w:r>
      <w:r w:rsidR="003933C4">
        <w:rPr>
          <w:rFonts w:ascii="Book Antiqua" w:hAnsi="Book Antiqua"/>
        </w:rPr>
        <w:t>Public Advocates Office</w:t>
      </w:r>
      <w:r w:rsidR="00B702ED" w:rsidRPr="000F7254">
        <w:rPr>
          <w:rFonts w:ascii="Book Antiqua" w:hAnsi="Book Antiqua"/>
        </w:rPr>
        <w:t xml:space="preserve">’s </w:t>
      </w:r>
      <w:r w:rsidR="002B378F">
        <w:rPr>
          <w:rFonts w:ascii="Book Antiqua" w:hAnsi="Book Antiqua"/>
        </w:rPr>
        <w:t xml:space="preserve">testimony from </w:t>
      </w:r>
      <w:r w:rsidR="00B702ED" w:rsidRPr="000F7254">
        <w:rPr>
          <w:rFonts w:ascii="Book Antiqua" w:hAnsi="Book Antiqua"/>
        </w:rPr>
        <w:t>February 20</w:t>
      </w:r>
      <w:r w:rsidR="00B702ED" w:rsidRPr="000F7254">
        <w:rPr>
          <w:rFonts w:ascii="Book Antiqua" w:hAnsi="Book Antiqua"/>
          <w:vertAlign w:val="superscript"/>
        </w:rPr>
        <w:t>th</w:t>
      </w:r>
      <w:r w:rsidR="00B702ED" w:rsidRPr="000F7254">
        <w:rPr>
          <w:rFonts w:ascii="Book Antiqua" w:hAnsi="Book Antiqua"/>
        </w:rPr>
        <w:t xml:space="preserve"> to </w:t>
      </w:r>
      <w:r w:rsidR="009E2F4D">
        <w:rPr>
          <w:rFonts w:ascii="Book Antiqua" w:hAnsi="Book Antiqua"/>
        </w:rPr>
        <w:t xml:space="preserve">“early </w:t>
      </w:r>
      <w:r w:rsidR="00B702ED" w:rsidRPr="000F7254">
        <w:rPr>
          <w:rFonts w:ascii="Book Antiqua" w:hAnsi="Book Antiqua"/>
        </w:rPr>
        <w:t>April</w:t>
      </w:r>
      <w:r w:rsidR="009E2F4D">
        <w:rPr>
          <w:rFonts w:ascii="Book Antiqua" w:hAnsi="Book Antiqua"/>
        </w:rPr>
        <w:t>”</w:t>
      </w:r>
      <w:r w:rsidR="002B378F">
        <w:rPr>
          <w:rFonts w:ascii="Book Antiqua" w:hAnsi="Book Antiqua"/>
        </w:rPr>
        <w:t xml:space="preserve"> of the year prior to the test year.</w:t>
      </w:r>
      <w:r w:rsidR="009E2F4D">
        <w:rPr>
          <w:rStyle w:val="FootnoteReference"/>
          <w:rFonts w:ascii="Book Antiqua" w:hAnsi="Book Antiqua"/>
        </w:rPr>
        <w:footnoteReference w:id="82"/>
      </w:r>
      <w:r w:rsidR="00B702ED" w:rsidRPr="000F7254">
        <w:rPr>
          <w:rFonts w:ascii="Book Antiqua" w:hAnsi="Book Antiqua"/>
        </w:rPr>
        <w:t xml:space="preserve">  </w:t>
      </w:r>
      <w:r w:rsidR="000B637E">
        <w:rPr>
          <w:rFonts w:ascii="Book Antiqua" w:hAnsi="Book Antiqua"/>
        </w:rPr>
        <w:t>T</w:t>
      </w:r>
      <w:r w:rsidR="000B637E" w:rsidRPr="000F7254">
        <w:rPr>
          <w:rFonts w:ascii="Book Antiqua" w:hAnsi="Book Antiqua"/>
        </w:rPr>
        <w:t>he Staff Report</w:t>
      </w:r>
      <w:r w:rsidR="000B637E">
        <w:rPr>
          <w:rFonts w:ascii="Book Antiqua" w:hAnsi="Book Antiqua"/>
        </w:rPr>
        <w:t xml:space="preserve"> demonstrated that the February deadline is not realistic, because </w:t>
      </w:r>
      <w:r w:rsidR="00C35ADA">
        <w:rPr>
          <w:rFonts w:ascii="Book Antiqua" w:hAnsi="Book Antiqua"/>
        </w:rPr>
        <w:t xml:space="preserve">the </w:t>
      </w:r>
      <w:r w:rsidR="003933C4">
        <w:rPr>
          <w:rFonts w:ascii="Book Antiqua" w:hAnsi="Book Antiqua"/>
        </w:rPr>
        <w:t>Public Advocates Office</w:t>
      </w:r>
      <w:r w:rsidR="000B637E" w:rsidRPr="000F7254">
        <w:rPr>
          <w:rFonts w:ascii="Book Antiqua" w:hAnsi="Book Antiqua"/>
        </w:rPr>
        <w:t xml:space="preserve"> </w:t>
      </w:r>
      <w:r w:rsidR="000B637E">
        <w:rPr>
          <w:rFonts w:ascii="Book Antiqua" w:hAnsi="Book Antiqua"/>
        </w:rPr>
        <w:t xml:space="preserve">simply </w:t>
      </w:r>
      <w:r w:rsidR="000B637E" w:rsidRPr="000F7254">
        <w:rPr>
          <w:rFonts w:ascii="Book Antiqua" w:hAnsi="Book Antiqua"/>
        </w:rPr>
        <w:t xml:space="preserve">cannot complete its comprehensive review of the utility application by that date.  </w:t>
      </w:r>
      <w:r w:rsidR="00B702ED" w:rsidRPr="000F7254">
        <w:rPr>
          <w:rFonts w:ascii="Book Antiqua" w:hAnsi="Book Antiqua"/>
        </w:rPr>
        <w:t xml:space="preserve">Staff agrees that </w:t>
      </w:r>
      <w:r w:rsidR="000B637E">
        <w:rPr>
          <w:rFonts w:ascii="Book Antiqua" w:hAnsi="Book Antiqua"/>
        </w:rPr>
        <w:t xml:space="preserve">a later date </w:t>
      </w:r>
      <w:r w:rsidR="00B702ED" w:rsidRPr="000F7254">
        <w:rPr>
          <w:rFonts w:ascii="Book Antiqua" w:hAnsi="Book Antiqua"/>
        </w:rPr>
        <w:t xml:space="preserve">is needed to give </w:t>
      </w:r>
      <w:r w:rsidR="00C35ADA">
        <w:rPr>
          <w:rFonts w:ascii="Book Antiqua" w:hAnsi="Book Antiqua"/>
        </w:rPr>
        <w:t xml:space="preserve">the </w:t>
      </w:r>
      <w:r w:rsidR="003933C4">
        <w:rPr>
          <w:rFonts w:ascii="Book Antiqua" w:hAnsi="Book Antiqua"/>
        </w:rPr>
        <w:t>Public Advocates Office</w:t>
      </w:r>
      <w:r w:rsidR="00B702ED" w:rsidRPr="000F7254">
        <w:rPr>
          <w:rFonts w:ascii="Book Antiqua" w:hAnsi="Book Antiqua"/>
        </w:rPr>
        <w:t xml:space="preserve"> sufficient time to </w:t>
      </w:r>
      <w:r w:rsidR="000B637E">
        <w:rPr>
          <w:rFonts w:ascii="Book Antiqua" w:hAnsi="Book Antiqua"/>
        </w:rPr>
        <w:t xml:space="preserve">complete </w:t>
      </w:r>
      <w:r w:rsidR="00B702ED" w:rsidRPr="000F7254">
        <w:rPr>
          <w:rFonts w:ascii="Book Antiqua" w:hAnsi="Book Antiqua"/>
        </w:rPr>
        <w:t>discovery and prepare its testimony.</w:t>
      </w:r>
      <w:r w:rsidR="00B702ED" w:rsidRPr="000F7254">
        <w:rPr>
          <w:rStyle w:val="FootnoteReference"/>
          <w:rFonts w:ascii="Book Antiqua" w:hAnsi="Book Antiqua"/>
        </w:rPr>
        <w:footnoteReference w:id="83"/>
      </w:r>
      <w:r w:rsidR="00B702ED" w:rsidRPr="000F7254">
        <w:rPr>
          <w:rFonts w:ascii="Book Antiqua" w:hAnsi="Book Antiqua"/>
        </w:rPr>
        <w:t xml:space="preserve">  </w:t>
      </w:r>
    </w:p>
    <w:p w14:paraId="1C5E3C10" w14:textId="1B61DDA0" w:rsidR="00B702ED" w:rsidRDefault="00B702ED" w:rsidP="00B702ED">
      <w:pPr>
        <w:pStyle w:val="standard0"/>
        <w:rPr>
          <w:rFonts w:ascii="Book Antiqua" w:hAnsi="Book Antiqua"/>
        </w:rPr>
      </w:pPr>
      <w:r w:rsidRPr="000F7254">
        <w:rPr>
          <w:rFonts w:ascii="Book Antiqua" w:hAnsi="Book Antiqua"/>
        </w:rPr>
        <w:lastRenderedPageBreak/>
        <w:t xml:space="preserve">Other parties </w:t>
      </w:r>
      <w:r w:rsidR="000B637E">
        <w:rPr>
          <w:rFonts w:ascii="Book Antiqua" w:hAnsi="Book Antiqua"/>
        </w:rPr>
        <w:t xml:space="preserve">offer qualified </w:t>
      </w:r>
      <w:r w:rsidRPr="000F7254">
        <w:rPr>
          <w:rFonts w:ascii="Book Antiqua" w:hAnsi="Book Antiqua"/>
        </w:rPr>
        <w:t xml:space="preserve">support </w:t>
      </w:r>
      <w:r w:rsidR="000B637E">
        <w:rPr>
          <w:rFonts w:ascii="Book Antiqua" w:hAnsi="Book Antiqua"/>
        </w:rPr>
        <w:t>for an April</w:t>
      </w:r>
      <w:r w:rsidRPr="000F7254">
        <w:rPr>
          <w:rFonts w:ascii="Book Antiqua" w:hAnsi="Book Antiqua"/>
        </w:rPr>
        <w:t xml:space="preserve"> due date</w:t>
      </w:r>
      <w:r w:rsidR="000B637E">
        <w:rPr>
          <w:rFonts w:ascii="Book Antiqua" w:hAnsi="Book Antiqua"/>
        </w:rPr>
        <w:t xml:space="preserve">.  First, </w:t>
      </w:r>
      <w:r w:rsidRPr="000F7254">
        <w:rPr>
          <w:rFonts w:ascii="Book Antiqua" w:hAnsi="Book Antiqua"/>
        </w:rPr>
        <w:t xml:space="preserve">PG&amp;E recommends that the Commission </w:t>
      </w:r>
      <w:r w:rsidR="002910AF">
        <w:rPr>
          <w:rFonts w:ascii="Book Antiqua" w:hAnsi="Book Antiqua"/>
        </w:rPr>
        <w:t>make an additional</w:t>
      </w:r>
      <w:r w:rsidRPr="000F7254">
        <w:rPr>
          <w:rFonts w:ascii="Book Antiqua" w:hAnsi="Book Antiqua"/>
        </w:rPr>
        <w:t xml:space="preserve"> modif</w:t>
      </w:r>
      <w:r w:rsidR="002910AF">
        <w:rPr>
          <w:rFonts w:ascii="Book Antiqua" w:hAnsi="Book Antiqua"/>
        </w:rPr>
        <w:t>ication to</w:t>
      </w:r>
      <w:r w:rsidRPr="000F7254">
        <w:rPr>
          <w:rFonts w:ascii="Book Antiqua" w:hAnsi="Book Antiqua"/>
        </w:rPr>
        <w:t xml:space="preserve"> the RCP </w:t>
      </w:r>
      <w:r w:rsidR="002910AF">
        <w:rPr>
          <w:rFonts w:ascii="Book Antiqua" w:hAnsi="Book Antiqua"/>
        </w:rPr>
        <w:t xml:space="preserve">so </w:t>
      </w:r>
      <w:r w:rsidRPr="000F7254">
        <w:rPr>
          <w:rFonts w:ascii="Book Antiqua" w:hAnsi="Book Antiqua"/>
        </w:rPr>
        <w:t>t</w:t>
      </w:r>
      <w:r w:rsidR="002910AF">
        <w:rPr>
          <w:rFonts w:ascii="Book Antiqua" w:hAnsi="Book Antiqua"/>
        </w:rPr>
        <w:t>hat</w:t>
      </w:r>
      <w:r w:rsidRPr="000F7254">
        <w:rPr>
          <w:rFonts w:ascii="Book Antiqua" w:hAnsi="Book Antiqua"/>
        </w:rPr>
        <w:t xml:space="preserve"> the IOUs</w:t>
      </w:r>
      <w:r w:rsidR="002910AF">
        <w:rPr>
          <w:rFonts w:ascii="Book Antiqua" w:hAnsi="Book Antiqua"/>
        </w:rPr>
        <w:t>’</w:t>
      </w:r>
      <w:r w:rsidRPr="000F7254">
        <w:rPr>
          <w:rFonts w:ascii="Book Antiqua" w:hAnsi="Book Antiqua"/>
        </w:rPr>
        <w:t xml:space="preserve"> approved revenue requirements become automatically effective </w:t>
      </w:r>
      <w:r w:rsidR="002910AF" w:rsidRPr="000F7254">
        <w:rPr>
          <w:rFonts w:ascii="Book Antiqua" w:hAnsi="Book Antiqua"/>
        </w:rPr>
        <w:t>on January 1</w:t>
      </w:r>
      <w:r w:rsidR="002910AF" w:rsidRPr="000F7254">
        <w:rPr>
          <w:rFonts w:ascii="Book Antiqua" w:hAnsi="Book Antiqua"/>
          <w:vertAlign w:val="superscript"/>
        </w:rPr>
        <w:t>st</w:t>
      </w:r>
      <w:r w:rsidR="002910AF" w:rsidRPr="000F7254">
        <w:rPr>
          <w:rFonts w:ascii="Book Antiqua" w:hAnsi="Book Antiqua"/>
        </w:rPr>
        <w:t xml:space="preserve"> of the test year</w:t>
      </w:r>
      <w:r w:rsidR="002910AF">
        <w:rPr>
          <w:rFonts w:ascii="Book Antiqua" w:hAnsi="Book Antiqua"/>
        </w:rPr>
        <w:t>, regardless of when the Commission issues its final decision on the application</w:t>
      </w:r>
      <w:r w:rsidRPr="000F7254">
        <w:rPr>
          <w:rFonts w:ascii="Book Antiqua" w:hAnsi="Book Antiqua"/>
        </w:rPr>
        <w:t>.</w:t>
      </w:r>
      <w:r w:rsidRPr="000F7254">
        <w:rPr>
          <w:rStyle w:val="FootnoteReference"/>
          <w:rFonts w:ascii="Book Antiqua" w:hAnsi="Book Antiqua"/>
        </w:rPr>
        <w:footnoteReference w:id="84"/>
      </w:r>
      <w:r w:rsidRPr="000F7254">
        <w:rPr>
          <w:rFonts w:ascii="Book Antiqua" w:hAnsi="Book Antiqua"/>
        </w:rPr>
        <w:t xml:space="preserve">  </w:t>
      </w:r>
      <w:r w:rsidR="000B637E">
        <w:rPr>
          <w:rFonts w:ascii="Book Antiqua" w:hAnsi="Book Antiqua"/>
        </w:rPr>
        <w:t xml:space="preserve">Second, </w:t>
      </w:r>
      <w:r w:rsidRPr="000F7254">
        <w:rPr>
          <w:rFonts w:ascii="Book Antiqua" w:hAnsi="Book Antiqua"/>
        </w:rPr>
        <w:t xml:space="preserve">SCE emphasizes that </w:t>
      </w:r>
      <w:r w:rsidR="002910AF">
        <w:rPr>
          <w:rFonts w:ascii="Book Antiqua" w:hAnsi="Book Antiqua"/>
        </w:rPr>
        <w:t>a</w:t>
      </w:r>
      <w:r w:rsidRPr="000F7254">
        <w:rPr>
          <w:rFonts w:ascii="Book Antiqua" w:hAnsi="Book Antiqua"/>
        </w:rPr>
        <w:t xml:space="preserve"> revised April deadline must be considered a firm date for receiving </w:t>
      </w:r>
      <w:r w:rsidR="00C35ADA">
        <w:rPr>
          <w:rFonts w:ascii="Book Antiqua" w:hAnsi="Book Antiqua"/>
        </w:rPr>
        <w:t xml:space="preserve">the </w:t>
      </w:r>
      <w:r w:rsidR="003933C4">
        <w:rPr>
          <w:rFonts w:ascii="Book Antiqua" w:hAnsi="Book Antiqua"/>
        </w:rPr>
        <w:t>Public Advocates Office</w:t>
      </w:r>
      <w:r w:rsidR="002910AF">
        <w:rPr>
          <w:rFonts w:ascii="Book Antiqua" w:hAnsi="Book Antiqua"/>
        </w:rPr>
        <w:t>’</w:t>
      </w:r>
      <w:r w:rsidRPr="000F7254">
        <w:rPr>
          <w:rFonts w:ascii="Book Antiqua" w:hAnsi="Book Antiqua"/>
        </w:rPr>
        <w:t xml:space="preserve">s testimony, “rather than a new starting point from which </w:t>
      </w:r>
      <w:r w:rsidR="00C35ADA">
        <w:rPr>
          <w:rFonts w:ascii="Book Antiqua" w:hAnsi="Book Antiqua"/>
        </w:rPr>
        <w:t xml:space="preserve">[the </w:t>
      </w:r>
      <w:r w:rsidR="003933C4">
        <w:rPr>
          <w:rFonts w:ascii="Book Antiqua" w:hAnsi="Book Antiqua"/>
        </w:rPr>
        <w:t>Public Advocates Office</w:t>
      </w:r>
      <w:r w:rsidR="00C35ADA">
        <w:rPr>
          <w:rFonts w:ascii="Book Antiqua" w:hAnsi="Book Antiqua"/>
        </w:rPr>
        <w:t>]</w:t>
      </w:r>
      <w:r w:rsidRPr="000F7254">
        <w:rPr>
          <w:rFonts w:ascii="Book Antiqua" w:hAnsi="Book Antiqua"/>
        </w:rPr>
        <w:t xml:space="preserve"> can readily seek additional extensions.”</w:t>
      </w:r>
      <w:r w:rsidRPr="000F7254">
        <w:rPr>
          <w:rStyle w:val="FootnoteReference"/>
          <w:rFonts w:ascii="Book Antiqua" w:hAnsi="Book Antiqua"/>
        </w:rPr>
        <w:footnoteReference w:id="85"/>
      </w:r>
      <w:r w:rsidRPr="000F7254">
        <w:rPr>
          <w:rFonts w:ascii="Book Antiqua" w:hAnsi="Book Antiqua"/>
        </w:rPr>
        <w:t xml:space="preserve">  </w:t>
      </w:r>
      <w:r w:rsidR="000B637E">
        <w:rPr>
          <w:rFonts w:ascii="Book Antiqua" w:hAnsi="Book Antiqua"/>
        </w:rPr>
        <w:t xml:space="preserve">Third, </w:t>
      </w:r>
      <w:r w:rsidRPr="000F7254">
        <w:rPr>
          <w:rFonts w:ascii="Book Antiqua" w:hAnsi="Book Antiqua"/>
        </w:rPr>
        <w:t xml:space="preserve">SDG&amp;E and SoCalGas recommend that if </w:t>
      </w:r>
      <w:r w:rsidR="00C35ADA">
        <w:rPr>
          <w:rFonts w:ascii="Book Antiqua" w:hAnsi="Book Antiqua"/>
        </w:rPr>
        <w:t xml:space="preserve">the </w:t>
      </w:r>
      <w:r w:rsidR="003933C4">
        <w:rPr>
          <w:rFonts w:ascii="Book Antiqua" w:hAnsi="Book Antiqua"/>
        </w:rPr>
        <w:t>Public Advocates Office</w:t>
      </w:r>
      <w:r w:rsidRPr="000F7254">
        <w:rPr>
          <w:rFonts w:ascii="Book Antiqua" w:hAnsi="Book Antiqua"/>
        </w:rPr>
        <w:t>’s due date is moved to April 1</w:t>
      </w:r>
      <w:r w:rsidRPr="000F7254">
        <w:rPr>
          <w:rFonts w:ascii="Book Antiqua" w:hAnsi="Book Antiqua"/>
          <w:vertAlign w:val="superscript"/>
        </w:rPr>
        <w:t>st</w:t>
      </w:r>
      <w:r w:rsidRPr="000F7254">
        <w:rPr>
          <w:rFonts w:ascii="Book Antiqua" w:hAnsi="Book Antiqua"/>
        </w:rPr>
        <w:t>, then all intervenors should serve testimony no later than April 21 as Staff proposed:  “[t]he Rate Case Plan should always attempt to conclude a GRC application before the Test Year begins.”</w:t>
      </w:r>
      <w:r w:rsidRPr="000F7254">
        <w:rPr>
          <w:rStyle w:val="FootnoteReference"/>
          <w:rFonts w:ascii="Book Antiqua" w:hAnsi="Book Antiqua"/>
        </w:rPr>
        <w:footnoteReference w:id="86"/>
      </w:r>
    </w:p>
    <w:p w14:paraId="6632F4CC" w14:textId="5655C7C1" w:rsidR="000B637E" w:rsidRDefault="002910AF" w:rsidP="000B637E">
      <w:pPr>
        <w:pStyle w:val="standard0"/>
        <w:rPr>
          <w:rFonts w:ascii="Book Antiqua" w:hAnsi="Book Antiqua"/>
        </w:rPr>
      </w:pPr>
      <w:r>
        <w:rPr>
          <w:rFonts w:ascii="Book Antiqua" w:hAnsi="Book Antiqua"/>
        </w:rPr>
        <w:t>We agree that the RCP schedule adopted in D.14</w:t>
      </w:r>
      <w:r w:rsidR="00FE5496">
        <w:rPr>
          <w:rFonts w:ascii="Book Antiqua" w:hAnsi="Book Antiqua"/>
        </w:rPr>
        <w:noBreakHyphen/>
      </w:r>
      <w:r>
        <w:rPr>
          <w:rFonts w:ascii="Book Antiqua" w:hAnsi="Book Antiqua"/>
        </w:rPr>
        <w:t>12</w:t>
      </w:r>
      <w:r w:rsidR="00FE5496">
        <w:rPr>
          <w:rFonts w:ascii="Book Antiqua" w:hAnsi="Book Antiqua"/>
        </w:rPr>
        <w:noBreakHyphen/>
      </w:r>
      <w:r>
        <w:rPr>
          <w:rFonts w:ascii="Book Antiqua" w:hAnsi="Book Antiqua"/>
        </w:rPr>
        <w:t>0</w:t>
      </w:r>
      <w:r w:rsidR="00CA63BA">
        <w:rPr>
          <w:rFonts w:ascii="Book Antiqua" w:hAnsi="Book Antiqua"/>
        </w:rPr>
        <w:t>2</w:t>
      </w:r>
      <w:r>
        <w:rPr>
          <w:rFonts w:ascii="Book Antiqua" w:hAnsi="Book Antiqua"/>
        </w:rPr>
        <w:t xml:space="preserve">5 should be modified to provide </w:t>
      </w:r>
      <w:r w:rsidR="00C35ADA">
        <w:rPr>
          <w:rFonts w:ascii="Book Antiqua" w:hAnsi="Book Antiqua"/>
        </w:rPr>
        <w:t xml:space="preserve">the </w:t>
      </w:r>
      <w:r w:rsidR="003933C4">
        <w:rPr>
          <w:rFonts w:ascii="Book Antiqua" w:hAnsi="Book Antiqua"/>
        </w:rPr>
        <w:t>Public Advocates Office</w:t>
      </w:r>
      <w:r>
        <w:rPr>
          <w:rFonts w:ascii="Book Antiqua" w:hAnsi="Book Antiqua"/>
        </w:rPr>
        <w:t xml:space="preserve"> with additional time to prepare and serve its testimony.  </w:t>
      </w:r>
      <w:r w:rsidR="00C35ADA">
        <w:rPr>
          <w:rFonts w:ascii="Book Antiqua" w:hAnsi="Book Antiqua"/>
        </w:rPr>
        <w:t xml:space="preserve">The </w:t>
      </w:r>
      <w:r w:rsidR="003933C4">
        <w:rPr>
          <w:rFonts w:ascii="Book Antiqua" w:hAnsi="Book Antiqua"/>
        </w:rPr>
        <w:t>Public Advocates Office</w:t>
      </w:r>
      <w:r w:rsidR="000B637E">
        <w:rPr>
          <w:rFonts w:ascii="Book Antiqua" w:hAnsi="Book Antiqua"/>
        </w:rPr>
        <w:t xml:space="preserve">’s testimony and recommendations are an indispensable element of all energy utility GRCs, </w:t>
      </w:r>
      <w:r w:rsidR="00C35ADA">
        <w:rPr>
          <w:rFonts w:ascii="Book Antiqua" w:hAnsi="Book Antiqua"/>
        </w:rPr>
        <w:t>which</w:t>
      </w:r>
      <w:r w:rsidR="000B637E">
        <w:rPr>
          <w:rFonts w:ascii="Book Antiqua" w:hAnsi="Book Antiqua"/>
        </w:rPr>
        <w:t xml:space="preserve"> the Commission relies upon extensively as part of its own evaluation of a utility’s requests.  </w:t>
      </w:r>
      <w:r w:rsidR="00C35ADA">
        <w:rPr>
          <w:rFonts w:ascii="Book Antiqua" w:hAnsi="Book Antiqua"/>
        </w:rPr>
        <w:t xml:space="preserve">The </w:t>
      </w:r>
      <w:r w:rsidR="003933C4">
        <w:rPr>
          <w:rFonts w:ascii="Book Antiqua" w:hAnsi="Book Antiqua"/>
        </w:rPr>
        <w:t>Public Advocates Office</w:t>
      </w:r>
      <w:r w:rsidR="000B637E">
        <w:rPr>
          <w:rFonts w:ascii="Book Antiqua" w:hAnsi="Book Antiqua"/>
        </w:rPr>
        <w:t xml:space="preserve"> is usually the only party that offers a complete alternative to the utility’s requested revenue </w:t>
      </w:r>
      <w:r w:rsidR="00A445F8">
        <w:rPr>
          <w:rFonts w:ascii="Book Antiqua" w:hAnsi="Book Antiqua"/>
        </w:rPr>
        <w:t>requirement</w:t>
      </w:r>
      <w:r w:rsidR="000B637E">
        <w:rPr>
          <w:rFonts w:ascii="Book Antiqua" w:hAnsi="Book Antiqua"/>
        </w:rPr>
        <w:t xml:space="preserve">, meaning that </w:t>
      </w:r>
      <w:r w:rsidR="00C35ADA">
        <w:rPr>
          <w:rFonts w:ascii="Book Antiqua" w:hAnsi="Book Antiqua"/>
        </w:rPr>
        <w:t xml:space="preserve">the </w:t>
      </w:r>
      <w:r w:rsidR="003933C4">
        <w:rPr>
          <w:rFonts w:ascii="Book Antiqua" w:hAnsi="Book Antiqua"/>
        </w:rPr>
        <w:t>Public Advocates Office</w:t>
      </w:r>
      <w:r w:rsidR="000B637E">
        <w:rPr>
          <w:rFonts w:ascii="Book Antiqua" w:hAnsi="Book Antiqua"/>
        </w:rPr>
        <w:t xml:space="preserve"> runs the RO model based on its own recommendations and calculates its recommended revenue requirement in the </w:t>
      </w:r>
      <w:r w:rsidR="000B637E">
        <w:rPr>
          <w:rFonts w:ascii="Book Antiqua" w:hAnsi="Book Antiqua"/>
        </w:rPr>
        <w:lastRenderedPageBreak/>
        <w:t>same format as presented in the utility’s application and testimony (</w:t>
      </w:r>
      <w:r w:rsidR="000B637E" w:rsidRPr="00AD49B3">
        <w:rPr>
          <w:rFonts w:ascii="Book Antiqua" w:hAnsi="Book Antiqua"/>
          <w:i/>
          <w:iCs/>
        </w:rPr>
        <w:t>e.g.,</w:t>
      </w:r>
      <w:r w:rsidR="000B637E">
        <w:rPr>
          <w:rFonts w:ascii="Book Antiqua" w:hAnsi="Book Antiqua"/>
        </w:rPr>
        <w:t xml:space="preserve"> operati</w:t>
      </w:r>
      <w:r w:rsidR="00C35ADA">
        <w:rPr>
          <w:rFonts w:ascii="Book Antiqua" w:hAnsi="Book Antiqua"/>
        </w:rPr>
        <w:t>on</w:t>
      </w:r>
      <w:r w:rsidR="000B637E">
        <w:rPr>
          <w:rFonts w:ascii="Book Antiqua" w:hAnsi="Book Antiqua"/>
        </w:rPr>
        <w:t xml:space="preserve"> and maintenance expenses, depreciation expenses, tax expenses and return on ratebase).  This provides the Commission with a fully realized alternative to consider.  The other intervenors </w:t>
      </w:r>
      <w:r w:rsidR="00D2559F">
        <w:rPr>
          <w:rFonts w:ascii="Book Antiqua" w:hAnsi="Book Antiqua"/>
        </w:rPr>
        <w:t xml:space="preserve">typically </w:t>
      </w:r>
      <w:r w:rsidR="000B637E">
        <w:rPr>
          <w:rFonts w:ascii="Book Antiqua" w:hAnsi="Book Antiqua"/>
        </w:rPr>
        <w:t xml:space="preserve">lack the resources of </w:t>
      </w:r>
      <w:r w:rsidR="00251E7F">
        <w:rPr>
          <w:rFonts w:ascii="Book Antiqua" w:hAnsi="Book Antiqua"/>
        </w:rPr>
        <w:t xml:space="preserve">the </w:t>
      </w:r>
      <w:r w:rsidR="003933C4">
        <w:rPr>
          <w:rFonts w:ascii="Book Antiqua" w:hAnsi="Book Antiqua"/>
        </w:rPr>
        <w:t>Public Advocates Office</w:t>
      </w:r>
      <w:r w:rsidR="000B637E">
        <w:rPr>
          <w:rFonts w:ascii="Book Antiqua" w:hAnsi="Book Antiqua"/>
        </w:rPr>
        <w:t xml:space="preserve"> and </w:t>
      </w:r>
      <w:r w:rsidR="00D2559F">
        <w:rPr>
          <w:rFonts w:ascii="Book Antiqua" w:hAnsi="Book Antiqua"/>
        </w:rPr>
        <w:t xml:space="preserve">generally </w:t>
      </w:r>
      <w:r w:rsidR="000B637E">
        <w:rPr>
          <w:rFonts w:ascii="Book Antiqua" w:hAnsi="Book Antiqua"/>
        </w:rPr>
        <w:t xml:space="preserve">cannot evaluate the entire utility request.  Instead, they focus on specific issues and do not present an alternative total revenue requirement as </w:t>
      </w:r>
      <w:r w:rsidR="00251E7F">
        <w:rPr>
          <w:rFonts w:ascii="Book Antiqua" w:hAnsi="Book Antiqua"/>
        </w:rPr>
        <w:t xml:space="preserve">the </w:t>
      </w:r>
      <w:r w:rsidR="003933C4">
        <w:rPr>
          <w:rFonts w:ascii="Book Antiqua" w:hAnsi="Book Antiqua"/>
        </w:rPr>
        <w:t>Public Advocates Office</w:t>
      </w:r>
      <w:r w:rsidR="000B637E">
        <w:rPr>
          <w:rFonts w:ascii="Book Antiqua" w:hAnsi="Book Antiqua"/>
        </w:rPr>
        <w:t xml:space="preserve"> does.  Th</w:t>
      </w:r>
      <w:r w:rsidR="00A445F8">
        <w:rPr>
          <w:rFonts w:ascii="Book Antiqua" w:hAnsi="Book Antiqua"/>
        </w:rPr>
        <w:t>is more</w:t>
      </w:r>
      <w:r w:rsidR="00FE5496">
        <w:rPr>
          <w:rFonts w:ascii="Book Antiqua" w:hAnsi="Book Antiqua"/>
        </w:rPr>
        <w:noBreakHyphen/>
      </w:r>
      <w:r w:rsidR="000B637E">
        <w:rPr>
          <w:rFonts w:ascii="Book Antiqua" w:hAnsi="Book Antiqua"/>
        </w:rPr>
        <w:t xml:space="preserve">focused intervenor testimony is no less helpful to the Commission, but our point here is that any changes to the RCP </w:t>
      </w:r>
      <w:r w:rsidR="00A445F8">
        <w:rPr>
          <w:rFonts w:ascii="Book Antiqua" w:hAnsi="Book Antiqua"/>
        </w:rPr>
        <w:t xml:space="preserve">schedule </w:t>
      </w:r>
      <w:r w:rsidR="000B637E">
        <w:rPr>
          <w:rFonts w:ascii="Book Antiqua" w:hAnsi="Book Antiqua"/>
        </w:rPr>
        <w:t xml:space="preserve">should be supportive of </w:t>
      </w:r>
      <w:r w:rsidR="00251E7F">
        <w:rPr>
          <w:rFonts w:ascii="Book Antiqua" w:hAnsi="Book Antiqua"/>
        </w:rPr>
        <w:t xml:space="preserve">the </w:t>
      </w:r>
      <w:r w:rsidR="003933C4">
        <w:rPr>
          <w:rFonts w:ascii="Book Antiqua" w:hAnsi="Book Antiqua"/>
        </w:rPr>
        <w:t>Public Advocates Office</w:t>
      </w:r>
      <w:r w:rsidR="000B637E">
        <w:rPr>
          <w:rFonts w:ascii="Book Antiqua" w:hAnsi="Book Antiqua"/>
        </w:rPr>
        <w:t>’s task.</w:t>
      </w:r>
    </w:p>
    <w:p w14:paraId="4BE61EC9" w14:textId="3C85DEDB" w:rsidR="002910AF" w:rsidRDefault="00A445F8" w:rsidP="00B702ED">
      <w:pPr>
        <w:pStyle w:val="standard0"/>
        <w:rPr>
          <w:rFonts w:ascii="Book Antiqua" w:hAnsi="Book Antiqua"/>
        </w:rPr>
      </w:pPr>
      <w:r>
        <w:rPr>
          <w:rFonts w:ascii="Book Antiqua" w:hAnsi="Book Antiqua"/>
        </w:rPr>
        <w:t xml:space="preserve">The revised RCP schedule we adopt in this decision provides the additional time </w:t>
      </w:r>
      <w:r w:rsidR="00251E7F">
        <w:rPr>
          <w:rFonts w:ascii="Book Antiqua" w:hAnsi="Book Antiqua"/>
        </w:rPr>
        <w:t xml:space="preserve">the </w:t>
      </w:r>
      <w:r w:rsidR="003933C4">
        <w:rPr>
          <w:rFonts w:ascii="Book Antiqua" w:hAnsi="Book Antiqua"/>
        </w:rPr>
        <w:t>Public Advocates Office</w:t>
      </w:r>
      <w:r w:rsidR="002910AF">
        <w:rPr>
          <w:rFonts w:ascii="Book Antiqua" w:hAnsi="Book Antiqua"/>
        </w:rPr>
        <w:t xml:space="preserve"> requests.  We also agree that </w:t>
      </w:r>
      <w:r w:rsidR="00251E7F">
        <w:rPr>
          <w:rFonts w:ascii="Book Antiqua" w:hAnsi="Book Antiqua"/>
        </w:rPr>
        <w:t xml:space="preserve">the </w:t>
      </w:r>
      <w:r w:rsidR="003933C4">
        <w:rPr>
          <w:rFonts w:ascii="Book Antiqua" w:hAnsi="Book Antiqua"/>
        </w:rPr>
        <w:t>Public Advocates Office</w:t>
      </w:r>
      <w:r w:rsidR="002910AF">
        <w:rPr>
          <w:rFonts w:ascii="Book Antiqua" w:hAnsi="Book Antiqua"/>
        </w:rPr>
        <w:t xml:space="preserve"> should treat this date as a firm deadline</w:t>
      </w:r>
      <w:r>
        <w:rPr>
          <w:rFonts w:ascii="Book Antiqua" w:hAnsi="Book Antiqua"/>
        </w:rPr>
        <w:t xml:space="preserve"> that is unlikely to be extended in future GRC proceedings.  </w:t>
      </w:r>
      <w:r w:rsidR="00251E7F">
        <w:rPr>
          <w:rFonts w:ascii="Book Antiqua" w:hAnsi="Book Antiqua"/>
        </w:rPr>
        <w:t>Indeed, h</w:t>
      </w:r>
      <w:r w:rsidR="002910AF">
        <w:rPr>
          <w:rFonts w:ascii="Book Antiqua" w:hAnsi="Book Antiqua"/>
        </w:rPr>
        <w:t xml:space="preserve">aving </w:t>
      </w:r>
      <w:r>
        <w:rPr>
          <w:rFonts w:ascii="Book Antiqua" w:hAnsi="Book Antiqua"/>
        </w:rPr>
        <w:t>granted</w:t>
      </w:r>
      <w:r w:rsidR="002910AF">
        <w:rPr>
          <w:rFonts w:ascii="Book Antiqua" w:hAnsi="Book Antiqua"/>
        </w:rPr>
        <w:t xml:space="preserve"> </w:t>
      </w:r>
      <w:r w:rsidR="00251E7F">
        <w:rPr>
          <w:rFonts w:ascii="Book Antiqua" w:hAnsi="Book Antiqua"/>
        </w:rPr>
        <w:t xml:space="preserve">the </w:t>
      </w:r>
      <w:r w:rsidR="003933C4">
        <w:rPr>
          <w:rFonts w:ascii="Book Antiqua" w:hAnsi="Book Antiqua"/>
        </w:rPr>
        <w:t>Public Advocates Office</w:t>
      </w:r>
      <w:r w:rsidR="002910AF">
        <w:rPr>
          <w:rFonts w:ascii="Book Antiqua" w:hAnsi="Book Antiqua"/>
        </w:rPr>
        <w:t xml:space="preserve">’s </w:t>
      </w:r>
      <w:r>
        <w:rPr>
          <w:rFonts w:ascii="Book Antiqua" w:hAnsi="Book Antiqua"/>
        </w:rPr>
        <w:t xml:space="preserve">request </w:t>
      </w:r>
      <w:r w:rsidR="002910AF">
        <w:rPr>
          <w:rFonts w:ascii="Book Antiqua" w:hAnsi="Book Antiqua"/>
        </w:rPr>
        <w:t xml:space="preserve">here, we do not expect </w:t>
      </w:r>
      <w:r w:rsidR="00251E7F">
        <w:rPr>
          <w:rFonts w:ascii="Book Antiqua" w:hAnsi="Book Antiqua"/>
        </w:rPr>
        <w:t>they</w:t>
      </w:r>
      <w:r w:rsidR="002910AF">
        <w:rPr>
          <w:rFonts w:ascii="Book Antiqua" w:hAnsi="Book Antiqua"/>
        </w:rPr>
        <w:t xml:space="preserve"> will seek extensions in future proceedings.</w:t>
      </w:r>
    </w:p>
    <w:p w14:paraId="76C347A7" w14:textId="4C6D7F20" w:rsidR="00393D4E" w:rsidRDefault="00393D4E" w:rsidP="00B702ED">
      <w:pPr>
        <w:pStyle w:val="standard0"/>
        <w:rPr>
          <w:rFonts w:ascii="Book Antiqua" w:hAnsi="Book Antiqua"/>
        </w:rPr>
      </w:pPr>
      <w:r>
        <w:rPr>
          <w:rFonts w:ascii="Book Antiqua" w:hAnsi="Book Antiqua"/>
        </w:rPr>
        <w:t xml:space="preserve">Several parties suggested in their comments </w:t>
      </w:r>
      <w:r w:rsidR="005410A8">
        <w:rPr>
          <w:rFonts w:ascii="Book Antiqua" w:hAnsi="Book Antiqua"/>
        </w:rPr>
        <w:t xml:space="preserve">or reply comments </w:t>
      </w:r>
      <w:r>
        <w:rPr>
          <w:rFonts w:ascii="Book Antiqua" w:hAnsi="Book Antiqua"/>
        </w:rPr>
        <w:t xml:space="preserve">on the PD that the RCP schedule </w:t>
      </w:r>
      <w:r w:rsidR="005410A8">
        <w:rPr>
          <w:rFonts w:ascii="Book Antiqua" w:hAnsi="Book Antiqua"/>
        </w:rPr>
        <w:t xml:space="preserve">could </w:t>
      </w:r>
      <w:r>
        <w:rPr>
          <w:rFonts w:ascii="Book Antiqua" w:hAnsi="Book Antiqua"/>
        </w:rPr>
        <w:t xml:space="preserve">also be revised </w:t>
      </w:r>
      <w:r w:rsidR="005410A8">
        <w:rPr>
          <w:rFonts w:ascii="Book Antiqua" w:hAnsi="Book Antiqua"/>
        </w:rPr>
        <w:t>to require</w:t>
      </w:r>
      <w:r>
        <w:rPr>
          <w:rFonts w:ascii="Book Antiqua" w:hAnsi="Book Antiqua"/>
        </w:rPr>
        <w:t xml:space="preserve"> that all intervenor testimony be served on the same day as the Public Advocates Office, rather than several weeks later as is the case today.</w:t>
      </w:r>
      <w:r w:rsidR="005410A8">
        <w:rPr>
          <w:rStyle w:val="FootnoteReference"/>
          <w:rFonts w:ascii="Book Antiqua" w:hAnsi="Book Antiqua"/>
        </w:rPr>
        <w:footnoteReference w:id="87"/>
      </w:r>
      <w:r>
        <w:rPr>
          <w:rFonts w:ascii="Book Antiqua" w:hAnsi="Book Antiqua"/>
        </w:rPr>
        <w:t xml:space="preserve">  </w:t>
      </w:r>
      <w:r w:rsidR="005410A8">
        <w:rPr>
          <w:rFonts w:ascii="Book Antiqua" w:hAnsi="Book Antiqua"/>
        </w:rPr>
        <w:t xml:space="preserve">TURN provides a useful discussion of the pros and cons of </w:t>
      </w:r>
      <w:r w:rsidR="00551271">
        <w:rPr>
          <w:rFonts w:ascii="Book Antiqua" w:hAnsi="Book Antiqua"/>
        </w:rPr>
        <w:t>eliminating</w:t>
      </w:r>
      <w:r w:rsidR="005410A8">
        <w:rPr>
          <w:rFonts w:ascii="Book Antiqua" w:hAnsi="Book Antiqua"/>
        </w:rPr>
        <w:t xml:space="preserve"> the staggered deadlines, from the perspective of the intervenors.  On balance, we find that moving to a single due date for the Public Advocates Office and intervenor testimony will improve the overall </w:t>
      </w:r>
      <w:r w:rsidR="005410A8">
        <w:rPr>
          <w:rFonts w:ascii="Book Antiqua" w:hAnsi="Book Antiqua"/>
        </w:rPr>
        <w:lastRenderedPageBreak/>
        <w:t xml:space="preserve">efficiency of future GRCs.  We are somewhat more optimistic than TURN that all parties will be able to coordinate their testimony as needed, and </w:t>
      </w:r>
      <w:r w:rsidR="00551271">
        <w:rPr>
          <w:rFonts w:ascii="Book Antiqua" w:hAnsi="Book Antiqua"/>
        </w:rPr>
        <w:t xml:space="preserve">we note that </w:t>
      </w:r>
      <w:r w:rsidR="005410A8">
        <w:rPr>
          <w:rFonts w:ascii="Book Antiqua" w:hAnsi="Book Antiqua"/>
        </w:rPr>
        <w:t>the GRC record also typically includes a joint comparison exhibit that compares the positions of parties.  Therefore, this modification of the RCP schedule is included in the revised schedule adopted in this decision.</w:t>
      </w:r>
    </w:p>
    <w:p w14:paraId="5637D557" w14:textId="3AE6126F" w:rsidR="004762AA" w:rsidRDefault="002910AF" w:rsidP="008A6F64">
      <w:pPr>
        <w:pStyle w:val="standard0"/>
        <w:rPr>
          <w:rFonts w:ascii="Arial" w:hAnsi="Arial" w:cs="Arial"/>
          <w:b/>
          <w:szCs w:val="26"/>
        </w:rPr>
      </w:pPr>
      <w:r w:rsidRPr="0092213A">
        <w:rPr>
          <w:rFonts w:ascii="Book Antiqua" w:hAnsi="Book Antiqua"/>
        </w:rPr>
        <w:t xml:space="preserve">We do not adopt PG&amp;E’s request </w:t>
      </w:r>
      <w:r w:rsidR="001505F7" w:rsidRPr="0092213A">
        <w:rPr>
          <w:rFonts w:ascii="Book Antiqua" w:hAnsi="Book Antiqua"/>
        </w:rPr>
        <w:t xml:space="preserve">to modify the RCP to provide that a utility’s GRC application shall automatically have an effective date of January 1 of the test year.  Every GRC application has its own unique aspects, and we should maintain the flexibility to approve effective dates with consideration of whatever circumstances may </w:t>
      </w:r>
      <w:r w:rsidR="00A445F8" w:rsidRPr="0092213A">
        <w:rPr>
          <w:rFonts w:ascii="Book Antiqua" w:hAnsi="Book Antiqua"/>
        </w:rPr>
        <w:t>present themselves</w:t>
      </w:r>
      <w:r w:rsidR="001505F7" w:rsidRPr="0092213A">
        <w:rPr>
          <w:rFonts w:ascii="Book Antiqua" w:hAnsi="Book Antiqua"/>
        </w:rPr>
        <w:t xml:space="preserve"> during any particular GRC proceeding. </w:t>
      </w:r>
      <w:bookmarkStart w:id="52" w:name="_Toc13244197"/>
      <w:r w:rsidR="00285E65">
        <w:rPr>
          <w:rFonts w:ascii="Book Antiqua" w:hAnsi="Book Antiqua"/>
        </w:rPr>
        <w:t xml:space="preserve"> </w:t>
      </w:r>
    </w:p>
    <w:p w14:paraId="37006005" w14:textId="77777777" w:rsidR="00B702ED" w:rsidRDefault="00171F3F" w:rsidP="00FE5496">
      <w:pPr>
        <w:pStyle w:val="Heading2"/>
      </w:pPr>
      <w:bookmarkStart w:id="53" w:name="_Toc20998451"/>
      <w:bookmarkStart w:id="54" w:name="_Toc29817395"/>
      <w:r>
        <w:t xml:space="preserve">Adopted </w:t>
      </w:r>
      <w:r w:rsidR="007C503D" w:rsidRPr="007C503D">
        <w:t>Revisions to</w:t>
      </w:r>
      <w:r w:rsidR="00B702ED">
        <w:t xml:space="preserve"> Rate Case Plan</w:t>
      </w:r>
      <w:bookmarkEnd w:id="52"/>
      <w:bookmarkEnd w:id="53"/>
      <w:bookmarkEnd w:id="54"/>
    </w:p>
    <w:p w14:paraId="0E408D9E" w14:textId="0C79F00F" w:rsidR="00331253" w:rsidRDefault="00CE14F2" w:rsidP="00331253">
      <w:pPr>
        <w:pStyle w:val="standard0"/>
        <w:rPr>
          <w:rFonts w:ascii="Book Antiqua" w:hAnsi="Book Antiqua"/>
        </w:rPr>
      </w:pPr>
      <w:r w:rsidRPr="008B675C">
        <w:rPr>
          <w:rFonts w:ascii="Book Antiqua" w:hAnsi="Book Antiqua"/>
        </w:rPr>
        <w:t xml:space="preserve">Having addressed the three recommendations in the Staff Report that directly affect the </w:t>
      </w:r>
      <w:r w:rsidR="00A445F8" w:rsidRPr="008B675C">
        <w:rPr>
          <w:rFonts w:ascii="Book Antiqua" w:hAnsi="Book Antiqua"/>
        </w:rPr>
        <w:t xml:space="preserve">RCP </w:t>
      </w:r>
      <w:r w:rsidRPr="008B675C">
        <w:rPr>
          <w:rFonts w:ascii="Book Antiqua" w:hAnsi="Book Antiqua"/>
        </w:rPr>
        <w:t>schedule for future GRCs, we turn ou</w:t>
      </w:r>
      <w:r w:rsidR="00655B38">
        <w:rPr>
          <w:rFonts w:ascii="Book Antiqua" w:hAnsi="Book Antiqua"/>
        </w:rPr>
        <w:t>r</w:t>
      </w:r>
      <w:r w:rsidRPr="008B675C">
        <w:rPr>
          <w:rFonts w:ascii="Book Antiqua" w:hAnsi="Book Antiqua"/>
        </w:rPr>
        <w:t xml:space="preserve"> attention back to the </w:t>
      </w:r>
      <w:r w:rsidR="00A445F8" w:rsidRPr="008B675C">
        <w:rPr>
          <w:rFonts w:ascii="Book Antiqua" w:hAnsi="Book Antiqua"/>
        </w:rPr>
        <w:t>generic</w:t>
      </w:r>
      <w:r w:rsidRPr="008B675C">
        <w:rPr>
          <w:rFonts w:ascii="Book Antiqua" w:hAnsi="Book Antiqua"/>
        </w:rPr>
        <w:t xml:space="preserve"> schedule we outlined earlier in this decision</w:t>
      </w:r>
      <w:r w:rsidR="00A445F8" w:rsidRPr="008B675C">
        <w:rPr>
          <w:rFonts w:ascii="Book Antiqua" w:hAnsi="Book Antiqua"/>
        </w:rPr>
        <w:t xml:space="preserve">.  That schedule </w:t>
      </w:r>
      <w:r w:rsidR="00F0251C" w:rsidRPr="008B675C">
        <w:rPr>
          <w:rFonts w:ascii="Book Antiqua" w:hAnsi="Book Antiqua"/>
        </w:rPr>
        <w:t>demonstrate</w:t>
      </w:r>
      <w:r w:rsidR="00F0251C">
        <w:rPr>
          <w:rFonts w:ascii="Book Antiqua" w:hAnsi="Book Antiqua"/>
        </w:rPr>
        <w:t>d</w:t>
      </w:r>
      <w:r w:rsidR="00F0251C" w:rsidRPr="008B675C">
        <w:rPr>
          <w:rFonts w:ascii="Book Antiqua" w:hAnsi="Book Antiqua"/>
        </w:rPr>
        <w:t xml:space="preserve"> </w:t>
      </w:r>
      <w:r w:rsidR="004A393D" w:rsidRPr="008B675C">
        <w:rPr>
          <w:rFonts w:ascii="Book Antiqua" w:hAnsi="Book Antiqua"/>
        </w:rPr>
        <w:t xml:space="preserve">that </w:t>
      </w:r>
      <w:r w:rsidR="00A445F8" w:rsidRPr="008B675C">
        <w:rPr>
          <w:rFonts w:ascii="Book Antiqua" w:hAnsi="Book Antiqua"/>
        </w:rPr>
        <w:t>we can</w:t>
      </w:r>
      <w:r w:rsidR="004A393D" w:rsidRPr="008B675C">
        <w:rPr>
          <w:rFonts w:ascii="Book Antiqua" w:hAnsi="Book Antiqua"/>
        </w:rPr>
        <w:t xml:space="preserve"> satisfy the scheduling requests of the applicant utility, </w:t>
      </w:r>
      <w:r w:rsidR="00251E7F">
        <w:rPr>
          <w:rFonts w:ascii="Book Antiqua" w:hAnsi="Book Antiqua"/>
        </w:rPr>
        <w:t xml:space="preserve">the </w:t>
      </w:r>
      <w:r w:rsidR="003933C4">
        <w:rPr>
          <w:rFonts w:ascii="Book Antiqua" w:hAnsi="Book Antiqua"/>
        </w:rPr>
        <w:t>Public Advocates Office</w:t>
      </w:r>
      <w:r w:rsidR="00251E7F">
        <w:rPr>
          <w:rFonts w:ascii="Book Antiqua" w:hAnsi="Book Antiqua"/>
        </w:rPr>
        <w:t>,</w:t>
      </w:r>
      <w:r w:rsidR="004A393D" w:rsidRPr="008B675C">
        <w:rPr>
          <w:rFonts w:ascii="Book Antiqua" w:hAnsi="Book Antiqua"/>
        </w:rPr>
        <w:t xml:space="preserve"> and the other intervenors</w:t>
      </w:r>
      <w:r w:rsidR="00A445F8" w:rsidRPr="008B675C">
        <w:rPr>
          <w:rFonts w:ascii="Book Antiqua" w:hAnsi="Book Antiqua"/>
        </w:rPr>
        <w:t xml:space="preserve"> if we move the filing date for </w:t>
      </w:r>
      <w:r w:rsidR="004A393D" w:rsidRPr="008B675C">
        <w:rPr>
          <w:rFonts w:ascii="Book Antiqua" w:hAnsi="Book Antiqua"/>
        </w:rPr>
        <w:t xml:space="preserve">the utility GRC application </w:t>
      </w:r>
      <w:r w:rsidR="00A445F8" w:rsidRPr="008B675C">
        <w:rPr>
          <w:rFonts w:ascii="Book Antiqua" w:hAnsi="Book Antiqua"/>
        </w:rPr>
        <w:t>to</w:t>
      </w:r>
      <w:r w:rsidR="004A393D" w:rsidRPr="008B675C">
        <w:rPr>
          <w:rFonts w:ascii="Book Antiqua" w:hAnsi="Book Antiqua"/>
        </w:rPr>
        <w:t xml:space="preserve"> </w:t>
      </w:r>
      <w:r w:rsidR="002A2E0E">
        <w:rPr>
          <w:rFonts w:ascii="Book Antiqua" w:hAnsi="Book Antiqua"/>
        </w:rPr>
        <w:t>May</w:t>
      </w:r>
      <w:r w:rsidR="00771D3D">
        <w:rPr>
          <w:rFonts w:ascii="Book Antiqua" w:hAnsi="Book Antiqua"/>
        </w:rPr>
        <w:t xml:space="preserve"> </w:t>
      </w:r>
      <w:r w:rsidR="004A393D" w:rsidRPr="008B675C">
        <w:rPr>
          <w:rFonts w:ascii="Book Antiqua" w:hAnsi="Book Antiqua"/>
        </w:rPr>
        <w:t>1</w:t>
      </w:r>
      <w:r w:rsidR="002A2E0E">
        <w:rPr>
          <w:rFonts w:ascii="Book Antiqua" w:hAnsi="Book Antiqua"/>
        </w:rPr>
        <w:t xml:space="preserve">5 </w:t>
      </w:r>
      <w:r w:rsidR="004A393D" w:rsidRPr="008B675C">
        <w:rPr>
          <w:rFonts w:ascii="Book Antiqua" w:hAnsi="Book Antiqua"/>
        </w:rPr>
        <w:t>of the year falling two years prior to the test year</w:t>
      </w:r>
      <w:r w:rsidRPr="008B675C">
        <w:rPr>
          <w:rFonts w:ascii="Book Antiqua" w:hAnsi="Book Antiqua"/>
        </w:rPr>
        <w:t>.</w:t>
      </w:r>
      <w:r w:rsidR="004A393D" w:rsidRPr="008B675C">
        <w:rPr>
          <w:rFonts w:ascii="Book Antiqua" w:hAnsi="Book Antiqua"/>
        </w:rPr>
        <w:t xml:space="preserve">  </w:t>
      </w:r>
      <w:r w:rsidRPr="008B675C">
        <w:rPr>
          <w:rFonts w:ascii="Book Antiqua" w:hAnsi="Book Antiqua"/>
        </w:rPr>
        <w:t xml:space="preserve">Each of the three modifications </w:t>
      </w:r>
      <w:r w:rsidR="004A393D" w:rsidRPr="008B675C">
        <w:rPr>
          <w:rFonts w:ascii="Book Antiqua" w:hAnsi="Book Antiqua"/>
        </w:rPr>
        <w:t xml:space="preserve">we have just </w:t>
      </w:r>
      <w:r w:rsidRPr="008B675C">
        <w:rPr>
          <w:rFonts w:ascii="Book Antiqua" w:hAnsi="Book Antiqua"/>
        </w:rPr>
        <w:t xml:space="preserve">adopted will still work in that modified schedule.  </w:t>
      </w:r>
      <w:r w:rsidR="00A445F8" w:rsidRPr="008B675C">
        <w:rPr>
          <w:rFonts w:ascii="Book Antiqua" w:hAnsi="Book Antiqua"/>
        </w:rPr>
        <w:t>T</w:t>
      </w:r>
      <w:r w:rsidRPr="008B675C">
        <w:rPr>
          <w:rFonts w:ascii="Book Antiqua" w:hAnsi="Book Antiqua"/>
        </w:rPr>
        <w:t xml:space="preserve">herefore, </w:t>
      </w:r>
      <w:r w:rsidR="00331253">
        <w:rPr>
          <w:rFonts w:ascii="Book Antiqua" w:hAnsi="Book Antiqua"/>
        </w:rPr>
        <w:t xml:space="preserve">in this decision </w:t>
      </w:r>
      <w:r w:rsidRPr="008B675C">
        <w:rPr>
          <w:rFonts w:ascii="Book Antiqua" w:hAnsi="Book Antiqua"/>
        </w:rPr>
        <w:t xml:space="preserve">we adopt the </w:t>
      </w:r>
      <w:r w:rsidR="00755B8B" w:rsidRPr="008B675C">
        <w:rPr>
          <w:rFonts w:ascii="Book Antiqua" w:hAnsi="Book Antiqua"/>
        </w:rPr>
        <w:t>revised</w:t>
      </w:r>
      <w:r w:rsidRPr="008B675C">
        <w:rPr>
          <w:rFonts w:ascii="Book Antiqua" w:hAnsi="Book Antiqua"/>
        </w:rPr>
        <w:t xml:space="preserve"> RCP </w:t>
      </w:r>
      <w:r w:rsidR="00251E7F">
        <w:rPr>
          <w:rFonts w:ascii="Book Antiqua" w:hAnsi="Book Antiqua"/>
        </w:rPr>
        <w:t xml:space="preserve">schedule </w:t>
      </w:r>
      <w:r w:rsidR="00331253">
        <w:rPr>
          <w:rFonts w:ascii="Book Antiqua" w:hAnsi="Book Antiqua"/>
        </w:rPr>
        <w:t xml:space="preserve">shown in Table 3 </w:t>
      </w:r>
      <w:r w:rsidR="00116C11">
        <w:rPr>
          <w:rFonts w:ascii="Book Antiqua" w:hAnsi="Book Antiqua"/>
        </w:rPr>
        <w:t>below</w:t>
      </w:r>
      <w:r w:rsidR="00331253">
        <w:rPr>
          <w:rFonts w:ascii="Book Antiqua" w:hAnsi="Book Antiqua"/>
        </w:rPr>
        <w:t>.</w:t>
      </w:r>
    </w:p>
    <w:p w14:paraId="0B1AB279" w14:textId="0E36805D" w:rsidR="00771D3D" w:rsidRDefault="00771D3D" w:rsidP="00B23BD2">
      <w:pPr>
        <w:pStyle w:val="standard0"/>
        <w:rPr>
          <w:rFonts w:ascii="Book Antiqua" w:hAnsi="Book Antiqua"/>
        </w:rPr>
      </w:pPr>
      <w:r>
        <w:rPr>
          <w:rFonts w:ascii="Book Antiqua" w:hAnsi="Book Antiqua"/>
        </w:rPr>
        <w:t xml:space="preserve">In adopting the </w:t>
      </w:r>
      <w:r w:rsidR="002A2E0E">
        <w:rPr>
          <w:rFonts w:ascii="Book Antiqua" w:hAnsi="Book Antiqua"/>
        </w:rPr>
        <w:t>May 15</w:t>
      </w:r>
      <w:r w:rsidR="002A2E0E" w:rsidRPr="002A2E0E">
        <w:rPr>
          <w:rFonts w:ascii="Book Antiqua" w:hAnsi="Book Antiqua"/>
          <w:vertAlign w:val="superscript"/>
        </w:rPr>
        <w:t>th</w:t>
      </w:r>
      <w:r>
        <w:rPr>
          <w:rFonts w:ascii="Book Antiqua" w:hAnsi="Book Antiqua"/>
        </w:rPr>
        <w:t xml:space="preserve"> filing date, we modify the PD’s choice of </w:t>
      </w:r>
      <w:r w:rsidR="00796D10">
        <w:rPr>
          <w:rFonts w:ascii="Book Antiqua" w:hAnsi="Book Antiqua"/>
        </w:rPr>
        <w:t xml:space="preserve">a </w:t>
      </w:r>
      <w:r>
        <w:rPr>
          <w:rFonts w:ascii="Book Antiqua" w:hAnsi="Book Antiqua"/>
        </w:rPr>
        <w:t>March</w:t>
      </w:r>
      <w:r w:rsidR="00796D10">
        <w:rPr>
          <w:rFonts w:ascii="Book Antiqua" w:hAnsi="Book Antiqua"/>
        </w:rPr>
        <w:t> </w:t>
      </w:r>
      <w:r>
        <w:rPr>
          <w:rFonts w:ascii="Book Antiqua" w:hAnsi="Book Antiqua"/>
        </w:rPr>
        <w:t xml:space="preserve">1 filing date.  Parties’ comments on the PD explained clearly why the March 1 deadline would prevent the utilities from including complete spending data from the previous calendar year.  The utilities stated they </w:t>
      </w:r>
      <w:r w:rsidR="002A2E0E">
        <w:rPr>
          <w:rFonts w:ascii="Book Antiqua" w:hAnsi="Book Antiqua"/>
        </w:rPr>
        <w:t xml:space="preserve">would prefer a June 1 filing date in order to </w:t>
      </w:r>
      <w:r>
        <w:rPr>
          <w:rFonts w:ascii="Book Antiqua" w:hAnsi="Book Antiqua"/>
        </w:rPr>
        <w:t>incorporate this data</w:t>
      </w:r>
      <w:r w:rsidR="002A2E0E">
        <w:rPr>
          <w:rFonts w:ascii="Book Antiqua" w:hAnsi="Book Antiqua"/>
        </w:rPr>
        <w:t>.</w:t>
      </w:r>
      <w:r>
        <w:rPr>
          <w:rFonts w:ascii="Book Antiqua" w:hAnsi="Book Antiqua"/>
        </w:rPr>
        <w:t xml:space="preserve">  </w:t>
      </w:r>
      <w:r w:rsidR="00B23BD2">
        <w:rPr>
          <w:rFonts w:ascii="Book Antiqua" w:hAnsi="Book Antiqua"/>
        </w:rPr>
        <w:t xml:space="preserve">TURN initially suggested a </w:t>
      </w:r>
      <w:r w:rsidR="00B23BD2">
        <w:rPr>
          <w:rFonts w:ascii="Book Antiqua" w:hAnsi="Book Antiqua"/>
        </w:rPr>
        <w:lastRenderedPageBreak/>
        <w:t xml:space="preserve">May 1 deadline in </w:t>
      </w:r>
      <w:r w:rsidR="00353675">
        <w:rPr>
          <w:rFonts w:ascii="Book Antiqua" w:hAnsi="Book Antiqua"/>
        </w:rPr>
        <w:t xml:space="preserve">its </w:t>
      </w:r>
      <w:r w:rsidR="00B23BD2">
        <w:rPr>
          <w:rFonts w:ascii="Book Antiqua" w:hAnsi="Book Antiqua"/>
        </w:rPr>
        <w:t xml:space="preserve">comments on the PD.  In reply comments, TURN notes that it does not oppose a June 1 filing date, but observes that if the Commission adopts that date, and leaves unchanged the number of days provided for the Public Advocates to complete its testimony, the most reasonable place to adjust the PD’s  RCP schedule is in the number of days provided for the ALJs to </w:t>
      </w:r>
      <w:r w:rsidR="00B23BD2" w:rsidRPr="00B23BD2">
        <w:rPr>
          <w:rFonts w:ascii="Book Antiqua" w:hAnsi="Book Antiqua"/>
        </w:rPr>
        <w:t>prepare the proposed decision</w:t>
      </w:r>
      <w:r w:rsidR="00B23BD2">
        <w:rPr>
          <w:rFonts w:ascii="Book Antiqua" w:hAnsi="Book Antiqua"/>
        </w:rPr>
        <w:t>:  “</w:t>
      </w:r>
      <w:r w:rsidR="00B23BD2" w:rsidRPr="00B23BD2">
        <w:rPr>
          <w:rFonts w:ascii="Book Antiqua" w:hAnsi="Book Antiqua"/>
        </w:rPr>
        <w:t>If the utilities are willing to accept</w:t>
      </w:r>
      <w:r w:rsidR="00B23BD2">
        <w:rPr>
          <w:rFonts w:ascii="Book Antiqua" w:hAnsi="Book Antiqua"/>
        </w:rPr>
        <w:t xml:space="preserve"> </w:t>
      </w:r>
      <w:r w:rsidR="00B23BD2" w:rsidRPr="00B23BD2">
        <w:rPr>
          <w:rFonts w:ascii="Book Antiqua" w:hAnsi="Book Antiqua"/>
        </w:rPr>
        <w:t>this risk, TURN does not oppose a June 1 GRC filing.</w:t>
      </w:r>
      <w:r w:rsidR="00B23BD2">
        <w:rPr>
          <w:rFonts w:ascii="Book Antiqua" w:hAnsi="Book Antiqua"/>
        </w:rPr>
        <w:t>”</w:t>
      </w:r>
      <w:r w:rsidR="00B23BD2">
        <w:rPr>
          <w:rStyle w:val="FootnoteReference"/>
          <w:rFonts w:ascii="Book Antiqua" w:hAnsi="Book Antiqua"/>
        </w:rPr>
        <w:footnoteReference w:id="88"/>
      </w:r>
    </w:p>
    <w:p w14:paraId="4321C49F" w14:textId="45EB2F44" w:rsidR="00B23BD2" w:rsidRDefault="002A2E0E" w:rsidP="00B23BD2">
      <w:pPr>
        <w:pStyle w:val="standard0"/>
        <w:rPr>
          <w:rFonts w:ascii="Book Antiqua" w:hAnsi="Book Antiqua"/>
        </w:rPr>
      </w:pPr>
      <w:r>
        <w:rPr>
          <w:rFonts w:ascii="Book Antiqua" w:hAnsi="Book Antiqua"/>
        </w:rPr>
        <w:t>We adopt a May 15 filing date because, while it is two weeks earlier than the utilities prefer, it allows the remainder of the schedule to unfold in a manner that enables the Public Advocates Office (and, as explained below, all other intervenors) to serve their testimony in mid</w:t>
      </w:r>
      <w:r w:rsidR="00FE5496">
        <w:rPr>
          <w:rFonts w:ascii="Book Antiqua" w:hAnsi="Book Antiqua"/>
        </w:rPr>
        <w:noBreakHyphen/>
      </w:r>
      <w:r>
        <w:rPr>
          <w:rFonts w:ascii="Book Antiqua" w:hAnsi="Book Antiqua"/>
        </w:rPr>
        <w:t xml:space="preserve">December, rather than in January, as all parties suggest is preferable.  The utilities’ schedule would also reduce the period of time for preparation of the PD so much that one of our goals for the revised RCP, a final decision before the test year begins, would likely remain out of reach. </w:t>
      </w:r>
    </w:p>
    <w:p w14:paraId="761B3BA8" w14:textId="7FFD7986" w:rsidR="00442951" w:rsidRDefault="00562065">
      <w:pPr>
        <w:pStyle w:val="standard0"/>
        <w:rPr>
          <w:rFonts w:ascii="Book Antiqua" w:hAnsi="Book Antiqua"/>
        </w:rPr>
      </w:pPr>
      <w:r>
        <w:rPr>
          <w:rFonts w:ascii="Book Antiqua" w:hAnsi="Book Antiqua"/>
        </w:rPr>
        <w:t xml:space="preserve">The </w:t>
      </w:r>
      <w:r w:rsidR="00442951">
        <w:rPr>
          <w:rFonts w:ascii="Book Antiqua" w:hAnsi="Book Antiqua"/>
        </w:rPr>
        <w:t>revised schedule</w:t>
      </w:r>
      <w:r>
        <w:rPr>
          <w:rFonts w:ascii="Book Antiqua" w:hAnsi="Book Antiqua"/>
        </w:rPr>
        <w:t xml:space="preserve"> also clarifies the</w:t>
      </w:r>
      <w:r w:rsidR="002A2E0E">
        <w:rPr>
          <w:rFonts w:ascii="Book Antiqua" w:hAnsi="Book Antiqua"/>
        </w:rPr>
        <w:t xml:space="preserve"> language in the</w:t>
      </w:r>
      <w:r>
        <w:rPr>
          <w:rFonts w:ascii="Book Antiqua" w:hAnsi="Book Antiqua"/>
        </w:rPr>
        <w:t xml:space="preserve"> PD regarding RAMP filing dates</w:t>
      </w:r>
      <w:r w:rsidR="002A2E0E">
        <w:rPr>
          <w:rFonts w:ascii="Book Antiqua" w:hAnsi="Book Antiqua"/>
        </w:rPr>
        <w:t xml:space="preserve"> and procedures</w:t>
      </w:r>
      <w:r>
        <w:rPr>
          <w:rFonts w:ascii="Book Antiqua" w:hAnsi="Book Antiqua"/>
        </w:rPr>
        <w:t>, as recommended by SCE.</w:t>
      </w:r>
      <w:r w:rsidR="003E3708">
        <w:rPr>
          <w:rStyle w:val="FootnoteReference"/>
          <w:rFonts w:ascii="Book Antiqua" w:hAnsi="Book Antiqua"/>
        </w:rPr>
        <w:footnoteReference w:id="89"/>
      </w:r>
      <w:r>
        <w:rPr>
          <w:rFonts w:ascii="Book Antiqua" w:hAnsi="Book Antiqua"/>
        </w:rPr>
        <w:t xml:space="preserve">  T</w:t>
      </w:r>
      <w:r w:rsidRPr="00562065">
        <w:rPr>
          <w:rFonts w:ascii="Book Antiqua" w:hAnsi="Book Antiqua"/>
        </w:rPr>
        <w:t xml:space="preserve">he RAMP proceedings </w:t>
      </w:r>
      <w:r>
        <w:rPr>
          <w:rFonts w:ascii="Book Antiqua" w:hAnsi="Book Antiqua"/>
        </w:rPr>
        <w:t>shall now be</w:t>
      </w:r>
      <w:r w:rsidRPr="00562065">
        <w:rPr>
          <w:rFonts w:ascii="Book Antiqua" w:hAnsi="Book Antiqua"/>
        </w:rPr>
        <w:t xml:space="preserve"> initiated by the utility filing an application</w:t>
      </w:r>
      <w:r w:rsidR="00C343A8">
        <w:rPr>
          <w:rFonts w:ascii="Book Antiqua" w:hAnsi="Book Antiqua"/>
        </w:rPr>
        <w:t xml:space="preserve"> (including the RAMP report itself) </w:t>
      </w:r>
      <w:r>
        <w:rPr>
          <w:rFonts w:ascii="Book Antiqua" w:hAnsi="Book Antiqua"/>
        </w:rPr>
        <w:t xml:space="preserve">which may then be categorized </w:t>
      </w:r>
      <w:r w:rsidRPr="00562065">
        <w:rPr>
          <w:rFonts w:ascii="Book Antiqua" w:hAnsi="Book Antiqua"/>
        </w:rPr>
        <w:t>as a ratesetting proceeding.</w:t>
      </w:r>
      <w:r>
        <w:rPr>
          <w:rFonts w:ascii="Book Antiqua" w:hAnsi="Book Antiqua"/>
        </w:rPr>
        <w:t xml:space="preserve">  As noted in the PD, this will create additional time </w:t>
      </w:r>
      <w:r w:rsidR="00442951">
        <w:rPr>
          <w:rFonts w:ascii="Book Antiqua" w:hAnsi="Book Antiqua"/>
        </w:rPr>
        <w:t xml:space="preserve">for SED and parties to complete their review of the </w:t>
      </w:r>
      <w:r w:rsidR="009A1037">
        <w:rPr>
          <w:rFonts w:ascii="Book Antiqua" w:hAnsi="Book Antiqua"/>
        </w:rPr>
        <w:t xml:space="preserve">utility’s </w:t>
      </w:r>
      <w:r w:rsidR="00442951">
        <w:rPr>
          <w:rFonts w:ascii="Book Antiqua" w:hAnsi="Book Antiqua"/>
        </w:rPr>
        <w:t xml:space="preserve">RAMP </w:t>
      </w:r>
      <w:r w:rsidR="00282635">
        <w:rPr>
          <w:rFonts w:ascii="Book Antiqua" w:hAnsi="Book Antiqua"/>
        </w:rPr>
        <w:t xml:space="preserve">farther </w:t>
      </w:r>
      <w:r w:rsidR="009A1037">
        <w:rPr>
          <w:rFonts w:ascii="Book Antiqua" w:hAnsi="Book Antiqua"/>
        </w:rPr>
        <w:t>in advance of the subsequent GRC filing date, so that the utility has as much time as possible to meaningfully incorporate the results of this review in its GRC application.</w:t>
      </w:r>
    </w:p>
    <w:p w14:paraId="749F9C31" w14:textId="77777777" w:rsidR="00331253" w:rsidRDefault="00331253" w:rsidP="00FD0BF5">
      <w:pPr>
        <w:pStyle w:val="standard0"/>
        <w:keepNext/>
        <w:keepLines/>
        <w:spacing w:line="240" w:lineRule="auto"/>
        <w:ind w:firstLine="0"/>
        <w:jc w:val="center"/>
        <w:rPr>
          <w:rFonts w:ascii="Book Antiqua" w:hAnsi="Book Antiqua"/>
          <w:b/>
          <w:bCs/>
          <w:sz w:val="24"/>
          <w:szCs w:val="18"/>
        </w:rPr>
      </w:pPr>
      <w:bookmarkStart w:id="55" w:name="_Hlk13725660"/>
      <w:r>
        <w:rPr>
          <w:rFonts w:ascii="Book Antiqua" w:hAnsi="Book Antiqua"/>
          <w:b/>
          <w:bCs/>
          <w:sz w:val="24"/>
          <w:szCs w:val="18"/>
        </w:rPr>
        <w:lastRenderedPageBreak/>
        <w:t>Table 3</w:t>
      </w:r>
    </w:p>
    <w:p w14:paraId="07D8AC26" w14:textId="5318AC87" w:rsidR="008F1F11" w:rsidRDefault="000F411B" w:rsidP="00FD0BF5">
      <w:pPr>
        <w:pStyle w:val="standard0"/>
        <w:keepNext/>
        <w:keepLines/>
        <w:spacing w:line="240" w:lineRule="auto"/>
        <w:ind w:firstLine="0"/>
        <w:jc w:val="center"/>
        <w:rPr>
          <w:rFonts w:ascii="Book Antiqua" w:hAnsi="Book Antiqua"/>
          <w:b/>
          <w:bCs/>
          <w:sz w:val="24"/>
          <w:szCs w:val="18"/>
        </w:rPr>
      </w:pPr>
      <w:r>
        <w:rPr>
          <w:rFonts w:ascii="Book Antiqua" w:hAnsi="Book Antiqua"/>
          <w:b/>
          <w:bCs/>
          <w:sz w:val="24"/>
          <w:szCs w:val="18"/>
        </w:rPr>
        <w:t xml:space="preserve">Adopted </w:t>
      </w:r>
      <w:r w:rsidR="00FB15B6">
        <w:rPr>
          <w:rFonts w:ascii="Book Antiqua" w:hAnsi="Book Antiqua"/>
          <w:b/>
          <w:bCs/>
          <w:sz w:val="24"/>
          <w:szCs w:val="18"/>
        </w:rPr>
        <w:t xml:space="preserve">Revised </w:t>
      </w:r>
      <w:r w:rsidR="008F1F11" w:rsidRPr="00CE14F2">
        <w:rPr>
          <w:rFonts w:ascii="Book Antiqua" w:hAnsi="Book Antiqua"/>
          <w:b/>
          <w:bCs/>
          <w:sz w:val="24"/>
          <w:szCs w:val="18"/>
        </w:rPr>
        <w:t>GRC Application Filing Schedule</w:t>
      </w:r>
    </w:p>
    <w:p w14:paraId="1E50EC72" w14:textId="204392E4" w:rsidR="00856D42" w:rsidRPr="006F0AC0" w:rsidRDefault="00856D42" w:rsidP="00FD0BF5">
      <w:pPr>
        <w:pStyle w:val="standard0"/>
        <w:keepNext/>
        <w:keepLines/>
        <w:spacing w:after="120" w:line="240" w:lineRule="auto"/>
        <w:ind w:firstLine="0"/>
        <w:jc w:val="center"/>
        <w:rPr>
          <w:rFonts w:ascii="Book Antiqua" w:hAnsi="Book Antiqua"/>
          <w:b/>
          <w:bCs/>
          <w:i/>
          <w:iCs/>
          <w:sz w:val="24"/>
          <w:szCs w:val="18"/>
        </w:rPr>
      </w:pPr>
      <w:r w:rsidRPr="006F0AC0">
        <w:rPr>
          <w:rFonts w:ascii="Book Antiqua" w:hAnsi="Book Antiqua"/>
          <w:b/>
          <w:bCs/>
          <w:i/>
          <w:iCs/>
          <w:sz w:val="24"/>
          <w:szCs w:val="18"/>
        </w:rPr>
        <w:t xml:space="preserve">Effective </w:t>
      </w:r>
      <w:r w:rsidR="005B7CD4">
        <w:rPr>
          <w:rFonts w:ascii="Book Antiqua" w:hAnsi="Book Antiqua"/>
          <w:b/>
          <w:bCs/>
          <w:i/>
          <w:iCs/>
          <w:sz w:val="24"/>
          <w:szCs w:val="18"/>
        </w:rPr>
        <w:t>June 30</w:t>
      </w:r>
      <w:r w:rsidRPr="006F0AC0">
        <w:rPr>
          <w:rFonts w:ascii="Book Antiqua" w:hAnsi="Book Antiqua"/>
          <w:b/>
          <w:bCs/>
          <w:i/>
          <w:iCs/>
          <w:sz w:val="24"/>
          <w:szCs w:val="18"/>
        </w:rPr>
        <w:t>,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157"/>
        <w:gridCol w:w="5820"/>
      </w:tblGrid>
      <w:tr w:rsidR="00FD0BF5" w:rsidRPr="00FD0BF5" w14:paraId="3EDC11C8" w14:textId="77777777" w:rsidTr="007C78CD">
        <w:trPr>
          <w:cantSplit/>
        </w:trPr>
        <w:tc>
          <w:tcPr>
            <w:tcW w:w="2373" w:type="dxa"/>
            <w:shd w:val="clear" w:color="auto" w:fill="auto"/>
            <w:vAlign w:val="center"/>
          </w:tcPr>
          <w:p w14:paraId="11D0EFA6" w14:textId="77777777" w:rsidR="00FD0BF5" w:rsidRPr="007C78CD" w:rsidRDefault="00FD0BF5" w:rsidP="00FD0BF5">
            <w:pPr>
              <w:keepNext/>
              <w:keepLines/>
              <w:spacing w:line="240" w:lineRule="auto"/>
              <w:ind w:firstLine="0"/>
              <w:jc w:val="center"/>
              <w:rPr>
                <w:b/>
                <w:sz w:val="22"/>
              </w:rPr>
            </w:pPr>
            <w:r w:rsidRPr="007C78CD">
              <w:rPr>
                <w:b/>
                <w:sz w:val="22"/>
              </w:rPr>
              <w:t>Date</w:t>
            </w:r>
          </w:p>
        </w:tc>
        <w:tc>
          <w:tcPr>
            <w:tcW w:w="1157" w:type="dxa"/>
          </w:tcPr>
          <w:p w14:paraId="17866AFB" w14:textId="1AE9F076" w:rsidR="00FD0BF5" w:rsidRPr="007C78CD" w:rsidRDefault="00FD0BF5" w:rsidP="00FD0BF5">
            <w:pPr>
              <w:keepNext/>
              <w:keepLines/>
              <w:spacing w:line="240" w:lineRule="auto"/>
              <w:ind w:firstLine="0"/>
              <w:jc w:val="center"/>
              <w:rPr>
                <w:b/>
                <w:sz w:val="22"/>
              </w:rPr>
            </w:pPr>
            <w:r w:rsidRPr="00FD0BF5">
              <w:rPr>
                <w:b/>
                <w:bCs/>
                <w:sz w:val="22"/>
              </w:rPr>
              <w:t>Days</w:t>
            </w:r>
          </w:p>
        </w:tc>
        <w:tc>
          <w:tcPr>
            <w:tcW w:w="5820" w:type="dxa"/>
            <w:shd w:val="clear" w:color="auto" w:fill="auto"/>
            <w:vAlign w:val="center"/>
          </w:tcPr>
          <w:p w14:paraId="1AC2D117" w14:textId="77777777" w:rsidR="00FD0BF5" w:rsidRPr="007C78CD" w:rsidRDefault="00FD0BF5" w:rsidP="00FD0BF5">
            <w:pPr>
              <w:keepNext/>
              <w:keepLines/>
              <w:spacing w:line="240" w:lineRule="auto"/>
              <w:ind w:firstLine="0"/>
              <w:jc w:val="center"/>
              <w:rPr>
                <w:b/>
                <w:sz w:val="22"/>
              </w:rPr>
            </w:pPr>
            <w:r w:rsidRPr="007C78CD">
              <w:rPr>
                <w:b/>
                <w:sz w:val="22"/>
              </w:rPr>
              <w:t>Event</w:t>
            </w:r>
          </w:p>
        </w:tc>
      </w:tr>
      <w:tr w:rsidR="00FD0BF5" w:rsidRPr="00FD0BF5" w14:paraId="5897CCA4" w14:textId="77777777" w:rsidTr="007C78CD">
        <w:trPr>
          <w:cantSplit/>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308DD" w14:textId="75A21750" w:rsidR="00FD0BF5" w:rsidRPr="007C78CD" w:rsidRDefault="00FD0BF5" w:rsidP="007C78CD">
            <w:pPr>
              <w:pStyle w:val="standard0"/>
              <w:keepNext/>
              <w:keepLines/>
              <w:spacing w:line="240" w:lineRule="auto"/>
              <w:ind w:hanging="17"/>
              <w:jc w:val="center"/>
              <w:rPr>
                <w:b/>
                <w:sz w:val="22"/>
              </w:rPr>
            </w:pPr>
            <w:r w:rsidRPr="007C78CD">
              <w:rPr>
                <w:b/>
                <w:sz w:val="22"/>
              </w:rPr>
              <w:t>Test Year minus</w:t>
            </w:r>
            <w:r w:rsidR="00FE5496">
              <w:rPr>
                <w:b/>
                <w:sz w:val="22"/>
              </w:rPr>
              <w:noBreakHyphen/>
            </w:r>
            <w:r w:rsidRPr="007C78CD">
              <w:rPr>
                <w:b/>
                <w:sz w:val="22"/>
              </w:rPr>
              <w:t>3</w:t>
            </w:r>
          </w:p>
        </w:tc>
      </w:tr>
      <w:tr w:rsidR="00FD0BF5" w:rsidRPr="00FD0BF5" w14:paraId="68246CE2" w14:textId="77777777" w:rsidTr="007C78CD">
        <w:trPr>
          <w:cantSplit/>
        </w:trPr>
        <w:tc>
          <w:tcPr>
            <w:tcW w:w="2373" w:type="dxa"/>
            <w:shd w:val="clear" w:color="auto" w:fill="auto"/>
            <w:vAlign w:val="center"/>
          </w:tcPr>
          <w:p w14:paraId="52929EEC" w14:textId="2D25B795" w:rsidR="00FD0BF5" w:rsidRPr="007C78CD" w:rsidRDefault="00FD0BF5" w:rsidP="00FD0BF5">
            <w:pPr>
              <w:keepNext/>
              <w:keepLines/>
              <w:spacing w:line="240" w:lineRule="auto"/>
              <w:ind w:firstLine="0"/>
              <w:rPr>
                <w:sz w:val="22"/>
              </w:rPr>
            </w:pPr>
            <w:r w:rsidRPr="00FD0BF5">
              <w:rPr>
                <w:sz w:val="22"/>
              </w:rPr>
              <w:t>May 15</w:t>
            </w:r>
          </w:p>
        </w:tc>
        <w:tc>
          <w:tcPr>
            <w:tcW w:w="1157" w:type="dxa"/>
            <w:vAlign w:val="center"/>
          </w:tcPr>
          <w:p w14:paraId="5DE79A6D" w14:textId="77777777" w:rsidR="00FD0BF5" w:rsidRPr="007C78CD" w:rsidRDefault="00FD0BF5" w:rsidP="00FD0BF5">
            <w:pPr>
              <w:keepNext/>
              <w:keepLines/>
              <w:spacing w:line="240" w:lineRule="auto"/>
              <w:ind w:firstLine="0"/>
              <w:rPr>
                <w:sz w:val="22"/>
              </w:rPr>
            </w:pPr>
            <w:r w:rsidRPr="00FD0BF5">
              <w:rPr>
                <w:sz w:val="22"/>
              </w:rPr>
              <w:t>Day 0</w:t>
            </w:r>
          </w:p>
        </w:tc>
        <w:tc>
          <w:tcPr>
            <w:tcW w:w="5820" w:type="dxa"/>
            <w:shd w:val="clear" w:color="auto" w:fill="auto"/>
            <w:vAlign w:val="center"/>
          </w:tcPr>
          <w:p w14:paraId="191C2782" w14:textId="3A50E496" w:rsidR="00FD0BF5" w:rsidRPr="007C78CD" w:rsidRDefault="00FD0BF5" w:rsidP="00FD0BF5">
            <w:pPr>
              <w:keepNext/>
              <w:keepLines/>
              <w:spacing w:line="240" w:lineRule="auto"/>
              <w:ind w:firstLine="0"/>
              <w:rPr>
                <w:sz w:val="22"/>
              </w:rPr>
            </w:pPr>
            <w:r w:rsidRPr="007C78CD">
              <w:rPr>
                <w:sz w:val="22"/>
              </w:rPr>
              <w:t xml:space="preserve">Utility </w:t>
            </w:r>
            <w:r w:rsidRPr="00FD0BF5">
              <w:rPr>
                <w:sz w:val="22"/>
              </w:rPr>
              <w:t>files application to initiate its</w:t>
            </w:r>
            <w:r w:rsidRPr="007C78CD">
              <w:rPr>
                <w:sz w:val="22"/>
              </w:rPr>
              <w:t xml:space="preserve"> RAMP proceeding</w:t>
            </w:r>
          </w:p>
        </w:tc>
      </w:tr>
      <w:tr w:rsidR="00FD0BF5" w:rsidRPr="00FD0BF5" w14:paraId="5770551D" w14:textId="77777777" w:rsidTr="007C78CD">
        <w:trPr>
          <w:cantSplit/>
        </w:trPr>
        <w:tc>
          <w:tcPr>
            <w:tcW w:w="2373" w:type="dxa"/>
            <w:shd w:val="clear" w:color="auto" w:fill="auto"/>
            <w:vAlign w:val="center"/>
          </w:tcPr>
          <w:p w14:paraId="5871FEF4" w14:textId="5EA420C6" w:rsidR="00FD0BF5" w:rsidRPr="007C78CD" w:rsidRDefault="00FD0BF5" w:rsidP="00FD0BF5">
            <w:pPr>
              <w:keepNext/>
              <w:keepLines/>
              <w:spacing w:line="240" w:lineRule="auto"/>
              <w:ind w:firstLine="0"/>
              <w:rPr>
                <w:sz w:val="22"/>
              </w:rPr>
            </w:pPr>
            <w:r w:rsidRPr="00FD0BF5">
              <w:rPr>
                <w:sz w:val="22"/>
              </w:rPr>
              <w:t>By September 1</w:t>
            </w:r>
          </w:p>
        </w:tc>
        <w:tc>
          <w:tcPr>
            <w:tcW w:w="1157" w:type="dxa"/>
            <w:vAlign w:val="center"/>
          </w:tcPr>
          <w:p w14:paraId="284EC337" w14:textId="77777777" w:rsidR="00FD0BF5" w:rsidRPr="007C78CD" w:rsidRDefault="00FD0BF5" w:rsidP="00FD0BF5">
            <w:pPr>
              <w:keepNext/>
              <w:keepLines/>
              <w:spacing w:line="240" w:lineRule="auto"/>
              <w:ind w:firstLine="0"/>
              <w:rPr>
                <w:sz w:val="22"/>
              </w:rPr>
            </w:pPr>
            <w:r w:rsidRPr="00FD0BF5">
              <w:rPr>
                <w:sz w:val="22"/>
              </w:rPr>
              <w:t>~Day 110</w:t>
            </w:r>
          </w:p>
        </w:tc>
        <w:tc>
          <w:tcPr>
            <w:tcW w:w="5820" w:type="dxa"/>
            <w:shd w:val="clear" w:color="auto" w:fill="auto"/>
            <w:vAlign w:val="center"/>
          </w:tcPr>
          <w:p w14:paraId="70A3D005" w14:textId="598A3414" w:rsidR="00FD0BF5" w:rsidRPr="007C78CD" w:rsidRDefault="00FD0BF5" w:rsidP="00FD0BF5">
            <w:pPr>
              <w:keepNext/>
              <w:keepLines/>
              <w:spacing w:line="240" w:lineRule="auto"/>
              <w:ind w:firstLine="0"/>
              <w:rPr>
                <w:sz w:val="22"/>
              </w:rPr>
            </w:pPr>
            <w:r w:rsidRPr="00FD0BF5">
              <w:rPr>
                <w:rFonts w:cs="Arial"/>
                <w:sz w:val="22"/>
              </w:rPr>
              <w:t xml:space="preserve">SED files and serve report on utility’s RAMP submission. </w:t>
            </w:r>
          </w:p>
        </w:tc>
      </w:tr>
      <w:tr w:rsidR="00FD0BF5" w:rsidRPr="00FD0BF5" w14:paraId="745D2B25" w14:textId="77777777" w:rsidTr="007C78CD">
        <w:trPr>
          <w:cantSplit/>
        </w:trPr>
        <w:tc>
          <w:tcPr>
            <w:tcW w:w="2373" w:type="dxa"/>
            <w:shd w:val="clear" w:color="auto" w:fill="auto"/>
            <w:vAlign w:val="center"/>
          </w:tcPr>
          <w:p w14:paraId="0B7E18C6" w14:textId="25FCCF8A" w:rsidR="00FD0BF5" w:rsidRPr="007C78CD" w:rsidRDefault="00FD0BF5" w:rsidP="00FD0BF5">
            <w:pPr>
              <w:keepNext/>
              <w:keepLines/>
              <w:spacing w:line="240" w:lineRule="auto"/>
              <w:ind w:firstLine="0"/>
              <w:rPr>
                <w:sz w:val="22"/>
              </w:rPr>
            </w:pPr>
            <w:r w:rsidRPr="00FD0BF5">
              <w:rPr>
                <w:sz w:val="22"/>
              </w:rPr>
              <w:t>By November 15</w:t>
            </w:r>
          </w:p>
        </w:tc>
        <w:tc>
          <w:tcPr>
            <w:tcW w:w="1157" w:type="dxa"/>
            <w:vAlign w:val="center"/>
          </w:tcPr>
          <w:p w14:paraId="7F89123B" w14:textId="77777777" w:rsidR="00FD0BF5" w:rsidRPr="007C78CD" w:rsidRDefault="00FD0BF5" w:rsidP="00FD0BF5">
            <w:pPr>
              <w:keepNext/>
              <w:keepLines/>
              <w:spacing w:line="240" w:lineRule="auto"/>
              <w:ind w:firstLine="0"/>
              <w:rPr>
                <w:sz w:val="22"/>
              </w:rPr>
            </w:pPr>
            <w:r w:rsidRPr="00FD0BF5">
              <w:rPr>
                <w:sz w:val="22"/>
              </w:rPr>
              <w:t>~Day 184</w:t>
            </w:r>
          </w:p>
        </w:tc>
        <w:tc>
          <w:tcPr>
            <w:tcW w:w="5820" w:type="dxa"/>
            <w:shd w:val="clear" w:color="auto" w:fill="auto"/>
            <w:vAlign w:val="center"/>
          </w:tcPr>
          <w:p w14:paraId="488D6B60" w14:textId="54701715" w:rsidR="00FD0BF5" w:rsidRPr="007C78CD" w:rsidRDefault="00FD0BF5" w:rsidP="00FD0BF5">
            <w:pPr>
              <w:keepNext/>
              <w:keepLines/>
              <w:spacing w:line="240" w:lineRule="auto"/>
              <w:ind w:firstLine="0"/>
              <w:rPr>
                <w:sz w:val="22"/>
              </w:rPr>
            </w:pPr>
            <w:r w:rsidRPr="00FD0BF5">
              <w:rPr>
                <w:sz w:val="22"/>
              </w:rPr>
              <w:t>Opening comments on</w:t>
            </w:r>
            <w:r w:rsidRPr="007C78CD">
              <w:rPr>
                <w:sz w:val="22"/>
              </w:rPr>
              <w:t xml:space="preserve"> RAMP submission </w:t>
            </w:r>
            <w:r w:rsidRPr="00FD0BF5">
              <w:rPr>
                <w:sz w:val="22"/>
              </w:rPr>
              <w:t>and</w:t>
            </w:r>
            <w:r w:rsidRPr="007C78CD">
              <w:rPr>
                <w:sz w:val="22"/>
              </w:rPr>
              <w:t xml:space="preserve"> the </w:t>
            </w:r>
            <w:r w:rsidRPr="00FD0BF5">
              <w:rPr>
                <w:sz w:val="22"/>
              </w:rPr>
              <w:t>SED report</w:t>
            </w:r>
          </w:p>
        </w:tc>
      </w:tr>
      <w:tr w:rsidR="00FD0BF5" w:rsidRPr="00FD0BF5" w14:paraId="664BDE43" w14:textId="77777777" w:rsidTr="00FD5941">
        <w:trPr>
          <w:cantSplit/>
        </w:trPr>
        <w:tc>
          <w:tcPr>
            <w:tcW w:w="2373" w:type="dxa"/>
            <w:shd w:val="clear" w:color="auto" w:fill="auto"/>
            <w:vAlign w:val="center"/>
          </w:tcPr>
          <w:p w14:paraId="354D3283" w14:textId="77777777" w:rsidR="00FD0BF5" w:rsidRPr="00FD0BF5" w:rsidRDefault="00FD0BF5" w:rsidP="00FD0BF5">
            <w:pPr>
              <w:keepNext/>
              <w:keepLines/>
              <w:spacing w:line="240" w:lineRule="auto"/>
              <w:ind w:firstLine="0"/>
              <w:rPr>
                <w:sz w:val="22"/>
              </w:rPr>
            </w:pPr>
            <w:r w:rsidRPr="00FD0BF5">
              <w:rPr>
                <w:sz w:val="22"/>
              </w:rPr>
              <w:t>By December 1</w:t>
            </w:r>
          </w:p>
        </w:tc>
        <w:tc>
          <w:tcPr>
            <w:tcW w:w="1157" w:type="dxa"/>
            <w:vAlign w:val="center"/>
          </w:tcPr>
          <w:p w14:paraId="6D97A008" w14:textId="77777777" w:rsidR="00FD0BF5" w:rsidRPr="00FD0BF5" w:rsidRDefault="00FD0BF5" w:rsidP="00FD0BF5">
            <w:pPr>
              <w:keepNext/>
              <w:keepLines/>
              <w:spacing w:line="240" w:lineRule="auto"/>
              <w:ind w:firstLine="0"/>
              <w:rPr>
                <w:sz w:val="22"/>
              </w:rPr>
            </w:pPr>
            <w:r w:rsidRPr="00FD0BF5">
              <w:rPr>
                <w:sz w:val="22"/>
              </w:rPr>
              <w:t>~Day 200</w:t>
            </w:r>
          </w:p>
        </w:tc>
        <w:tc>
          <w:tcPr>
            <w:tcW w:w="5820" w:type="dxa"/>
            <w:shd w:val="clear" w:color="auto" w:fill="auto"/>
            <w:vAlign w:val="center"/>
          </w:tcPr>
          <w:p w14:paraId="6CE347F1" w14:textId="77777777" w:rsidR="00FD0BF5" w:rsidRPr="00FD0BF5" w:rsidRDefault="00FD0BF5" w:rsidP="00FD0BF5">
            <w:pPr>
              <w:keepNext/>
              <w:keepLines/>
              <w:spacing w:line="240" w:lineRule="auto"/>
              <w:ind w:firstLine="0"/>
              <w:rPr>
                <w:sz w:val="22"/>
              </w:rPr>
            </w:pPr>
            <w:r w:rsidRPr="00FD0BF5">
              <w:rPr>
                <w:sz w:val="22"/>
              </w:rPr>
              <w:t>Reply Comments</w:t>
            </w:r>
          </w:p>
        </w:tc>
      </w:tr>
      <w:tr w:rsidR="00FD0BF5" w:rsidRPr="00FD0BF5" w14:paraId="50C4C096" w14:textId="77777777" w:rsidTr="007C78CD">
        <w:trPr>
          <w:cantSplit/>
        </w:trPr>
        <w:tc>
          <w:tcPr>
            <w:tcW w:w="9350" w:type="dxa"/>
            <w:gridSpan w:val="3"/>
            <w:shd w:val="clear" w:color="auto" w:fill="D9D9D9" w:themeFill="background1" w:themeFillShade="D9"/>
            <w:vAlign w:val="center"/>
          </w:tcPr>
          <w:p w14:paraId="079A97F8" w14:textId="5790AAB0" w:rsidR="00FD0BF5" w:rsidRPr="007C78CD" w:rsidRDefault="00FD0BF5" w:rsidP="00FD0BF5">
            <w:pPr>
              <w:keepNext/>
              <w:keepLines/>
              <w:spacing w:line="240" w:lineRule="auto"/>
              <w:ind w:firstLine="0"/>
              <w:jc w:val="center"/>
              <w:rPr>
                <w:b/>
                <w:sz w:val="22"/>
              </w:rPr>
            </w:pPr>
            <w:r w:rsidRPr="007C78CD">
              <w:rPr>
                <w:b/>
                <w:sz w:val="22"/>
              </w:rPr>
              <w:t>Test Year minus</w:t>
            </w:r>
            <w:r w:rsidR="00FE5496">
              <w:rPr>
                <w:b/>
                <w:sz w:val="22"/>
              </w:rPr>
              <w:noBreakHyphen/>
            </w:r>
            <w:r w:rsidRPr="007C78CD">
              <w:rPr>
                <w:b/>
                <w:sz w:val="22"/>
              </w:rPr>
              <w:t>2</w:t>
            </w:r>
          </w:p>
        </w:tc>
      </w:tr>
      <w:tr w:rsidR="00FD0BF5" w:rsidRPr="00FD0BF5" w14:paraId="07ABC061" w14:textId="77777777" w:rsidTr="007C78CD">
        <w:trPr>
          <w:cantSplit/>
        </w:trPr>
        <w:tc>
          <w:tcPr>
            <w:tcW w:w="2373" w:type="dxa"/>
            <w:shd w:val="clear" w:color="auto" w:fill="auto"/>
            <w:vAlign w:val="center"/>
          </w:tcPr>
          <w:p w14:paraId="271D1CE0" w14:textId="6B326362" w:rsidR="00FD0BF5" w:rsidRPr="007C78CD" w:rsidRDefault="00FD0BF5" w:rsidP="00FD0BF5">
            <w:pPr>
              <w:keepNext/>
              <w:keepLines/>
              <w:spacing w:line="240" w:lineRule="auto"/>
              <w:ind w:firstLine="0"/>
              <w:rPr>
                <w:sz w:val="22"/>
              </w:rPr>
            </w:pPr>
            <w:r w:rsidRPr="00FD0BF5">
              <w:rPr>
                <w:sz w:val="22"/>
              </w:rPr>
              <w:t>May 15</w:t>
            </w:r>
          </w:p>
        </w:tc>
        <w:tc>
          <w:tcPr>
            <w:tcW w:w="1157" w:type="dxa"/>
            <w:vAlign w:val="center"/>
          </w:tcPr>
          <w:p w14:paraId="22E983CF" w14:textId="77777777" w:rsidR="00FD0BF5" w:rsidRPr="007C78CD" w:rsidRDefault="00FD0BF5" w:rsidP="00FD0BF5">
            <w:pPr>
              <w:keepNext/>
              <w:keepLines/>
              <w:spacing w:line="240" w:lineRule="auto"/>
              <w:ind w:firstLine="0"/>
              <w:rPr>
                <w:sz w:val="22"/>
              </w:rPr>
            </w:pPr>
            <w:r w:rsidRPr="007C78CD">
              <w:rPr>
                <w:sz w:val="22"/>
              </w:rPr>
              <w:t>Day 0</w:t>
            </w:r>
          </w:p>
        </w:tc>
        <w:tc>
          <w:tcPr>
            <w:tcW w:w="5820" w:type="dxa"/>
            <w:shd w:val="clear" w:color="auto" w:fill="auto"/>
            <w:vAlign w:val="center"/>
          </w:tcPr>
          <w:p w14:paraId="73726C25" w14:textId="77777777" w:rsidR="00FD0BF5" w:rsidRPr="007C78CD" w:rsidRDefault="00FD0BF5" w:rsidP="00FD0BF5">
            <w:pPr>
              <w:keepNext/>
              <w:keepLines/>
              <w:spacing w:line="240" w:lineRule="auto"/>
              <w:ind w:firstLine="0"/>
              <w:rPr>
                <w:sz w:val="22"/>
              </w:rPr>
            </w:pPr>
            <w:r w:rsidRPr="007C78CD">
              <w:rPr>
                <w:sz w:val="22"/>
              </w:rPr>
              <w:t>Utility files GRC application, and serves prepared testimony</w:t>
            </w:r>
          </w:p>
        </w:tc>
      </w:tr>
      <w:tr w:rsidR="00FD0BF5" w:rsidRPr="00FD0BF5" w14:paraId="43ACB505" w14:textId="77777777" w:rsidTr="007C78CD">
        <w:trPr>
          <w:cantSplit/>
        </w:trPr>
        <w:tc>
          <w:tcPr>
            <w:tcW w:w="2373" w:type="dxa"/>
            <w:shd w:val="clear" w:color="auto" w:fill="auto"/>
            <w:vAlign w:val="center"/>
          </w:tcPr>
          <w:p w14:paraId="6300034E" w14:textId="476B6628" w:rsidR="00FD0BF5" w:rsidRPr="007C78CD" w:rsidRDefault="00FD0BF5" w:rsidP="00FD0BF5">
            <w:pPr>
              <w:keepNext/>
              <w:keepLines/>
              <w:spacing w:line="240" w:lineRule="auto"/>
              <w:ind w:firstLine="0"/>
              <w:rPr>
                <w:sz w:val="22"/>
              </w:rPr>
            </w:pPr>
            <w:r w:rsidRPr="007C78CD">
              <w:rPr>
                <w:sz w:val="22"/>
              </w:rPr>
              <w:t xml:space="preserve">By </w:t>
            </w:r>
            <w:r w:rsidRPr="00FD0BF5">
              <w:rPr>
                <w:sz w:val="22"/>
              </w:rPr>
              <w:t>May 30</w:t>
            </w:r>
          </w:p>
        </w:tc>
        <w:tc>
          <w:tcPr>
            <w:tcW w:w="1157" w:type="dxa"/>
            <w:vAlign w:val="center"/>
          </w:tcPr>
          <w:p w14:paraId="128BBEC6" w14:textId="77777777" w:rsidR="00FD0BF5" w:rsidRPr="007C78CD" w:rsidRDefault="00FD0BF5" w:rsidP="00FD0BF5">
            <w:pPr>
              <w:keepNext/>
              <w:keepLines/>
              <w:spacing w:line="240" w:lineRule="auto"/>
              <w:ind w:firstLine="0"/>
              <w:rPr>
                <w:sz w:val="22"/>
              </w:rPr>
            </w:pPr>
            <w:r w:rsidRPr="007C78CD">
              <w:rPr>
                <w:sz w:val="22"/>
              </w:rPr>
              <w:t>~Day 15</w:t>
            </w:r>
          </w:p>
        </w:tc>
        <w:tc>
          <w:tcPr>
            <w:tcW w:w="5820" w:type="dxa"/>
            <w:shd w:val="clear" w:color="auto" w:fill="auto"/>
            <w:vAlign w:val="center"/>
          </w:tcPr>
          <w:p w14:paraId="162279F0" w14:textId="77777777" w:rsidR="00FD0BF5" w:rsidRPr="007C78CD" w:rsidRDefault="00FD0BF5" w:rsidP="00FD0BF5">
            <w:pPr>
              <w:keepNext/>
              <w:keepLines/>
              <w:spacing w:line="240" w:lineRule="auto"/>
              <w:ind w:firstLine="0"/>
              <w:rPr>
                <w:sz w:val="22"/>
              </w:rPr>
            </w:pPr>
            <w:r w:rsidRPr="007C78CD">
              <w:rPr>
                <w:sz w:val="22"/>
              </w:rPr>
              <w:t>Utility holds public workshop on overall GRC application</w:t>
            </w:r>
          </w:p>
        </w:tc>
      </w:tr>
      <w:tr w:rsidR="00FD0BF5" w:rsidRPr="00FD0BF5" w14:paraId="6FCFD2A6" w14:textId="77777777" w:rsidTr="007C78CD">
        <w:trPr>
          <w:cantSplit/>
        </w:trPr>
        <w:tc>
          <w:tcPr>
            <w:tcW w:w="2373" w:type="dxa"/>
            <w:shd w:val="clear" w:color="auto" w:fill="auto"/>
            <w:vAlign w:val="center"/>
          </w:tcPr>
          <w:p w14:paraId="53A94992" w14:textId="77777777" w:rsidR="00FD0BF5" w:rsidRPr="007C78CD" w:rsidRDefault="00FD0BF5" w:rsidP="00FD0BF5">
            <w:pPr>
              <w:keepNext/>
              <w:keepLines/>
              <w:spacing w:line="240" w:lineRule="auto"/>
              <w:ind w:firstLine="0"/>
              <w:rPr>
                <w:sz w:val="22"/>
              </w:rPr>
            </w:pPr>
            <w:r w:rsidRPr="007C78CD">
              <w:rPr>
                <w:sz w:val="22"/>
              </w:rPr>
              <w:t>30 days after Daily Calendar notice</w:t>
            </w:r>
          </w:p>
        </w:tc>
        <w:tc>
          <w:tcPr>
            <w:tcW w:w="1157" w:type="dxa"/>
            <w:vAlign w:val="center"/>
          </w:tcPr>
          <w:p w14:paraId="20784E31" w14:textId="77777777" w:rsidR="00FD0BF5" w:rsidRPr="007C78CD" w:rsidRDefault="00FD0BF5" w:rsidP="00FD0BF5">
            <w:pPr>
              <w:keepNext/>
              <w:keepLines/>
              <w:spacing w:line="240" w:lineRule="auto"/>
              <w:ind w:firstLine="0"/>
              <w:rPr>
                <w:sz w:val="22"/>
              </w:rPr>
            </w:pPr>
            <w:r w:rsidRPr="007C78CD">
              <w:rPr>
                <w:sz w:val="22"/>
              </w:rPr>
              <w:t>~Day 30</w:t>
            </w:r>
          </w:p>
        </w:tc>
        <w:tc>
          <w:tcPr>
            <w:tcW w:w="5820" w:type="dxa"/>
            <w:shd w:val="clear" w:color="auto" w:fill="auto"/>
            <w:vAlign w:val="center"/>
          </w:tcPr>
          <w:p w14:paraId="425C73B6" w14:textId="77777777" w:rsidR="00FD0BF5" w:rsidRPr="007C78CD" w:rsidRDefault="00FD0BF5" w:rsidP="00FD0BF5">
            <w:pPr>
              <w:keepNext/>
              <w:keepLines/>
              <w:spacing w:line="240" w:lineRule="auto"/>
              <w:ind w:firstLine="0"/>
              <w:rPr>
                <w:sz w:val="22"/>
              </w:rPr>
            </w:pPr>
            <w:r w:rsidRPr="007C78CD">
              <w:rPr>
                <w:sz w:val="22"/>
              </w:rPr>
              <w:t>Due date for protests and responses to GRC application, pursuant to Rule 2.6(a)</w:t>
            </w:r>
          </w:p>
        </w:tc>
      </w:tr>
      <w:tr w:rsidR="00FD0BF5" w:rsidRPr="00FD0BF5" w14:paraId="4A1EDCC2" w14:textId="77777777" w:rsidTr="007C78CD">
        <w:trPr>
          <w:cantSplit/>
        </w:trPr>
        <w:tc>
          <w:tcPr>
            <w:tcW w:w="2373" w:type="dxa"/>
            <w:shd w:val="clear" w:color="auto" w:fill="auto"/>
            <w:vAlign w:val="center"/>
          </w:tcPr>
          <w:p w14:paraId="12D119BA" w14:textId="35CF403E" w:rsidR="00FD0BF5" w:rsidRPr="007C78CD" w:rsidRDefault="00FD0BF5" w:rsidP="00FD0BF5">
            <w:pPr>
              <w:keepNext/>
              <w:keepLines/>
              <w:spacing w:line="240" w:lineRule="auto"/>
              <w:ind w:firstLine="0"/>
              <w:rPr>
                <w:sz w:val="22"/>
              </w:rPr>
            </w:pPr>
            <w:r w:rsidRPr="007C78CD">
              <w:rPr>
                <w:sz w:val="22"/>
              </w:rPr>
              <w:t xml:space="preserve">By </w:t>
            </w:r>
            <w:r w:rsidRPr="00FD0BF5">
              <w:rPr>
                <w:sz w:val="22"/>
              </w:rPr>
              <w:t>June 30</w:t>
            </w:r>
          </w:p>
        </w:tc>
        <w:tc>
          <w:tcPr>
            <w:tcW w:w="1157" w:type="dxa"/>
            <w:vAlign w:val="center"/>
          </w:tcPr>
          <w:p w14:paraId="7AD4ABF0" w14:textId="77777777" w:rsidR="00FD0BF5" w:rsidRPr="007C78CD" w:rsidRDefault="00FD0BF5" w:rsidP="00FD0BF5">
            <w:pPr>
              <w:keepNext/>
              <w:keepLines/>
              <w:spacing w:line="240" w:lineRule="auto"/>
              <w:ind w:firstLine="0"/>
              <w:rPr>
                <w:sz w:val="22"/>
              </w:rPr>
            </w:pPr>
            <w:r w:rsidRPr="007C78CD">
              <w:rPr>
                <w:sz w:val="22"/>
              </w:rPr>
              <w:t>~Day 45</w:t>
            </w:r>
          </w:p>
        </w:tc>
        <w:tc>
          <w:tcPr>
            <w:tcW w:w="5820" w:type="dxa"/>
            <w:shd w:val="clear" w:color="auto" w:fill="auto"/>
            <w:vAlign w:val="center"/>
          </w:tcPr>
          <w:p w14:paraId="4BD51F4E" w14:textId="77777777" w:rsidR="00FD0BF5" w:rsidRPr="007C78CD" w:rsidRDefault="00FD0BF5" w:rsidP="00FD0BF5">
            <w:pPr>
              <w:keepNext/>
              <w:keepLines/>
              <w:spacing w:line="240" w:lineRule="auto"/>
              <w:ind w:firstLine="0"/>
              <w:rPr>
                <w:sz w:val="22"/>
              </w:rPr>
            </w:pPr>
            <w:r w:rsidRPr="007C78CD">
              <w:rPr>
                <w:sz w:val="22"/>
              </w:rPr>
              <w:t>Prehearing Conference held</w:t>
            </w:r>
          </w:p>
        </w:tc>
      </w:tr>
      <w:tr w:rsidR="00FD0BF5" w:rsidRPr="00FD0BF5" w14:paraId="5ED5E830" w14:textId="77777777" w:rsidTr="007C78CD">
        <w:trPr>
          <w:cantSplit/>
        </w:trPr>
        <w:tc>
          <w:tcPr>
            <w:tcW w:w="2373" w:type="dxa"/>
            <w:shd w:val="clear" w:color="auto" w:fill="auto"/>
            <w:vAlign w:val="center"/>
          </w:tcPr>
          <w:p w14:paraId="1D07EE1F" w14:textId="6AE06795" w:rsidR="00FD0BF5" w:rsidRPr="007C78CD" w:rsidRDefault="00FD0BF5" w:rsidP="00FD0BF5">
            <w:pPr>
              <w:keepNext/>
              <w:keepLines/>
              <w:spacing w:line="240" w:lineRule="auto"/>
              <w:ind w:firstLine="0"/>
              <w:rPr>
                <w:sz w:val="22"/>
              </w:rPr>
            </w:pPr>
            <w:r w:rsidRPr="007C78CD">
              <w:rPr>
                <w:sz w:val="22"/>
              </w:rPr>
              <w:t xml:space="preserve">By </w:t>
            </w:r>
            <w:r w:rsidRPr="00FD0BF5">
              <w:rPr>
                <w:sz w:val="22"/>
              </w:rPr>
              <w:t>August 15</w:t>
            </w:r>
          </w:p>
        </w:tc>
        <w:tc>
          <w:tcPr>
            <w:tcW w:w="1157" w:type="dxa"/>
            <w:vAlign w:val="center"/>
          </w:tcPr>
          <w:p w14:paraId="5446E776" w14:textId="77777777" w:rsidR="00FD0BF5" w:rsidRPr="007C78CD" w:rsidRDefault="00FD0BF5" w:rsidP="00FD0BF5">
            <w:pPr>
              <w:keepNext/>
              <w:keepLines/>
              <w:spacing w:line="240" w:lineRule="auto"/>
              <w:ind w:firstLine="0"/>
              <w:rPr>
                <w:sz w:val="22"/>
              </w:rPr>
            </w:pPr>
            <w:r w:rsidRPr="007C78CD">
              <w:rPr>
                <w:sz w:val="22"/>
              </w:rPr>
              <w:t>~Day 90</w:t>
            </w:r>
          </w:p>
        </w:tc>
        <w:tc>
          <w:tcPr>
            <w:tcW w:w="5820" w:type="dxa"/>
            <w:shd w:val="clear" w:color="auto" w:fill="auto"/>
            <w:vAlign w:val="center"/>
          </w:tcPr>
          <w:p w14:paraId="3F2A8FA8" w14:textId="5D733201" w:rsidR="00FD0BF5" w:rsidRPr="007C78CD" w:rsidRDefault="00FD0BF5" w:rsidP="00FD0BF5">
            <w:pPr>
              <w:keepNext/>
              <w:keepLines/>
              <w:spacing w:line="240" w:lineRule="auto"/>
              <w:ind w:firstLine="0"/>
              <w:rPr>
                <w:sz w:val="22"/>
              </w:rPr>
            </w:pPr>
            <w:r w:rsidRPr="007C78CD">
              <w:rPr>
                <w:sz w:val="22"/>
              </w:rPr>
              <w:t xml:space="preserve">Scoping Memo of Assigned Commissioner issued </w:t>
            </w:r>
          </w:p>
        </w:tc>
      </w:tr>
      <w:tr w:rsidR="00FD0BF5" w:rsidRPr="00FD0BF5" w14:paraId="1BA77BAD" w14:textId="77777777" w:rsidTr="007C78CD">
        <w:trPr>
          <w:cantSplit/>
        </w:trPr>
        <w:tc>
          <w:tcPr>
            <w:tcW w:w="2373" w:type="dxa"/>
            <w:shd w:val="clear" w:color="auto" w:fill="auto"/>
            <w:vAlign w:val="center"/>
          </w:tcPr>
          <w:p w14:paraId="4F395034" w14:textId="77777777" w:rsidR="00FD0BF5" w:rsidRPr="007C78CD" w:rsidRDefault="00FD0BF5" w:rsidP="00FD0BF5">
            <w:pPr>
              <w:keepNext/>
              <w:keepLines/>
              <w:spacing w:line="240" w:lineRule="auto"/>
              <w:ind w:firstLine="0"/>
              <w:rPr>
                <w:sz w:val="22"/>
              </w:rPr>
            </w:pPr>
            <w:r w:rsidRPr="007C78CD">
              <w:rPr>
                <w:sz w:val="22"/>
              </w:rPr>
              <w:t>To be decided</w:t>
            </w:r>
          </w:p>
        </w:tc>
        <w:tc>
          <w:tcPr>
            <w:tcW w:w="1157" w:type="dxa"/>
            <w:vAlign w:val="center"/>
          </w:tcPr>
          <w:p w14:paraId="64C6C1C4" w14:textId="77777777" w:rsidR="00FD0BF5" w:rsidRPr="007C78CD" w:rsidRDefault="00FD0BF5" w:rsidP="00FD0BF5">
            <w:pPr>
              <w:keepNext/>
              <w:keepLines/>
              <w:spacing w:line="240" w:lineRule="auto"/>
              <w:ind w:firstLine="0"/>
              <w:rPr>
                <w:sz w:val="22"/>
              </w:rPr>
            </w:pPr>
          </w:p>
        </w:tc>
        <w:tc>
          <w:tcPr>
            <w:tcW w:w="5820" w:type="dxa"/>
            <w:shd w:val="clear" w:color="auto" w:fill="auto"/>
            <w:vAlign w:val="center"/>
          </w:tcPr>
          <w:p w14:paraId="3804651B" w14:textId="77777777" w:rsidR="00FD0BF5" w:rsidRPr="007C78CD" w:rsidRDefault="00FD0BF5" w:rsidP="00FD0BF5">
            <w:pPr>
              <w:keepNext/>
              <w:keepLines/>
              <w:spacing w:line="240" w:lineRule="auto"/>
              <w:ind w:firstLine="0"/>
              <w:rPr>
                <w:sz w:val="22"/>
              </w:rPr>
            </w:pPr>
            <w:r w:rsidRPr="007C78CD">
              <w:rPr>
                <w:sz w:val="22"/>
              </w:rPr>
              <w:t>Public Participation Hearings</w:t>
            </w:r>
          </w:p>
        </w:tc>
      </w:tr>
      <w:tr w:rsidR="00FD0BF5" w:rsidRPr="00FD0BF5" w14:paraId="07545064" w14:textId="77777777" w:rsidTr="007C78CD">
        <w:trPr>
          <w:cantSplit/>
        </w:trPr>
        <w:tc>
          <w:tcPr>
            <w:tcW w:w="2373" w:type="dxa"/>
            <w:shd w:val="clear" w:color="auto" w:fill="auto"/>
            <w:vAlign w:val="center"/>
          </w:tcPr>
          <w:p w14:paraId="03405E8A" w14:textId="27524062" w:rsidR="00FD0BF5" w:rsidRPr="007C78CD" w:rsidRDefault="00FD0BF5" w:rsidP="00FD0BF5">
            <w:pPr>
              <w:keepNext/>
              <w:keepLines/>
              <w:spacing w:line="240" w:lineRule="auto"/>
              <w:ind w:firstLine="0"/>
              <w:rPr>
                <w:sz w:val="22"/>
              </w:rPr>
            </w:pPr>
            <w:r w:rsidRPr="007C78CD">
              <w:rPr>
                <w:sz w:val="22"/>
              </w:rPr>
              <w:t xml:space="preserve">By </w:t>
            </w:r>
            <w:r w:rsidRPr="00FD0BF5">
              <w:rPr>
                <w:sz w:val="22"/>
              </w:rPr>
              <w:t>December 15</w:t>
            </w:r>
          </w:p>
        </w:tc>
        <w:tc>
          <w:tcPr>
            <w:tcW w:w="1157" w:type="dxa"/>
            <w:vAlign w:val="center"/>
          </w:tcPr>
          <w:p w14:paraId="57777A92" w14:textId="197CB849"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215</w:t>
            </w:r>
          </w:p>
        </w:tc>
        <w:tc>
          <w:tcPr>
            <w:tcW w:w="5820" w:type="dxa"/>
            <w:shd w:val="clear" w:color="auto" w:fill="auto"/>
            <w:vAlign w:val="center"/>
          </w:tcPr>
          <w:p w14:paraId="1DA613DA" w14:textId="60B68356" w:rsidR="00FD0BF5" w:rsidRPr="007C78CD" w:rsidRDefault="00FD0BF5" w:rsidP="00FD0BF5">
            <w:pPr>
              <w:keepNext/>
              <w:keepLines/>
              <w:spacing w:line="240" w:lineRule="auto"/>
              <w:ind w:firstLine="0"/>
              <w:rPr>
                <w:sz w:val="22"/>
              </w:rPr>
            </w:pPr>
            <w:r w:rsidRPr="007C78CD">
              <w:rPr>
                <w:sz w:val="22"/>
              </w:rPr>
              <w:t xml:space="preserve">Public Advocates Office </w:t>
            </w:r>
            <w:r w:rsidRPr="00FD0BF5">
              <w:rPr>
                <w:sz w:val="22"/>
              </w:rPr>
              <w:t>and other intervenors serve</w:t>
            </w:r>
            <w:r w:rsidRPr="007C78CD">
              <w:rPr>
                <w:sz w:val="22"/>
              </w:rPr>
              <w:t xml:space="preserve"> opening testimony</w:t>
            </w:r>
          </w:p>
        </w:tc>
      </w:tr>
      <w:tr w:rsidR="007C78CD" w:rsidRPr="00FD0BF5" w14:paraId="3063BCFC" w14:textId="77777777" w:rsidTr="00673774">
        <w:trPr>
          <w:cantSplit/>
        </w:trPr>
        <w:tc>
          <w:tcPr>
            <w:tcW w:w="2373" w:type="dxa"/>
            <w:gridSpan w:val="3"/>
            <w:shd w:val="clear" w:color="auto" w:fill="D9D9D9" w:themeFill="background1" w:themeFillShade="D9"/>
          </w:tcPr>
          <w:p w14:paraId="33D5E94B" w14:textId="3372BF5D" w:rsidR="007C78CD" w:rsidRPr="007C78CD" w:rsidRDefault="007C78CD" w:rsidP="007C78CD">
            <w:pPr>
              <w:keepNext/>
              <w:keepLines/>
              <w:spacing w:line="240" w:lineRule="auto"/>
              <w:ind w:firstLine="0"/>
              <w:jc w:val="center"/>
              <w:rPr>
                <w:b/>
                <w:sz w:val="22"/>
              </w:rPr>
            </w:pPr>
            <w:r w:rsidRPr="00FD0BF5">
              <w:rPr>
                <w:b/>
                <w:bCs/>
                <w:sz w:val="22"/>
              </w:rPr>
              <w:t>Test Year minus</w:t>
            </w:r>
            <w:r w:rsidR="00FE5496">
              <w:rPr>
                <w:b/>
                <w:bCs/>
                <w:sz w:val="22"/>
              </w:rPr>
              <w:noBreakHyphen/>
            </w:r>
            <w:r w:rsidRPr="00FD0BF5">
              <w:rPr>
                <w:b/>
                <w:bCs/>
                <w:sz w:val="22"/>
              </w:rPr>
              <w:t>1</w:t>
            </w:r>
          </w:p>
        </w:tc>
      </w:tr>
      <w:tr w:rsidR="00FD0BF5" w:rsidRPr="00FD0BF5" w14:paraId="5E9CEC21" w14:textId="77777777" w:rsidTr="007C78CD">
        <w:trPr>
          <w:cantSplit/>
        </w:trPr>
        <w:tc>
          <w:tcPr>
            <w:tcW w:w="2373" w:type="dxa"/>
            <w:shd w:val="clear" w:color="auto" w:fill="auto"/>
            <w:vAlign w:val="center"/>
          </w:tcPr>
          <w:p w14:paraId="25A5C4F5" w14:textId="68C6DA89" w:rsidR="00FD0BF5" w:rsidRPr="007C78CD" w:rsidRDefault="00FD0BF5" w:rsidP="00FD0BF5">
            <w:pPr>
              <w:keepNext/>
              <w:keepLines/>
              <w:spacing w:line="240" w:lineRule="auto"/>
              <w:ind w:firstLine="0"/>
              <w:rPr>
                <w:sz w:val="22"/>
              </w:rPr>
            </w:pPr>
            <w:r w:rsidRPr="00FD0BF5">
              <w:rPr>
                <w:sz w:val="22"/>
              </w:rPr>
              <w:t>By January 30</w:t>
            </w:r>
          </w:p>
        </w:tc>
        <w:tc>
          <w:tcPr>
            <w:tcW w:w="1157" w:type="dxa"/>
            <w:vAlign w:val="center"/>
          </w:tcPr>
          <w:p w14:paraId="6381B1E2" w14:textId="2FBAAEF5"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260</w:t>
            </w:r>
          </w:p>
        </w:tc>
        <w:tc>
          <w:tcPr>
            <w:tcW w:w="5820" w:type="dxa"/>
            <w:shd w:val="clear" w:color="auto" w:fill="auto"/>
            <w:vAlign w:val="center"/>
          </w:tcPr>
          <w:p w14:paraId="019224DD" w14:textId="77777777" w:rsidR="00FD0BF5" w:rsidRPr="007C78CD" w:rsidRDefault="00FD0BF5" w:rsidP="00FD0BF5">
            <w:pPr>
              <w:keepNext/>
              <w:keepLines/>
              <w:spacing w:line="240" w:lineRule="auto"/>
              <w:ind w:firstLine="0"/>
              <w:rPr>
                <w:sz w:val="22"/>
              </w:rPr>
            </w:pPr>
            <w:r w:rsidRPr="007C78CD">
              <w:rPr>
                <w:sz w:val="22"/>
              </w:rPr>
              <w:t>Concurrent rebuttal testimony served</w:t>
            </w:r>
          </w:p>
        </w:tc>
      </w:tr>
      <w:tr w:rsidR="00FD0BF5" w:rsidRPr="00FD0BF5" w14:paraId="7C3A2388" w14:textId="77777777" w:rsidTr="007C78CD">
        <w:trPr>
          <w:cantSplit/>
        </w:trPr>
        <w:tc>
          <w:tcPr>
            <w:tcW w:w="2373" w:type="dxa"/>
            <w:shd w:val="clear" w:color="auto" w:fill="auto"/>
            <w:vAlign w:val="center"/>
          </w:tcPr>
          <w:p w14:paraId="451B9085" w14:textId="358657A8" w:rsidR="00FD0BF5" w:rsidRPr="007C78CD" w:rsidRDefault="00FD0BF5" w:rsidP="00FD0BF5">
            <w:pPr>
              <w:keepNext/>
              <w:keepLines/>
              <w:spacing w:line="240" w:lineRule="auto"/>
              <w:ind w:firstLine="0"/>
              <w:rPr>
                <w:sz w:val="22"/>
              </w:rPr>
            </w:pPr>
            <w:r w:rsidRPr="00FD0BF5">
              <w:rPr>
                <w:sz w:val="22"/>
              </w:rPr>
              <w:t>By February 25</w:t>
            </w:r>
          </w:p>
        </w:tc>
        <w:tc>
          <w:tcPr>
            <w:tcW w:w="1157" w:type="dxa"/>
            <w:vAlign w:val="center"/>
          </w:tcPr>
          <w:p w14:paraId="4D841E26" w14:textId="57E294BF"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285</w:t>
            </w:r>
          </w:p>
        </w:tc>
        <w:tc>
          <w:tcPr>
            <w:tcW w:w="5820" w:type="dxa"/>
            <w:shd w:val="clear" w:color="auto" w:fill="auto"/>
            <w:vAlign w:val="center"/>
          </w:tcPr>
          <w:p w14:paraId="60857DDB" w14:textId="77777777" w:rsidR="00FD0BF5" w:rsidRPr="007C78CD" w:rsidRDefault="00FD0BF5" w:rsidP="00FD0BF5">
            <w:pPr>
              <w:keepNext/>
              <w:keepLines/>
              <w:spacing w:line="240" w:lineRule="auto"/>
              <w:ind w:firstLine="0"/>
              <w:rPr>
                <w:sz w:val="22"/>
              </w:rPr>
            </w:pPr>
            <w:r w:rsidRPr="007C78CD">
              <w:rPr>
                <w:sz w:val="22"/>
              </w:rPr>
              <w:t>Evidentiary hearings begin</w:t>
            </w:r>
          </w:p>
        </w:tc>
      </w:tr>
      <w:tr w:rsidR="00FD0BF5" w:rsidRPr="00FD0BF5" w14:paraId="749DF0A8" w14:textId="77777777" w:rsidTr="007C78CD">
        <w:trPr>
          <w:cantSplit/>
        </w:trPr>
        <w:tc>
          <w:tcPr>
            <w:tcW w:w="2373" w:type="dxa"/>
            <w:shd w:val="clear" w:color="auto" w:fill="auto"/>
            <w:vAlign w:val="center"/>
          </w:tcPr>
          <w:p w14:paraId="5D72049A" w14:textId="2A714A57" w:rsidR="00FD0BF5" w:rsidRPr="007C78CD" w:rsidRDefault="00FD0BF5" w:rsidP="00FD0BF5">
            <w:pPr>
              <w:keepNext/>
              <w:keepLines/>
              <w:spacing w:line="240" w:lineRule="auto"/>
              <w:ind w:firstLine="0"/>
              <w:rPr>
                <w:sz w:val="22"/>
              </w:rPr>
            </w:pPr>
            <w:r w:rsidRPr="00FD0BF5">
              <w:rPr>
                <w:sz w:val="22"/>
              </w:rPr>
              <w:t>By March 15</w:t>
            </w:r>
          </w:p>
        </w:tc>
        <w:tc>
          <w:tcPr>
            <w:tcW w:w="1157" w:type="dxa"/>
            <w:vAlign w:val="center"/>
          </w:tcPr>
          <w:p w14:paraId="7A276CDF" w14:textId="12319138"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305</w:t>
            </w:r>
          </w:p>
        </w:tc>
        <w:tc>
          <w:tcPr>
            <w:tcW w:w="5820" w:type="dxa"/>
            <w:shd w:val="clear" w:color="auto" w:fill="auto"/>
            <w:vAlign w:val="center"/>
          </w:tcPr>
          <w:p w14:paraId="55889A8D" w14:textId="77777777" w:rsidR="00FD0BF5" w:rsidRPr="007C78CD" w:rsidRDefault="00FD0BF5" w:rsidP="00FD0BF5">
            <w:pPr>
              <w:keepNext/>
              <w:keepLines/>
              <w:spacing w:line="240" w:lineRule="auto"/>
              <w:ind w:firstLine="0"/>
              <w:rPr>
                <w:sz w:val="22"/>
              </w:rPr>
            </w:pPr>
            <w:r w:rsidRPr="007C78CD">
              <w:rPr>
                <w:sz w:val="22"/>
              </w:rPr>
              <w:t>Evidentiary hearings end</w:t>
            </w:r>
          </w:p>
        </w:tc>
      </w:tr>
      <w:tr w:rsidR="00FD0BF5" w:rsidRPr="00FD0BF5" w14:paraId="24597E41" w14:textId="77777777" w:rsidTr="007C78CD">
        <w:trPr>
          <w:cantSplit/>
        </w:trPr>
        <w:tc>
          <w:tcPr>
            <w:tcW w:w="2373" w:type="dxa"/>
            <w:shd w:val="clear" w:color="auto" w:fill="auto"/>
            <w:vAlign w:val="center"/>
          </w:tcPr>
          <w:p w14:paraId="6A264A46" w14:textId="77777777" w:rsidR="00FD0BF5" w:rsidRPr="007C78CD" w:rsidRDefault="00FD0BF5" w:rsidP="00FD0BF5">
            <w:pPr>
              <w:keepNext/>
              <w:keepLines/>
              <w:spacing w:line="240" w:lineRule="auto"/>
              <w:ind w:firstLine="0"/>
              <w:rPr>
                <w:sz w:val="22"/>
              </w:rPr>
            </w:pPr>
            <w:r w:rsidRPr="007C78CD">
              <w:rPr>
                <w:sz w:val="22"/>
              </w:rPr>
              <w:t>To be decided</w:t>
            </w:r>
          </w:p>
        </w:tc>
        <w:tc>
          <w:tcPr>
            <w:tcW w:w="1157" w:type="dxa"/>
            <w:vAlign w:val="center"/>
          </w:tcPr>
          <w:p w14:paraId="59FC5956" w14:textId="77777777" w:rsidR="00FD0BF5" w:rsidRPr="007C78CD" w:rsidRDefault="00FD0BF5" w:rsidP="00FD0BF5">
            <w:pPr>
              <w:keepNext/>
              <w:keepLines/>
              <w:spacing w:line="240" w:lineRule="auto"/>
              <w:ind w:firstLine="0"/>
              <w:rPr>
                <w:sz w:val="22"/>
              </w:rPr>
            </w:pPr>
          </w:p>
        </w:tc>
        <w:tc>
          <w:tcPr>
            <w:tcW w:w="5820" w:type="dxa"/>
            <w:shd w:val="clear" w:color="auto" w:fill="auto"/>
            <w:vAlign w:val="center"/>
          </w:tcPr>
          <w:p w14:paraId="40FC2663" w14:textId="77777777" w:rsidR="00FD0BF5" w:rsidRPr="007C78CD" w:rsidRDefault="00FD0BF5" w:rsidP="00FD0BF5">
            <w:pPr>
              <w:keepNext/>
              <w:keepLines/>
              <w:spacing w:line="240" w:lineRule="auto"/>
              <w:ind w:firstLine="0"/>
              <w:rPr>
                <w:sz w:val="22"/>
              </w:rPr>
            </w:pPr>
            <w:r w:rsidRPr="007C78CD">
              <w:rPr>
                <w:sz w:val="22"/>
              </w:rPr>
              <w:t>Update testimony and hearings, if necessary</w:t>
            </w:r>
          </w:p>
        </w:tc>
      </w:tr>
      <w:tr w:rsidR="00FD0BF5" w:rsidRPr="00FD0BF5" w14:paraId="6786F217" w14:textId="77777777" w:rsidTr="007C78CD">
        <w:trPr>
          <w:cantSplit/>
        </w:trPr>
        <w:tc>
          <w:tcPr>
            <w:tcW w:w="2373" w:type="dxa"/>
            <w:shd w:val="clear" w:color="auto" w:fill="auto"/>
            <w:vAlign w:val="center"/>
          </w:tcPr>
          <w:p w14:paraId="184D58BC" w14:textId="6B38E7D4" w:rsidR="00FD0BF5" w:rsidRPr="007C78CD" w:rsidRDefault="00FD0BF5" w:rsidP="00FD0BF5">
            <w:pPr>
              <w:keepNext/>
              <w:keepLines/>
              <w:spacing w:line="240" w:lineRule="auto"/>
              <w:ind w:firstLine="0"/>
              <w:rPr>
                <w:sz w:val="22"/>
              </w:rPr>
            </w:pPr>
            <w:r w:rsidRPr="00FD0BF5">
              <w:rPr>
                <w:sz w:val="22"/>
              </w:rPr>
              <w:t>By April 20</w:t>
            </w:r>
          </w:p>
        </w:tc>
        <w:tc>
          <w:tcPr>
            <w:tcW w:w="1157" w:type="dxa"/>
            <w:vAlign w:val="center"/>
          </w:tcPr>
          <w:p w14:paraId="6A51E4F5" w14:textId="283723E4"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340</w:t>
            </w:r>
          </w:p>
        </w:tc>
        <w:tc>
          <w:tcPr>
            <w:tcW w:w="5820" w:type="dxa"/>
            <w:shd w:val="clear" w:color="auto" w:fill="auto"/>
            <w:vAlign w:val="center"/>
          </w:tcPr>
          <w:p w14:paraId="62C981D7" w14:textId="77777777" w:rsidR="00FD0BF5" w:rsidRPr="007C78CD" w:rsidRDefault="00FD0BF5" w:rsidP="00FD0BF5">
            <w:pPr>
              <w:keepNext/>
              <w:keepLines/>
              <w:spacing w:line="240" w:lineRule="auto"/>
              <w:ind w:firstLine="0"/>
              <w:rPr>
                <w:sz w:val="22"/>
              </w:rPr>
            </w:pPr>
            <w:r w:rsidRPr="007C78CD">
              <w:rPr>
                <w:sz w:val="22"/>
              </w:rPr>
              <w:t>Briefs filed</w:t>
            </w:r>
          </w:p>
        </w:tc>
      </w:tr>
      <w:tr w:rsidR="00FD0BF5" w:rsidRPr="00FD0BF5" w14:paraId="0D4415C5" w14:textId="77777777" w:rsidTr="007C78CD">
        <w:trPr>
          <w:cantSplit/>
        </w:trPr>
        <w:tc>
          <w:tcPr>
            <w:tcW w:w="2373" w:type="dxa"/>
            <w:shd w:val="clear" w:color="auto" w:fill="auto"/>
            <w:vAlign w:val="center"/>
          </w:tcPr>
          <w:p w14:paraId="3F024628" w14:textId="6C239A5D" w:rsidR="00FD0BF5" w:rsidRPr="007C78CD" w:rsidRDefault="00FD0BF5" w:rsidP="00FD0BF5">
            <w:pPr>
              <w:keepNext/>
              <w:keepLines/>
              <w:spacing w:line="240" w:lineRule="auto"/>
              <w:ind w:firstLine="0"/>
              <w:rPr>
                <w:sz w:val="22"/>
              </w:rPr>
            </w:pPr>
            <w:r w:rsidRPr="00FD0BF5">
              <w:rPr>
                <w:sz w:val="22"/>
              </w:rPr>
              <w:t>By May 12</w:t>
            </w:r>
          </w:p>
        </w:tc>
        <w:tc>
          <w:tcPr>
            <w:tcW w:w="1157" w:type="dxa"/>
            <w:vAlign w:val="center"/>
          </w:tcPr>
          <w:p w14:paraId="554A324A" w14:textId="2CE5C79D"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360</w:t>
            </w:r>
          </w:p>
        </w:tc>
        <w:tc>
          <w:tcPr>
            <w:tcW w:w="5820" w:type="dxa"/>
            <w:shd w:val="clear" w:color="auto" w:fill="auto"/>
            <w:vAlign w:val="center"/>
          </w:tcPr>
          <w:p w14:paraId="1A781ED8" w14:textId="77777777" w:rsidR="00FD0BF5" w:rsidRPr="007C78CD" w:rsidRDefault="00FD0BF5" w:rsidP="00FD0BF5">
            <w:pPr>
              <w:keepNext/>
              <w:keepLines/>
              <w:spacing w:line="240" w:lineRule="auto"/>
              <w:ind w:firstLine="0"/>
              <w:rPr>
                <w:sz w:val="22"/>
              </w:rPr>
            </w:pPr>
            <w:r w:rsidRPr="007C78CD">
              <w:rPr>
                <w:sz w:val="22"/>
              </w:rPr>
              <w:t>Reply briefs filed</w:t>
            </w:r>
            <w:r w:rsidRPr="00FD0BF5">
              <w:rPr>
                <w:sz w:val="22"/>
              </w:rPr>
              <w:t xml:space="preserve"> </w:t>
            </w:r>
          </w:p>
        </w:tc>
      </w:tr>
      <w:tr w:rsidR="00FD0BF5" w:rsidRPr="00FD0BF5" w14:paraId="42E2EE21" w14:textId="77777777" w:rsidTr="007C78CD">
        <w:trPr>
          <w:cantSplit/>
        </w:trPr>
        <w:tc>
          <w:tcPr>
            <w:tcW w:w="2373" w:type="dxa"/>
            <w:shd w:val="clear" w:color="auto" w:fill="auto"/>
            <w:vAlign w:val="center"/>
          </w:tcPr>
          <w:p w14:paraId="0803DD1E" w14:textId="0627A62F" w:rsidR="00FD0BF5" w:rsidRPr="007C78CD" w:rsidRDefault="00FD0BF5" w:rsidP="00FD0BF5">
            <w:pPr>
              <w:keepNext/>
              <w:keepLines/>
              <w:spacing w:line="240" w:lineRule="auto"/>
              <w:ind w:firstLine="0"/>
              <w:rPr>
                <w:sz w:val="22"/>
              </w:rPr>
            </w:pPr>
            <w:r w:rsidRPr="00FD0BF5">
              <w:rPr>
                <w:sz w:val="22"/>
              </w:rPr>
              <w:t xml:space="preserve">By </w:t>
            </w:r>
            <w:r w:rsidRPr="007C78CD">
              <w:rPr>
                <w:sz w:val="22"/>
              </w:rPr>
              <w:t xml:space="preserve">August </w:t>
            </w:r>
            <w:r w:rsidRPr="00FD0BF5">
              <w:rPr>
                <w:sz w:val="22"/>
              </w:rPr>
              <w:t>3</w:t>
            </w:r>
          </w:p>
        </w:tc>
        <w:tc>
          <w:tcPr>
            <w:tcW w:w="1157" w:type="dxa"/>
            <w:vAlign w:val="center"/>
          </w:tcPr>
          <w:p w14:paraId="1746845E" w14:textId="2232C791"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445</w:t>
            </w:r>
          </w:p>
        </w:tc>
        <w:tc>
          <w:tcPr>
            <w:tcW w:w="5820" w:type="dxa"/>
            <w:shd w:val="clear" w:color="auto" w:fill="auto"/>
            <w:vAlign w:val="center"/>
          </w:tcPr>
          <w:p w14:paraId="0750D408" w14:textId="77777777" w:rsidR="00FD0BF5" w:rsidRPr="007C78CD" w:rsidRDefault="00FD0BF5" w:rsidP="00FD0BF5">
            <w:pPr>
              <w:keepNext/>
              <w:keepLines/>
              <w:spacing w:line="240" w:lineRule="auto"/>
              <w:ind w:firstLine="0"/>
              <w:rPr>
                <w:sz w:val="22"/>
              </w:rPr>
            </w:pPr>
            <w:r w:rsidRPr="007C78CD">
              <w:rPr>
                <w:sz w:val="22"/>
              </w:rPr>
              <w:t>Status conference, proceeding submitted for Commission decision [Rule 13.14(a)]</w:t>
            </w:r>
          </w:p>
        </w:tc>
      </w:tr>
      <w:tr w:rsidR="00FD0BF5" w:rsidRPr="00FD0BF5" w14:paraId="008D2729" w14:textId="77777777" w:rsidTr="007C78CD">
        <w:trPr>
          <w:cantSplit/>
        </w:trPr>
        <w:tc>
          <w:tcPr>
            <w:tcW w:w="2373" w:type="dxa"/>
            <w:shd w:val="clear" w:color="auto" w:fill="auto"/>
            <w:vAlign w:val="center"/>
          </w:tcPr>
          <w:p w14:paraId="16D63CCF" w14:textId="111ED088" w:rsidR="00FD0BF5" w:rsidRPr="007C78CD" w:rsidRDefault="00FD0BF5" w:rsidP="00FD0BF5">
            <w:pPr>
              <w:keepNext/>
              <w:keepLines/>
              <w:spacing w:line="240" w:lineRule="auto"/>
              <w:ind w:firstLine="0"/>
              <w:rPr>
                <w:sz w:val="22"/>
              </w:rPr>
            </w:pPr>
            <w:r w:rsidRPr="00FD0BF5">
              <w:rPr>
                <w:sz w:val="22"/>
              </w:rPr>
              <w:t>By November 1</w:t>
            </w:r>
          </w:p>
        </w:tc>
        <w:tc>
          <w:tcPr>
            <w:tcW w:w="1157" w:type="dxa"/>
            <w:vAlign w:val="center"/>
          </w:tcPr>
          <w:p w14:paraId="33E79C5A" w14:textId="209410A1"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535</w:t>
            </w:r>
          </w:p>
        </w:tc>
        <w:tc>
          <w:tcPr>
            <w:tcW w:w="5820" w:type="dxa"/>
            <w:shd w:val="clear" w:color="auto" w:fill="auto"/>
            <w:vAlign w:val="center"/>
          </w:tcPr>
          <w:p w14:paraId="576609A7" w14:textId="77777777" w:rsidR="00FD0BF5" w:rsidRPr="007C78CD" w:rsidRDefault="00FD0BF5" w:rsidP="00FD0BF5">
            <w:pPr>
              <w:keepNext/>
              <w:keepLines/>
              <w:spacing w:line="240" w:lineRule="auto"/>
              <w:ind w:firstLine="0"/>
              <w:rPr>
                <w:sz w:val="22"/>
              </w:rPr>
            </w:pPr>
            <w:r w:rsidRPr="007C78CD">
              <w:rPr>
                <w:sz w:val="22"/>
              </w:rPr>
              <w:t>Proposed decision mailed for comment</w:t>
            </w:r>
          </w:p>
        </w:tc>
      </w:tr>
      <w:tr w:rsidR="00FD0BF5" w:rsidRPr="00FD0BF5" w14:paraId="12718A3D" w14:textId="77777777" w:rsidTr="007C78CD">
        <w:trPr>
          <w:cantSplit/>
        </w:trPr>
        <w:tc>
          <w:tcPr>
            <w:tcW w:w="2373" w:type="dxa"/>
            <w:shd w:val="clear" w:color="auto" w:fill="auto"/>
            <w:vAlign w:val="center"/>
          </w:tcPr>
          <w:p w14:paraId="4223FB0E" w14:textId="6B4EA3A9" w:rsidR="00FD0BF5" w:rsidRPr="007C78CD" w:rsidRDefault="00FD0BF5" w:rsidP="00FD0BF5">
            <w:pPr>
              <w:keepNext/>
              <w:keepLines/>
              <w:spacing w:line="240" w:lineRule="auto"/>
              <w:ind w:firstLine="0"/>
              <w:rPr>
                <w:sz w:val="22"/>
              </w:rPr>
            </w:pPr>
            <w:r w:rsidRPr="00FD0BF5">
              <w:rPr>
                <w:sz w:val="22"/>
              </w:rPr>
              <w:t>By December 1</w:t>
            </w:r>
          </w:p>
        </w:tc>
        <w:tc>
          <w:tcPr>
            <w:tcW w:w="1157" w:type="dxa"/>
            <w:vAlign w:val="center"/>
          </w:tcPr>
          <w:p w14:paraId="79631389" w14:textId="0A38E65C" w:rsidR="00FD0BF5" w:rsidRPr="007C78CD" w:rsidRDefault="00FD0BF5" w:rsidP="00FD0BF5">
            <w:pPr>
              <w:keepNext/>
              <w:keepLines/>
              <w:spacing w:line="240" w:lineRule="auto"/>
              <w:ind w:firstLine="0"/>
              <w:rPr>
                <w:sz w:val="22"/>
              </w:rPr>
            </w:pPr>
            <w:r w:rsidRPr="007C78CD">
              <w:rPr>
                <w:sz w:val="22"/>
              </w:rPr>
              <w:t xml:space="preserve">~Day </w:t>
            </w:r>
            <w:r w:rsidRPr="00FD0BF5">
              <w:rPr>
                <w:sz w:val="22"/>
              </w:rPr>
              <w:t>565</w:t>
            </w:r>
          </w:p>
        </w:tc>
        <w:tc>
          <w:tcPr>
            <w:tcW w:w="5820" w:type="dxa"/>
            <w:shd w:val="clear" w:color="auto" w:fill="auto"/>
            <w:vAlign w:val="center"/>
          </w:tcPr>
          <w:p w14:paraId="68F17710" w14:textId="77777777" w:rsidR="00FD0BF5" w:rsidRPr="007C78CD" w:rsidRDefault="00FD0BF5" w:rsidP="00FD0BF5">
            <w:pPr>
              <w:keepNext/>
              <w:keepLines/>
              <w:spacing w:line="240" w:lineRule="auto"/>
              <w:ind w:firstLine="0"/>
              <w:rPr>
                <w:sz w:val="22"/>
              </w:rPr>
            </w:pPr>
            <w:r w:rsidRPr="007C78CD">
              <w:rPr>
                <w:sz w:val="22"/>
              </w:rPr>
              <w:t>Final decision adopted</w:t>
            </w:r>
          </w:p>
        </w:tc>
      </w:tr>
      <w:tr w:rsidR="00FD0BF5" w:rsidRPr="00FD0BF5" w14:paraId="774A2E40" w14:textId="77777777" w:rsidTr="007C78CD">
        <w:trPr>
          <w:cantSplit/>
        </w:trPr>
        <w:tc>
          <w:tcPr>
            <w:tcW w:w="9350" w:type="dxa"/>
            <w:gridSpan w:val="3"/>
            <w:shd w:val="clear" w:color="auto" w:fill="D9D9D9" w:themeFill="background1" w:themeFillShade="D9"/>
          </w:tcPr>
          <w:p w14:paraId="28D10F71" w14:textId="77777777" w:rsidR="00FD0BF5" w:rsidRPr="007C78CD" w:rsidRDefault="00FD0BF5" w:rsidP="00FD0BF5">
            <w:pPr>
              <w:keepNext/>
              <w:keepLines/>
              <w:spacing w:line="240" w:lineRule="auto"/>
              <w:ind w:firstLine="0"/>
              <w:jc w:val="center"/>
              <w:rPr>
                <w:b/>
                <w:sz w:val="22"/>
              </w:rPr>
            </w:pPr>
            <w:r w:rsidRPr="007C78CD">
              <w:rPr>
                <w:b/>
                <w:sz w:val="22"/>
              </w:rPr>
              <w:t>Test Year</w:t>
            </w:r>
          </w:p>
        </w:tc>
      </w:tr>
      <w:tr w:rsidR="00FD0BF5" w:rsidRPr="00FD0BF5" w14:paraId="7A31B28C" w14:textId="77777777" w:rsidTr="007C78CD">
        <w:trPr>
          <w:cantSplit/>
        </w:trPr>
        <w:tc>
          <w:tcPr>
            <w:tcW w:w="2373" w:type="dxa"/>
            <w:shd w:val="clear" w:color="auto" w:fill="auto"/>
            <w:vAlign w:val="center"/>
          </w:tcPr>
          <w:p w14:paraId="73DD4309" w14:textId="77777777" w:rsidR="00FD0BF5" w:rsidRPr="007C78CD" w:rsidRDefault="00FD0BF5" w:rsidP="00796D10">
            <w:pPr>
              <w:spacing w:line="240" w:lineRule="auto"/>
              <w:ind w:firstLine="0"/>
              <w:rPr>
                <w:sz w:val="22"/>
              </w:rPr>
            </w:pPr>
            <w:r w:rsidRPr="007C78CD">
              <w:rPr>
                <w:sz w:val="22"/>
              </w:rPr>
              <w:t>January 1</w:t>
            </w:r>
          </w:p>
        </w:tc>
        <w:tc>
          <w:tcPr>
            <w:tcW w:w="1157" w:type="dxa"/>
            <w:vAlign w:val="center"/>
          </w:tcPr>
          <w:p w14:paraId="0A619ECB" w14:textId="2FFB697D" w:rsidR="00FD0BF5" w:rsidRPr="007C78CD" w:rsidRDefault="00FD0BF5" w:rsidP="00796D10">
            <w:pPr>
              <w:spacing w:line="240" w:lineRule="auto"/>
              <w:ind w:firstLine="0"/>
              <w:rPr>
                <w:sz w:val="22"/>
              </w:rPr>
            </w:pPr>
            <w:r w:rsidRPr="007C78CD">
              <w:rPr>
                <w:sz w:val="22"/>
              </w:rPr>
              <w:t xml:space="preserve">~Day </w:t>
            </w:r>
            <w:r w:rsidRPr="00FD0BF5">
              <w:rPr>
                <w:sz w:val="22"/>
              </w:rPr>
              <w:t>595</w:t>
            </w:r>
          </w:p>
        </w:tc>
        <w:tc>
          <w:tcPr>
            <w:tcW w:w="5820" w:type="dxa"/>
            <w:shd w:val="clear" w:color="auto" w:fill="auto"/>
            <w:vAlign w:val="center"/>
          </w:tcPr>
          <w:p w14:paraId="5E158239" w14:textId="77777777" w:rsidR="00FD0BF5" w:rsidRPr="007C78CD" w:rsidRDefault="00FD0BF5" w:rsidP="00796D10">
            <w:pPr>
              <w:spacing w:line="240" w:lineRule="auto"/>
              <w:ind w:firstLine="0"/>
              <w:rPr>
                <w:sz w:val="22"/>
              </w:rPr>
            </w:pPr>
            <w:r w:rsidRPr="007C78CD">
              <w:rPr>
                <w:sz w:val="22"/>
              </w:rPr>
              <w:t>Effective date of final decision</w:t>
            </w:r>
          </w:p>
        </w:tc>
      </w:tr>
    </w:tbl>
    <w:p w14:paraId="37917843" w14:textId="77777777" w:rsidR="008B675C" w:rsidRPr="007C78CD" w:rsidRDefault="008B675C" w:rsidP="007C78CD">
      <w:pPr>
        <w:pStyle w:val="Standard"/>
      </w:pPr>
    </w:p>
    <w:p w14:paraId="62BF60D4" w14:textId="2A55C20D" w:rsidR="00B702ED" w:rsidRDefault="00171F3F">
      <w:pPr>
        <w:pStyle w:val="Standard"/>
      </w:pPr>
      <w:r w:rsidRPr="00776F43">
        <w:t xml:space="preserve">The revised schedule </w:t>
      </w:r>
      <w:r w:rsidR="0022508B" w:rsidRPr="00776F43">
        <w:t>adds specific dates to areas labeled “to be determined” in the D.14</w:t>
      </w:r>
      <w:r w:rsidR="00FE5496">
        <w:noBreakHyphen/>
      </w:r>
      <w:r w:rsidR="0022508B" w:rsidRPr="00776F43">
        <w:t>12</w:t>
      </w:r>
      <w:r w:rsidR="00FE5496">
        <w:noBreakHyphen/>
      </w:r>
      <w:r w:rsidR="0022508B" w:rsidRPr="00776F43">
        <w:t xml:space="preserve">025 schedule, and </w:t>
      </w:r>
      <w:r w:rsidRPr="00BF482F">
        <w:t>also incorporates</w:t>
      </w:r>
      <w:r w:rsidR="007D613E" w:rsidRPr="00BF482F">
        <w:t xml:space="preserve"> several</w:t>
      </w:r>
      <w:r w:rsidRPr="00BF482F">
        <w:t xml:space="preserve"> simple schedule modifications proposed by parties that we agree will help GRCs proceed more efficie</w:t>
      </w:r>
      <w:r w:rsidRPr="00960DF9">
        <w:t>ntly.  First, the “kick</w:t>
      </w:r>
      <w:r w:rsidR="00FE5496">
        <w:noBreakHyphen/>
      </w:r>
      <w:r w:rsidRPr="00960DF9">
        <w:t xml:space="preserve">off” workshop required of the applicant </w:t>
      </w:r>
      <w:r w:rsidRPr="00960DF9">
        <w:lastRenderedPageBreak/>
        <w:t xml:space="preserve">utility </w:t>
      </w:r>
      <w:r w:rsidR="009C0C1E">
        <w:t>will</w:t>
      </w:r>
      <w:r w:rsidR="009C0C1E" w:rsidRPr="00960DF9">
        <w:t xml:space="preserve"> </w:t>
      </w:r>
      <w:r w:rsidRPr="00960DF9">
        <w:t xml:space="preserve">take place within 2 weeks of the filing.  Workshop participants appeared to agree that this workshop provides a useful and effective opportunity for the applicant to explain </w:t>
      </w:r>
      <w:r w:rsidRPr="009764D7">
        <w:t>its application and respond to clarifying questions from parties</w:t>
      </w:r>
      <w:r w:rsidR="0022508B" w:rsidRPr="000A10C9">
        <w:t xml:space="preserve">.  Second, </w:t>
      </w:r>
      <w:r w:rsidRPr="00FC4C6A">
        <w:t xml:space="preserve">the </w:t>
      </w:r>
      <w:r w:rsidRPr="006F0AC0">
        <w:t xml:space="preserve">Prehearing Conference </w:t>
      </w:r>
      <w:r w:rsidR="009C0C1E">
        <w:t>will</w:t>
      </w:r>
      <w:r w:rsidRPr="006F0AC0">
        <w:t xml:space="preserve"> be scheduled no later than two weeks after the due date for protests and responses to </w:t>
      </w:r>
      <w:r w:rsidR="009C0C1E">
        <w:t xml:space="preserve">the </w:t>
      </w:r>
      <w:r w:rsidRPr="006F0AC0">
        <w:t>GRC application.</w:t>
      </w:r>
      <w:r w:rsidR="0022508B" w:rsidRPr="006F0AC0">
        <w:t xml:space="preserve">  This should </w:t>
      </w:r>
      <w:r w:rsidR="00FD0BF5">
        <w:t xml:space="preserve">also </w:t>
      </w:r>
      <w:r w:rsidR="0022508B" w:rsidRPr="006F0AC0">
        <w:t>ensure that the Scoping Memo is issued in a timely manner.</w:t>
      </w:r>
    </w:p>
    <w:p w14:paraId="7D140421" w14:textId="6B97D42E" w:rsidR="00B46195" w:rsidRDefault="00B46195">
      <w:pPr>
        <w:pStyle w:val="Standard"/>
      </w:pPr>
      <w:bookmarkStart w:id="56" w:name="_Hlk21084743"/>
      <w:r>
        <w:t xml:space="preserve">We also note the revised schedule breaks the linkage between the submittal date and the date reply briefs are filed.  Rule 13.14 (Submission and Reopening of Record), part (a) provides that “[a] </w:t>
      </w:r>
      <w:r w:rsidRPr="00B46195">
        <w:t>proceeding shall stand submitted for decision by the Commission after the taking of evidence, the filing of briefs, and the presentation of oral argument as may have been prescribed.</w:t>
      </w:r>
      <w:r>
        <w:t xml:space="preserve">”  </w:t>
      </w:r>
      <w:r w:rsidR="00004DB5" w:rsidRPr="00004DB5">
        <w:t xml:space="preserve">Pub. Util. Code </w:t>
      </w:r>
      <w:r w:rsidR="00796D10">
        <w:t>§ </w:t>
      </w:r>
      <w:r w:rsidR="00004DB5" w:rsidRPr="00004DB5">
        <w:t>311(d) requires that the proposed decision of the assigned ALJ or the assigned commissioner shall be issued not later than 90 days after the matter has been submitted for decision</w:t>
      </w:r>
      <w:r w:rsidR="00004DB5">
        <w:t>.  Our recent experience indicates that 90</w:t>
      </w:r>
      <w:r w:rsidR="00796D10">
        <w:t> </w:t>
      </w:r>
      <w:r w:rsidR="00004DB5">
        <w:t xml:space="preserve">days is not enough time for the ALJs to draft a lengthy GRC proposed decision </w:t>
      </w:r>
      <w:r w:rsidR="00004DB5" w:rsidRPr="00C2141D">
        <w:rPr>
          <w:u w:val="single"/>
        </w:rPr>
        <w:t>and</w:t>
      </w:r>
      <w:r w:rsidR="00004DB5">
        <w:t xml:space="preserve"> to complete the RO modeling that calculates the resulting revenue requirement.  </w:t>
      </w:r>
      <w:r w:rsidR="0021113E">
        <w:t>Setting the submittal date several months after reply briefs are filed will allow the ALJ to begin drafting the PD upon receipt of briefs, but still leave a realistic period of time for the RO modeling.  For this reason, t</w:t>
      </w:r>
      <w:r w:rsidR="00724258">
        <w:t xml:space="preserve">he revised schedule includes a new milestone, a status conference that would take place approximately two months after filing of reply briefs.  The status conference will provide an opportunity for the ALJ and the assigned Commissioner to obtain additional information that may assist in completion of the PD.  Although the proceeding record would remain open until the status conference, protocols should be established at the outset of </w:t>
      </w:r>
      <w:r w:rsidR="0021113E">
        <w:t>every</w:t>
      </w:r>
      <w:r w:rsidR="00724258">
        <w:t xml:space="preserve"> proceeding to ensure that additional </w:t>
      </w:r>
      <w:r w:rsidR="00724258">
        <w:lastRenderedPageBreak/>
        <w:t>evidence would be taken</w:t>
      </w:r>
      <w:r w:rsidR="0021113E">
        <w:t xml:space="preserve"> at the status conference only under well</w:t>
      </w:r>
      <w:r w:rsidR="00FE5496">
        <w:noBreakHyphen/>
      </w:r>
      <w:r w:rsidR="0021113E">
        <w:t>defined circumstances.</w:t>
      </w:r>
      <w:r w:rsidR="003E3708">
        <w:rPr>
          <w:rStyle w:val="FootnoteReference"/>
        </w:rPr>
        <w:footnoteReference w:id="90"/>
      </w:r>
    </w:p>
    <w:p w14:paraId="70DC26E6" w14:textId="5F4259E7" w:rsidR="008931FD" w:rsidRDefault="008931FD" w:rsidP="003E3708">
      <w:pPr>
        <w:pStyle w:val="standard0"/>
        <w:rPr>
          <w:rFonts w:ascii="Book Antiqua" w:hAnsi="Book Antiqua"/>
        </w:rPr>
      </w:pPr>
      <w:r>
        <w:rPr>
          <w:rFonts w:ascii="Book Antiqua" w:hAnsi="Book Antiqua"/>
        </w:rPr>
        <w:t>Parties’ comments on the PD included many suggestions r</w:t>
      </w:r>
      <w:r w:rsidR="003E3708">
        <w:rPr>
          <w:rFonts w:ascii="Book Antiqua" w:hAnsi="Book Antiqua"/>
        </w:rPr>
        <w:t xml:space="preserve">egarding </w:t>
      </w:r>
      <w:r>
        <w:rPr>
          <w:rFonts w:ascii="Book Antiqua" w:hAnsi="Book Antiqua"/>
        </w:rPr>
        <w:t>implementation of the transition to the four</w:t>
      </w:r>
      <w:r w:rsidR="00FE5496">
        <w:rPr>
          <w:rFonts w:ascii="Book Antiqua" w:hAnsi="Book Antiqua"/>
        </w:rPr>
        <w:noBreakHyphen/>
      </w:r>
      <w:r>
        <w:rPr>
          <w:rFonts w:ascii="Book Antiqua" w:hAnsi="Book Antiqua"/>
        </w:rPr>
        <w:t>year cycle in the years ahead.</w:t>
      </w:r>
      <w:r w:rsidR="003E3708">
        <w:rPr>
          <w:rFonts w:ascii="Book Antiqua" w:hAnsi="Book Antiqua"/>
        </w:rPr>
        <w:t xml:space="preserve"> </w:t>
      </w:r>
      <w:r>
        <w:rPr>
          <w:rFonts w:ascii="Book Antiqua" w:hAnsi="Book Antiqua"/>
        </w:rPr>
        <w:t xml:space="preserve"> The PD </w:t>
      </w:r>
      <w:r w:rsidR="003E3708">
        <w:rPr>
          <w:rFonts w:ascii="Book Antiqua" w:hAnsi="Book Antiqua"/>
        </w:rPr>
        <w:t>note</w:t>
      </w:r>
      <w:r>
        <w:rPr>
          <w:rFonts w:ascii="Book Antiqua" w:hAnsi="Book Antiqua"/>
        </w:rPr>
        <w:t>d</w:t>
      </w:r>
      <w:r w:rsidR="003E3708">
        <w:rPr>
          <w:rFonts w:ascii="Book Antiqua" w:hAnsi="Book Antiqua"/>
        </w:rPr>
        <w:t xml:space="preserve"> that the next utility scheduled to initiate its RAMP proceeding is PG&amp;E, in 2020</w:t>
      </w:r>
      <w:r>
        <w:rPr>
          <w:rFonts w:ascii="Book Antiqua" w:hAnsi="Book Antiqua"/>
        </w:rPr>
        <w:t>, and stated that the</w:t>
      </w:r>
      <w:r w:rsidR="003E3708">
        <w:rPr>
          <w:rFonts w:ascii="Book Antiqua" w:hAnsi="Book Antiqua"/>
        </w:rPr>
        <w:t xml:space="preserve"> revised schedule </w:t>
      </w:r>
      <w:r>
        <w:rPr>
          <w:rFonts w:ascii="Book Antiqua" w:hAnsi="Book Antiqua"/>
        </w:rPr>
        <w:t xml:space="preserve">should </w:t>
      </w:r>
      <w:r w:rsidR="003E3708">
        <w:rPr>
          <w:rFonts w:ascii="Book Antiqua" w:hAnsi="Book Antiqua"/>
        </w:rPr>
        <w:t xml:space="preserve">apply to PG&amp;E </w:t>
      </w:r>
      <w:r>
        <w:rPr>
          <w:rFonts w:ascii="Book Antiqua" w:hAnsi="Book Antiqua"/>
        </w:rPr>
        <w:t>to avoid</w:t>
      </w:r>
      <w:r w:rsidR="003E3708">
        <w:rPr>
          <w:rFonts w:ascii="Book Antiqua" w:hAnsi="Book Antiqua"/>
        </w:rPr>
        <w:t xml:space="preserve"> delay</w:t>
      </w:r>
      <w:r>
        <w:rPr>
          <w:rFonts w:ascii="Book Antiqua" w:hAnsi="Book Antiqua"/>
        </w:rPr>
        <w:t>ing combination of PG&amp;E’s GT&amp;S and GRC</w:t>
      </w:r>
      <w:r w:rsidR="003E3708">
        <w:rPr>
          <w:rFonts w:ascii="Book Antiqua" w:hAnsi="Book Antiqua"/>
        </w:rPr>
        <w:t xml:space="preserve"> for another GRC cycle.</w:t>
      </w:r>
    </w:p>
    <w:p w14:paraId="2A2B6542" w14:textId="3CD0D871" w:rsidR="003E3708" w:rsidRDefault="008931FD" w:rsidP="003E3708">
      <w:pPr>
        <w:pStyle w:val="standard0"/>
        <w:rPr>
          <w:rFonts w:ascii="Book Antiqua" w:hAnsi="Book Antiqua"/>
        </w:rPr>
      </w:pPr>
      <w:r>
        <w:rPr>
          <w:rFonts w:ascii="Book Antiqua" w:hAnsi="Book Antiqua"/>
        </w:rPr>
        <w:t>In its comments on the PD, PG&amp;E proposed a schedule</w:t>
      </w:r>
      <w:r w:rsidR="00D47222">
        <w:rPr>
          <w:rFonts w:ascii="Book Antiqua" w:hAnsi="Book Antiqua"/>
        </w:rPr>
        <w:t xml:space="preserve"> where</w:t>
      </w:r>
      <w:r w:rsidR="00365107">
        <w:rPr>
          <w:rFonts w:ascii="Book Antiqua" w:hAnsi="Book Antiqua"/>
        </w:rPr>
        <w:t xml:space="preserve"> it would initiate its RAMP proceeding on June 30, 2020.</w:t>
      </w:r>
      <w:r w:rsidR="005951F2">
        <w:rPr>
          <w:rStyle w:val="FootnoteReference"/>
          <w:rFonts w:ascii="Book Antiqua" w:hAnsi="Book Antiqua"/>
        </w:rPr>
        <w:footnoteReference w:id="91"/>
      </w:r>
      <w:r w:rsidR="00365107">
        <w:rPr>
          <w:rFonts w:ascii="Book Antiqua" w:hAnsi="Book Antiqua"/>
        </w:rPr>
        <w:t xml:space="preserve">  Similarly, PG&amp;E proposes </w:t>
      </w:r>
      <w:r w:rsidR="00365107" w:rsidRPr="00365107">
        <w:rPr>
          <w:rFonts w:ascii="Book Antiqua" w:hAnsi="Book Antiqua"/>
        </w:rPr>
        <w:t>a June 30, 2021 deadline for its 2023 GRC application</w:t>
      </w:r>
      <w:r w:rsidR="00365107">
        <w:rPr>
          <w:rFonts w:ascii="Book Antiqua" w:hAnsi="Book Antiqua"/>
        </w:rPr>
        <w:t>.</w:t>
      </w:r>
      <w:r w:rsidR="005951F2">
        <w:rPr>
          <w:rStyle w:val="FootnoteReference"/>
          <w:rFonts w:ascii="Book Antiqua" w:hAnsi="Book Antiqua"/>
        </w:rPr>
        <w:footnoteReference w:id="92"/>
      </w:r>
      <w:r w:rsidR="00365107">
        <w:rPr>
          <w:rFonts w:ascii="Book Antiqua" w:hAnsi="Book Antiqua"/>
        </w:rPr>
        <w:t xml:space="preserve">  </w:t>
      </w:r>
      <w:r w:rsidR="005951F2">
        <w:rPr>
          <w:rFonts w:ascii="Book Antiqua" w:hAnsi="Book Antiqua"/>
        </w:rPr>
        <w:t>After this one</w:t>
      </w:r>
      <w:r w:rsidR="00FE5496">
        <w:rPr>
          <w:rFonts w:ascii="Book Antiqua" w:hAnsi="Book Antiqua"/>
        </w:rPr>
        <w:noBreakHyphen/>
      </w:r>
      <w:r w:rsidR="005951F2">
        <w:rPr>
          <w:rFonts w:ascii="Book Antiqua" w:hAnsi="Book Antiqua"/>
        </w:rPr>
        <w:t>cycle</w:t>
      </w:r>
      <w:r w:rsidR="00FE5496">
        <w:rPr>
          <w:rFonts w:ascii="Book Antiqua" w:hAnsi="Book Antiqua"/>
        </w:rPr>
        <w:noBreakHyphen/>
      </w:r>
      <w:r w:rsidR="001C23E1">
        <w:rPr>
          <w:rFonts w:ascii="Book Antiqua" w:hAnsi="Book Antiqua"/>
        </w:rPr>
        <w:t>only</w:t>
      </w:r>
      <w:r w:rsidR="005951F2">
        <w:rPr>
          <w:rFonts w:ascii="Book Antiqua" w:hAnsi="Book Antiqua"/>
        </w:rPr>
        <w:t xml:space="preserve"> accommodation</w:t>
      </w:r>
      <w:r w:rsidR="00B53A87">
        <w:rPr>
          <w:rFonts w:ascii="Book Antiqua" w:hAnsi="Book Antiqua"/>
        </w:rPr>
        <w:t xml:space="preserve"> to allow PG&amp;E to file its RAMP and GRC applications later than the dates adopted in this decision</w:t>
      </w:r>
      <w:r w:rsidR="005951F2">
        <w:rPr>
          <w:rFonts w:ascii="Book Antiqua" w:hAnsi="Book Antiqua"/>
        </w:rPr>
        <w:t xml:space="preserve">, </w:t>
      </w:r>
      <w:r w:rsidR="00365107">
        <w:rPr>
          <w:rFonts w:ascii="Book Antiqua" w:hAnsi="Book Antiqua"/>
        </w:rPr>
        <w:t xml:space="preserve">PG&amp;E would </w:t>
      </w:r>
      <w:r w:rsidR="005951F2">
        <w:rPr>
          <w:rFonts w:ascii="Book Antiqua" w:hAnsi="Book Antiqua"/>
        </w:rPr>
        <w:t xml:space="preserve">make these filings on </w:t>
      </w:r>
      <w:bookmarkStart w:id="57" w:name="_Hlk23854649"/>
      <w:r w:rsidR="001C23E1">
        <w:rPr>
          <w:rFonts w:ascii="Book Antiqua" w:hAnsi="Book Antiqua"/>
        </w:rPr>
        <w:t>May 15</w:t>
      </w:r>
      <w:r w:rsidR="005951F2">
        <w:rPr>
          <w:rFonts w:ascii="Book Antiqua" w:hAnsi="Book Antiqua"/>
          <w:vertAlign w:val="superscript"/>
        </w:rPr>
        <w:t xml:space="preserve"> </w:t>
      </w:r>
      <w:bookmarkEnd w:id="57"/>
      <w:r w:rsidR="005951F2">
        <w:rPr>
          <w:rFonts w:ascii="Book Antiqua" w:hAnsi="Book Antiqua"/>
        </w:rPr>
        <w:t>in future GRC cycles.</w:t>
      </w:r>
      <w:r w:rsidR="005951F2">
        <w:rPr>
          <w:rStyle w:val="FootnoteReference"/>
          <w:rFonts w:ascii="Book Antiqua" w:hAnsi="Book Antiqua"/>
        </w:rPr>
        <w:footnoteReference w:id="93"/>
      </w:r>
    </w:p>
    <w:p w14:paraId="025FBCCB" w14:textId="6DE0862C" w:rsidR="00612E06" w:rsidRDefault="00612E06" w:rsidP="00933ACA">
      <w:pPr>
        <w:pStyle w:val="standard0"/>
        <w:rPr>
          <w:rFonts w:ascii="Book Antiqua" w:hAnsi="Book Antiqua"/>
        </w:rPr>
      </w:pPr>
      <w:r>
        <w:rPr>
          <w:rFonts w:ascii="Book Antiqua" w:hAnsi="Book Antiqua"/>
        </w:rPr>
        <w:t xml:space="preserve">We adopt PG&amp;E’s suggested schedule in this decision.  </w:t>
      </w:r>
      <w:r w:rsidR="00933ACA">
        <w:rPr>
          <w:rFonts w:ascii="Book Antiqua" w:hAnsi="Book Antiqua"/>
        </w:rPr>
        <w:t>We note that t</w:t>
      </w:r>
      <w:r>
        <w:rPr>
          <w:rFonts w:ascii="Book Antiqua" w:hAnsi="Book Antiqua"/>
        </w:rPr>
        <w:t xml:space="preserve">he Commission’s recent GT&amp;S decision authorized an additional attrition year, so </w:t>
      </w:r>
      <w:r w:rsidR="00933ACA">
        <w:rPr>
          <w:rFonts w:ascii="Book Antiqua" w:hAnsi="Book Antiqua"/>
        </w:rPr>
        <w:t>PG&amp;E’s</w:t>
      </w:r>
      <w:r>
        <w:rPr>
          <w:rFonts w:ascii="Book Antiqua" w:hAnsi="Book Antiqua"/>
        </w:rPr>
        <w:t xml:space="preserve"> next GT&amp;S test year will be 2023</w:t>
      </w:r>
      <w:r w:rsidR="00933ACA">
        <w:rPr>
          <w:rFonts w:ascii="Book Antiqua" w:hAnsi="Book Antiqua"/>
        </w:rPr>
        <w:t xml:space="preserve">.  </w:t>
      </w:r>
      <w:r w:rsidRPr="00612E06">
        <w:rPr>
          <w:rFonts w:ascii="Book Antiqua" w:hAnsi="Book Antiqua"/>
        </w:rPr>
        <w:t>PG&amp;E’s current GRC application (A.18</w:t>
      </w:r>
      <w:r w:rsidR="00FE5496">
        <w:rPr>
          <w:rFonts w:ascii="Book Antiqua" w:hAnsi="Book Antiqua"/>
        </w:rPr>
        <w:noBreakHyphen/>
      </w:r>
      <w:r w:rsidRPr="00612E06">
        <w:rPr>
          <w:rFonts w:ascii="Book Antiqua" w:hAnsi="Book Antiqua"/>
        </w:rPr>
        <w:t>12</w:t>
      </w:r>
      <w:r w:rsidR="00FE5496">
        <w:rPr>
          <w:rFonts w:ascii="Book Antiqua" w:hAnsi="Book Antiqua"/>
        </w:rPr>
        <w:noBreakHyphen/>
      </w:r>
      <w:r w:rsidRPr="00612E06">
        <w:rPr>
          <w:rFonts w:ascii="Book Antiqua" w:hAnsi="Book Antiqua"/>
        </w:rPr>
        <w:t>009) is based on a 2020 test year and two attrition years</w:t>
      </w:r>
      <w:r>
        <w:rPr>
          <w:rFonts w:ascii="Book Antiqua" w:hAnsi="Book Antiqua"/>
        </w:rPr>
        <w:t xml:space="preserve"> (2021 and 2022)</w:t>
      </w:r>
      <w:r w:rsidRPr="00612E06">
        <w:rPr>
          <w:rFonts w:ascii="Book Antiqua" w:hAnsi="Book Antiqua"/>
        </w:rPr>
        <w:t xml:space="preserve">, </w:t>
      </w:r>
      <w:r>
        <w:rPr>
          <w:rFonts w:ascii="Book Antiqua" w:hAnsi="Book Antiqua"/>
        </w:rPr>
        <w:t xml:space="preserve">so </w:t>
      </w:r>
      <w:r w:rsidRPr="00612E06">
        <w:rPr>
          <w:rFonts w:ascii="Book Antiqua" w:hAnsi="Book Antiqua"/>
        </w:rPr>
        <w:t>that proceeding can be concluded with no modifications to scope or schedule.</w:t>
      </w:r>
    </w:p>
    <w:p w14:paraId="4C6C0242" w14:textId="4D92B7D2" w:rsidR="00360B47" w:rsidRDefault="00933ACA" w:rsidP="00360B47">
      <w:pPr>
        <w:pStyle w:val="standard0"/>
        <w:rPr>
          <w:rFonts w:ascii="Book Antiqua" w:hAnsi="Book Antiqua"/>
        </w:rPr>
      </w:pPr>
      <w:r>
        <w:rPr>
          <w:rFonts w:ascii="Book Antiqua" w:hAnsi="Book Antiqua"/>
        </w:rPr>
        <w:lastRenderedPageBreak/>
        <w:t xml:space="preserve">For </w:t>
      </w:r>
      <w:r w:rsidRPr="00933ACA">
        <w:rPr>
          <w:rFonts w:ascii="Book Antiqua" w:hAnsi="Book Antiqua"/>
        </w:rPr>
        <w:t>SoCalGas and SDG&amp;E</w:t>
      </w:r>
      <w:r>
        <w:rPr>
          <w:rFonts w:ascii="Book Antiqua" w:hAnsi="Book Antiqua"/>
        </w:rPr>
        <w:t xml:space="preserve">, the PD found that </w:t>
      </w:r>
      <w:r w:rsidR="00C668EB">
        <w:rPr>
          <w:rFonts w:ascii="Book Antiqua" w:hAnsi="Book Antiqua"/>
        </w:rPr>
        <w:t>the three</w:t>
      </w:r>
      <w:r w:rsidR="00FE5496">
        <w:rPr>
          <w:rFonts w:ascii="Book Antiqua" w:hAnsi="Book Antiqua"/>
        </w:rPr>
        <w:noBreakHyphen/>
      </w:r>
      <w:r w:rsidR="00C668EB">
        <w:rPr>
          <w:rFonts w:ascii="Book Antiqua" w:hAnsi="Book Antiqua"/>
        </w:rPr>
        <w:t xml:space="preserve">year GRC cycle authorized in </w:t>
      </w:r>
      <w:r>
        <w:rPr>
          <w:rFonts w:ascii="Book Antiqua" w:hAnsi="Book Antiqua"/>
        </w:rPr>
        <w:t>D.19</w:t>
      </w:r>
      <w:r w:rsidR="00FE5496">
        <w:rPr>
          <w:rFonts w:ascii="Book Antiqua" w:hAnsi="Book Antiqua"/>
        </w:rPr>
        <w:noBreakHyphen/>
      </w:r>
      <w:r>
        <w:rPr>
          <w:rFonts w:ascii="Book Antiqua" w:hAnsi="Book Antiqua"/>
        </w:rPr>
        <w:t>09</w:t>
      </w:r>
      <w:r w:rsidR="00FE5496">
        <w:rPr>
          <w:rFonts w:ascii="Book Antiqua" w:hAnsi="Book Antiqua"/>
        </w:rPr>
        <w:noBreakHyphen/>
      </w:r>
      <w:r>
        <w:rPr>
          <w:rFonts w:ascii="Book Antiqua" w:hAnsi="Book Antiqua"/>
        </w:rPr>
        <w:t>0</w:t>
      </w:r>
      <w:r w:rsidR="00FF319D">
        <w:rPr>
          <w:rFonts w:ascii="Book Antiqua" w:hAnsi="Book Antiqua"/>
        </w:rPr>
        <w:t>51</w:t>
      </w:r>
      <w:r>
        <w:rPr>
          <w:rFonts w:ascii="Book Antiqua" w:hAnsi="Book Antiqua"/>
        </w:rPr>
        <w:t xml:space="preserve"> should be implemented as adopted</w:t>
      </w:r>
      <w:r w:rsidR="00C668EB">
        <w:rPr>
          <w:rFonts w:ascii="Book Antiqua" w:hAnsi="Book Antiqua"/>
        </w:rPr>
        <w:t xml:space="preserve">.  The next GRC cycle for </w:t>
      </w:r>
      <w:r>
        <w:rPr>
          <w:rFonts w:ascii="Book Antiqua" w:hAnsi="Book Antiqua"/>
        </w:rPr>
        <w:t xml:space="preserve">those utilities’ </w:t>
      </w:r>
      <w:r w:rsidR="00C668EB">
        <w:rPr>
          <w:rFonts w:ascii="Book Antiqua" w:hAnsi="Book Antiqua"/>
        </w:rPr>
        <w:t xml:space="preserve">would be initiated with their </w:t>
      </w:r>
      <w:r>
        <w:rPr>
          <w:rFonts w:ascii="Book Antiqua" w:hAnsi="Book Antiqua"/>
        </w:rPr>
        <w:t xml:space="preserve">RAMP </w:t>
      </w:r>
      <w:r w:rsidR="00360B47">
        <w:rPr>
          <w:rFonts w:ascii="Book Antiqua" w:hAnsi="Book Antiqua"/>
        </w:rPr>
        <w:t>proceedings</w:t>
      </w:r>
      <w:r>
        <w:rPr>
          <w:rFonts w:ascii="Book Antiqua" w:hAnsi="Book Antiqua"/>
        </w:rPr>
        <w:t xml:space="preserve"> in November of this year, </w:t>
      </w:r>
      <w:r w:rsidR="00C668EB">
        <w:rPr>
          <w:rFonts w:ascii="Book Antiqua" w:hAnsi="Book Antiqua"/>
        </w:rPr>
        <w:t>followed by</w:t>
      </w:r>
      <w:r>
        <w:rPr>
          <w:rFonts w:ascii="Book Antiqua" w:hAnsi="Book Antiqua"/>
        </w:rPr>
        <w:t xml:space="preserve"> </w:t>
      </w:r>
      <w:r w:rsidRPr="00933ACA">
        <w:rPr>
          <w:rFonts w:ascii="Book Antiqua" w:hAnsi="Book Antiqua"/>
        </w:rPr>
        <w:t xml:space="preserve">each utility </w:t>
      </w:r>
      <w:r>
        <w:rPr>
          <w:rFonts w:ascii="Book Antiqua" w:hAnsi="Book Antiqua"/>
        </w:rPr>
        <w:t>filing</w:t>
      </w:r>
      <w:r w:rsidRPr="00933ACA">
        <w:rPr>
          <w:rFonts w:ascii="Book Antiqua" w:hAnsi="Book Antiqua"/>
        </w:rPr>
        <w:t xml:space="preserve"> </w:t>
      </w:r>
      <w:r w:rsidR="00360B47">
        <w:rPr>
          <w:rFonts w:ascii="Book Antiqua" w:hAnsi="Book Antiqua"/>
        </w:rPr>
        <w:t>a three</w:t>
      </w:r>
      <w:r w:rsidR="00FE5496">
        <w:rPr>
          <w:rFonts w:ascii="Book Antiqua" w:hAnsi="Book Antiqua"/>
        </w:rPr>
        <w:noBreakHyphen/>
      </w:r>
      <w:r w:rsidR="00360B47">
        <w:rPr>
          <w:rFonts w:ascii="Book Antiqua" w:hAnsi="Book Antiqua"/>
        </w:rPr>
        <w:t>year</w:t>
      </w:r>
      <w:r w:rsidRPr="00933ACA">
        <w:rPr>
          <w:rFonts w:ascii="Book Antiqua" w:hAnsi="Book Antiqua"/>
        </w:rPr>
        <w:t xml:space="preserve"> GRC application in September 2020</w:t>
      </w:r>
      <w:r w:rsidR="00360B47">
        <w:rPr>
          <w:rFonts w:ascii="Book Antiqua" w:hAnsi="Book Antiqua"/>
        </w:rPr>
        <w:t>, for 2022 test years</w:t>
      </w:r>
      <w:r w:rsidRPr="00933ACA">
        <w:rPr>
          <w:rFonts w:ascii="Book Antiqua" w:hAnsi="Book Antiqua"/>
        </w:rPr>
        <w:t>.</w:t>
      </w:r>
      <w:r w:rsidR="00360B47">
        <w:rPr>
          <w:rFonts w:ascii="Book Antiqua" w:hAnsi="Book Antiqua"/>
        </w:rPr>
        <w:t xml:space="preserve">  In comments on the PD, </w:t>
      </w:r>
      <w:r w:rsidR="00360B47" w:rsidRPr="00612E06">
        <w:rPr>
          <w:rFonts w:ascii="Book Antiqua" w:hAnsi="Book Antiqua"/>
        </w:rPr>
        <w:t>SoCalGas and SDG&amp;E</w:t>
      </w:r>
      <w:r w:rsidR="00360B47">
        <w:rPr>
          <w:rFonts w:ascii="Book Antiqua" w:hAnsi="Book Antiqua"/>
        </w:rPr>
        <w:t xml:space="preserve"> cite the Commission’s direction in D.19</w:t>
      </w:r>
      <w:r w:rsidR="00FE5496">
        <w:rPr>
          <w:rFonts w:ascii="Book Antiqua" w:hAnsi="Book Antiqua"/>
        </w:rPr>
        <w:noBreakHyphen/>
      </w:r>
      <w:r w:rsidR="00360B47">
        <w:rPr>
          <w:rFonts w:ascii="Book Antiqua" w:hAnsi="Book Antiqua"/>
        </w:rPr>
        <w:t>09</w:t>
      </w:r>
      <w:r w:rsidR="00FE5496">
        <w:rPr>
          <w:rFonts w:ascii="Book Antiqua" w:hAnsi="Book Antiqua"/>
        </w:rPr>
        <w:noBreakHyphen/>
      </w:r>
      <w:r w:rsidR="00360B47">
        <w:rPr>
          <w:rFonts w:ascii="Book Antiqua" w:hAnsi="Book Antiqua"/>
        </w:rPr>
        <w:t>0</w:t>
      </w:r>
      <w:r w:rsidR="00FF319D">
        <w:rPr>
          <w:rFonts w:ascii="Book Antiqua" w:hAnsi="Book Antiqua"/>
        </w:rPr>
        <w:t>51</w:t>
      </w:r>
      <w:r w:rsidR="00360B47">
        <w:rPr>
          <w:rFonts w:ascii="Book Antiqua" w:hAnsi="Book Antiqua"/>
        </w:rPr>
        <w:t xml:space="preserve"> where it declined to authorize a 2022 attrition year for each utility, but </w:t>
      </w:r>
      <w:r w:rsidR="00360B47" w:rsidRPr="00360B47">
        <w:rPr>
          <w:rFonts w:ascii="Book Antiqua" w:hAnsi="Book Antiqua"/>
        </w:rPr>
        <w:t>stat</w:t>
      </w:r>
      <w:r w:rsidR="00360B47">
        <w:rPr>
          <w:rFonts w:ascii="Book Antiqua" w:hAnsi="Book Antiqua"/>
        </w:rPr>
        <w:t xml:space="preserve">ed </w:t>
      </w:r>
      <w:r w:rsidR="00360B47" w:rsidRPr="00360B47">
        <w:rPr>
          <w:rFonts w:ascii="Book Antiqua" w:hAnsi="Book Antiqua"/>
        </w:rPr>
        <w:t>“If</w:t>
      </w:r>
      <w:r w:rsidR="00360B47">
        <w:rPr>
          <w:rFonts w:ascii="Book Antiqua" w:hAnsi="Book Antiqua"/>
        </w:rPr>
        <w:t xml:space="preserve"> </w:t>
      </w:r>
      <w:r w:rsidR="00360B47" w:rsidRPr="00360B47">
        <w:rPr>
          <w:rFonts w:ascii="Book Antiqua" w:hAnsi="Book Antiqua"/>
        </w:rPr>
        <w:t>a decision adopting a four</w:t>
      </w:r>
      <w:r w:rsidR="00FE5496">
        <w:rPr>
          <w:rFonts w:ascii="Book Antiqua" w:hAnsi="Book Antiqua"/>
        </w:rPr>
        <w:noBreakHyphen/>
      </w:r>
      <w:r w:rsidR="00360B47" w:rsidRPr="00360B47">
        <w:rPr>
          <w:rFonts w:ascii="Book Antiqua" w:hAnsi="Book Antiqua"/>
        </w:rPr>
        <w:t>year GRC cycle is made in R.13</w:t>
      </w:r>
      <w:r w:rsidR="00FE5496">
        <w:rPr>
          <w:rFonts w:ascii="Book Antiqua" w:hAnsi="Book Antiqua"/>
        </w:rPr>
        <w:noBreakHyphen/>
      </w:r>
      <w:r w:rsidR="00360B47" w:rsidRPr="00360B47">
        <w:rPr>
          <w:rFonts w:ascii="Book Antiqua" w:hAnsi="Book Antiqua"/>
        </w:rPr>
        <w:t>11</w:t>
      </w:r>
      <w:r w:rsidR="00FE5496">
        <w:rPr>
          <w:rFonts w:ascii="Book Antiqua" w:hAnsi="Book Antiqua"/>
        </w:rPr>
        <w:noBreakHyphen/>
      </w:r>
      <w:r w:rsidR="00360B47" w:rsidRPr="00360B47">
        <w:rPr>
          <w:rFonts w:ascii="Book Antiqua" w:hAnsi="Book Antiqua"/>
        </w:rPr>
        <w:t>006, Applicants shall file a</w:t>
      </w:r>
      <w:r w:rsidR="00360B47">
        <w:rPr>
          <w:rFonts w:ascii="Book Antiqua" w:hAnsi="Book Antiqua"/>
        </w:rPr>
        <w:t xml:space="preserve"> </w:t>
      </w:r>
      <w:r w:rsidR="00360B47" w:rsidRPr="00360B47">
        <w:rPr>
          <w:rFonts w:ascii="Book Antiqua" w:hAnsi="Book Antiqua"/>
        </w:rPr>
        <w:t>petition for modification of this decision.”</w:t>
      </w:r>
      <w:r w:rsidR="009844A2">
        <w:rPr>
          <w:rStyle w:val="FootnoteReference"/>
          <w:rFonts w:ascii="Book Antiqua" w:hAnsi="Book Antiqua"/>
        </w:rPr>
        <w:footnoteReference w:id="94"/>
      </w:r>
      <w:r w:rsidR="00360B47">
        <w:rPr>
          <w:rFonts w:ascii="Book Antiqua" w:hAnsi="Book Antiqua"/>
        </w:rPr>
        <w:t xml:space="preserve"> </w:t>
      </w:r>
    </w:p>
    <w:p w14:paraId="4279B05A" w14:textId="21998B2A" w:rsidR="005B50D0" w:rsidRPr="00232159" w:rsidRDefault="00374112" w:rsidP="00360B47">
      <w:pPr>
        <w:pStyle w:val="standard0"/>
        <w:rPr>
          <w:rFonts w:ascii="Book Antiqua" w:hAnsi="Book Antiqua"/>
        </w:rPr>
      </w:pPr>
      <w:r>
        <w:rPr>
          <w:rFonts w:ascii="Book Antiqua" w:hAnsi="Book Antiqua"/>
        </w:rPr>
        <w:t>In consideration of D.19</w:t>
      </w:r>
      <w:r w:rsidR="00FE5496">
        <w:rPr>
          <w:rFonts w:ascii="Book Antiqua" w:hAnsi="Book Antiqua"/>
        </w:rPr>
        <w:noBreakHyphen/>
      </w:r>
      <w:r>
        <w:rPr>
          <w:rFonts w:ascii="Book Antiqua" w:hAnsi="Book Antiqua"/>
        </w:rPr>
        <w:t>09</w:t>
      </w:r>
      <w:r w:rsidR="00FE5496">
        <w:rPr>
          <w:rFonts w:ascii="Book Antiqua" w:hAnsi="Book Antiqua"/>
        </w:rPr>
        <w:noBreakHyphen/>
      </w:r>
      <w:r w:rsidR="00FF319D">
        <w:rPr>
          <w:rFonts w:ascii="Book Antiqua" w:hAnsi="Book Antiqua"/>
        </w:rPr>
        <w:t>051</w:t>
      </w:r>
      <w:r w:rsidR="00AB3BB6">
        <w:rPr>
          <w:rFonts w:ascii="Book Antiqua" w:hAnsi="Book Antiqua"/>
        </w:rPr>
        <w:t>,</w:t>
      </w:r>
      <w:r>
        <w:rPr>
          <w:rFonts w:ascii="Book Antiqua" w:hAnsi="Book Antiqua"/>
        </w:rPr>
        <w:t xml:space="preserve"> </w:t>
      </w:r>
      <w:r w:rsidR="00AB3BB6">
        <w:rPr>
          <w:rFonts w:ascii="Book Antiqua" w:hAnsi="Book Antiqua"/>
        </w:rPr>
        <w:t>w</w:t>
      </w:r>
      <w:r w:rsidR="00C668EB">
        <w:rPr>
          <w:rFonts w:ascii="Book Antiqua" w:hAnsi="Book Antiqua"/>
        </w:rPr>
        <w:t xml:space="preserve">e have revised the PD with some </w:t>
      </w:r>
      <w:r w:rsidR="00F347FF">
        <w:rPr>
          <w:rFonts w:ascii="Book Antiqua" w:hAnsi="Book Antiqua"/>
        </w:rPr>
        <w:t>necessary</w:t>
      </w:r>
      <w:r w:rsidR="00C668EB">
        <w:rPr>
          <w:rFonts w:ascii="Book Antiqua" w:hAnsi="Book Antiqua"/>
        </w:rPr>
        <w:t xml:space="preserve"> adjustments</w:t>
      </w:r>
      <w:r w:rsidR="00F347FF">
        <w:rPr>
          <w:rFonts w:ascii="Book Antiqua" w:hAnsi="Book Antiqua"/>
        </w:rPr>
        <w:t xml:space="preserve"> to </w:t>
      </w:r>
      <w:r w:rsidR="00D816C2">
        <w:rPr>
          <w:rFonts w:ascii="Book Antiqua" w:hAnsi="Book Antiqua"/>
        </w:rPr>
        <w:t xml:space="preserve">ensure a </w:t>
      </w:r>
      <w:r w:rsidR="003F4171">
        <w:rPr>
          <w:rFonts w:ascii="Book Antiqua" w:hAnsi="Book Antiqua"/>
        </w:rPr>
        <w:t>pragmatic</w:t>
      </w:r>
      <w:r w:rsidR="00D816C2">
        <w:rPr>
          <w:rFonts w:ascii="Book Antiqua" w:hAnsi="Book Antiqua"/>
        </w:rPr>
        <w:t xml:space="preserve"> rate case schedule for parties and Commission </w:t>
      </w:r>
      <w:r w:rsidR="008C483E">
        <w:rPr>
          <w:rFonts w:ascii="Book Antiqua" w:hAnsi="Book Antiqua"/>
        </w:rPr>
        <w:t>staff</w:t>
      </w:r>
      <w:r w:rsidR="00C668EB">
        <w:rPr>
          <w:rFonts w:ascii="Book Antiqua" w:hAnsi="Book Antiqua"/>
        </w:rPr>
        <w:t xml:space="preserve">.  Although </w:t>
      </w:r>
      <w:r w:rsidR="00C668EB" w:rsidRPr="00C668EB">
        <w:rPr>
          <w:rFonts w:ascii="Book Antiqua" w:hAnsi="Book Antiqua"/>
        </w:rPr>
        <w:t>SoCalGas and SDG&amp;E</w:t>
      </w:r>
      <w:r w:rsidR="00C668EB">
        <w:rPr>
          <w:rFonts w:ascii="Book Antiqua" w:hAnsi="Book Antiqua"/>
        </w:rPr>
        <w:t xml:space="preserve"> suggested that we require PG&amp;E to propose a third attrition year in its current GRC proceeding, we decline to do so because that proceeding is nearing its conclusion.  Instead, we direct </w:t>
      </w:r>
      <w:r w:rsidR="00C668EB" w:rsidRPr="00C668EB">
        <w:rPr>
          <w:rFonts w:ascii="Book Antiqua" w:hAnsi="Book Antiqua"/>
        </w:rPr>
        <w:t>SoCalGas and SDG&amp;E</w:t>
      </w:r>
      <w:r w:rsidR="00C668EB">
        <w:rPr>
          <w:rFonts w:ascii="Book Antiqua" w:hAnsi="Book Antiqua"/>
        </w:rPr>
        <w:t xml:space="preserve"> to request </w:t>
      </w:r>
      <w:r w:rsidR="009E5864">
        <w:rPr>
          <w:rFonts w:ascii="Book Antiqua" w:hAnsi="Book Antiqua"/>
        </w:rPr>
        <w:t>two additional attrition years</w:t>
      </w:r>
      <w:r w:rsidR="005B50D0">
        <w:rPr>
          <w:rFonts w:ascii="Book Antiqua" w:hAnsi="Book Antiqua"/>
        </w:rPr>
        <w:t xml:space="preserve"> (2022 and 2023) in their petition for modification of D.19</w:t>
      </w:r>
      <w:r w:rsidR="00FE5496">
        <w:rPr>
          <w:rFonts w:ascii="Book Antiqua" w:hAnsi="Book Antiqua"/>
        </w:rPr>
        <w:noBreakHyphen/>
      </w:r>
      <w:r w:rsidR="005B50D0">
        <w:rPr>
          <w:rFonts w:ascii="Book Antiqua" w:hAnsi="Book Antiqua"/>
        </w:rPr>
        <w:t>09</w:t>
      </w:r>
      <w:r w:rsidR="00FE5496">
        <w:rPr>
          <w:rFonts w:ascii="Book Antiqua" w:hAnsi="Book Antiqua"/>
        </w:rPr>
        <w:noBreakHyphen/>
      </w:r>
      <w:r w:rsidR="005B50D0">
        <w:rPr>
          <w:rFonts w:ascii="Book Antiqua" w:hAnsi="Book Antiqua"/>
        </w:rPr>
        <w:t>051 in order</w:t>
      </w:r>
      <w:r w:rsidR="009E5864">
        <w:rPr>
          <w:rFonts w:ascii="Book Antiqua" w:hAnsi="Book Antiqua"/>
        </w:rPr>
        <w:t xml:space="preserve"> </w:t>
      </w:r>
      <w:r w:rsidR="005C2708">
        <w:rPr>
          <w:rFonts w:ascii="Book Antiqua" w:hAnsi="Book Antiqua"/>
        </w:rPr>
        <w:t xml:space="preserve">to avoid </w:t>
      </w:r>
      <w:r w:rsidR="003C78EC">
        <w:rPr>
          <w:rFonts w:ascii="Book Antiqua" w:hAnsi="Book Antiqua"/>
        </w:rPr>
        <w:t xml:space="preserve">having </w:t>
      </w:r>
      <w:r w:rsidR="005B50D0">
        <w:rPr>
          <w:rFonts w:ascii="Book Antiqua" w:hAnsi="Book Antiqua"/>
        </w:rPr>
        <w:t xml:space="preserve">their </w:t>
      </w:r>
      <w:r w:rsidR="003C78EC">
        <w:rPr>
          <w:rFonts w:ascii="Book Antiqua" w:hAnsi="Book Antiqua"/>
        </w:rPr>
        <w:t>next GRC</w:t>
      </w:r>
      <w:r w:rsidR="005B50D0">
        <w:rPr>
          <w:rFonts w:ascii="Book Antiqua" w:hAnsi="Book Antiqua"/>
        </w:rPr>
        <w:t>s</w:t>
      </w:r>
      <w:r w:rsidR="003C78EC">
        <w:rPr>
          <w:rFonts w:ascii="Book Antiqua" w:hAnsi="Book Antiqua"/>
        </w:rPr>
        <w:t xml:space="preserve"> filed </w:t>
      </w:r>
      <w:r w:rsidR="00BF49B5">
        <w:rPr>
          <w:rFonts w:ascii="Book Antiqua" w:hAnsi="Book Antiqua"/>
        </w:rPr>
        <w:t>in the same year as PG&amp;E</w:t>
      </w:r>
      <w:r w:rsidR="002F6E53">
        <w:rPr>
          <w:rFonts w:ascii="Book Antiqua" w:hAnsi="Book Antiqua"/>
        </w:rPr>
        <w:t xml:space="preserve"> in 2021.  </w:t>
      </w:r>
      <w:r w:rsidR="005B50D0" w:rsidRPr="005B50D0">
        <w:rPr>
          <w:rFonts w:ascii="Book Antiqua" w:hAnsi="Book Antiqua"/>
        </w:rPr>
        <w:t>SoCalGas and SDG&amp;E sh</w:t>
      </w:r>
      <w:r w:rsidR="005B50D0">
        <w:rPr>
          <w:rFonts w:ascii="Book Antiqua" w:hAnsi="Book Antiqua"/>
        </w:rPr>
        <w:t>all</w:t>
      </w:r>
      <w:r w:rsidR="005B50D0" w:rsidRPr="005B50D0">
        <w:rPr>
          <w:rFonts w:ascii="Book Antiqua" w:hAnsi="Book Antiqua"/>
        </w:rPr>
        <w:t xml:space="preserve"> include in their </w:t>
      </w:r>
      <w:r w:rsidR="00DF6D0C">
        <w:rPr>
          <w:rFonts w:ascii="Book Antiqua" w:hAnsi="Book Antiqua"/>
        </w:rPr>
        <w:t>petition</w:t>
      </w:r>
      <w:r w:rsidR="005B50D0" w:rsidRPr="005B50D0">
        <w:rPr>
          <w:rFonts w:ascii="Book Antiqua" w:hAnsi="Book Antiqua"/>
        </w:rPr>
        <w:t xml:space="preserve"> </w:t>
      </w:r>
      <w:r w:rsidR="00DF6D0C">
        <w:rPr>
          <w:rFonts w:ascii="Book Antiqua" w:hAnsi="Book Antiqua"/>
        </w:rPr>
        <w:t>detailed</w:t>
      </w:r>
      <w:r w:rsidR="005B50D0" w:rsidRPr="005B50D0">
        <w:rPr>
          <w:rFonts w:ascii="Book Antiqua" w:hAnsi="Book Antiqua"/>
        </w:rPr>
        <w:t xml:space="preserve"> information </w:t>
      </w:r>
      <w:r w:rsidR="00DF6D0C">
        <w:rPr>
          <w:rFonts w:ascii="Book Antiqua" w:hAnsi="Book Antiqua"/>
        </w:rPr>
        <w:t>to enable</w:t>
      </w:r>
      <w:r w:rsidR="005B50D0" w:rsidRPr="005B50D0">
        <w:rPr>
          <w:rFonts w:ascii="Book Antiqua" w:hAnsi="Book Antiqua"/>
        </w:rPr>
        <w:t xml:space="preserve"> the Commission and </w:t>
      </w:r>
      <w:r w:rsidR="00DF6D0C">
        <w:rPr>
          <w:rFonts w:ascii="Book Antiqua" w:hAnsi="Book Antiqua"/>
        </w:rPr>
        <w:t>interested</w:t>
      </w:r>
      <w:r w:rsidR="005B50D0" w:rsidRPr="005B50D0">
        <w:rPr>
          <w:rFonts w:ascii="Book Antiqua" w:hAnsi="Book Antiqua"/>
        </w:rPr>
        <w:t xml:space="preserve"> parties to evaluate the utilities’ </w:t>
      </w:r>
      <w:r w:rsidR="00DF6D0C">
        <w:rPr>
          <w:rFonts w:ascii="Book Antiqua" w:hAnsi="Book Antiqua"/>
        </w:rPr>
        <w:t xml:space="preserve">requested </w:t>
      </w:r>
      <w:r w:rsidR="005B50D0" w:rsidRPr="005B50D0">
        <w:rPr>
          <w:rFonts w:ascii="Book Antiqua" w:hAnsi="Book Antiqua"/>
        </w:rPr>
        <w:t>revenue requirement</w:t>
      </w:r>
      <w:r w:rsidR="00DF6D0C">
        <w:rPr>
          <w:rFonts w:ascii="Book Antiqua" w:hAnsi="Book Antiqua"/>
        </w:rPr>
        <w:t>s</w:t>
      </w:r>
      <w:r w:rsidR="005B50D0" w:rsidRPr="005B50D0">
        <w:rPr>
          <w:rFonts w:ascii="Book Antiqua" w:hAnsi="Book Antiqua"/>
        </w:rPr>
        <w:t xml:space="preserve"> for the two additional attrition years</w:t>
      </w:r>
      <w:r w:rsidR="005B50D0">
        <w:rPr>
          <w:rFonts w:ascii="Book Antiqua" w:hAnsi="Book Antiqua"/>
        </w:rPr>
        <w:t>, including but not limited to</w:t>
      </w:r>
      <w:r w:rsidR="001D2D82">
        <w:rPr>
          <w:rFonts w:ascii="Book Antiqua" w:hAnsi="Book Antiqua"/>
        </w:rPr>
        <w:t xml:space="preserve">: </w:t>
      </w:r>
      <w:r w:rsidR="005B50D0" w:rsidRPr="005B50D0">
        <w:rPr>
          <w:rFonts w:ascii="Book Antiqua" w:hAnsi="Book Antiqua"/>
        </w:rPr>
        <w:t xml:space="preserve"> proposed escalation factor</w:t>
      </w:r>
      <w:r w:rsidR="005B50D0">
        <w:rPr>
          <w:rFonts w:ascii="Book Antiqua" w:hAnsi="Book Antiqua"/>
        </w:rPr>
        <w:t>s</w:t>
      </w:r>
      <w:r w:rsidR="005B50D0" w:rsidRPr="005B50D0">
        <w:rPr>
          <w:rFonts w:ascii="Book Antiqua" w:hAnsi="Book Antiqua"/>
        </w:rPr>
        <w:t xml:space="preserve">, </w:t>
      </w:r>
      <w:r w:rsidR="005B50D0">
        <w:rPr>
          <w:rFonts w:ascii="Book Antiqua" w:hAnsi="Book Antiqua"/>
        </w:rPr>
        <w:t xml:space="preserve">anticipated </w:t>
      </w:r>
      <w:r w:rsidR="00DF6D0C" w:rsidRPr="00DF6D0C">
        <w:rPr>
          <w:rFonts w:ascii="Book Antiqua" w:hAnsi="Book Antiqua"/>
        </w:rPr>
        <w:t>Pipeline Safety Enhancement Plan</w:t>
      </w:r>
      <w:r w:rsidR="005B50D0" w:rsidRPr="005B50D0">
        <w:rPr>
          <w:rFonts w:ascii="Book Antiqua" w:hAnsi="Book Antiqua"/>
        </w:rPr>
        <w:t xml:space="preserve"> </w:t>
      </w:r>
      <w:r w:rsidR="005B50D0">
        <w:rPr>
          <w:rFonts w:ascii="Book Antiqua" w:hAnsi="Book Antiqua"/>
        </w:rPr>
        <w:t xml:space="preserve">and other </w:t>
      </w:r>
      <w:r w:rsidR="005B50D0">
        <w:rPr>
          <w:rFonts w:ascii="Book Antiqua" w:hAnsi="Book Antiqua"/>
        </w:rPr>
        <w:lastRenderedPageBreak/>
        <w:t xml:space="preserve">capital </w:t>
      </w:r>
      <w:r w:rsidR="005B50D0" w:rsidRPr="005B50D0">
        <w:rPr>
          <w:rFonts w:ascii="Book Antiqua" w:hAnsi="Book Antiqua"/>
        </w:rPr>
        <w:t>projects</w:t>
      </w:r>
      <w:r w:rsidR="005B50D0">
        <w:rPr>
          <w:rFonts w:ascii="Book Antiqua" w:hAnsi="Book Antiqua"/>
        </w:rPr>
        <w:t xml:space="preserve"> for </w:t>
      </w:r>
      <w:r w:rsidR="005B50D0" w:rsidRPr="005B50D0">
        <w:rPr>
          <w:rFonts w:ascii="Book Antiqua" w:hAnsi="Book Antiqua"/>
        </w:rPr>
        <w:t>2022 and 2023</w:t>
      </w:r>
      <w:r w:rsidR="005B50D0">
        <w:rPr>
          <w:rFonts w:ascii="Book Antiqua" w:hAnsi="Book Antiqua"/>
        </w:rPr>
        <w:t xml:space="preserve">, and updates to all relevant </w:t>
      </w:r>
      <w:r w:rsidR="005B50D0" w:rsidRPr="005B50D0">
        <w:rPr>
          <w:rFonts w:ascii="Book Antiqua" w:hAnsi="Book Antiqua"/>
        </w:rPr>
        <w:t>forecasts</w:t>
      </w:r>
      <w:r w:rsidR="005B50D0">
        <w:rPr>
          <w:rFonts w:ascii="Book Antiqua" w:hAnsi="Book Antiqua"/>
        </w:rPr>
        <w:t xml:space="preserve"> from their 2019 GRC applications</w:t>
      </w:r>
      <w:r w:rsidR="005B50D0" w:rsidRPr="00232159">
        <w:rPr>
          <w:rFonts w:ascii="Book Antiqua" w:hAnsi="Book Antiqua"/>
        </w:rPr>
        <w:t>.</w:t>
      </w:r>
      <w:r w:rsidR="002378DC" w:rsidRPr="00232159" w:rsidDel="002378DC">
        <w:rPr>
          <w:rStyle w:val="FootnoteReference"/>
          <w:rFonts w:ascii="Book Antiqua" w:hAnsi="Book Antiqua"/>
        </w:rPr>
        <w:t xml:space="preserve"> </w:t>
      </w:r>
      <w:r w:rsidR="002378DC" w:rsidRPr="00232159">
        <w:rPr>
          <w:rFonts w:ascii="Book Antiqua" w:hAnsi="Book Antiqua"/>
        </w:rPr>
        <w:t xml:space="preserve"> </w:t>
      </w:r>
      <w:r w:rsidR="002378DC" w:rsidRPr="00D53A4B">
        <w:rPr>
          <w:rFonts w:ascii="Book Antiqua" w:hAnsi="Book Antiqua"/>
        </w:rPr>
        <w:t>The petition filed by SoCalGas and SDG&amp;E should also address the interaction between this decision and their respective RAMP proceedings.  We note that both utilities incorporated the results of their 2016 RAMP proceedings (I.16</w:t>
      </w:r>
      <w:r w:rsidR="00FE5496">
        <w:rPr>
          <w:rFonts w:ascii="Book Antiqua" w:hAnsi="Book Antiqua"/>
        </w:rPr>
        <w:noBreakHyphen/>
      </w:r>
      <w:r w:rsidR="002378DC" w:rsidRPr="00D53A4B">
        <w:rPr>
          <w:rFonts w:ascii="Book Antiqua" w:hAnsi="Book Antiqua"/>
        </w:rPr>
        <w:t>10</w:t>
      </w:r>
      <w:r w:rsidR="00FE5496">
        <w:rPr>
          <w:rFonts w:ascii="Book Antiqua" w:hAnsi="Book Antiqua"/>
        </w:rPr>
        <w:noBreakHyphen/>
      </w:r>
      <w:r w:rsidR="002378DC" w:rsidRPr="00D53A4B">
        <w:rPr>
          <w:rFonts w:ascii="Book Antiqua" w:hAnsi="Book Antiqua"/>
        </w:rPr>
        <w:t>016 and I.16</w:t>
      </w:r>
      <w:r w:rsidR="00FE5496">
        <w:rPr>
          <w:rFonts w:ascii="Book Antiqua" w:hAnsi="Book Antiqua"/>
        </w:rPr>
        <w:noBreakHyphen/>
      </w:r>
      <w:r w:rsidR="002378DC" w:rsidRPr="00D53A4B">
        <w:rPr>
          <w:rFonts w:ascii="Book Antiqua" w:hAnsi="Book Antiqua"/>
        </w:rPr>
        <w:t>10</w:t>
      </w:r>
      <w:r w:rsidR="00FE5496">
        <w:rPr>
          <w:rFonts w:ascii="Book Antiqua" w:hAnsi="Book Antiqua"/>
        </w:rPr>
        <w:noBreakHyphen/>
      </w:r>
      <w:r w:rsidR="002378DC" w:rsidRPr="00D53A4B">
        <w:rPr>
          <w:rFonts w:ascii="Book Antiqua" w:hAnsi="Book Antiqua"/>
        </w:rPr>
        <w:t>015, respectively) into their 2019 GRC applications.  Those results informed each utility’s forecasted requests for test year 2019 operations and maintenance expenses and 2017</w:t>
      </w:r>
      <w:r w:rsidR="00FE5496">
        <w:rPr>
          <w:rFonts w:ascii="Book Antiqua" w:hAnsi="Book Antiqua"/>
        </w:rPr>
        <w:noBreakHyphen/>
      </w:r>
      <w:r w:rsidR="002378DC" w:rsidRPr="00D53A4B">
        <w:rPr>
          <w:rFonts w:ascii="Book Antiqua" w:hAnsi="Book Antiqua"/>
        </w:rPr>
        <w:t>2019 capital investment (</w:t>
      </w:r>
      <w:r w:rsidR="002378DC" w:rsidRPr="00D53A4B">
        <w:rPr>
          <w:rFonts w:ascii="Book Antiqua" w:hAnsi="Book Antiqua"/>
          <w:i/>
          <w:iCs/>
        </w:rPr>
        <w:t>see</w:t>
      </w:r>
      <w:r w:rsidR="002378DC" w:rsidRPr="00D53A4B">
        <w:rPr>
          <w:rFonts w:ascii="Book Antiqua" w:hAnsi="Book Antiqua"/>
        </w:rPr>
        <w:t>, I.16</w:t>
      </w:r>
      <w:r w:rsidR="00FE5496">
        <w:rPr>
          <w:rFonts w:ascii="Book Antiqua" w:hAnsi="Book Antiqua"/>
        </w:rPr>
        <w:noBreakHyphen/>
      </w:r>
      <w:r w:rsidR="002378DC" w:rsidRPr="00D53A4B">
        <w:rPr>
          <w:rFonts w:ascii="Book Antiqua" w:hAnsi="Book Antiqua"/>
        </w:rPr>
        <w:t>10</w:t>
      </w:r>
      <w:r w:rsidR="00FE5496">
        <w:rPr>
          <w:rFonts w:ascii="Book Antiqua" w:hAnsi="Book Antiqua"/>
        </w:rPr>
        <w:noBreakHyphen/>
      </w:r>
      <w:r w:rsidR="002378DC" w:rsidRPr="00D53A4B">
        <w:rPr>
          <w:rFonts w:ascii="Book Antiqua" w:hAnsi="Book Antiqua"/>
        </w:rPr>
        <w:t>015 and I.16</w:t>
      </w:r>
      <w:r w:rsidR="00FE5496">
        <w:rPr>
          <w:rFonts w:ascii="Book Antiqua" w:hAnsi="Book Antiqua"/>
        </w:rPr>
        <w:noBreakHyphen/>
      </w:r>
      <w:r w:rsidR="002378DC" w:rsidRPr="00D53A4B">
        <w:rPr>
          <w:rFonts w:ascii="Book Antiqua" w:hAnsi="Book Antiqua"/>
        </w:rPr>
        <w:t>10</w:t>
      </w:r>
      <w:r w:rsidR="00FE5496">
        <w:rPr>
          <w:rFonts w:ascii="Book Antiqua" w:hAnsi="Book Antiqua"/>
        </w:rPr>
        <w:noBreakHyphen/>
      </w:r>
      <w:r w:rsidR="002378DC" w:rsidRPr="00D53A4B">
        <w:rPr>
          <w:rFonts w:ascii="Book Antiqua" w:hAnsi="Book Antiqua"/>
        </w:rPr>
        <w:t>016, March 5, 2018 Motion of SDG&amp;E and SoCalGas to close their RAMP proceedings, at 5).  Furthermore, the Commission recently opened I.19</w:t>
      </w:r>
      <w:r w:rsidR="00FE5496">
        <w:rPr>
          <w:rFonts w:ascii="Book Antiqua" w:hAnsi="Book Antiqua"/>
        </w:rPr>
        <w:noBreakHyphen/>
      </w:r>
      <w:r w:rsidR="002378DC" w:rsidRPr="00D53A4B">
        <w:rPr>
          <w:rFonts w:ascii="Book Antiqua" w:hAnsi="Book Antiqua"/>
        </w:rPr>
        <w:t>11</w:t>
      </w:r>
      <w:r w:rsidR="00FE5496">
        <w:rPr>
          <w:rFonts w:ascii="Book Antiqua" w:hAnsi="Book Antiqua"/>
        </w:rPr>
        <w:noBreakHyphen/>
      </w:r>
      <w:r w:rsidR="002378DC" w:rsidRPr="00D53A4B">
        <w:rPr>
          <w:rFonts w:ascii="Book Antiqua" w:hAnsi="Book Antiqua"/>
        </w:rPr>
        <w:t>010 and I.19</w:t>
      </w:r>
      <w:r w:rsidR="00FE5496">
        <w:rPr>
          <w:rFonts w:ascii="Book Antiqua" w:hAnsi="Book Antiqua"/>
        </w:rPr>
        <w:noBreakHyphen/>
      </w:r>
      <w:r w:rsidR="002378DC" w:rsidRPr="00D53A4B">
        <w:rPr>
          <w:rFonts w:ascii="Book Antiqua" w:hAnsi="Book Antiqua"/>
        </w:rPr>
        <w:t>11</w:t>
      </w:r>
      <w:r w:rsidR="00FE5496">
        <w:rPr>
          <w:rFonts w:ascii="Book Antiqua" w:hAnsi="Book Antiqua"/>
        </w:rPr>
        <w:noBreakHyphen/>
      </w:r>
      <w:r w:rsidR="002378DC" w:rsidRPr="00D53A4B">
        <w:rPr>
          <w:rFonts w:ascii="Book Antiqua" w:hAnsi="Book Antiqua"/>
        </w:rPr>
        <w:t>011 for SoCalGas and SDG&amp;E, respectively, which as</w:t>
      </w:r>
      <w:r w:rsidR="00FE5496">
        <w:rPr>
          <w:rFonts w:ascii="Book Antiqua" w:hAnsi="Book Antiqua"/>
        </w:rPr>
        <w:noBreakHyphen/>
      </w:r>
      <w:r w:rsidR="002378DC" w:rsidRPr="00D53A4B">
        <w:rPr>
          <w:rFonts w:ascii="Book Antiqua" w:hAnsi="Book Antiqua"/>
        </w:rPr>
        <w:t>filed are intended to support test year 2022 GRC forecasts by each utility.  Now that this decision has designated 2022 and 2023 as additional attrition years in the 2019 GRCs and the next GRC test year for SoCalGas and SDG&amp;E will be 2024,</w:t>
      </w:r>
      <w:r w:rsidR="00225FC5" w:rsidRPr="00D53A4B">
        <w:rPr>
          <w:rFonts w:ascii="Book Antiqua" w:hAnsi="Book Antiqua"/>
        </w:rPr>
        <w:t xml:space="preserve"> </w:t>
      </w:r>
      <w:r w:rsidR="002378DC" w:rsidRPr="00D53A4B">
        <w:rPr>
          <w:rFonts w:ascii="Book Antiqua" w:hAnsi="Book Antiqua"/>
        </w:rPr>
        <w:t>their petition for modification of D.19</w:t>
      </w:r>
      <w:r w:rsidR="00FE5496">
        <w:rPr>
          <w:rFonts w:ascii="Book Antiqua" w:hAnsi="Book Antiqua"/>
        </w:rPr>
        <w:noBreakHyphen/>
      </w:r>
      <w:r w:rsidR="002378DC" w:rsidRPr="00D53A4B">
        <w:rPr>
          <w:rFonts w:ascii="Book Antiqua" w:hAnsi="Book Antiqua"/>
        </w:rPr>
        <w:t>09</w:t>
      </w:r>
      <w:r w:rsidR="00FE5496">
        <w:rPr>
          <w:rFonts w:ascii="Book Antiqua" w:hAnsi="Book Antiqua"/>
        </w:rPr>
        <w:noBreakHyphen/>
      </w:r>
      <w:r w:rsidR="002378DC" w:rsidRPr="00D53A4B">
        <w:rPr>
          <w:rFonts w:ascii="Book Antiqua" w:hAnsi="Book Antiqua"/>
        </w:rPr>
        <w:t>051 should provide RAMP</w:t>
      </w:r>
      <w:r w:rsidR="00FE5496">
        <w:rPr>
          <w:rFonts w:ascii="Book Antiqua" w:hAnsi="Book Antiqua"/>
        </w:rPr>
        <w:noBreakHyphen/>
      </w:r>
      <w:r w:rsidR="002378DC" w:rsidRPr="00D53A4B">
        <w:rPr>
          <w:rFonts w:ascii="Book Antiqua" w:hAnsi="Book Antiqua"/>
        </w:rPr>
        <w:t>related information and procedural proposals to (1)</w:t>
      </w:r>
      <w:r w:rsidR="00796D10">
        <w:rPr>
          <w:rFonts w:ascii="Book Antiqua" w:hAnsi="Book Antiqua"/>
        </w:rPr>
        <w:t> </w:t>
      </w:r>
      <w:r w:rsidR="002378DC" w:rsidRPr="00D53A4B">
        <w:rPr>
          <w:rFonts w:ascii="Book Antiqua" w:hAnsi="Book Antiqua"/>
        </w:rPr>
        <w:t>support the Commission’s evaluation of their 2022 and 2023 attrition year proposals; (2) suggest a procedural disposition for I.19</w:t>
      </w:r>
      <w:r w:rsidR="00FE5496">
        <w:rPr>
          <w:rFonts w:ascii="Book Antiqua" w:hAnsi="Book Antiqua"/>
        </w:rPr>
        <w:noBreakHyphen/>
      </w:r>
      <w:r w:rsidR="002378DC" w:rsidRPr="00D53A4B">
        <w:rPr>
          <w:rFonts w:ascii="Book Antiqua" w:hAnsi="Book Antiqua"/>
        </w:rPr>
        <w:t>11</w:t>
      </w:r>
      <w:r w:rsidR="00FE5496">
        <w:rPr>
          <w:rFonts w:ascii="Book Antiqua" w:hAnsi="Book Antiqua"/>
        </w:rPr>
        <w:noBreakHyphen/>
      </w:r>
      <w:r w:rsidR="002378DC" w:rsidRPr="00D53A4B">
        <w:rPr>
          <w:rFonts w:ascii="Book Antiqua" w:hAnsi="Book Antiqua"/>
        </w:rPr>
        <w:t>010 and I.19</w:t>
      </w:r>
      <w:r w:rsidR="00FE5496">
        <w:rPr>
          <w:rFonts w:ascii="Book Antiqua" w:hAnsi="Book Antiqua"/>
        </w:rPr>
        <w:noBreakHyphen/>
      </w:r>
      <w:r w:rsidR="002378DC" w:rsidRPr="00D53A4B">
        <w:rPr>
          <w:rFonts w:ascii="Book Antiqua" w:hAnsi="Book Antiqua"/>
        </w:rPr>
        <w:t>11</w:t>
      </w:r>
      <w:r w:rsidR="00FE5496">
        <w:rPr>
          <w:rFonts w:ascii="Book Antiqua" w:hAnsi="Book Antiqua"/>
        </w:rPr>
        <w:noBreakHyphen/>
      </w:r>
      <w:r w:rsidR="002378DC" w:rsidRPr="00D53A4B">
        <w:rPr>
          <w:rFonts w:ascii="Book Antiqua" w:hAnsi="Book Antiqua"/>
        </w:rPr>
        <w:t>011; and (3) explain to the Commission and interested parties how the utilities intend to submit their RAMP applications in support of their test year 2024 GRCs.</w:t>
      </w:r>
    </w:p>
    <w:p w14:paraId="207F0522" w14:textId="626DED67" w:rsidR="00EF6A5D" w:rsidRDefault="005B50D0" w:rsidP="00360B47">
      <w:pPr>
        <w:pStyle w:val="standard0"/>
        <w:rPr>
          <w:rFonts w:ascii="Book Antiqua" w:hAnsi="Book Antiqua"/>
        </w:rPr>
      </w:pPr>
      <w:r>
        <w:rPr>
          <w:rFonts w:ascii="Book Antiqua" w:hAnsi="Book Antiqua"/>
        </w:rPr>
        <w:t>In summary, a</w:t>
      </w:r>
      <w:r w:rsidR="00EF6A5D">
        <w:rPr>
          <w:rFonts w:ascii="Book Antiqua" w:hAnsi="Book Antiqua"/>
        </w:rPr>
        <w:t xml:space="preserve">s described above PG&amp;E’s next GRC application will be filed in 2021, for a 2023 test year and three attrition years.  </w:t>
      </w:r>
      <w:r w:rsidR="00EF6A5D" w:rsidRPr="00C668EB">
        <w:rPr>
          <w:rFonts w:ascii="Book Antiqua" w:hAnsi="Book Antiqua"/>
        </w:rPr>
        <w:t>SoCalGas and SDG&amp;E</w:t>
      </w:r>
      <w:r w:rsidR="00EF6A5D">
        <w:rPr>
          <w:rFonts w:ascii="Book Antiqua" w:hAnsi="Book Antiqua"/>
        </w:rPr>
        <w:t xml:space="preserve"> will follow in 2022 with their applications for 2024 test years and three attrition years.</w:t>
      </w:r>
      <w:r>
        <w:rPr>
          <w:rFonts w:ascii="Book Antiqua" w:hAnsi="Book Antiqua"/>
        </w:rPr>
        <w:t xml:space="preserve">  </w:t>
      </w:r>
      <w:r w:rsidR="00EF6A5D">
        <w:rPr>
          <w:rFonts w:ascii="Book Antiqua" w:hAnsi="Book Antiqua"/>
        </w:rPr>
        <w:t xml:space="preserve">Lastly, </w:t>
      </w:r>
      <w:r w:rsidR="009844A2">
        <w:rPr>
          <w:rFonts w:ascii="Book Antiqua" w:hAnsi="Book Antiqua"/>
        </w:rPr>
        <w:t xml:space="preserve">in order to accommodate the timing for PG&amp;E, </w:t>
      </w:r>
      <w:r w:rsidR="009844A2" w:rsidRPr="00C668EB">
        <w:rPr>
          <w:rFonts w:ascii="Book Antiqua" w:hAnsi="Book Antiqua"/>
        </w:rPr>
        <w:t>SoCalGas and SDG&amp;E</w:t>
      </w:r>
      <w:r w:rsidR="009844A2">
        <w:rPr>
          <w:rFonts w:ascii="Book Antiqua" w:hAnsi="Book Antiqua"/>
        </w:rPr>
        <w:t xml:space="preserve">, </w:t>
      </w:r>
      <w:r w:rsidR="00EF6A5D">
        <w:rPr>
          <w:rFonts w:ascii="Book Antiqua" w:hAnsi="Book Antiqua"/>
        </w:rPr>
        <w:t xml:space="preserve">SCE should file its next GRC application in 2023 for a 2025 test year and three attrition years.  </w:t>
      </w:r>
      <w:r w:rsidR="00BF447B">
        <w:rPr>
          <w:rFonts w:ascii="Book Antiqua" w:hAnsi="Book Antiqua"/>
        </w:rPr>
        <w:t>We note that t</w:t>
      </w:r>
      <w:r w:rsidR="00EF6A5D">
        <w:rPr>
          <w:rFonts w:ascii="Book Antiqua" w:hAnsi="Book Antiqua"/>
        </w:rPr>
        <w:t xml:space="preserve">his schedule will necessitate that SCE </w:t>
      </w:r>
      <w:r w:rsidR="006A6867">
        <w:rPr>
          <w:rFonts w:ascii="Book Antiqua" w:hAnsi="Book Antiqua"/>
        </w:rPr>
        <w:t>amend</w:t>
      </w:r>
      <w:r w:rsidR="00EF6A5D">
        <w:rPr>
          <w:rFonts w:ascii="Book Antiqua" w:hAnsi="Book Antiqua"/>
        </w:rPr>
        <w:t xml:space="preserve"> its current GRC proceeding, A.19</w:t>
      </w:r>
      <w:r w:rsidR="00FE5496">
        <w:rPr>
          <w:rFonts w:ascii="Book Antiqua" w:hAnsi="Book Antiqua"/>
        </w:rPr>
        <w:noBreakHyphen/>
      </w:r>
      <w:r w:rsidR="00EF6A5D">
        <w:rPr>
          <w:rFonts w:ascii="Book Antiqua" w:hAnsi="Book Antiqua"/>
        </w:rPr>
        <w:t>08</w:t>
      </w:r>
      <w:r w:rsidR="00FE5496">
        <w:rPr>
          <w:rFonts w:ascii="Book Antiqua" w:hAnsi="Book Antiqua"/>
        </w:rPr>
        <w:noBreakHyphen/>
      </w:r>
      <w:r w:rsidR="00EF6A5D">
        <w:rPr>
          <w:rFonts w:ascii="Book Antiqua" w:hAnsi="Book Antiqua"/>
        </w:rPr>
        <w:t>013</w:t>
      </w:r>
      <w:r w:rsidR="006A6867">
        <w:rPr>
          <w:rFonts w:ascii="Book Antiqua" w:hAnsi="Book Antiqua"/>
        </w:rPr>
        <w:t>, to add a third attrition year</w:t>
      </w:r>
      <w:r w:rsidR="00EF6A5D">
        <w:rPr>
          <w:rFonts w:ascii="Book Antiqua" w:hAnsi="Book Antiqua"/>
        </w:rPr>
        <w:t xml:space="preserve">.  </w:t>
      </w:r>
      <w:r w:rsidR="00BF447B">
        <w:rPr>
          <w:rFonts w:ascii="Book Antiqua" w:hAnsi="Book Antiqua"/>
        </w:rPr>
        <w:t xml:space="preserve">Compared </w:t>
      </w:r>
      <w:r w:rsidR="00BF447B">
        <w:rPr>
          <w:rFonts w:ascii="Book Antiqua" w:hAnsi="Book Antiqua"/>
        </w:rPr>
        <w:lastRenderedPageBreak/>
        <w:t>to PG&amp;E, i</w:t>
      </w:r>
      <w:r w:rsidR="00EF6A5D">
        <w:rPr>
          <w:rFonts w:ascii="Book Antiqua" w:hAnsi="Book Antiqua"/>
        </w:rPr>
        <w:t xml:space="preserve">t is early enough in </w:t>
      </w:r>
      <w:r w:rsidR="009844A2">
        <w:rPr>
          <w:rFonts w:ascii="Book Antiqua" w:hAnsi="Book Antiqua"/>
        </w:rPr>
        <w:t>SCE’s</w:t>
      </w:r>
      <w:r w:rsidR="00EF6A5D">
        <w:rPr>
          <w:rFonts w:ascii="Book Antiqua" w:hAnsi="Book Antiqua"/>
        </w:rPr>
        <w:t xml:space="preserve"> proceeding to accommodate </w:t>
      </w:r>
      <w:r w:rsidR="009844A2">
        <w:rPr>
          <w:rFonts w:ascii="Book Antiqua" w:hAnsi="Book Antiqua"/>
        </w:rPr>
        <w:t>a</w:t>
      </w:r>
      <w:r w:rsidR="00EF6A5D">
        <w:rPr>
          <w:rFonts w:ascii="Book Antiqua" w:hAnsi="Book Antiqua"/>
        </w:rPr>
        <w:t xml:space="preserve"> transition from a three</w:t>
      </w:r>
      <w:r w:rsidR="00FE5496">
        <w:rPr>
          <w:rFonts w:ascii="Book Antiqua" w:hAnsi="Book Antiqua"/>
        </w:rPr>
        <w:noBreakHyphen/>
      </w:r>
      <w:r w:rsidR="00EF6A5D">
        <w:rPr>
          <w:rFonts w:ascii="Book Antiqua" w:hAnsi="Book Antiqua"/>
        </w:rPr>
        <w:t>year to a four</w:t>
      </w:r>
      <w:r w:rsidR="00FE5496">
        <w:rPr>
          <w:rFonts w:ascii="Book Antiqua" w:hAnsi="Book Antiqua"/>
        </w:rPr>
        <w:noBreakHyphen/>
      </w:r>
      <w:r w:rsidR="00EF6A5D">
        <w:rPr>
          <w:rFonts w:ascii="Book Antiqua" w:hAnsi="Book Antiqua"/>
        </w:rPr>
        <w:t xml:space="preserve">year </w:t>
      </w:r>
      <w:r w:rsidR="009844A2">
        <w:rPr>
          <w:rFonts w:ascii="Book Antiqua" w:hAnsi="Book Antiqua"/>
        </w:rPr>
        <w:t xml:space="preserve">GRC </w:t>
      </w:r>
      <w:r w:rsidR="00EF6A5D">
        <w:rPr>
          <w:rFonts w:ascii="Book Antiqua" w:hAnsi="Book Antiqua"/>
        </w:rPr>
        <w:t>cycle.</w:t>
      </w:r>
      <w:r w:rsidR="00474AAC">
        <w:rPr>
          <w:rFonts w:ascii="Book Antiqua" w:hAnsi="Book Antiqua"/>
        </w:rPr>
        <w:t xml:space="preserve"> </w:t>
      </w:r>
      <w:bookmarkStart w:id="58" w:name="_Hlk29457482"/>
      <w:r w:rsidR="00EF1984">
        <w:rPr>
          <w:rFonts w:ascii="Book Antiqua" w:hAnsi="Book Antiqua"/>
        </w:rPr>
        <w:t xml:space="preserve"> We </w:t>
      </w:r>
      <w:r w:rsidR="00474AAC">
        <w:rPr>
          <w:rFonts w:ascii="Book Antiqua" w:hAnsi="Book Antiqua"/>
        </w:rPr>
        <w:t xml:space="preserve">will defer to the assigned </w:t>
      </w:r>
      <w:r w:rsidR="00EF1984">
        <w:rPr>
          <w:rFonts w:ascii="Book Antiqua" w:hAnsi="Book Antiqua"/>
        </w:rPr>
        <w:t xml:space="preserve">Commissioner </w:t>
      </w:r>
      <w:r w:rsidR="00474AAC">
        <w:rPr>
          <w:rFonts w:ascii="Book Antiqua" w:hAnsi="Book Antiqua"/>
        </w:rPr>
        <w:t xml:space="preserve">and </w:t>
      </w:r>
      <w:r w:rsidR="00451692" w:rsidRPr="00E6396F">
        <w:rPr>
          <w:rFonts w:ascii="Book Antiqua" w:hAnsi="Book Antiqua"/>
        </w:rPr>
        <w:t>Administrative Law Judge</w:t>
      </w:r>
      <w:r w:rsidR="007C78CD">
        <w:rPr>
          <w:rFonts w:ascii="Book Antiqua" w:hAnsi="Book Antiqua"/>
        </w:rPr>
        <w:t>s</w:t>
      </w:r>
      <w:r w:rsidR="00451692" w:rsidRPr="00E6396F">
        <w:rPr>
          <w:rFonts w:ascii="Book Antiqua" w:hAnsi="Book Antiqua"/>
        </w:rPr>
        <w:t xml:space="preserve"> </w:t>
      </w:r>
      <w:r w:rsidR="00250DC2">
        <w:rPr>
          <w:rFonts w:ascii="Book Antiqua" w:hAnsi="Book Antiqua"/>
        </w:rPr>
        <w:t>for</w:t>
      </w:r>
      <w:r w:rsidR="00474AAC">
        <w:rPr>
          <w:rFonts w:ascii="Book Antiqua" w:hAnsi="Book Antiqua"/>
        </w:rPr>
        <w:t xml:space="preserve"> A.19</w:t>
      </w:r>
      <w:r w:rsidR="00FE5496">
        <w:rPr>
          <w:rFonts w:ascii="Book Antiqua" w:hAnsi="Book Antiqua"/>
        </w:rPr>
        <w:noBreakHyphen/>
      </w:r>
      <w:r w:rsidR="00474AAC">
        <w:rPr>
          <w:rFonts w:ascii="Book Antiqua" w:hAnsi="Book Antiqua"/>
        </w:rPr>
        <w:t>08</w:t>
      </w:r>
      <w:r w:rsidR="00FE5496">
        <w:rPr>
          <w:rFonts w:ascii="Book Antiqua" w:hAnsi="Book Antiqua"/>
        </w:rPr>
        <w:noBreakHyphen/>
      </w:r>
      <w:r w:rsidR="00474AAC">
        <w:rPr>
          <w:rFonts w:ascii="Book Antiqua" w:hAnsi="Book Antiqua"/>
        </w:rPr>
        <w:t xml:space="preserve">013 to determine the </w:t>
      </w:r>
      <w:r w:rsidR="00EF1984">
        <w:rPr>
          <w:rFonts w:ascii="Book Antiqua" w:hAnsi="Book Antiqua"/>
        </w:rPr>
        <w:t xml:space="preserve">appropriate </w:t>
      </w:r>
      <w:r w:rsidR="00474AAC">
        <w:rPr>
          <w:rFonts w:ascii="Book Antiqua" w:hAnsi="Book Antiqua"/>
        </w:rPr>
        <w:t>schedule for that additional attrition year.</w:t>
      </w:r>
    </w:p>
    <w:bookmarkEnd w:id="56"/>
    <w:bookmarkEnd w:id="58"/>
    <w:p w14:paraId="62F29196" w14:textId="36D6B108" w:rsidR="004B289D" w:rsidRDefault="00793AFE">
      <w:pPr>
        <w:pStyle w:val="Standard"/>
      </w:pPr>
      <w:r>
        <w:t>Table 4</w:t>
      </w:r>
      <w:r w:rsidR="004B289D">
        <w:t xml:space="preserve"> </w:t>
      </w:r>
      <w:r w:rsidR="004A30EE">
        <w:t>below</w:t>
      </w:r>
      <w:r w:rsidR="004B289D">
        <w:t xml:space="preserve"> provides a higher </w:t>
      </w:r>
      <w:bookmarkStart w:id="59" w:name="_Hlk19201077"/>
      <w:r w:rsidR="004B289D">
        <w:t>level summary of the transition from the current three</w:t>
      </w:r>
      <w:r w:rsidR="00FE5496">
        <w:noBreakHyphen/>
      </w:r>
      <w:r w:rsidR="004B289D">
        <w:t>year cycle to the four</w:t>
      </w:r>
      <w:r w:rsidR="00FE5496">
        <w:noBreakHyphen/>
      </w:r>
      <w:r w:rsidR="004B289D">
        <w:t>year cycle</w:t>
      </w:r>
      <w:bookmarkEnd w:id="59"/>
      <w:r w:rsidR="004B289D">
        <w:t>, including the scheduled filings for PG&amp;E, SCE</w:t>
      </w:r>
      <w:r w:rsidR="005A041D">
        <w:t xml:space="preserve">, </w:t>
      </w:r>
      <w:r w:rsidR="005A041D" w:rsidRPr="005A041D">
        <w:t>SoCalGas</w:t>
      </w:r>
      <w:r w:rsidR="005A041D">
        <w:t>, and</w:t>
      </w:r>
      <w:r w:rsidR="005A041D" w:rsidRPr="005A041D">
        <w:t xml:space="preserve"> SDG&amp;E</w:t>
      </w:r>
      <w:r w:rsidR="004B289D">
        <w:t xml:space="preserve">.  </w:t>
      </w:r>
      <w:r w:rsidR="004A30EE">
        <w:t>The forward</w:t>
      </w:r>
      <w:r w:rsidR="00FE5496">
        <w:noBreakHyphen/>
      </w:r>
      <w:r w:rsidR="004A30EE">
        <w:t xml:space="preserve">looking portion of this schedule is provided in Appendix B to this decision.  </w:t>
      </w:r>
      <w:r w:rsidR="004B289D">
        <w:t>We note that with the combination of PG&amp;E’s GT&amp;S and GRC filings into a single application, the pattern of three utilities filing on a four</w:t>
      </w:r>
      <w:r w:rsidR="00FE5496">
        <w:noBreakHyphen/>
      </w:r>
      <w:r w:rsidR="004B289D">
        <w:t xml:space="preserve">year cycle will result in </w:t>
      </w:r>
      <w:r w:rsidR="00250E76">
        <w:t>no GRC being filed every fourth year.</w:t>
      </w:r>
    </w:p>
    <w:p w14:paraId="0FDC2213" w14:textId="77777777" w:rsidR="00FC75E8" w:rsidRDefault="00FC75E8">
      <w:pPr>
        <w:pStyle w:val="Standard"/>
      </w:pPr>
    </w:p>
    <w:p w14:paraId="0EC808E7" w14:textId="77777777" w:rsidR="00250E76" w:rsidRDefault="00250E76">
      <w:pPr>
        <w:pStyle w:val="Standard"/>
        <w:sectPr w:rsidR="00250E76" w:rsidSect="00BA7BBC">
          <w:headerReference w:type="default" r:id="rId20"/>
          <w:footerReference w:type="default" r:id="rId21"/>
          <w:pgSz w:w="12240" w:h="15840"/>
          <w:pgMar w:top="1728" w:right="1440" w:bottom="1440" w:left="1440" w:header="720" w:footer="720" w:gutter="0"/>
          <w:pgNumType w:start="2"/>
          <w:cols w:space="720"/>
          <w:docGrid w:linePitch="360"/>
        </w:sectPr>
      </w:pPr>
    </w:p>
    <w:p w14:paraId="6DAC9FDB" w14:textId="77777777" w:rsidR="00793AFE" w:rsidRDefault="00793AFE" w:rsidP="00250E76">
      <w:pPr>
        <w:pStyle w:val="Standard"/>
        <w:spacing w:line="240" w:lineRule="auto"/>
        <w:ind w:firstLine="0"/>
        <w:jc w:val="center"/>
        <w:rPr>
          <w:sz w:val="24"/>
          <w:szCs w:val="20"/>
        </w:rPr>
      </w:pPr>
      <w:r>
        <w:rPr>
          <w:sz w:val="24"/>
          <w:szCs w:val="20"/>
        </w:rPr>
        <w:lastRenderedPageBreak/>
        <w:t>Table 4</w:t>
      </w:r>
    </w:p>
    <w:p w14:paraId="434A4EBD" w14:textId="3FCE5AB0" w:rsidR="00031F09" w:rsidRDefault="00C2384D" w:rsidP="00250E76">
      <w:pPr>
        <w:pStyle w:val="Standard"/>
        <w:spacing w:line="240" w:lineRule="auto"/>
        <w:ind w:firstLine="0"/>
        <w:jc w:val="center"/>
        <w:rPr>
          <w:sz w:val="24"/>
          <w:szCs w:val="20"/>
        </w:rPr>
      </w:pPr>
      <w:bookmarkStart w:id="60" w:name="_Hlk27405757"/>
      <w:r>
        <w:rPr>
          <w:sz w:val="24"/>
          <w:szCs w:val="20"/>
        </w:rPr>
        <w:t>Schedule for</w:t>
      </w:r>
      <w:r w:rsidR="00031F09" w:rsidRPr="00C360FC">
        <w:rPr>
          <w:sz w:val="24"/>
          <w:szCs w:val="20"/>
        </w:rPr>
        <w:t xml:space="preserve"> the Transition from the </w:t>
      </w:r>
    </w:p>
    <w:p w14:paraId="14BB905D" w14:textId="2FC19657" w:rsidR="00031F09" w:rsidRDefault="00031F09">
      <w:pPr>
        <w:pStyle w:val="Standard"/>
        <w:spacing w:after="120" w:line="240" w:lineRule="auto"/>
        <w:ind w:firstLine="0"/>
        <w:jc w:val="center"/>
        <w:rPr>
          <w:sz w:val="24"/>
          <w:szCs w:val="20"/>
        </w:rPr>
      </w:pPr>
      <w:r w:rsidRPr="00C360FC">
        <w:rPr>
          <w:sz w:val="24"/>
          <w:szCs w:val="20"/>
        </w:rPr>
        <w:t>Current Three</w:t>
      </w:r>
      <w:r w:rsidR="00FE5496">
        <w:rPr>
          <w:sz w:val="24"/>
          <w:szCs w:val="20"/>
        </w:rPr>
        <w:noBreakHyphen/>
      </w:r>
      <w:r w:rsidRPr="00C360FC">
        <w:rPr>
          <w:sz w:val="24"/>
          <w:szCs w:val="20"/>
        </w:rPr>
        <w:t xml:space="preserve">Year </w:t>
      </w:r>
      <w:r w:rsidR="00DF4DAB">
        <w:rPr>
          <w:sz w:val="24"/>
          <w:szCs w:val="20"/>
        </w:rPr>
        <w:t xml:space="preserve">GRC </w:t>
      </w:r>
      <w:r w:rsidRPr="00C360FC">
        <w:rPr>
          <w:sz w:val="24"/>
          <w:szCs w:val="20"/>
        </w:rPr>
        <w:t>Cycle to the Four</w:t>
      </w:r>
      <w:r w:rsidR="00FE5496">
        <w:rPr>
          <w:sz w:val="24"/>
          <w:szCs w:val="20"/>
        </w:rPr>
        <w:noBreakHyphen/>
      </w:r>
      <w:r w:rsidRPr="00C360FC">
        <w:rPr>
          <w:sz w:val="24"/>
          <w:szCs w:val="20"/>
        </w:rPr>
        <w:t xml:space="preserve">Year </w:t>
      </w:r>
      <w:r w:rsidR="00DF4DAB">
        <w:rPr>
          <w:sz w:val="24"/>
          <w:szCs w:val="20"/>
        </w:rPr>
        <w:t xml:space="preserve">GRC </w:t>
      </w:r>
      <w:r w:rsidRPr="00C360FC">
        <w:rPr>
          <w:sz w:val="24"/>
          <w:szCs w:val="20"/>
        </w:rPr>
        <w:t>Cycle</w:t>
      </w:r>
      <w:bookmarkEnd w:id="60"/>
    </w:p>
    <w:p w14:paraId="13E96FB7" w14:textId="7D6F811D" w:rsidR="00D3031B" w:rsidRPr="00632EAC" w:rsidRDefault="00D3031B" w:rsidP="00D3031B">
      <w:pPr>
        <w:pStyle w:val="Standard"/>
        <w:spacing w:after="120" w:line="240" w:lineRule="auto"/>
        <w:ind w:firstLine="0"/>
        <w:jc w:val="center"/>
        <w:rPr>
          <w:sz w:val="2"/>
          <w:szCs w:val="2"/>
        </w:rPr>
      </w:pPr>
    </w:p>
    <w:tbl>
      <w:tblPr>
        <w:tblStyle w:val="TableGrid"/>
        <w:tblW w:w="0" w:type="auto"/>
        <w:tblLook w:val="04A0" w:firstRow="1" w:lastRow="0" w:firstColumn="1" w:lastColumn="0" w:noHBand="0" w:noVBand="1"/>
      </w:tblPr>
      <w:tblGrid>
        <w:gridCol w:w="2024"/>
        <w:gridCol w:w="3237"/>
        <w:gridCol w:w="2610"/>
        <w:gridCol w:w="3145"/>
      </w:tblGrid>
      <w:tr w:rsidR="00D3031B" w:rsidRPr="008F4B5E" w14:paraId="17E46077" w14:textId="77777777" w:rsidTr="00685DEB">
        <w:trPr>
          <w:cantSplit/>
        </w:trPr>
        <w:tc>
          <w:tcPr>
            <w:tcW w:w="0" w:type="auto"/>
            <w:vAlign w:val="center"/>
          </w:tcPr>
          <w:p w14:paraId="42367EFF" w14:textId="77777777" w:rsidR="00D3031B" w:rsidRPr="008F4B5E" w:rsidRDefault="00D3031B" w:rsidP="00685DEB">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Filing Date</w:t>
            </w:r>
          </w:p>
        </w:tc>
        <w:tc>
          <w:tcPr>
            <w:tcW w:w="3237" w:type="dxa"/>
            <w:vAlign w:val="center"/>
          </w:tcPr>
          <w:p w14:paraId="3FB2DE0B" w14:textId="77777777" w:rsidR="00D3031B" w:rsidRPr="008F4B5E" w:rsidRDefault="00D3031B" w:rsidP="00685DEB">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PG&amp;E</w:t>
            </w:r>
          </w:p>
        </w:tc>
        <w:tc>
          <w:tcPr>
            <w:tcW w:w="2610" w:type="dxa"/>
            <w:vAlign w:val="center"/>
          </w:tcPr>
          <w:p w14:paraId="4BFD2AEE" w14:textId="6A79D67F" w:rsidR="00D3031B" w:rsidRPr="008F4B5E" w:rsidRDefault="00D3031B" w:rsidP="00685DEB">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SCE</w:t>
            </w:r>
          </w:p>
        </w:tc>
        <w:tc>
          <w:tcPr>
            <w:tcW w:w="3145" w:type="dxa"/>
            <w:vAlign w:val="center"/>
          </w:tcPr>
          <w:p w14:paraId="4A64CB9F" w14:textId="77777777" w:rsidR="00D3031B" w:rsidRPr="008F4B5E" w:rsidRDefault="00D3031B" w:rsidP="00685DEB">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SDG&amp;E and SoCalGas</w:t>
            </w:r>
          </w:p>
        </w:tc>
      </w:tr>
      <w:tr w:rsidR="00D3031B" w:rsidRPr="008F4B5E" w14:paraId="3A5744C4" w14:textId="77777777" w:rsidTr="00685DEB">
        <w:trPr>
          <w:cantSplit/>
        </w:trPr>
        <w:tc>
          <w:tcPr>
            <w:tcW w:w="0" w:type="auto"/>
            <w:vAlign w:val="center"/>
          </w:tcPr>
          <w:p w14:paraId="2F557692"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September 1, 2015</w:t>
            </w:r>
          </w:p>
        </w:tc>
        <w:tc>
          <w:tcPr>
            <w:tcW w:w="3237" w:type="dxa"/>
            <w:vAlign w:val="center"/>
          </w:tcPr>
          <w:p w14:paraId="7CB2817F" w14:textId="4EA9DF61"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GRC:  A.15</w:t>
            </w:r>
            <w:r w:rsidR="00FE5496">
              <w:rPr>
                <w:rFonts w:ascii="Arial Narrow" w:hAnsi="Arial Narrow"/>
                <w:sz w:val="20"/>
                <w:szCs w:val="20"/>
              </w:rPr>
              <w:noBreakHyphen/>
            </w:r>
            <w:r w:rsidRPr="008F4B5E">
              <w:rPr>
                <w:rFonts w:ascii="Arial Narrow" w:hAnsi="Arial Narrow"/>
                <w:sz w:val="20"/>
                <w:szCs w:val="20"/>
              </w:rPr>
              <w:t>09</w:t>
            </w:r>
            <w:r w:rsidR="00FE5496">
              <w:rPr>
                <w:rFonts w:ascii="Arial Narrow" w:hAnsi="Arial Narrow"/>
                <w:sz w:val="20"/>
                <w:szCs w:val="20"/>
              </w:rPr>
              <w:noBreakHyphen/>
            </w:r>
            <w:r w:rsidRPr="008F4B5E">
              <w:rPr>
                <w:rFonts w:ascii="Arial Narrow" w:hAnsi="Arial Narrow"/>
                <w:sz w:val="20"/>
                <w:szCs w:val="20"/>
              </w:rPr>
              <w:t>001</w:t>
            </w:r>
            <w:r>
              <w:rPr>
                <w:rFonts w:ascii="Arial Narrow" w:hAnsi="Arial Narrow"/>
                <w:sz w:val="20"/>
                <w:szCs w:val="20"/>
              </w:rPr>
              <w:t xml:space="preserve"> </w:t>
            </w:r>
          </w:p>
          <w:p w14:paraId="671EE9C2" w14:textId="13D47223"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3</w:t>
            </w:r>
            <w:r w:rsidR="00FE5496">
              <w:rPr>
                <w:rFonts w:ascii="Arial Narrow" w:hAnsi="Arial Narrow"/>
                <w:sz w:val="20"/>
                <w:szCs w:val="20"/>
              </w:rPr>
              <w:noBreakHyphen/>
            </w:r>
            <w:r w:rsidRPr="008F4B5E">
              <w:rPr>
                <w:rFonts w:ascii="Arial Narrow" w:hAnsi="Arial Narrow"/>
                <w:sz w:val="20"/>
                <w:szCs w:val="20"/>
              </w:rPr>
              <w:t>year cycle</w:t>
            </w:r>
            <w:r>
              <w:rPr>
                <w:rFonts w:ascii="Arial Narrow" w:hAnsi="Arial Narrow"/>
                <w:sz w:val="20"/>
                <w:szCs w:val="20"/>
              </w:rPr>
              <w:t xml:space="preserve"> </w:t>
            </w:r>
          </w:p>
          <w:p w14:paraId="27FAA4CC" w14:textId="5F26A7B1"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Test Year:  2017</w:t>
            </w:r>
          </w:p>
          <w:p w14:paraId="55910079" w14:textId="1484DE11"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Attrition Years:  2018</w:t>
            </w:r>
            <w:r w:rsidR="00FE5496">
              <w:rPr>
                <w:rFonts w:ascii="Arial Narrow" w:hAnsi="Arial Narrow"/>
                <w:sz w:val="20"/>
                <w:szCs w:val="20"/>
              </w:rPr>
              <w:noBreakHyphen/>
            </w:r>
            <w:r w:rsidRPr="008F4B5E">
              <w:rPr>
                <w:rFonts w:ascii="Arial Narrow" w:hAnsi="Arial Narrow"/>
                <w:sz w:val="20"/>
                <w:szCs w:val="20"/>
              </w:rPr>
              <w:t>2019</w:t>
            </w:r>
            <w:r>
              <w:rPr>
                <w:rFonts w:ascii="Arial Narrow" w:hAnsi="Arial Narrow"/>
                <w:sz w:val="20"/>
                <w:szCs w:val="20"/>
              </w:rPr>
              <w:t xml:space="preserve"> </w:t>
            </w:r>
          </w:p>
        </w:tc>
        <w:tc>
          <w:tcPr>
            <w:tcW w:w="2610" w:type="dxa"/>
            <w:vAlign w:val="center"/>
          </w:tcPr>
          <w:p w14:paraId="36CBFE0B" w14:textId="77777777" w:rsidR="00D3031B" w:rsidRPr="008F4B5E" w:rsidRDefault="00D3031B" w:rsidP="00685DEB">
            <w:pPr>
              <w:pStyle w:val="Standard"/>
              <w:spacing w:line="240" w:lineRule="auto"/>
              <w:ind w:firstLine="0"/>
              <w:rPr>
                <w:rFonts w:ascii="Arial Narrow" w:hAnsi="Arial Narrow"/>
                <w:sz w:val="20"/>
                <w:szCs w:val="20"/>
              </w:rPr>
            </w:pPr>
          </w:p>
        </w:tc>
        <w:tc>
          <w:tcPr>
            <w:tcW w:w="3145" w:type="dxa"/>
            <w:vAlign w:val="center"/>
          </w:tcPr>
          <w:p w14:paraId="4ADDCEE7"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8F4B5E" w14:paraId="6374A3B1" w14:textId="77777777" w:rsidTr="00685DEB">
        <w:trPr>
          <w:cantSplit/>
        </w:trPr>
        <w:tc>
          <w:tcPr>
            <w:tcW w:w="0" w:type="auto"/>
            <w:vAlign w:val="center"/>
          </w:tcPr>
          <w:p w14:paraId="40F5ECAB"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September 1, 2016</w:t>
            </w:r>
          </w:p>
        </w:tc>
        <w:tc>
          <w:tcPr>
            <w:tcW w:w="3237" w:type="dxa"/>
            <w:vAlign w:val="center"/>
          </w:tcPr>
          <w:p w14:paraId="35853151" w14:textId="77777777" w:rsidR="00D3031B" w:rsidRPr="008F4B5E" w:rsidRDefault="00D3031B" w:rsidP="00685DEB">
            <w:pPr>
              <w:pStyle w:val="Standard"/>
              <w:spacing w:line="240" w:lineRule="auto"/>
              <w:ind w:firstLine="0"/>
              <w:rPr>
                <w:rFonts w:ascii="Arial Narrow" w:hAnsi="Arial Narrow"/>
                <w:sz w:val="20"/>
                <w:szCs w:val="20"/>
              </w:rPr>
            </w:pPr>
          </w:p>
        </w:tc>
        <w:tc>
          <w:tcPr>
            <w:tcW w:w="2610" w:type="dxa"/>
            <w:vAlign w:val="center"/>
          </w:tcPr>
          <w:p w14:paraId="51C1B80E" w14:textId="1FCF9870"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GRC:  A.16</w:t>
            </w:r>
            <w:r w:rsidR="00FE5496">
              <w:rPr>
                <w:rFonts w:ascii="Arial Narrow" w:hAnsi="Arial Narrow"/>
                <w:sz w:val="20"/>
                <w:szCs w:val="20"/>
              </w:rPr>
              <w:noBreakHyphen/>
            </w:r>
            <w:r w:rsidRPr="008F4B5E">
              <w:rPr>
                <w:rFonts w:ascii="Arial Narrow" w:hAnsi="Arial Narrow"/>
                <w:sz w:val="20"/>
                <w:szCs w:val="20"/>
              </w:rPr>
              <w:t>09</w:t>
            </w:r>
            <w:r w:rsidR="00FE5496">
              <w:rPr>
                <w:rFonts w:ascii="Arial Narrow" w:hAnsi="Arial Narrow"/>
                <w:sz w:val="20"/>
                <w:szCs w:val="20"/>
              </w:rPr>
              <w:noBreakHyphen/>
            </w:r>
            <w:r w:rsidRPr="008F4B5E">
              <w:rPr>
                <w:rFonts w:ascii="Arial Narrow" w:hAnsi="Arial Narrow"/>
                <w:sz w:val="20"/>
                <w:szCs w:val="20"/>
              </w:rPr>
              <w:t>001</w:t>
            </w:r>
            <w:r>
              <w:rPr>
                <w:rFonts w:ascii="Arial Narrow" w:hAnsi="Arial Narrow"/>
                <w:sz w:val="20"/>
                <w:szCs w:val="20"/>
              </w:rPr>
              <w:t xml:space="preserve"> </w:t>
            </w:r>
          </w:p>
          <w:p w14:paraId="0FBEE3CE" w14:textId="7A89FF60"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3</w:t>
            </w:r>
            <w:r w:rsidR="00FE5496">
              <w:rPr>
                <w:rFonts w:ascii="Arial Narrow" w:hAnsi="Arial Narrow"/>
                <w:sz w:val="20"/>
                <w:szCs w:val="20"/>
              </w:rPr>
              <w:noBreakHyphen/>
            </w:r>
            <w:r w:rsidRPr="008F4B5E">
              <w:rPr>
                <w:rFonts w:ascii="Arial Narrow" w:hAnsi="Arial Narrow"/>
                <w:sz w:val="20"/>
                <w:szCs w:val="20"/>
              </w:rPr>
              <w:t>year cycle</w:t>
            </w:r>
            <w:r>
              <w:rPr>
                <w:rFonts w:ascii="Arial Narrow" w:hAnsi="Arial Narrow"/>
                <w:sz w:val="20"/>
                <w:szCs w:val="20"/>
              </w:rPr>
              <w:t xml:space="preserve"> </w:t>
            </w:r>
          </w:p>
          <w:p w14:paraId="29360CD6" w14:textId="318E652F"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Test Year:  2018</w:t>
            </w:r>
            <w:r>
              <w:rPr>
                <w:rFonts w:ascii="Arial Narrow" w:hAnsi="Arial Narrow"/>
                <w:sz w:val="20"/>
                <w:szCs w:val="20"/>
              </w:rPr>
              <w:t xml:space="preserve"> </w:t>
            </w:r>
          </w:p>
          <w:p w14:paraId="19972DA9" w14:textId="5B9C12AB"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Attrition Years:  2019</w:t>
            </w:r>
            <w:r w:rsidR="00FE5496">
              <w:rPr>
                <w:rFonts w:ascii="Arial Narrow" w:hAnsi="Arial Narrow"/>
                <w:sz w:val="20"/>
                <w:szCs w:val="20"/>
              </w:rPr>
              <w:noBreakHyphen/>
            </w:r>
            <w:r w:rsidRPr="008F4B5E">
              <w:rPr>
                <w:rFonts w:ascii="Arial Narrow" w:hAnsi="Arial Narrow"/>
                <w:sz w:val="20"/>
                <w:szCs w:val="20"/>
              </w:rPr>
              <w:t>2020</w:t>
            </w:r>
            <w:r>
              <w:rPr>
                <w:rFonts w:ascii="Arial Narrow" w:hAnsi="Arial Narrow"/>
                <w:sz w:val="20"/>
                <w:szCs w:val="20"/>
              </w:rPr>
              <w:t xml:space="preserve"> </w:t>
            </w:r>
          </w:p>
        </w:tc>
        <w:tc>
          <w:tcPr>
            <w:tcW w:w="3145" w:type="dxa"/>
            <w:vAlign w:val="center"/>
          </w:tcPr>
          <w:p w14:paraId="57BF5D8C"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8F4B5E" w14:paraId="56C0503C" w14:textId="77777777" w:rsidTr="00685DEB">
        <w:trPr>
          <w:cantSplit/>
        </w:trPr>
        <w:tc>
          <w:tcPr>
            <w:tcW w:w="0" w:type="auto"/>
            <w:vAlign w:val="center"/>
          </w:tcPr>
          <w:p w14:paraId="0CB8A35B"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October 27, 2016</w:t>
            </w:r>
          </w:p>
        </w:tc>
        <w:tc>
          <w:tcPr>
            <w:tcW w:w="3237" w:type="dxa"/>
            <w:vAlign w:val="center"/>
          </w:tcPr>
          <w:p w14:paraId="225F9CAC" w14:textId="77777777" w:rsidR="00D3031B" w:rsidRPr="008F4B5E" w:rsidRDefault="00D3031B" w:rsidP="00685DEB">
            <w:pPr>
              <w:pStyle w:val="Standard"/>
              <w:spacing w:line="240" w:lineRule="auto"/>
              <w:ind w:firstLine="0"/>
              <w:rPr>
                <w:rFonts w:ascii="Arial Narrow" w:hAnsi="Arial Narrow"/>
                <w:sz w:val="20"/>
                <w:szCs w:val="20"/>
              </w:rPr>
            </w:pPr>
          </w:p>
        </w:tc>
        <w:tc>
          <w:tcPr>
            <w:tcW w:w="2610" w:type="dxa"/>
            <w:vAlign w:val="center"/>
          </w:tcPr>
          <w:p w14:paraId="490A3851" w14:textId="77777777" w:rsidR="00D3031B" w:rsidRPr="008F4B5E" w:rsidRDefault="00D3031B" w:rsidP="00685DEB">
            <w:pPr>
              <w:pStyle w:val="Standard"/>
              <w:spacing w:line="240" w:lineRule="auto"/>
              <w:ind w:firstLine="0"/>
              <w:rPr>
                <w:rFonts w:ascii="Arial Narrow" w:hAnsi="Arial Narrow"/>
                <w:sz w:val="20"/>
                <w:szCs w:val="20"/>
              </w:rPr>
            </w:pPr>
          </w:p>
        </w:tc>
        <w:tc>
          <w:tcPr>
            <w:tcW w:w="3145" w:type="dxa"/>
            <w:vAlign w:val="center"/>
          </w:tcPr>
          <w:p w14:paraId="281F605B" w14:textId="27AFA9FB"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RAMPs:  I.16</w:t>
            </w:r>
            <w:r w:rsidR="00FE5496">
              <w:rPr>
                <w:rFonts w:ascii="Arial Narrow" w:hAnsi="Arial Narrow"/>
                <w:sz w:val="20"/>
                <w:szCs w:val="20"/>
              </w:rPr>
              <w:noBreakHyphen/>
            </w:r>
            <w:r w:rsidRPr="008F4B5E">
              <w:rPr>
                <w:rFonts w:ascii="Arial Narrow" w:hAnsi="Arial Narrow"/>
                <w:sz w:val="20"/>
                <w:szCs w:val="20"/>
              </w:rPr>
              <w:t>10</w:t>
            </w:r>
            <w:r w:rsidR="00FE5496">
              <w:rPr>
                <w:rFonts w:ascii="Arial Narrow" w:hAnsi="Arial Narrow"/>
                <w:sz w:val="20"/>
                <w:szCs w:val="20"/>
              </w:rPr>
              <w:noBreakHyphen/>
            </w:r>
            <w:r w:rsidRPr="008F4B5E">
              <w:rPr>
                <w:rFonts w:ascii="Arial Narrow" w:hAnsi="Arial Narrow"/>
                <w:sz w:val="20"/>
                <w:szCs w:val="20"/>
              </w:rPr>
              <w:t xml:space="preserve">015 </w:t>
            </w:r>
            <w:r>
              <w:rPr>
                <w:rFonts w:ascii="Arial Narrow" w:hAnsi="Arial Narrow"/>
                <w:sz w:val="20"/>
                <w:szCs w:val="20"/>
              </w:rPr>
              <w:t xml:space="preserve">&amp; </w:t>
            </w:r>
            <w:r w:rsidRPr="008F4B5E">
              <w:rPr>
                <w:rFonts w:ascii="Arial Narrow" w:hAnsi="Arial Narrow"/>
                <w:sz w:val="20"/>
                <w:szCs w:val="20"/>
              </w:rPr>
              <w:t>I.16</w:t>
            </w:r>
            <w:r w:rsidR="00FE5496">
              <w:rPr>
                <w:rFonts w:ascii="Arial Narrow" w:hAnsi="Arial Narrow"/>
                <w:sz w:val="20"/>
                <w:szCs w:val="20"/>
              </w:rPr>
              <w:noBreakHyphen/>
            </w:r>
            <w:r w:rsidRPr="008F4B5E">
              <w:rPr>
                <w:rFonts w:ascii="Arial Narrow" w:hAnsi="Arial Narrow"/>
                <w:sz w:val="20"/>
                <w:szCs w:val="20"/>
              </w:rPr>
              <w:t>10</w:t>
            </w:r>
            <w:r w:rsidR="00FE5496">
              <w:rPr>
                <w:rFonts w:ascii="Arial Narrow" w:hAnsi="Arial Narrow"/>
                <w:sz w:val="20"/>
                <w:szCs w:val="20"/>
              </w:rPr>
              <w:noBreakHyphen/>
            </w:r>
            <w:r w:rsidRPr="008F4B5E">
              <w:rPr>
                <w:rFonts w:ascii="Arial Narrow" w:hAnsi="Arial Narrow"/>
                <w:sz w:val="20"/>
                <w:szCs w:val="20"/>
              </w:rPr>
              <w:t>016</w:t>
            </w:r>
            <w:r>
              <w:rPr>
                <w:rFonts w:ascii="Arial Narrow" w:hAnsi="Arial Narrow"/>
                <w:sz w:val="20"/>
                <w:szCs w:val="20"/>
              </w:rPr>
              <w:t xml:space="preserve"> </w:t>
            </w:r>
          </w:p>
        </w:tc>
      </w:tr>
      <w:tr w:rsidR="00D3031B" w:rsidRPr="008F4B5E" w14:paraId="65F6B4CF" w14:textId="77777777" w:rsidTr="00685DEB">
        <w:trPr>
          <w:cantSplit/>
        </w:trPr>
        <w:tc>
          <w:tcPr>
            <w:tcW w:w="0" w:type="auto"/>
            <w:vAlign w:val="center"/>
          </w:tcPr>
          <w:p w14:paraId="2AD2EB16"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October 6, 2017</w:t>
            </w:r>
          </w:p>
        </w:tc>
        <w:tc>
          <w:tcPr>
            <w:tcW w:w="3237" w:type="dxa"/>
            <w:vAlign w:val="center"/>
          </w:tcPr>
          <w:p w14:paraId="789163EF" w14:textId="77777777" w:rsidR="00D3031B" w:rsidRPr="008F4B5E" w:rsidRDefault="00D3031B" w:rsidP="00685DEB">
            <w:pPr>
              <w:pStyle w:val="Standard"/>
              <w:spacing w:line="240" w:lineRule="auto"/>
              <w:ind w:firstLine="0"/>
              <w:rPr>
                <w:rFonts w:ascii="Arial Narrow" w:hAnsi="Arial Narrow"/>
                <w:sz w:val="20"/>
                <w:szCs w:val="20"/>
              </w:rPr>
            </w:pPr>
          </w:p>
        </w:tc>
        <w:tc>
          <w:tcPr>
            <w:tcW w:w="2610" w:type="dxa"/>
            <w:vAlign w:val="center"/>
          </w:tcPr>
          <w:p w14:paraId="7CB3C9D2" w14:textId="77777777" w:rsidR="00D3031B" w:rsidRPr="008F4B5E" w:rsidRDefault="00D3031B" w:rsidP="00685DEB">
            <w:pPr>
              <w:pStyle w:val="Standard"/>
              <w:spacing w:line="240" w:lineRule="auto"/>
              <w:ind w:firstLine="0"/>
              <w:rPr>
                <w:rFonts w:ascii="Arial Narrow" w:hAnsi="Arial Narrow"/>
                <w:sz w:val="20"/>
                <w:szCs w:val="20"/>
              </w:rPr>
            </w:pPr>
          </w:p>
        </w:tc>
        <w:tc>
          <w:tcPr>
            <w:tcW w:w="3145" w:type="dxa"/>
            <w:vAlign w:val="center"/>
          </w:tcPr>
          <w:p w14:paraId="18528330" w14:textId="613BA336"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GRCs:  A.17</w:t>
            </w:r>
            <w:r w:rsidR="00FE5496">
              <w:rPr>
                <w:rFonts w:ascii="Arial Narrow" w:hAnsi="Arial Narrow"/>
                <w:sz w:val="20"/>
                <w:szCs w:val="20"/>
              </w:rPr>
              <w:noBreakHyphen/>
            </w:r>
            <w:r w:rsidRPr="008F4B5E">
              <w:rPr>
                <w:rFonts w:ascii="Arial Narrow" w:hAnsi="Arial Narrow"/>
                <w:sz w:val="20"/>
                <w:szCs w:val="20"/>
              </w:rPr>
              <w:t>10</w:t>
            </w:r>
            <w:r w:rsidR="00FE5496">
              <w:rPr>
                <w:rFonts w:ascii="Arial Narrow" w:hAnsi="Arial Narrow"/>
                <w:sz w:val="20"/>
                <w:szCs w:val="20"/>
              </w:rPr>
              <w:noBreakHyphen/>
            </w:r>
            <w:r w:rsidRPr="008F4B5E">
              <w:rPr>
                <w:rFonts w:ascii="Arial Narrow" w:hAnsi="Arial Narrow"/>
                <w:sz w:val="20"/>
                <w:szCs w:val="20"/>
              </w:rPr>
              <w:t>007 and A.17</w:t>
            </w:r>
            <w:r w:rsidR="00FE5496">
              <w:rPr>
                <w:rFonts w:ascii="Arial Narrow" w:hAnsi="Arial Narrow"/>
                <w:sz w:val="20"/>
                <w:szCs w:val="20"/>
              </w:rPr>
              <w:noBreakHyphen/>
            </w:r>
            <w:r w:rsidRPr="008F4B5E">
              <w:rPr>
                <w:rFonts w:ascii="Arial Narrow" w:hAnsi="Arial Narrow"/>
                <w:sz w:val="20"/>
                <w:szCs w:val="20"/>
              </w:rPr>
              <w:t>10</w:t>
            </w:r>
            <w:r w:rsidR="00FE5496">
              <w:rPr>
                <w:rFonts w:ascii="Arial Narrow" w:hAnsi="Arial Narrow"/>
                <w:sz w:val="20"/>
                <w:szCs w:val="20"/>
              </w:rPr>
              <w:noBreakHyphen/>
            </w:r>
            <w:r w:rsidRPr="008F4B5E">
              <w:rPr>
                <w:rFonts w:ascii="Arial Narrow" w:hAnsi="Arial Narrow"/>
                <w:sz w:val="20"/>
                <w:szCs w:val="20"/>
              </w:rPr>
              <w:t>008</w:t>
            </w:r>
            <w:r>
              <w:rPr>
                <w:rFonts w:ascii="Arial Narrow" w:hAnsi="Arial Narrow"/>
                <w:sz w:val="20"/>
                <w:szCs w:val="20"/>
              </w:rPr>
              <w:t xml:space="preserve"> </w:t>
            </w:r>
          </w:p>
          <w:p w14:paraId="307F92B1" w14:textId="0E8F29CB"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3</w:t>
            </w:r>
            <w:r w:rsidR="00FE5496">
              <w:rPr>
                <w:rFonts w:ascii="Arial Narrow" w:hAnsi="Arial Narrow"/>
                <w:sz w:val="20"/>
                <w:szCs w:val="20"/>
              </w:rPr>
              <w:noBreakHyphen/>
            </w:r>
            <w:r w:rsidRPr="008F4B5E">
              <w:rPr>
                <w:rFonts w:ascii="Arial Narrow" w:hAnsi="Arial Narrow"/>
                <w:sz w:val="20"/>
                <w:szCs w:val="20"/>
              </w:rPr>
              <w:t>year cycle</w:t>
            </w:r>
            <w:r>
              <w:rPr>
                <w:rFonts w:ascii="Arial Narrow" w:hAnsi="Arial Narrow"/>
                <w:sz w:val="20"/>
                <w:szCs w:val="20"/>
              </w:rPr>
              <w:t xml:space="preserve"> </w:t>
            </w:r>
          </w:p>
          <w:p w14:paraId="292B6A5E" w14:textId="12FEAAA4"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 xml:space="preserve">Test Year:  2019 </w:t>
            </w:r>
            <w:r>
              <w:rPr>
                <w:rFonts w:ascii="Arial Narrow" w:hAnsi="Arial Narrow"/>
                <w:sz w:val="20"/>
                <w:szCs w:val="20"/>
              </w:rPr>
              <w:t xml:space="preserve"> </w:t>
            </w:r>
          </w:p>
          <w:p w14:paraId="019C585E" w14:textId="17E6064B"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Attrition Years:  2020</w:t>
            </w:r>
            <w:r w:rsidR="00FE5496">
              <w:rPr>
                <w:rFonts w:ascii="Arial Narrow" w:hAnsi="Arial Narrow"/>
                <w:sz w:val="20"/>
                <w:szCs w:val="20"/>
              </w:rPr>
              <w:noBreakHyphen/>
            </w:r>
            <w:r w:rsidRPr="008F4B5E">
              <w:rPr>
                <w:rFonts w:ascii="Arial Narrow" w:hAnsi="Arial Narrow"/>
                <w:sz w:val="20"/>
                <w:szCs w:val="20"/>
              </w:rPr>
              <w:t>2021</w:t>
            </w:r>
            <w:r>
              <w:rPr>
                <w:rFonts w:ascii="Arial Narrow" w:hAnsi="Arial Narrow"/>
                <w:sz w:val="20"/>
                <w:szCs w:val="20"/>
              </w:rPr>
              <w:t xml:space="preserve"> </w:t>
            </w:r>
          </w:p>
        </w:tc>
      </w:tr>
      <w:tr w:rsidR="00D3031B" w:rsidRPr="008F4B5E" w14:paraId="5011B3F8" w14:textId="77777777" w:rsidTr="00685DEB">
        <w:trPr>
          <w:cantSplit/>
        </w:trPr>
        <w:tc>
          <w:tcPr>
            <w:tcW w:w="0" w:type="auto"/>
            <w:vAlign w:val="center"/>
          </w:tcPr>
          <w:p w14:paraId="44835EEA"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November 9, 2017</w:t>
            </w:r>
          </w:p>
        </w:tc>
        <w:tc>
          <w:tcPr>
            <w:tcW w:w="3237" w:type="dxa"/>
            <w:vAlign w:val="center"/>
          </w:tcPr>
          <w:p w14:paraId="7EDD03A8" w14:textId="7A6CDC3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RAMP:  I.17</w:t>
            </w:r>
            <w:r w:rsidR="00FE5496">
              <w:rPr>
                <w:rFonts w:ascii="Arial Narrow" w:hAnsi="Arial Narrow"/>
                <w:sz w:val="20"/>
                <w:szCs w:val="20"/>
              </w:rPr>
              <w:noBreakHyphen/>
            </w:r>
            <w:r w:rsidRPr="008F4B5E">
              <w:rPr>
                <w:rFonts w:ascii="Arial Narrow" w:hAnsi="Arial Narrow"/>
                <w:sz w:val="20"/>
                <w:szCs w:val="20"/>
              </w:rPr>
              <w:t>11</w:t>
            </w:r>
            <w:r w:rsidR="00FE5496">
              <w:rPr>
                <w:rFonts w:ascii="Arial Narrow" w:hAnsi="Arial Narrow"/>
                <w:sz w:val="20"/>
                <w:szCs w:val="20"/>
              </w:rPr>
              <w:noBreakHyphen/>
            </w:r>
            <w:r w:rsidRPr="008F4B5E">
              <w:rPr>
                <w:rFonts w:ascii="Arial Narrow" w:hAnsi="Arial Narrow"/>
                <w:sz w:val="20"/>
                <w:szCs w:val="20"/>
              </w:rPr>
              <w:t>003</w:t>
            </w:r>
            <w:r>
              <w:rPr>
                <w:rFonts w:ascii="Arial Narrow" w:hAnsi="Arial Narrow"/>
                <w:sz w:val="20"/>
                <w:szCs w:val="20"/>
              </w:rPr>
              <w:t xml:space="preserve"> </w:t>
            </w:r>
          </w:p>
        </w:tc>
        <w:tc>
          <w:tcPr>
            <w:tcW w:w="2610" w:type="dxa"/>
            <w:vAlign w:val="center"/>
          </w:tcPr>
          <w:p w14:paraId="7FE23D43" w14:textId="77777777" w:rsidR="00D3031B" w:rsidRPr="008F4B5E" w:rsidRDefault="00D3031B" w:rsidP="00685DEB">
            <w:pPr>
              <w:pStyle w:val="Standard"/>
              <w:spacing w:line="240" w:lineRule="auto"/>
              <w:ind w:firstLine="0"/>
              <w:rPr>
                <w:rFonts w:ascii="Arial Narrow" w:hAnsi="Arial Narrow"/>
                <w:sz w:val="20"/>
                <w:szCs w:val="20"/>
              </w:rPr>
            </w:pPr>
          </w:p>
        </w:tc>
        <w:tc>
          <w:tcPr>
            <w:tcW w:w="3145" w:type="dxa"/>
            <w:vAlign w:val="center"/>
          </w:tcPr>
          <w:p w14:paraId="25552FA6"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8F4B5E" w14:paraId="214364A0" w14:textId="77777777" w:rsidTr="00685DEB">
        <w:trPr>
          <w:cantSplit/>
        </w:trPr>
        <w:tc>
          <w:tcPr>
            <w:tcW w:w="0" w:type="auto"/>
            <w:vAlign w:val="center"/>
          </w:tcPr>
          <w:p w14:paraId="52320191"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November 17, 2017</w:t>
            </w:r>
          </w:p>
        </w:tc>
        <w:tc>
          <w:tcPr>
            <w:tcW w:w="3237" w:type="dxa"/>
            <w:vAlign w:val="center"/>
          </w:tcPr>
          <w:p w14:paraId="6372F4A9" w14:textId="2097794C"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GT&amp;S:  A.17</w:t>
            </w:r>
            <w:r w:rsidR="00FE5496">
              <w:rPr>
                <w:rFonts w:ascii="Arial Narrow" w:hAnsi="Arial Narrow"/>
                <w:sz w:val="20"/>
                <w:szCs w:val="20"/>
              </w:rPr>
              <w:noBreakHyphen/>
            </w:r>
            <w:r w:rsidRPr="008F4B5E">
              <w:rPr>
                <w:rFonts w:ascii="Arial Narrow" w:hAnsi="Arial Narrow"/>
                <w:sz w:val="20"/>
                <w:szCs w:val="20"/>
              </w:rPr>
              <w:t>11</w:t>
            </w:r>
            <w:r w:rsidR="00FE5496">
              <w:rPr>
                <w:rFonts w:ascii="Arial Narrow" w:hAnsi="Arial Narrow"/>
                <w:sz w:val="20"/>
                <w:szCs w:val="20"/>
              </w:rPr>
              <w:noBreakHyphen/>
            </w:r>
            <w:r w:rsidRPr="008F4B5E">
              <w:rPr>
                <w:rFonts w:ascii="Arial Narrow" w:hAnsi="Arial Narrow"/>
                <w:sz w:val="20"/>
                <w:szCs w:val="20"/>
              </w:rPr>
              <w:t>009</w:t>
            </w:r>
            <w:r>
              <w:rPr>
                <w:rFonts w:ascii="Arial Narrow" w:hAnsi="Arial Narrow"/>
                <w:sz w:val="20"/>
                <w:szCs w:val="20"/>
              </w:rPr>
              <w:t xml:space="preserve"> </w:t>
            </w:r>
          </w:p>
          <w:p w14:paraId="4C20E131" w14:textId="391B928D"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4</w:t>
            </w:r>
            <w:r w:rsidR="00FE5496">
              <w:rPr>
                <w:rFonts w:ascii="Arial Narrow" w:hAnsi="Arial Narrow"/>
                <w:sz w:val="20"/>
                <w:szCs w:val="20"/>
              </w:rPr>
              <w:noBreakHyphen/>
            </w:r>
            <w:r w:rsidRPr="008F4B5E">
              <w:rPr>
                <w:rFonts w:ascii="Arial Narrow" w:hAnsi="Arial Narrow"/>
                <w:sz w:val="20"/>
                <w:szCs w:val="20"/>
              </w:rPr>
              <w:t>year cycle</w:t>
            </w:r>
            <w:r>
              <w:rPr>
                <w:rFonts w:ascii="Arial Narrow" w:hAnsi="Arial Narrow"/>
                <w:sz w:val="20"/>
                <w:szCs w:val="20"/>
              </w:rPr>
              <w:t xml:space="preserve"> </w:t>
            </w:r>
          </w:p>
          <w:p w14:paraId="246C00ED" w14:textId="263485BD"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Test Year:  2019</w:t>
            </w:r>
            <w:r>
              <w:rPr>
                <w:rFonts w:ascii="Arial Narrow" w:hAnsi="Arial Narrow"/>
                <w:sz w:val="20"/>
                <w:szCs w:val="20"/>
              </w:rPr>
              <w:t xml:space="preserve"> </w:t>
            </w:r>
          </w:p>
          <w:p w14:paraId="5E6C3BB1" w14:textId="2191C30E"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Attrition Years:  2020</w:t>
            </w:r>
            <w:r w:rsidR="00FE5496">
              <w:rPr>
                <w:rFonts w:ascii="Arial Narrow" w:hAnsi="Arial Narrow"/>
                <w:sz w:val="20"/>
                <w:szCs w:val="20"/>
              </w:rPr>
              <w:noBreakHyphen/>
            </w:r>
            <w:r w:rsidRPr="008F4B5E">
              <w:rPr>
                <w:rFonts w:ascii="Arial Narrow" w:hAnsi="Arial Narrow"/>
                <w:sz w:val="20"/>
                <w:szCs w:val="20"/>
              </w:rPr>
              <w:t>2022</w:t>
            </w:r>
            <w:r>
              <w:rPr>
                <w:rFonts w:ascii="Arial Narrow" w:hAnsi="Arial Narrow"/>
                <w:sz w:val="20"/>
                <w:szCs w:val="20"/>
              </w:rPr>
              <w:t xml:space="preserve"> </w:t>
            </w:r>
          </w:p>
        </w:tc>
        <w:tc>
          <w:tcPr>
            <w:tcW w:w="2610" w:type="dxa"/>
            <w:vAlign w:val="center"/>
          </w:tcPr>
          <w:p w14:paraId="793AECF5" w14:textId="77777777" w:rsidR="00D3031B" w:rsidRPr="008F4B5E" w:rsidRDefault="00D3031B" w:rsidP="00685DEB">
            <w:pPr>
              <w:pStyle w:val="Standard"/>
              <w:spacing w:line="240" w:lineRule="auto"/>
              <w:ind w:firstLine="0"/>
              <w:rPr>
                <w:rFonts w:ascii="Arial Narrow" w:hAnsi="Arial Narrow"/>
                <w:sz w:val="20"/>
                <w:szCs w:val="20"/>
              </w:rPr>
            </w:pPr>
          </w:p>
        </w:tc>
        <w:tc>
          <w:tcPr>
            <w:tcW w:w="3145" w:type="dxa"/>
            <w:vAlign w:val="center"/>
          </w:tcPr>
          <w:p w14:paraId="64A17647"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8F4B5E" w14:paraId="7A0E1EC0" w14:textId="77777777" w:rsidTr="00685DEB">
        <w:trPr>
          <w:cantSplit/>
        </w:trPr>
        <w:tc>
          <w:tcPr>
            <w:tcW w:w="0" w:type="auto"/>
            <w:vAlign w:val="center"/>
          </w:tcPr>
          <w:p w14:paraId="31781801"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November 8, 2018</w:t>
            </w:r>
          </w:p>
        </w:tc>
        <w:tc>
          <w:tcPr>
            <w:tcW w:w="3237" w:type="dxa"/>
            <w:vAlign w:val="center"/>
          </w:tcPr>
          <w:p w14:paraId="673DBBF2" w14:textId="77777777" w:rsidR="00D3031B" w:rsidRPr="008F4B5E" w:rsidRDefault="00D3031B" w:rsidP="00685DEB">
            <w:pPr>
              <w:pStyle w:val="Standard"/>
              <w:spacing w:line="240" w:lineRule="auto"/>
              <w:ind w:firstLine="0"/>
              <w:rPr>
                <w:rFonts w:ascii="Arial Narrow" w:hAnsi="Arial Narrow"/>
                <w:sz w:val="20"/>
                <w:szCs w:val="20"/>
              </w:rPr>
            </w:pPr>
          </w:p>
        </w:tc>
        <w:tc>
          <w:tcPr>
            <w:tcW w:w="2610" w:type="dxa"/>
            <w:vAlign w:val="center"/>
          </w:tcPr>
          <w:p w14:paraId="46602E19" w14:textId="5A2F1EA1"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RAMP:  I.18</w:t>
            </w:r>
            <w:r w:rsidR="00FE5496">
              <w:rPr>
                <w:rFonts w:ascii="Arial Narrow" w:hAnsi="Arial Narrow"/>
                <w:sz w:val="20"/>
                <w:szCs w:val="20"/>
              </w:rPr>
              <w:noBreakHyphen/>
            </w:r>
            <w:r w:rsidRPr="008F4B5E">
              <w:rPr>
                <w:rFonts w:ascii="Arial Narrow" w:hAnsi="Arial Narrow"/>
                <w:sz w:val="20"/>
                <w:szCs w:val="20"/>
              </w:rPr>
              <w:t>11</w:t>
            </w:r>
            <w:r w:rsidR="00FE5496">
              <w:rPr>
                <w:rFonts w:ascii="Arial Narrow" w:hAnsi="Arial Narrow"/>
                <w:sz w:val="20"/>
                <w:szCs w:val="20"/>
              </w:rPr>
              <w:noBreakHyphen/>
            </w:r>
            <w:r w:rsidRPr="008F4B5E">
              <w:rPr>
                <w:rFonts w:ascii="Arial Narrow" w:hAnsi="Arial Narrow"/>
                <w:sz w:val="20"/>
                <w:szCs w:val="20"/>
              </w:rPr>
              <w:t>006</w:t>
            </w:r>
            <w:r>
              <w:rPr>
                <w:rFonts w:ascii="Arial Narrow" w:hAnsi="Arial Narrow"/>
                <w:sz w:val="20"/>
                <w:szCs w:val="20"/>
              </w:rPr>
              <w:t xml:space="preserve"> </w:t>
            </w:r>
          </w:p>
        </w:tc>
        <w:tc>
          <w:tcPr>
            <w:tcW w:w="3145" w:type="dxa"/>
            <w:vAlign w:val="center"/>
          </w:tcPr>
          <w:p w14:paraId="72D5403B"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8F4B5E" w14:paraId="287DDB03" w14:textId="77777777" w:rsidTr="00685DEB">
        <w:trPr>
          <w:cantSplit/>
        </w:trPr>
        <w:tc>
          <w:tcPr>
            <w:tcW w:w="0" w:type="auto"/>
            <w:vAlign w:val="center"/>
          </w:tcPr>
          <w:p w14:paraId="0ABEADC1"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December 13, 2018</w:t>
            </w:r>
          </w:p>
        </w:tc>
        <w:tc>
          <w:tcPr>
            <w:tcW w:w="3237" w:type="dxa"/>
            <w:vAlign w:val="center"/>
          </w:tcPr>
          <w:p w14:paraId="501C7E48" w14:textId="7B385F5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GRC:  A.18</w:t>
            </w:r>
            <w:r w:rsidR="00FE5496">
              <w:rPr>
                <w:rFonts w:ascii="Arial Narrow" w:hAnsi="Arial Narrow"/>
                <w:sz w:val="20"/>
                <w:szCs w:val="20"/>
              </w:rPr>
              <w:noBreakHyphen/>
            </w:r>
            <w:r w:rsidRPr="008F4B5E">
              <w:rPr>
                <w:rFonts w:ascii="Arial Narrow" w:hAnsi="Arial Narrow"/>
                <w:sz w:val="20"/>
                <w:szCs w:val="20"/>
              </w:rPr>
              <w:t>12</w:t>
            </w:r>
            <w:r w:rsidR="00FE5496">
              <w:rPr>
                <w:rFonts w:ascii="Arial Narrow" w:hAnsi="Arial Narrow"/>
                <w:sz w:val="20"/>
                <w:szCs w:val="20"/>
              </w:rPr>
              <w:noBreakHyphen/>
            </w:r>
            <w:r w:rsidRPr="008F4B5E">
              <w:rPr>
                <w:rFonts w:ascii="Arial Narrow" w:hAnsi="Arial Narrow"/>
                <w:sz w:val="20"/>
                <w:szCs w:val="20"/>
              </w:rPr>
              <w:t>009</w:t>
            </w:r>
            <w:r>
              <w:rPr>
                <w:rFonts w:ascii="Arial Narrow" w:hAnsi="Arial Narrow"/>
                <w:sz w:val="20"/>
                <w:szCs w:val="20"/>
              </w:rPr>
              <w:t xml:space="preserve"> </w:t>
            </w:r>
          </w:p>
          <w:p w14:paraId="702580B2" w14:textId="0EC739AD"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3</w:t>
            </w:r>
            <w:r w:rsidR="00FE5496">
              <w:rPr>
                <w:rFonts w:ascii="Arial Narrow" w:hAnsi="Arial Narrow"/>
                <w:sz w:val="20"/>
                <w:szCs w:val="20"/>
              </w:rPr>
              <w:noBreakHyphen/>
            </w:r>
            <w:r w:rsidRPr="008F4B5E">
              <w:rPr>
                <w:rFonts w:ascii="Arial Narrow" w:hAnsi="Arial Narrow"/>
                <w:sz w:val="20"/>
                <w:szCs w:val="20"/>
              </w:rPr>
              <w:t>year cycle</w:t>
            </w:r>
            <w:r>
              <w:rPr>
                <w:rFonts w:ascii="Arial Narrow" w:hAnsi="Arial Narrow"/>
                <w:sz w:val="20"/>
                <w:szCs w:val="20"/>
              </w:rPr>
              <w:t xml:space="preserve"> </w:t>
            </w:r>
          </w:p>
          <w:p w14:paraId="69C7261F" w14:textId="68FC1E2B"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Test Year:  2020</w:t>
            </w:r>
          </w:p>
          <w:p w14:paraId="180E5E0A" w14:textId="68FAD2FD"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Attrition Years:  2021</w:t>
            </w:r>
            <w:r w:rsidR="00FE5496">
              <w:rPr>
                <w:rFonts w:ascii="Arial Narrow" w:hAnsi="Arial Narrow"/>
                <w:sz w:val="20"/>
                <w:szCs w:val="20"/>
              </w:rPr>
              <w:noBreakHyphen/>
            </w:r>
            <w:r w:rsidRPr="008F4B5E">
              <w:rPr>
                <w:rFonts w:ascii="Arial Narrow" w:hAnsi="Arial Narrow"/>
                <w:sz w:val="20"/>
                <w:szCs w:val="20"/>
              </w:rPr>
              <w:t>2022</w:t>
            </w:r>
            <w:r>
              <w:rPr>
                <w:rFonts w:ascii="Arial Narrow" w:hAnsi="Arial Narrow"/>
                <w:sz w:val="20"/>
                <w:szCs w:val="20"/>
              </w:rPr>
              <w:t xml:space="preserve"> </w:t>
            </w:r>
          </w:p>
        </w:tc>
        <w:tc>
          <w:tcPr>
            <w:tcW w:w="2610" w:type="dxa"/>
            <w:vAlign w:val="center"/>
          </w:tcPr>
          <w:p w14:paraId="7A3A52E3" w14:textId="77777777" w:rsidR="00D3031B" w:rsidRPr="008F4B5E" w:rsidRDefault="00D3031B" w:rsidP="00685DEB">
            <w:pPr>
              <w:pStyle w:val="Standard"/>
              <w:spacing w:line="240" w:lineRule="auto"/>
              <w:ind w:firstLine="0"/>
              <w:rPr>
                <w:rFonts w:ascii="Arial Narrow" w:hAnsi="Arial Narrow"/>
                <w:sz w:val="20"/>
                <w:szCs w:val="20"/>
              </w:rPr>
            </w:pPr>
          </w:p>
        </w:tc>
        <w:tc>
          <w:tcPr>
            <w:tcW w:w="3145" w:type="dxa"/>
            <w:vAlign w:val="center"/>
          </w:tcPr>
          <w:p w14:paraId="2A8AC394"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8F4B5E" w14:paraId="1B720063" w14:textId="77777777" w:rsidTr="00685DEB">
        <w:trPr>
          <w:cantSplit/>
        </w:trPr>
        <w:tc>
          <w:tcPr>
            <w:tcW w:w="0" w:type="auto"/>
            <w:vAlign w:val="center"/>
          </w:tcPr>
          <w:p w14:paraId="7F47B82F" w14:textId="77777777"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August 30, 2019</w:t>
            </w:r>
          </w:p>
        </w:tc>
        <w:tc>
          <w:tcPr>
            <w:tcW w:w="3237" w:type="dxa"/>
            <w:vAlign w:val="center"/>
          </w:tcPr>
          <w:p w14:paraId="7D71E8D1" w14:textId="77777777" w:rsidR="00D3031B" w:rsidRPr="008F4B5E" w:rsidRDefault="00D3031B" w:rsidP="00685DEB">
            <w:pPr>
              <w:pStyle w:val="Standard"/>
              <w:spacing w:line="240" w:lineRule="auto"/>
              <w:ind w:firstLine="0"/>
              <w:rPr>
                <w:rFonts w:ascii="Arial Narrow" w:hAnsi="Arial Narrow"/>
                <w:sz w:val="20"/>
                <w:szCs w:val="20"/>
              </w:rPr>
            </w:pPr>
          </w:p>
        </w:tc>
        <w:tc>
          <w:tcPr>
            <w:tcW w:w="2610" w:type="dxa"/>
            <w:vAlign w:val="center"/>
          </w:tcPr>
          <w:p w14:paraId="15FDA2F9" w14:textId="7C1E1B68" w:rsidR="00D3031B" w:rsidRPr="008F4B5E" w:rsidRDefault="00D3031B" w:rsidP="00685DEB">
            <w:pPr>
              <w:pStyle w:val="Standard"/>
              <w:spacing w:line="240" w:lineRule="auto"/>
              <w:ind w:firstLine="0"/>
              <w:rPr>
                <w:rFonts w:ascii="Arial Narrow" w:hAnsi="Arial Narrow"/>
                <w:sz w:val="20"/>
                <w:szCs w:val="20"/>
              </w:rPr>
            </w:pPr>
            <w:r w:rsidRPr="008F4B5E">
              <w:rPr>
                <w:rFonts w:ascii="Arial Narrow" w:hAnsi="Arial Narrow"/>
                <w:sz w:val="20"/>
                <w:szCs w:val="20"/>
              </w:rPr>
              <w:t>GRC:  A.19</w:t>
            </w:r>
            <w:r w:rsidR="00FE5496">
              <w:rPr>
                <w:rFonts w:ascii="Arial Narrow" w:hAnsi="Arial Narrow"/>
                <w:sz w:val="20"/>
                <w:szCs w:val="20"/>
              </w:rPr>
              <w:noBreakHyphen/>
            </w:r>
            <w:r w:rsidRPr="008F4B5E">
              <w:rPr>
                <w:rFonts w:ascii="Arial Narrow" w:hAnsi="Arial Narrow"/>
                <w:sz w:val="20"/>
                <w:szCs w:val="20"/>
              </w:rPr>
              <w:t>08</w:t>
            </w:r>
            <w:r w:rsidR="00FE5496">
              <w:rPr>
                <w:rFonts w:ascii="Arial Narrow" w:hAnsi="Arial Narrow"/>
                <w:sz w:val="20"/>
                <w:szCs w:val="20"/>
              </w:rPr>
              <w:noBreakHyphen/>
            </w:r>
            <w:r w:rsidRPr="008F4B5E">
              <w:rPr>
                <w:rFonts w:ascii="Arial Narrow" w:hAnsi="Arial Narrow"/>
                <w:sz w:val="20"/>
                <w:szCs w:val="20"/>
              </w:rPr>
              <w:t>013</w:t>
            </w:r>
            <w:r>
              <w:rPr>
                <w:rFonts w:ascii="Arial Narrow" w:hAnsi="Arial Narrow"/>
                <w:sz w:val="20"/>
                <w:szCs w:val="20"/>
              </w:rPr>
              <w:t xml:space="preserve"> </w:t>
            </w:r>
          </w:p>
          <w:p w14:paraId="3E61E67A" w14:textId="4FAE08DF" w:rsidR="00D3031B"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Test Year:  2021</w:t>
            </w:r>
            <w:r>
              <w:rPr>
                <w:rFonts w:ascii="Arial Narrow" w:hAnsi="Arial Narrow"/>
                <w:sz w:val="20"/>
                <w:szCs w:val="20"/>
              </w:rPr>
              <w:t xml:space="preserve"> </w:t>
            </w:r>
          </w:p>
          <w:p w14:paraId="4CD39CC1" w14:textId="051CAB1C" w:rsidR="00D3031B" w:rsidRPr="008F4B5E" w:rsidRDefault="00D3031B" w:rsidP="00D3031B">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 xml:space="preserve">Attrition Year:  </w:t>
            </w:r>
            <w:r w:rsidRPr="00F25409">
              <w:rPr>
                <w:rFonts w:ascii="Arial Narrow" w:hAnsi="Arial Narrow"/>
                <w:sz w:val="20"/>
                <w:szCs w:val="20"/>
              </w:rPr>
              <w:t>2022</w:t>
            </w:r>
            <w:r w:rsidR="00FE5496">
              <w:rPr>
                <w:rFonts w:ascii="Arial Narrow" w:hAnsi="Arial Narrow"/>
                <w:sz w:val="20"/>
                <w:szCs w:val="20"/>
              </w:rPr>
              <w:noBreakHyphen/>
            </w:r>
            <w:r w:rsidRPr="00F25409">
              <w:rPr>
                <w:rFonts w:ascii="Arial Narrow" w:hAnsi="Arial Narrow"/>
                <w:sz w:val="20"/>
                <w:szCs w:val="20"/>
              </w:rPr>
              <w:t>202</w:t>
            </w:r>
            <w:r>
              <w:rPr>
                <w:rFonts w:ascii="Arial Narrow" w:hAnsi="Arial Narrow"/>
                <w:sz w:val="20"/>
                <w:szCs w:val="20"/>
              </w:rPr>
              <w:t xml:space="preserve">3 </w:t>
            </w:r>
          </w:p>
        </w:tc>
        <w:tc>
          <w:tcPr>
            <w:tcW w:w="3145" w:type="dxa"/>
            <w:vAlign w:val="center"/>
          </w:tcPr>
          <w:p w14:paraId="6D31680F" w14:textId="77777777" w:rsidR="00D3031B" w:rsidRPr="008F4B5E" w:rsidRDefault="00D3031B" w:rsidP="00685DEB">
            <w:pPr>
              <w:pStyle w:val="Standard"/>
              <w:spacing w:line="240" w:lineRule="auto"/>
              <w:ind w:firstLine="0"/>
              <w:rPr>
                <w:rFonts w:ascii="Arial Narrow" w:hAnsi="Arial Narrow"/>
                <w:sz w:val="20"/>
                <w:szCs w:val="20"/>
              </w:rPr>
            </w:pPr>
          </w:p>
        </w:tc>
      </w:tr>
      <w:tr w:rsidR="00D3031B" w:rsidRPr="003218A0" w14:paraId="191CD735" w14:textId="77777777" w:rsidTr="00685DEB">
        <w:trPr>
          <w:cantSplit/>
        </w:trPr>
        <w:tc>
          <w:tcPr>
            <w:tcW w:w="0" w:type="auto"/>
            <w:vAlign w:val="center"/>
          </w:tcPr>
          <w:p w14:paraId="7F859008" w14:textId="5CF6B4FC" w:rsidR="00D3031B" w:rsidRPr="003218A0" w:rsidRDefault="00D3031B" w:rsidP="00685DEB">
            <w:pPr>
              <w:pStyle w:val="Standard"/>
              <w:spacing w:line="240" w:lineRule="auto"/>
              <w:ind w:firstLine="0"/>
              <w:rPr>
                <w:rFonts w:ascii="Arial Narrow" w:hAnsi="Arial Narrow"/>
                <w:sz w:val="20"/>
                <w:szCs w:val="20"/>
              </w:rPr>
            </w:pPr>
            <w:r w:rsidRPr="003218A0">
              <w:rPr>
                <w:rFonts w:ascii="Arial Narrow" w:hAnsi="Arial Narrow"/>
                <w:sz w:val="20"/>
                <w:szCs w:val="20"/>
              </w:rPr>
              <w:t>November 7, 2019</w:t>
            </w:r>
            <w:r>
              <w:rPr>
                <w:rFonts w:ascii="Arial Narrow" w:hAnsi="Arial Narrow"/>
                <w:sz w:val="20"/>
                <w:szCs w:val="20"/>
              </w:rPr>
              <w:t xml:space="preserve"> </w:t>
            </w:r>
          </w:p>
        </w:tc>
        <w:tc>
          <w:tcPr>
            <w:tcW w:w="3237" w:type="dxa"/>
            <w:vAlign w:val="center"/>
          </w:tcPr>
          <w:p w14:paraId="41F37A58" w14:textId="77777777" w:rsidR="00D3031B" w:rsidRPr="003218A0" w:rsidRDefault="00D3031B" w:rsidP="00685DEB">
            <w:pPr>
              <w:pStyle w:val="Standard"/>
              <w:spacing w:line="240" w:lineRule="auto"/>
              <w:ind w:firstLine="0"/>
              <w:rPr>
                <w:rFonts w:ascii="Arial Narrow" w:hAnsi="Arial Narrow"/>
                <w:sz w:val="20"/>
                <w:szCs w:val="20"/>
              </w:rPr>
            </w:pPr>
          </w:p>
        </w:tc>
        <w:tc>
          <w:tcPr>
            <w:tcW w:w="2610" w:type="dxa"/>
            <w:vAlign w:val="center"/>
          </w:tcPr>
          <w:p w14:paraId="34A94A20" w14:textId="77777777" w:rsidR="00D3031B" w:rsidRPr="003218A0" w:rsidRDefault="00D3031B" w:rsidP="00685DEB">
            <w:pPr>
              <w:pStyle w:val="Standard"/>
              <w:spacing w:line="240" w:lineRule="auto"/>
              <w:ind w:firstLine="0"/>
              <w:rPr>
                <w:rFonts w:ascii="Arial Narrow" w:hAnsi="Arial Narrow"/>
                <w:sz w:val="20"/>
                <w:szCs w:val="20"/>
              </w:rPr>
            </w:pPr>
          </w:p>
        </w:tc>
        <w:tc>
          <w:tcPr>
            <w:tcW w:w="3145" w:type="dxa"/>
            <w:vAlign w:val="center"/>
          </w:tcPr>
          <w:p w14:paraId="5D8D8464" w14:textId="1546FB04" w:rsidR="00D3031B" w:rsidRPr="003218A0" w:rsidRDefault="00D3031B" w:rsidP="00685DEB">
            <w:pPr>
              <w:pStyle w:val="Standard"/>
              <w:spacing w:line="240" w:lineRule="auto"/>
              <w:ind w:firstLine="0"/>
              <w:rPr>
                <w:rFonts w:ascii="Arial Narrow" w:hAnsi="Arial Narrow"/>
                <w:sz w:val="20"/>
                <w:szCs w:val="20"/>
              </w:rPr>
            </w:pPr>
            <w:r w:rsidRPr="0038776D">
              <w:rPr>
                <w:rFonts w:ascii="Arial Narrow" w:hAnsi="Arial Narrow"/>
                <w:sz w:val="20"/>
                <w:szCs w:val="20"/>
              </w:rPr>
              <w:t>I.19</w:t>
            </w:r>
            <w:r w:rsidR="00FE5496">
              <w:rPr>
                <w:rFonts w:ascii="Arial Narrow" w:hAnsi="Arial Narrow"/>
                <w:sz w:val="20"/>
                <w:szCs w:val="20"/>
              </w:rPr>
              <w:noBreakHyphen/>
            </w:r>
            <w:r w:rsidRPr="0038776D">
              <w:rPr>
                <w:rFonts w:ascii="Arial Narrow" w:hAnsi="Arial Narrow"/>
                <w:sz w:val="20"/>
                <w:szCs w:val="20"/>
              </w:rPr>
              <w:t>11</w:t>
            </w:r>
            <w:r w:rsidR="00FE5496">
              <w:rPr>
                <w:rFonts w:ascii="Arial Narrow" w:hAnsi="Arial Narrow"/>
                <w:sz w:val="20"/>
                <w:szCs w:val="20"/>
              </w:rPr>
              <w:noBreakHyphen/>
            </w:r>
            <w:r w:rsidRPr="0038776D">
              <w:rPr>
                <w:rFonts w:ascii="Arial Narrow" w:hAnsi="Arial Narrow"/>
                <w:sz w:val="20"/>
                <w:szCs w:val="20"/>
              </w:rPr>
              <w:t>010 and I.19</w:t>
            </w:r>
            <w:r w:rsidR="00FE5496">
              <w:rPr>
                <w:rFonts w:ascii="Arial Narrow" w:hAnsi="Arial Narrow"/>
                <w:sz w:val="20"/>
                <w:szCs w:val="20"/>
              </w:rPr>
              <w:noBreakHyphen/>
            </w:r>
            <w:r w:rsidRPr="0038776D">
              <w:rPr>
                <w:rFonts w:ascii="Arial Narrow" w:hAnsi="Arial Narrow"/>
                <w:sz w:val="20"/>
                <w:szCs w:val="20"/>
              </w:rPr>
              <w:t>11</w:t>
            </w:r>
            <w:r w:rsidR="00FE5496">
              <w:rPr>
                <w:rFonts w:ascii="Arial Narrow" w:hAnsi="Arial Narrow"/>
                <w:sz w:val="20"/>
                <w:szCs w:val="20"/>
              </w:rPr>
              <w:noBreakHyphen/>
            </w:r>
            <w:r w:rsidRPr="0038776D">
              <w:rPr>
                <w:rFonts w:ascii="Arial Narrow" w:hAnsi="Arial Narrow"/>
                <w:sz w:val="20"/>
                <w:szCs w:val="20"/>
              </w:rPr>
              <w:t xml:space="preserve">011 </w:t>
            </w:r>
            <w:r w:rsidRPr="003218A0">
              <w:rPr>
                <w:rFonts w:ascii="Arial Narrow" w:hAnsi="Arial Narrow"/>
                <w:sz w:val="20"/>
                <w:szCs w:val="20"/>
              </w:rPr>
              <w:t>opened for SDG&amp;E and SoCalGas RAMPs</w:t>
            </w:r>
            <w:r>
              <w:rPr>
                <w:rFonts w:ascii="Arial Narrow" w:hAnsi="Arial Narrow"/>
                <w:sz w:val="20"/>
                <w:szCs w:val="20"/>
              </w:rPr>
              <w:t xml:space="preserve"> </w:t>
            </w:r>
          </w:p>
        </w:tc>
      </w:tr>
      <w:tr w:rsidR="00D3031B" w:rsidRPr="00F25409" w14:paraId="4EAB84B3" w14:textId="77777777" w:rsidTr="00685DEB">
        <w:trPr>
          <w:cantSplit/>
        </w:trPr>
        <w:tc>
          <w:tcPr>
            <w:tcW w:w="0" w:type="auto"/>
            <w:vAlign w:val="center"/>
          </w:tcPr>
          <w:p w14:paraId="5CB1DFBE" w14:textId="0FD1A23A" w:rsidR="00887FF1" w:rsidRPr="00E77589" w:rsidRDefault="00EF1984" w:rsidP="00887FF1">
            <w:pPr>
              <w:pStyle w:val="Standard"/>
              <w:spacing w:line="240" w:lineRule="auto"/>
              <w:ind w:firstLine="0"/>
              <w:rPr>
                <w:rFonts w:ascii="Arial Narrow" w:hAnsi="Arial Narrow"/>
                <w:sz w:val="20"/>
                <w:szCs w:val="20"/>
              </w:rPr>
            </w:pPr>
            <w:r w:rsidRPr="00E77589">
              <w:rPr>
                <w:rFonts w:ascii="Arial Narrow" w:hAnsi="Arial Narrow"/>
                <w:sz w:val="20"/>
                <w:szCs w:val="20"/>
              </w:rPr>
              <w:t>F</w:t>
            </w:r>
            <w:r>
              <w:rPr>
                <w:rFonts w:ascii="Arial Narrow" w:hAnsi="Arial Narrow"/>
                <w:sz w:val="20"/>
                <w:szCs w:val="20"/>
              </w:rPr>
              <w:t>or</w:t>
            </w:r>
            <w:r w:rsidRPr="00E77589">
              <w:rPr>
                <w:rFonts w:ascii="Arial Narrow" w:hAnsi="Arial Narrow"/>
                <w:sz w:val="20"/>
                <w:szCs w:val="20"/>
              </w:rPr>
              <w:t xml:space="preserve"> </w:t>
            </w:r>
            <w:r w:rsidR="00887FF1" w:rsidRPr="00E77589">
              <w:rPr>
                <w:rFonts w:ascii="Arial Narrow" w:hAnsi="Arial Narrow"/>
                <w:sz w:val="20"/>
                <w:szCs w:val="20"/>
              </w:rPr>
              <w:t xml:space="preserve">SDG&amp;E and SoCalGas: </w:t>
            </w:r>
            <w:r>
              <w:rPr>
                <w:rFonts w:ascii="Arial Narrow" w:hAnsi="Arial Narrow"/>
                <w:sz w:val="20"/>
                <w:szCs w:val="20"/>
              </w:rPr>
              <w:t xml:space="preserve">as </w:t>
            </w:r>
            <w:r w:rsidR="00887FF1">
              <w:rPr>
                <w:rFonts w:ascii="Arial Narrow" w:hAnsi="Arial Narrow"/>
                <w:sz w:val="20"/>
                <w:szCs w:val="20"/>
              </w:rPr>
              <w:t xml:space="preserve">soon </w:t>
            </w:r>
            <w:r>
              <w:rPr>
                <w:rFonts w:ascii="Arial Narrow" w:hAnsi="Arial Narrow"/>
                <w:sz w:val="20"/>
                <w:szCs w:val="20"/>
              </w:rPr>
              <w:t xml:space="preserve">as </w:t>
            </w:r>
            <w:r w:rsidR="00887FF1">
              <w:rPr>
                <w:rFonts w:ascii="Arial Narrow" w:hAnsi="Arial Narrow"/>
                <w:sz w:val="20"/>
                <w:szCs w:val="20"/>
              </w:rPr>
              <w:t>practicable</w:t>
            </w:r>
          </w:p>
          <w:p w14:paraId="0278CECB" w14:textId="7849540C" w:rsidR="00685DEB" w:rsidRPr="00F25409" w:rsidRDefault="00887FF1" w:rsidP="00685DEB">
            <w:pPr>
              <w:pStyle w:val="Standard"/>
              <w:spacing w:line="240" w:lineRule="auto"/>
              <w:ind w:firstLine="0"/>
              <w:rPr>
                <w:rFonts w:ascii="Arial Narrow" w:hAnsi="Arial Narrow"/>
                <w:sz w:val="20"/>
                <w:szCs w:val="20"/>
              </w:rPr>
            </w:pPr>
            <w:r w:rsidRPr="00E77589">
              <w:rPr>
                <w:rFonts w:ascii="Arial Narrow" w:hAnsi="Arial Narrow"/>
                <w:sz w:val="20"/>
                <w:szCs w:val="20"/>
              </w:rPr>
              <w:t xml:space="preserve">For SCE: As </w:t>
            </w:r>
            <w:r w:rsidR="00EF1984" w:rsidRPr="00E77589">
              <w:rPr>
                <w:rFonts w:ascii="Arial Narrow" w:hAnsi="Arial Narrow"/>
                <w:sz w:val="20"/>
                <w:szCs w:val="20"/>
              </w:rPr>
              <w:t>direct</w:t>
            </w:r>
            <w:r w:rsidR="00EF1984">
              <w:rPr>
                <w:rFonts w:ascii="Arial Narrow" w:hAnsi="Arial Narrow"/>
                <w:sz w:val="20"/>
                <w:szCs w:val="20"/>
              </w:rPr>
              <w:t>e</w:t>
            </w:r>
            <w:r w:rsidR="00EF1984" w:rsidRPr="00E77589">
              <w:rPr>
                <w:rFonts w:ascii="Arial Narrow" w:hAnsi="Arial Narrow"/>
                <w:sz w:val="20"/>
                <w:szCs w:val="20"/>
              </w:rPr>
              <w:t>d</w:t>
            </w:r>
          </w:p>
        </w:tc>
        <w:tc>
          <w:tcPr>
            <w:tcW w:w="3237" w:type="dxa"/>
            <w:vAlign w:val="center"/>
          </w:tcPr>
          <w:p w14:paraId="6FA2009C" w14:textId="77777777" w:rsidR="00D3031B" w:rsidRPr="00F25409" w:rsidRDefault="00D3031B" w:rsidP="00685DEB">
            <w:pPr>
              <w:pStyle w:val="Standard"/>
              <w:spacing w:line="240" w:lineRule="auto"/>
              <w:ind w:firstLine="0"/>
              <w:rPr>
                <w:rFonts w:ascii="Arial Narrow" w:hAnsi="Arial Narrow"/>
                <w:sz w:val="20"/>
                <w:szCs w:val="20"/>
              </w:rPr>
            </w:pPr>
          </w:p>
        </w:tc>
        <w:tc>
          <w:tcPr>
            <w:tcW w:w="2610" w:type="dxa"/>
            <w:vAlign w:val="center"/>
          </w:tcPr>
          <w:p w14:paraId="34FE49BA" w14:textId="302A4D6A" w:rsidR="00D3031B" w:rsidRPr="00F25409" w:rsidRDefault="00D3031B" w:rsidP="00685DEB">
            <w:pPr>
              <w:pStyle w:val="Standard"/>
              <w:spacing w:line="240" w:lineRule="auto"/>
              <w:ind w:firstLine="0"/>
              <w:rPr>
                <w:rFonts w:ascii="Arial Narrow" w:hAnsi="Arial Narrow"/>
                <w:sz w:val="20"/>
                <w:szCs w:val="20"/>
              </w:rPr>
            </w:pPr>
            <w:r>
              <w:rPr>
                <w:rFonts w:ascii="Arial Narrow" w:hAnsi="Arial Narrow"/>
                <w:sz w:val="20"/>
                <w:szCs w:val="20"/>
              </w:rPr>
              <w:t xml:space="preserve">SCE shall amend </w:t>
            </w:r>
            <w:r w:rsidRPr="008F4B5E">
              <w:rPr>
                <w:rFonts w:ascii="Arial Narrow" w:hAnsi="Arial Narrow"/>
                <w:sz w:val="20"/>
                <w:szCs w:val="20"/>
              </w:rPr>
              <w:t>A.19</w:t>
            </w:r>
            <w:r w:rsidR="00FE5496">
              <w:rPr>
                <w:rFonts w:ascii="Arial Narrow" w:hAnsi="Arial Narrow"/>
                <w:sz w:val="20"/>
                <w:szCs w:val="20"/>
              </w:rPr>
              <w:noBreakHyphen/>
            </w:r>
            <w:r w:rsidRPr="008F4B5E">
              <w:rPr>
                <w:rFonts w:ascii="Arial Narrow" w:hAnsi="Arial Narrow"/>
                <w:sz w:val="20"/>
                <w:szCs w:val="20"/>
              </w:rPr>
              <w:t>08</w:t>
            </w:r>
            <w:r w:rsidR="00FE5496">
              <w:rPr>
                <w:rFonts w:ascii="Arial Narrow" w:hAnsi="Arial Narrow"/>
                <w:sz w:val="20"/>
                <w:szCs w:val="20"/>
              </w:rPr>
              <w:noBreakHyphen/>
            </w:r>
            <w:r w:rsidRPr="008F4B5E">
              <w:rPr>
                <w:rFonts w:ascii="Arial Narrow" w:hAnsi="Arial Narrow"/>
                <w:sz w:val="20"/>
                <w:szCs w:val="20"/>
              </w:rPr>
              <w:t>013</w:t>
            </w:r>
            <w:r>
              <w:rPr>
                <w:rFonts w:ascii="Arial Narrow" w:hAnsi="Arial Narrow"/>
                <w:sz w:val="20"/>
                <w:szCs w:val="20"/>
              </w:rPr>
              <w:t xml:space="preserve"> to propose an additional attrition year for 2024</w:t>
            </w:r>
            <w:r w:rsidR="00887FF1">
              <w:rPr>
                <w:rFonts w:ascii="Arial Narrow" w:hAnsi="Arial Narrow"/>
                <w:sz w:val="20"/>
                <w:szCs w:val="20"/>
              </w:rPr>
              <w:t xml:space="preserve">, as </w:t>
            </w:r>
            <w:r w:rsidR="00EF1984">
              <w:rPr>
                <w:rFonts w:ascii="Arial Narrow" w:hAnsi="Arial Narrow"/>
                <w:sz w:val="20"/>
                <w:szCs w:val="20"/>
              </w:rPr>
              <w:t>directed</w:t>
            </w:r>
          </w:p>
        </w:tc>
        <w:tc>
          <w:tcPr>
            <w:tcW w:w="3145" w:type="dxa"/>
            <w:vAlign w:val="center"/>
          </w:tcPr>
          <w:p w14:paraId="1A5F2217" w14:textId="6F6B582C" w:rsidR="00D3031B" w:rsidRPr="00F25409" w:rsidRDefault="00D3031B" w:rsidP="00685DEB">
            <w:pPr>
              <w:pStyle w:val="Standard"/>
              <w:spacing w:line="240" w:lineRule="auto"/>
              <w:ind w:firstLine="0"/>
              <w:rPr>
                <w:rFonts w:ascii="Arial Narrow" w:hAnsi="Arial Narrow"/>
                <w:sz w:val="20"/>
                <w:szCs w:val="20"/>
                <w:highlight w:val="yellow"/>
              </w:rPr>
            </w:pPr>
            <w:r w:rsidRPr="00F25409">
              <w:rPr>
                <w:rFonts w:ascii="Arial Narrow" w:hAnsi="Arial Narrow"/>
                <w:sz w:val="20"/>
                <w:szCs w:val="20"/>
              </w:rPr>
              <w:t>SDG&amp;E and SoCalGas shall file</w:t>
            </w:r>
            <w:r>
              <w:rPr>
                <w:rFonts w:ascii="Arial Narrow" w:hAnsi="Arial Narrow"/>
                <w:sz w:val="20"/>
                <w:szCs w:val="20"/>
              </w:rPr>
              <w:t xml:space="preserve"> </w:t>
            </w:r>
            <w:r w:rsidRPr="00F25409">
              <w:rPr>
                <w:rFonts w:ascii="Arial Narrow" w:hAnsi="Arial Narrow"/>
                <w:sz w:val="20"/>
                <w:szCs w:val="20"/>
              </w:rPr>
              <w:t>Petitions for Modification of D.19</w:t>
            </w:r>
            <w:r w:rsidR="00FE5496">
              <w:rPr>
                <w:rFonts w:ascii="Arial Narrow" w:hAnsi="Arial Narrow"/>
                <w:sz w:val="20"/>
                <w:szCs w:val="20"/>
              </w:rPr>
              <w:noBreakHyphen/>
            </w:r>
            <w:r w:rsidRPr="00F25409">
              <w:rPr>
                <w:rFonts w:ascii="Arial Narrow" w:hAnsi="Arial Narrow"/>
                <w:sz w:val="20"/>
                <w:szCs w:val="20"/>
              </w:rPr>
              <w:t>09</w:t>
            </w:r>
            <w:r w:rsidR="00FE5496">
              <w:rPr>
                <w:rFonts w:ascii="Arial Narrow" w:hAnsi="Arial Narrow"/>
                <w:sz w:val="20"/>
                <w:szCs w:val="20"/>
              </w:rPr>
              <w:noBreakHyphen/>
            </w:r>
            <w:r w:rsidRPr="00F25409">
              <w:rPr>
                <w:rFonts w:ascii="Arial Narrow" w:hAnsi="Arial Narrow"/>
                <w:sz w:val="20"/>
                <w:szCs w:val="20"/>
              </w:rPr>
              <w:t>0</w:t>
            </w:r>
            <w:r>
              <w:rPr>
                <w:rFonts w:ascii="Arial Narrow" w:hAnsi="Arial Narrow"/>
                <w:sz w:val="20"/>
                <w:szCs w:val="20"/>
              </w:rPr>
              <w:t>51</w:t>
            </w:r>
            <w:r w:rsidRPr="00F25409">
              <w:rPr>
                <w:rFonts w:ascii="Arial Narrow" w:hAnsi="Arial Narrow"/>
                <w:sz w:val="20"/>
                <w:szCs w:val="20"/>
              </w:rPr>
              <w:t xml:space="preserve"> to add 2022 and 2023 attrition years</w:t>
            </w:r>
            <w:r>
              <w:rPr>
                <w:rFonts w:ascii="Arial Narrow" w:hAnsi="Arial Narrow"/>
                <w:sz w:val="20"/>
                <w:szCs w:val="20"/>
              </w:rPr>
              <w:t xml:space="preserve"> </w:t>
            </w:r>
          </w:p>
        </w:tc>
      </w:tr>
      <w:tr w:rsidR="00D3031B" w:rsidRPr="00F25409" w14:paraId="7DBEB61C" w14:textId="77777777" w:rsidTr="00685DEB">
        <w:trPr>
          <w:cantSplit/>
        </w:trPr>
        <w:tc>
          <w:tcPr>
            <w:tcW w:w="0" w:type="auto"/>
            <w:vAlign w:val="center"/>
          </w:tcPr>
          <w:p w14:paraId="250EB7A6" w14:textId="77777777"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By June 30, 2020</w:t>
            </w:r>
          </w:p>
        </w:tc>
        <w:tc>
          <w:tcPr>
            <w:tcW w:w="3237" w:type="dxa"/>
            <w:vAlign w:val="center"/>
          </w:tcPr>
          <w:p w14:paraId="40A80F01" w14:textId="3A956F1F"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Files 2023</w:t>
            </w:r>
            <w:r w:rsidR="00FE5496">
              <w:rPr>
                <w:rFonts w:ascii="Arial Narrow" w:hAnsi="Arial Narrow"/>
                <w:sz w:val="20"/>
                <w:szCs w:val="20"/>
              </w:rPr>
              <w:noBreakHyphen/>
            </w:r>
            <w:r w:rsidRPr="00F25409">
              <w:rPr>
                <w:rFonts w:ascii="Arial Narrow" w:hAnsi="Arial Narrow"/>
                <w:sz w:val="20"/>
                <w:szCs w:val="20"/>
              </w:rPr>
              <w:t>2026 RAMP application</w:t>
            </w:r>
            <w:r>
              <w:rPr>
                <w:rFonts w:ascii="Arial Narrow" w:hAnsi="Arial Narrow"/>
                <w:sz w:val="20"/>
                <w:szCs w:val="20"/>
              </w:rPr>
              <w:t xml:space="preserve"> </w:t>
            </w:r>
          </w:p>
        </w:tc>
        <w:tc>
          <w:tcPr>
            <w:tcW w:w="2610" w:type="dxa"/>
            <w:vAlign w:val="center"/>
          </w:tcPr>
          <w:p w14:paraId="0A547FF2" w14:textId="77777777" w:rsidR="00D3031B" w:rsidRPr="00F25409" w:rsidRDefault="00D3031B" w:rsidP="00685DEB">
            <w:pPr>
              <w:pStyle w:val="Standard"/>
              <w:spacing w:line="240" w:lineRule="auto"/>
              <w:ind w:firstLine="0"/>
              <w:rPr>
                <w:rFonts w:ascii="Arial Narrow" w:hAnsi="Arial Narrow"/>
                <w:sz w:val="20"/>
                <w:szCs w:val="20"/>
              </w:rPr>
            </w:pPr>
          </w:p>
        </w:tc>
        <w:tc>
          <w:tcPr>
            <w:tcW w:w="3145" w:type="dxa"/>
            <w:vAlign w:val="center"/>
          </w:tcPr>
          <w:p w14:paraId="66BD0D93" w14:textId="77777777" w:rsidR="00D3031B" w:rsidRPr="00F25409" w:rsidRDefault="00D3031B" w:rsidP="00685DEB">
            <w:pPr>
              <w:pStyle w:val="Standard"/>
              <w:spacing w:line="240" w:lineRule="auto"/>
              <w:ind w:firstLine="0"/>
              <w:rPr>
                <w:rFonts w:ascii="Arial Narrow" w:hAnsi="Arial Narrow"/>
                <w:sz w:val="20"/>
                <w:szCs w:val="20"/>
              </w:rPr>
            </w:pPr>
          </w:p>
        </w:tc>
      </w:tr>
      <w:tr w:rsidR="00D3031B" w:rsidRPr="00F25409" w14:paraId="0F6C2202" w14:textId="77777777" w:rsidTr="00685DEB">
        <w:trPr>
          <w:cantSplit/>
        </w:trPr>
        <w:tc>
          <w:tcPr>
            <w:tcW w:w="0" w:type="auto"/>
            <w:vAlign w:val="center"/>
          </w:tcPr>
          <w:p w14:paraId="185D5E17" w14:textId="77777777"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May 15, 2021</w:t>
            </w:r>
          </w:p>
        </w:tc>
        <w:tc>
          <w:tcPr>
            <w:tcW w:w="3237" w:type="dxa"/>
            <w:vAlign w:val="center"/>
          </w:tcPr>
          <w:p w14:paraId="50EF4D08" w14:textId="77777777" w:rsidR="00D3031B" w:rsidRPr="00F25409" w:rsidRDefault="00D3031B" w:rsidP="00685DEB">
            <w:pPr>
              <w:pStyle w:val="Standard"/>
              <w:spacing w:line="240" w:lineRule="auto"/>
              <w:ind w:firstLine="0"/>
              <w:rPr>
                <w:rFonts w:ascii="Arial Narrow" w:hAnsi="Arial Narrow"/>
                <w:b/>
                <w:bCs/>
                <w:sz w:val="20"/>
                <w:szCs w:val="20"/>
                <w:u w:val="single"/>
              </w:rPr>
            </w:pPr>
          </w:p>
        </w:tc>
        <w:tc>
          <w:tcPr>
            <w:tcW w:w="2610" w:type="dxa"/>
            <w:vAlign w:val="center"/>
          </w:tcPr>
          <w:p w14:paraId="076AF9FC" w14:textId="77777777" w:rsidR="00D3031B" w:rsidRPr="00F25409" w:rsidRDefault="00D3031B" w:rsidP="00685DEB">
            <w:pPr>
              <w:pStyle w:val="Standard"/>
              <w:spacing w:line="240" w:lineRule="auto"/>
              <w:ind w:firstLine="0"/>
              <w:rPr>
                <w:rFonts w:ascii="Arial Narrow" w:hAnsi="Arial Narrow"/>
                <w:sz w:val="20"/>
                <w:szCs w:val="20"/>
              </w:rPr>
            </w:pPr>
          </w:p>
        </w:tc>
        <w:tc>
          <w:tcPr>
            <w:tcW w:w="3145" w:type="dxa"/>
            <w:vAlign w:val="center"/>
          </w:tcPr>
          <w:p w14:paraId="2E04F65D" w14:textId="28F24AA2"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SDG&amp;E and SoCalGas shall file</w:t>
            </w:r>
            <w:r>
              <w:rPr>
                <w:rFonts w:ascii="Arial Narrow" w:hAnsi="Arial Narrow"/>
                <w:sz w:val="20"/>
                <w:szCs w:val="20"/>
              </w:rPr>
              <w:t xml:space="preserve"> </w:t>
            </w:r>
            <w:r w:rsidRPr="00F25409">
              <w:rPr>
                <w:rFonts w:ascii="Arial Narrow" w:hAnsi="Arial Narrow"/>
                <w:sz w:val="20"/>
                <w:szCs w:val="20"/>
              </w:rPr>
              <w:t xml:space="preserve"> </w:t>
            </w:r>
            <w:r>
              <w:rPr>
                <w:rFonts w:ascii="Arial Narrow" w:hAnsi="Arial Narrow"/>
                <w:sz w:val="20"/>
                <w:szCs w:val="20"/>
              </w:rPr>
              <w:br/>
            </w:r>
            <w:r w:rsidRPr="00F25409">
              <w:rPr>
                <w:rFonts w:ascii="Arial Narrow" w:hAnsi="Arial Narrow"/>
                <w:sz w:val="20"/>
                <w:szCs w:val="20"/>
              </w:rPr>
              <w:t>2024</w:t>
            </w:r>
            <w:r w:rsidR="00FE5496">
              <w:rPr>
                <w:rFonts w:ascii="Arial Narrow" w:hAnsi="Arial Narrow"/>
                <w:sz w:val="20"/>
                <w:szCs w:val="20"/>
              </w:rPr>
              <w:noBreakHyphen/>
            </w:r>
            <w:r w:rsidRPr="00F25409">
              <w:rPr>
                <w:rFonts w:ascii="Arial Narrow" w:hAnsi="Arial Narrow"/>
                <w:sz w:val="20"/>
                <w:szCs w:val="20"/>
              </w:rPr>
              <w:t>2027 RAMP applications</w:t>
            </w:r>
            <w:r>
              <w:rPr>
                <w:rFonts w:ascii="Arial Narrow" w:hAnsi="Arial Narrow"/>
                <w:sz w:val="20"/>
                <w:szCs w:val="20"/>
              </w:rPr>
              <w:t xml:space="preserve"> </w:t>
            </w:r>
          </w:p>
        </w:tc>
      </w:tr>
      <w:tr w:rsidR="00D3031B" w:rsidRPr="00F25409" w14:paraId="65E75D36" w14:textId="77777777" w:rsidTr="00685DEB">
        <w:trPr>
          <w:cantSplit/>
        </w:trPr>
        <w:tc>
          <w:tcPr>
            <w:tcW w:w="0" w:type="auto"/>
            <w:vAlign w:val="center"/>
          </w:tcPr>
          <w:p w14:paraId="4261607F" w14:textId="77777777"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By June 30, 2021</w:t>
            </w:r>
          </w:p>
        </w:tc>
        <w:tc>
          <w:tcPr>
            <w:tcW w:w="3237" w:type="dxa"/>
            <w:vAlign w:val="center"/>
          </w:tcPr>
          <w:p w14:paraId="2CBFC3B3" w14:textId="4DA962DF"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b/>
                <w:bCs/>
                <w:sz w:val="20"/>
                <w:szCs w:val="20"/>
                <w:u w:val="single"/>
              </w:rPr>
              <w:t xml:space="preserve">Files combined GRC/GT&amp;S </w:t>
            </w:r>
            <w:r>
              <w:rPr>
                <w:rFonts w:ascii="Arial Narrow" w:hAnsi="Arial Narrow"/>
                <w:b/>
                <w:bCs/>
                <w:sz w:val="20"/>
                <w:szCs w:val="20"/>
                <w:u w:val="single"/>
              </w:rPr>
              <w:t xml:space="preserve"> </w:t>
            </w:r>
            <w:r w:rsidRPr="00F25409">
              <w:rPr>
                <w:rFonts w:ascii="Arial Narrow" w:hAnsi="Arial Narrow"/>
                <w:b/>
                <w:bCs/>
                <w:sz w:val="20"/>
                <w:szCs w:val="20"/>
                <w:u w:val="single"/>
              </w:rPr>
              <w:t>application</w:t>
            </w:r>
            <w:r w:rsidRPr="00F25409">
              <w:rPr>
                <w:rFonts w:ascii="Arial Narrow" w:hAnsi="Arial Narrow"/>
                <w:sz w:val="20"/>
                <w:szCs w:val="20"/>
              </w:rPr>
              <w:t>:</w:t>
            </w:r>
            <w:r>
              <w:rPr>
                <w:rFonts w:ascii="Arial Narrow" w:hAnsi="Arial Narrow"/>
                <w:sz w:val="20"/>
                <w:szCs w:val="20"/>
              </w:rPr>
              <w:t xml:space="preserve"> </w:t>
            </w:r>
          </w:p>
          <w:p w14:paraId="53C38284" w14:textId="34371505"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4</w:t>
            </w:r>
            <w:r w:rsidR="00FE5496">
              <w:rPr>
                <w:rFonts w:ascii="Arial Narrow" w:hAnsi="Arial Narrow"/>
                <w:sz w:val="20"/>
                <w:szCs w:val="20"/>
              </w:rPr>
              <w:noBreakHyphen/>
            </w:r>
            <w:r w:rsidRPr="00F25409">
              <w:rPr>
                <w:rFonts w:ascii="Arial Narrow" w:hAnsi="Arial Narrow"/>
                <w:sz w:val="20"/>
                <w:szCs w:val="20"/>
              </w:rPr>
              <w:t>year cycle</w:t>
            </w:r>
            <w:r>
              <w:rPr>
                <w:rFonts w:ascii="Arial Narrow" w:hAnsi="Arial Narrow"/>
                <w:sz w:val="20"/>
                <w:szCs w:val="20"/>
              </w:rPr>
              <w:t xml:space="preserve"> </w:t>
            </w:r>
          </w:p>
          <w:p w14:paraId="0E72EFA7" w14:textId="7F40D94B"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Test Year:  2023</w:t>
            </w:r>
            <w:r>
              <w:rPr>
                <w:rFonts w:ascii="Arial Narrow" w:hAnsi="Arial Narrow"/>
                <w:sz w:val="20"/>
                <w:szCs w:val="20"/>
              </w:rPr>
              <w:t xml:space="preserve"> </w:t>
            </w:r>
          </w:p>
          <w:p w14:paraId="6A608A25" w14:textId="492289FA"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Attrition Years: 2024</w:t>
            </w:r>
            <w:r w:rsidR="00FE5496">
              <w:rPr>
                <w:rFonts w:ascii="Arial Narrow" w:hAnsi="Arial Narrow"/>
                <w:sz w:val="20"/>
                <w:szCs w:val="20"/>
              </w:rPr>
              <w:noBreakHyphen/>
            </w:r>
            <w:r w:rsidRPr="00F25409">
              <w:rPr>
                <w:rFonts w:ascii="Arial Narrow" w:hAnsi="Arial Narrow"/>
                <w:sz w:val="20"/>
                <w:szCs w:val="20"/>
              </w:rPr>
              <w:t>2026</w:t>
            </w:r>
            <w:r>
              <w:rPr>
                <w:rFonts w:ascii="Arial Narrow" w:hAnsi="Arial Narrow"/>
                <w:sz w:val="20"/>
                <w:szCs w:val="20"/>
              </w:rPr>
              <w:t xml:space="preserve"> </w:t>
            </w:r>
          </w:p>
        </w:tc>
        <w:tc>
          <w:tcPr>
            <w:tcW w:w="2610" w:type="dxa"/>
            <w:vAlign w:val="center"/>
          </w:tcPr>
          <w:p w14:paraId="14A09B4A" w14:textId="77777777" w:rsidR="00D3031B" w:rsidRPr="00F25409" w:rsidRDefault="00D3031B" w:rsidP="00685DEB">
            <w:pPr>
              <w:pStyle w:val="Standard"/>
              <w:spacing w:line="240" w:lineRule="auto"/>
              <w:ind w:firstLine="0"/>
              <w:rPr>
                <w:rFonts w:ascii="Arial Narrow" w:hAnsi="Arial Narrow"/>
                <w:sz w:val="20"/>
                <w:szCs w:val="20"/>
              </w:rPr>
            </w:pPr>
          </w:p>
        </w:tc>
        <w:tc>
          <w:tcPr>
            <w:tcW w:w="3145" w:type="dxa"/>
            <w:vAlign w:val="center"/>
          </w:tcPr>
          <w:p w14:paraId="7072244C" w14:textId="77777777" w:rsidR="00D3031B" w:rsidRPr="00F25409" w:rsidRDefault="00D3031B" w:rsidP="00685DEB">
            <w:pPr>
              <w:pStyle w:val="Standard"/>
              <w:spacing w:line="240" w:lineRule="auto"/>
              <w:ind w:firstLine="0"/>
              <w:rPr>
                <w:rFonts w:ascii="Arial Narrow" w:hAnsi="Arial Narrow"/>
                <w:sz w:val="20"/>
                <w:szCs w:val="20"/>
              </w:rPr>
            </w:pPr>
          </w:p>
        </w:tc>
      </w:tr>
      <w:tr w:rsidR="00D3031B" w:rsidRPr="00F25409" w14:paraId="70FE79D1" w14:textId="77777777" w:rsidTr="00685DEB">
        <w:trPr>
          <w:cantSplit/>
        </w:trPr>
        <w:tc>
          <w:tcPr>
            <w:tcW w:w="0" w:type="auto"/>
            <w:vAlign w:val="center"/>
          </w:tcPr>
          <w:p w14:paraId="77EFC624" w14:textId="77777777"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May 15, 2022</w:t>
            </w:r>
          </w:p>
        </w:tc>
        <w:tc>
          <w:tcPr>
            <w:tcW w:w="3237" w:type="dxa"/>
            <w:vAlign w:val="center"/>
          </w:tcPr>
          <w:p w14:paraId="44915800" w14:textId="77777777" w:rsidR="00D3031B" w:rsidRPr="00F25409" w:rsidRDefault="00D3031B" w:rsidP="00685DEB">
            <w:pPr>
              <w:pStyle w:val="Standard"/>
              <w:spacing w:line="240" w:lineRule="auto"/>
              <w:ind w:firstLine="0"/>
              <w:rPr>
                <w:rFonts w:ascii="Arial Narrow" w:hAnsi="Arial Narrow"/>
                <w:sz w:val="20"/>
                <w:szCs w:val="20"/>
              </w:rPr>
            </w:pPr>
          </w:p>
        </w:tc>
        <w:tc>
          <w:tcPr>
            <w:tcW w:w="2610" w:type="dxa"/>
            <w:vAlign w:val="center"/>
          </w:tcPr>
          <w:p w14:paraId="16E9DAD5" w14:textId="18DFEB6E"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Files 2025</w:t>
            </w:r>
            <w:r w:rsidR="00FE5496">
              <w:rPr>
                <w:rFonts w:ascii="Arial Narrow" w:hAnsi="Arial Narrow"/>
                <w:sz w:val="20"/>
                <w:szCs w:val="20"/>
              </w:rPr>
              <w:noBreakHyphen/>
            </w:r>
            <w:r w:rsidRPr="00F25409">
              <w:rPr>
                <w:rFonts w:ascii="Arial Narrow" w:hAnsi="Arial Narrow"/>
                <w:sz w:val="20"/>
                <w:szCs w:val="20"/>
              </w:rPr>
              <w:t>2028 RAMP application</w:t>
            </w:r>
          </w:p>
        </w:tc>
        <w:tc>
          <w:tcPr>
            <w:tcW w:w="3145" w:type="dxa"/>
            <w:vAlign w:val="center"/>
          </w:tcPr>
          <w:p w14:paraId="247CE743" w14:textId="3D5314F0" w:rsidR="00D3031B" w:rsidRPr="00F25409" w:rsidRDefault="00D3031B" w:rsidP="00685DEB">
            <w:pPr>
              <w:pStyle w:val="Standard"/>
              <w:spacing w:line="240" w:lineRule="auto"/>
              <w:ind w:firstLine="0"/>
              <w:rPr>
                <w:rFonts w:ascii="Arial Narrow" w:hAnsi="Arial Narrow"/>
                <w:b/>
                <w:bCs/>
                <w:sz w:val="20"/>
                <w:szCs w:val="20"/>
                <w:u w:val="single"/>
              </w:rPr>
            </w:pPr>
            <w:r w:rsidRPr="00F25409">
              <w:rPr>
                <w:rFonts w:ascii="Arial Narrow" w:hAnsi="Arial Narrow"/>
                <w:b/>
                <w:bCs/>
                <w:sz w:val="20"/>
                <w:szCs w:val="20"/>
                <w:u w:val="single"/>
              </w:rPr>
              <w:t>Files next GRC application:</w:t>
            </w:r>
            <w:r>
              <w:rPr>
                <w:rFonts w:ascii="Arial Narrow" w:hAnsi="Arial Narrow"/>
                <w:b/>
                <w:bCs/>
                <w:sz w:val="20"/>
                <w:szCs w:val="20"/>
                <w:u w:val="single"/>
              </w:rPr>
              <w:t xml:space="preserve"> </w:t>
            </w:r>
          </w:p>
          <w:p w14:paraId="66C0AC8F" w14:textId="763139AB"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4</w:t>
            </w:r>
            <w:r w:rsidR="00FE5496">
              <w:rPr>
                <w:rFonts w:ascii="Arial Narrow" w:hAnsi="Arial Narrow"/>
                <w:sz w:val="20"/>
                <w:szCs w:val="20"/>
              </w:rPr>
              <w:noBreakHyphen/>
            </w:r>
            <w:r w:rsidRPr="00F25409">
              <w:rPr>
                <w:rFonts w:ascii="Arial Narrow" w:hAnsi="Arial Narrow"/>
                <w:sz w:val="20"/>
                <w:szCs w:val="20"/>
              </w:rPr>
              <w:t>year cycle</w:t>
            </w:r>
            <w:r>
              <w:rPr>
                <w:rFonts w:ascii="Arial Narrow" w:hAnsi="Arial Narrow"/>
                <w:sz w:val="20"/>
                <w:szCs w:val="20"/>
              </w:rPr>
              <w:t xml:space="preserve"> </w:t>
            </w:r>
          </w:p>
          <w:p w14:paraId="08A8E523" w14:textId="22F0FDAA"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Test Year:  2024</w:t>
            </w:r>
            <w:r>
              <w:rPr>
                <w:rFonts w:ascii="Arial Narrow" w:hAnsi="Arial Narrow"/>
                <w:sz w:val="20"/>
                <w:szCs w:val="20"/>
              </w:rPr>
              <w:t xml:space="preserve"> </w:t>
            </w:r>
          </w:p>
          <w:p w14:paraId="526B1481" w14:textId="5D03F543"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Attrition Years: 2025</w:t>
            </w:r>
            <w:r w:rsidR="00FE5496">
              <w:rPr>
                <w:rFonts w:ascii="Arial Narrow" w:hAnsi="Arial Narrow"/>
                <w:sz w:val="20"/>
                <w:szCs w:val="20"/>
              </w:rPr>
              <w:noBreakHyphen/>
            </w:r>
            <w:r w:rsidRPr="00F25409">
              <w:rPr>
                <w:rFonts w:ascii="Arial Narrow" w:hAnsi="Arial Narrow"/>
                <w:sz w:val="20"/>
                <w:szCs w:val="20"/>
              </w:rPr>
              <w:t>2027</w:t>
            </w:r>
            <w:r>
              <w:rPr>
                <w:rFonts w:ascii="Arial Narrow" w:hAnsi="Arial Narrow"/>
                <w:sz w:val="20"/>
                <w:szCs w:val="20"/>
              </w:rPr>
              <w:t xml:space="preserve"> </w:t>
            </w:r>
          </w:p>
        </w:tc>
      </w:tr>
      <w:tr w:rsidR="00D3031B" w:rsidRPr="00F25409" w14:paraId="3001E8DA" w14:textId="77777777" w:rsidTr="00685DEB">
        <w:trPr>
          <w:cantSplit/>
        </w:trPr>
        <w:tc>
          <w:tcPr>
            <w:tcW w:w="0" w:type="auto"/>
            <w:vAlign w:val="center"/>
          </w:tcPr>
          <w:p w14:paraId="6D9448C6" w14:textId="77777777" w:rsidR="00D3031B" w:rsidRPr="00F25409" w:rsidRDefault="00D3031B" w:rsidP="00685DEB">
            <w:pPr>
              <w:pStyle w:val="Standard"/>
              <w:spacing w:line="240" w:lineRule="auto"/>
              <w:ind w:firstLine="0"/>
              <w:rPr>
                <w:rFonts w:ascii="Arial Narrow" w:hAnsi="Arial Narrow"/>
                <w:sz w:val="20"/>
                <w:szCs w:val="20"/>
              </w:rPr>
            </w:pPr>
            <w:r w:rsidRPr="00F25409">
              <w:rPr>
                <w:rFonts w:ascii="Arial Narrow" w:hAnsi="Arial Narrow"/>
                <w:sz w:val="20"/>
                <w:szCs w:val="20"/>
              </w:rPr>
              <w:t>May 15, 2023</w:t>
            </w:r>
          </w:p>
        </w:tc>
        <w:tc>
          <w:tcPr>
            <w:tcW w:w="3237" w:type="dxa"/>
            <w:vAlign w:val="center"/>
          </w:tcPr>
          <w:p w14:paraId="6CB8CBE3" w14:textId="77777777" w:rsidR="00D3031B" w:rsidRPr="00F25409" w:rsidRDefault="00D3031B" w:rsidP="00685DEB">
            <w:pPr>
              <w:pStyle w:val="Standard"/>
              <w:spacing w:line="240" w:lineRule="auto"/>
              <w:ind w:firstLine="0"/>
              <w:rPr>
                <w:rFonts w:ascii="Arial Narrow" w:hAnsi="Arial Narrow"/>
                <w:sz w:val="20"/>
                <w:szCs w:val="20"/>
              </w:rPr>
            </w:pPr>
          </w:p>
        </w:tc>
        <w:tc>
          <w:tcPr>
            <w:tcW w:w="2610" w:type="dxa"/>
            <w:vAlign w:val="center"/>
          </w:tcPr>
          <w:p w14:paraId="0872BC54" w14:textId="43A6DF2C" w:rsidR="00D3031B" w:rsidRPr="00F25409" w:rsidRDefault="00D3031B" w:rsidP="00685DEB">
            <w:pPr>
              <w:pStyle w:val="Standard"/>
              <w:spacing w:line="240" w:lineRule="auto"/>
              <w:ind w:firstLine="0"/>
              <w:rPr>
                <w:rFonts w:ascii="Arial Narrow" w:hAnsi="Arial Narrow"/>
                <w:b/>
                <w:bCs/>
                <w:sz w:val="20"/>
                <w:szCs w:val="20"/>
                <w:u w:val="single"/>
              </w:rPr>
            </w:pPr>
            <w:r w:rsidRPr="00F25409">
              <w:rPr>
                <w:rFonts w:ascii="Arial Narrow" w:hAnsi="Arial Narrow"/>
                <w:b/>
                <w:bCs/>
                <w:sz w:val="20"/>
                <w:szCs w:val="20"/>
                <w:u w:val="single"/>
              </w:rPr>
              <w:t>Files next GRC application:</w:t>
            </w:r>
            <w:r>
              <w:rPr>
                <w:rFonts w:ascii="Arial Narrow" w:hAnsi="Arial Narrow"/>
                <w:b/>
                <w:bCs/>
                <w:sz w:val="20"/>
                <w:szCs w:val="20"/>
                <w:u w:val="single"/>
              </w:rPr>
              <w:t xml:space="preserve"> </w:t>
            </w:r>
          </w:p>
          <w:p w14:paraId="34AF958B" w14:textId="19A8AB52"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4</w:t>
            </w:r>
            <w:r w:rsidR="00FE5496">
              <w:rPr>
                <w:rFonts w:ascii="Arial Narrow" w:hAnsi="Arial Narrow"/>
                <w:sz w:val="20"/>
                <w:szCs w:val="20"/>
              </w:rPr>
              <w:noBreakHyphen/>
            </w:r>
            <w:r w:rsidRPr="00F25409">
              <w:rPr>
                <w:rFonts w:ascii="Arial Narrow" w:hAnsi="Arial Narrow"/>
                <w:sz w:val="20"/>
                <w:szCs w:val="20"/>
              </w:rPr>
              <w:t>year cycle</w:t>
            </w:r>
            <w:r>
              <w:rPr>
                <w:rFonts w:ascii="Arial Narrow" w:hAnsi="Arial Narrow"/>
                <w:sz w:val="20"/>
                <w:szCs w:val="20"/>
              </w:rPr>
              <w:t xml:space="preserve"> </w:t>
            </w:r>
          </w:p>
          <w:p w14:paraId="4F08C3B8" w14:textId="02F8B35E"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Test Year:  2025</w:t>
            </w:r>
            <w:r>
              <w:rPr>
                <w:rFonts w:ascii="Arial Narrow" w:hAnsi="Arial Narrow"/>
                <w:sz w:val="20"/>
                <w:szCs w:val="20"/>
              </w:rPr>
              <w:t xml:space="preserve"> </w:t>
            </w:r>
          </w:p>
          <w:p w14:paraId="1E495BF6" w14:textId="6D4E815E" w:rsidR="00D3031B" w:rsidRPr="00F25409" w:rsidRDefault="00D3031B" w:rsidP="00D3031B">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Attrition Years: 2026</w:t>
            </w:r>
            <w:r w:rsidR="00FE5496">
              <w:rPr>
                <w:rFonts w:ascii="Arial Narrow" w:hAnsi="Arial Narrow"/>
                <w:sz w:val="20"/>
                <w:szCs w:val="20"/>
              </w:rPr>
              <w:noBreakHyphen/>
            </w:r>
            <w:r w:rsidRPr="00F25409">
              <w:rPr>
                <w:rFonts w:ascii="Arial Narrow" w:hAnsi="Arial Narrow"/>
                <w:sz w:val="20"/>
                <w:szCs w:val="20"/>
              </w:rPr>
              <w:t>2028</w:t>
            </w:r>
            <w:r>
              <w:rPr>
                <w:rFonts w:ascii="Arial Narrow" w:hAnsi="Arial Narrow"/>
                <w:sz w:val="20"/>
                <w:szCs w:val="20"/>
              </w:rPr>
              <w:t xml:space="preserve"> </w:t>
            </w:r>
          </w:p>
        </w:tc>
        <w:tc>
          <w:tcPr>
            <w:tcW w:w="3145" w:type="dxa"/>
            <w:vAlign w:val="center"/>
          </w:tcPr>
          <w:p w14:paraId="7F59B857" w14:textId="77777777" w:rsidR="00D3031B" w:rsidRPr="00F25409" w:rsidRDefault="00D3031B" w:rsidP="00685DEB">
            <w:pPr>
              <w:pStyle w:val="Standard"/>
              <w:spacing w:line="240" w:lineRule="auto"/>
              <w:ind w:firstLine="0"/>
              <w:rPr>
                <w:rFonts w:ascii="Arial Narrow" w:hAnsi="Arial Narrow"/>
                <w:sz w:val="20"/>
                <w:szCs w:val="20"/>
              </w:rPr>
            </w:pPr>
          </w:p>
        </w:tc>
      </w:tr>
    </w:tbl>
    <w:p w14:paraId="730723E0" w14:textId="77777777" w:rsidR="00D3031B" w:rsidRPr="00D3031B" w:rsidRDefault="00D3031B" w:rsidP="00D3031B">
      <w:pPr>
        <w:pStyle w:val="Standard"/>
        <w:spacing w:line="240" w:lineRule="auto"/>
        <w:ind w:firstLine="0"/>
        <w:jc w:val="center"/>
        <w:rPr>
          <w:sz w:val="6"/>
          <w:szCs w:val="2"/>
        </w:rPr>
      </w:pPr>
    </w:p>
    <w:p w14:paraId="6D2FFD0A" w14:textId="77777777" w:rsidR="006F0AC0" w:rsidRDefault="006F0AC0" w:rsidP="006F0AC0"/>
    <w:p w14:paraId="650B611E" w14:textId="77777777" w:rsidR="006F0AC0" w:rsidRPr="006F0AC0" w:rsidRDefault="006F0AC0" w:rsidP="00D14898">
      <w:pPr>
        <w:sectPr w:rsidR="006F0AC0" w:rsidRPr="006F0AC0" w:rsidSect="00C2384D">
          <w:headerReference w:type="default" r:id="rId22"/>
          <w:footerReference w:type="default" r:id="rId23"/>
          <w:pgSz w:w="12240" w:h="15840"/>
          <w:pgMar w:top="720" w:right="720" w:bottom="720" w:left="720" w:header="720" w:footer="720" w:gutter="0"/>
          <w:cols w:space="720"/>
          <w:docGrid w:linePitch="360"/>
        </w:sectPr>
      </w:pPr>
    </w:p>
    <w:p w14:paraId="009998BD" w14:textId="5915D5B6" w:rsidR="00FB15B6" w:rsidRPr="00FB15B6" w:rsidRDefault="00FB15B6" w:rsidP="00FE5496">
      <w:pPr>
        <w:pStyle w:val="Heading2"/>
      </w:pPr>
      <w:bookmarkStart w:id="61" w:name="_Toc13244198"/>
      <w:bookmarkStart w:id="62" w:name="_Toc20998452"/>
      <w:bookmarkStart w:id="63" w:name="_Toc29817396"/>
      <w:bookmarkEnd w:id="55"/>
      <w:r w:rsidRPr="00FB15B6">
        <w:lastRenderedPageBreak/>
        <w:t>Additional Workshops</w:t>
      </w:r>
      <w:bookmarkEnd w:id="61"/>
      <w:bookmarkEnd w:id="62"/>
      <w:bookmarkEnd w:id="63"/>
    </w:p>
    <w:p w14:paraId="1F854029" w14:textId="77777777" w:rsidR="00FF36D4" w:rsidRDefault="00FB15B6" w:rsidP="00684E84">
      <w:pPr>
        <w:pStyle w:val="Standard"/>
        <w:spacing w:after="120"/>
      </w:pPr>
      <w:r w:rsidRPr="00FB15B6">
        <w:t xml:space="preserve">In addition to </w:t>
      </w:r>
      <w:r w:rsidR="00496C42">
        <w:t>the specific</w:t>
      </w:r>
      <w:r w:rsidRPr="00FB15B6">
        <w:t xml:space="preserve"> recommended modifications to the RCP that we addressed above, the </w:t>
      </w:r>
      <w:r w:rsidR="006F009E">
        <w:t>Staff</w:t>
      </w:r>
      <w:r w:rsidRPr="00FB15B6">
        <w:t xml:space="preserve"> Report also recommends that the Commission direct the Energy Division to host additional workshops to further examine </w:t>
      </w:r>
      <w:r w:rsidR="00496C42">
        <w:t xml:space="preserve">a number of ideas raised by workshop participants </w:t>
      </w:r>
      <w:bookmarkStart w:id="64" w:name="_Hlk19544582"/>
      <w:r w:rsidR="00496C42">
        <w:t>regarding how to further standardize GRC filings and streamline the GRC process</w:t>
      </w:r>
      <w:bookmarkEnd w:id="64"/>
      <w:r w:rsidRPr="00FB15B6">
        <w:t>.</w:t>
      </w:r>
      <w:r w:rsidR="006F009E">
        <w:rPr>
          <w:rStyle w:val="FootnoteReference"/>
        </w:rPr>
        <w:footnoteReference w:id="95"/>
      </w:r>
      <w:r w:rsidRPr="00FB15B6">
        <w:t xml:space="preserve">  </w:t>
      </w:r>
      <w:r w:rsidR="007D613E">
        <w:t>T</w:t>
      </w:r>
      <w:r w:rsidR="00FF36D4">
        <w:t>he Staff’s recommenda</w:t>
      </w:r>
      <w:r w:rsidR="007D613E">
        <w:t xml:space="preserve">tions for workshops and schedules </w:t>
      </w:r>
      <w:r w:rsidR="00F0251C">
        <w:t>are</w:t>
      </w:r>
      <w:r w:rsidR="007D613E">
        <w:t xml:space="preserve"> summarized </w:t>
      </w:r>
      <w:r w:rsidR="00FF36D4">
        <w:t>below:</w:t>
      </w:r>
    </w:p>
    <w:tbl>
      <w:tblPr>
        <w:tblStyle w:val="TableGrid"/>
        <w:tblW w:w="0" w:type="auto"/>
        <w:tblLook w:val="04A0" w:firstRow="1" w:lastRow="0" w:firstColumn="1" w:lastColumn="0" w:noHBand="0" w:noVBand="1"/>
      </w:tblPr>
      <w:tblGrid>
        <w:gridCol w:w="336"/>
        <w:gridCol w:w="5082"/>
        <w:gridCol w:w="4158"/>
      </w:tblGrid>
      <w:tr w:rsidR="00A366E7" w:rsidRPr="00733DCF" w14:paraId="6829E384" w14:textId="77777777" w:rsidTr="007C78CD">
        <w:tc>
          <w:tcPr>
            <w:tcW w:w="0" w:type="auto"/>
            <w:shd w:val="clear" w:color="auto" w:fill="auto"/>
          </w:tcPr>
          <w:p w14:paraId="55FB32E5" w14:textId="77777777" w:rsidR="00A366E7" w:rsidRDefault="00A366E7" w:rsidP="00733DCF">
            <w:pPr>
              <w:pStyle w:val="Standard"/>
              <w:keepNext/>
              <w:keepLines/>
              <w:spacing w:line="240" w:lineRule="auto"/>
              <w:ind w:firstLine="0"/>
              <w:jc w:val="center"/>
              <w:rPr>
                <w:b/>
                <w:sz w:val="24"/>
                <w:szCs w:val="24"/>
              </w:rPr>
            </w:pPr>
          </w:p>
        </w:tc>
        <w:tc>
          <w:tcPr>
            <w:tcW w:w="5082" w:type="dxa"/>
            <w:shd w:val="clear" w:color="auto" w:fill="auto"/>
            <w:vAlign w:val="center"/>
          </w:tcPr>
          <w:p w14:paraId="20DC63E8" w14:textId="60356375" w:rsidR="00A366E7" w:rsidRPr="00FB15B6" w:rsidRDefault="00A366E7" w:rsidP="00733DCF">
            <w:pPr>
              <w:pStyle w:val="Standard"/>
              <w:keepNext/>
              <w:keepLines/>
              <w:spacing w:line="240" w:lineRule="auto"/>
              <w:ind w:firstLine="0"/>
              <w:jc w:val="center"/>
              <w:rPr>
                <w:b/>
                <w:sz w:val="24"/>
                <w:szCs w:val="24"/>
              </w:rPr>
            </w:pPr>
            <w:r>
              <w:rPr>
                <w:b/>
                <w:sz w:val="24"/>
                <w:szCs w:val="24"/>
              </w:rPr>
              <w:t>Energy Division Staff</w:t>
            </w:r>
            <w:r w:rsidR="00FE5496">
              <w:rPr>
                <w:b/>
                <w:sz w:val="24"/>
                <w:szCs w:val="24"/>
              </w:rPr>
              <w:noBreakHyphen/>
            </w:r>
            <w:r w:rsidRPr="00FB15B6">
              <w:rPr>
                <w:b/>
                <w:sz w:val="24"/>
                <w:szCs w:val="24"/>
              </w:rPr>
              <w:t xml:space="preserve">Recommended </w:t>
            </w:r>
            <w:r>
              <w:rPr>
                <w:b/>
                <w:sz w:val="24"/>
                <w:szCs w:val="24"/>
              </w:rPr>
              <w:t>Workshops</w:t>
            </w:r>
          </w:p>
        </w:tc>
        <w:tc>
          <w:tcPr>
            <w:tcW w:w="4158" w:type="dxa"/>
            <w:shd w:val="clear" w:color="auto" w:fill="auto"/>
            <w:vAlign w:val="center"/>
          </w:tcPr>
          <w:p w14:paraId="41F17BDF" w14:textId="77777777" w:rsidR="00A366E7" w:rsidRPr="00FB15B6" w:rsidRDefault="00A366E7" w:rsidP="00733DCF">
            <w:pPr>
              <w:pStyle w:val="Standard"/>
              <w:keepNext/>
              <w:keepLines/>
              <w:spacing w:line="240" w:lineRule="auto"/>
              <w:ind w:firstLine="0"/>
              <w:jc w:val="center"/>
              <w:rPr>
                <w:b/>
                <w:sz w:val="24"/>
                <w:szCs w:val="24"/>
              </w:rPr>
            </w:pPr>
            <w:r w:rsidRPr="00FB15B6">
              <w:rPr>
                <w:b/>
                <w:sz w:val="24"/>
                <w:szCs w:val="24"/>
              </w:rPr>
              <w:t xml:space="preserve">Proposed </w:t>
            </w:r>
            <w:r w:rsidRPr="00733DCF">
              <w:rPr>
                <w:b/>
                <w:sz w:val="24"/>
                <w:szCs w:val="24"/>
              </w:rPr>
              <w:t>Scheduling</w:t>
            </w:r>
          </w:p>
        </w:tc>
      </w:tr>
      <w:tr w:rsidR="00A366E7" w:rsidRPr="00733DCF" w14:paraId="3EF9B33C" w14:textId="77777777" w:rsidTr="007C78CD">
        <w:tc>
          <w:tcPr>
            <w:tcW w:w="0" w:type="auto"/>
            <w:vAlign w:val="center"/>
          </w:tcPr>
          <w:p w14:paraId="2A0A2010" w14:textId="77777777" w:rsidR="00A366E7" w:rsidRPr="00FB15B6" w:rsidRDefault="00A366E7" w:rsidP="00A366E7">
            <w:pPr>
              <w:pStyle w:val="Standard"/>
              <w:keepNext/>
              <w:keepLines/>
              <w:spacing w:line="240" w:lineRule="auto"/>
              <w:ind w:firstLine="0"/>
              <w:jc w:val="center"/>
              <w:rPr>
                <w:sz w:val="24"/>
                <w:szCs w:val="24"/>
              </w:rPr>
            </w:pPr>
            <w:r>
              <w:rPr>
                <w:sz w:val="24"/>
                <w:szCs w:val="24"/>
              </w:rPr>
              <w:t>1</w:t>
            </w:r>
          </w:p>
        </w:tc>
        <w:tc>
          <w:tcPr>
            <w:tcW w:w="5082" w:type="dxa"/>
            <w:vAlign w:val="center"/>
          </w:tcPr>
          <w:p w14:paraId="617CC8DF" w14:textId="77777777" w:rsidR="00A366E7" w:rsidRPr="00FB15B6" w:rsidRDefault="00A366E7" w:rsidP="00733DCF">
            <w:pPr>
              <w:pStyle w:val="Standard"/>
              <w:keepNext/>
              <w:keepLines/>
              <w:spacing w:line="240" w:lineRule="auto"/>
              <w:ind w:firstLine="0"/>
              <w:rPr>
                <w:sz w:val="24"/>
                <w:szCs w:val="24"/>
              </w:rPr>
            </w:pPr>
            <w:bookmarkStart w:id="65" w:name="_Hlk12466188"/>
            <w:r w:rsidRPr="00FB15B6">
              <w:rPr>
                <w:sz w:val="24"/>
                <w:szCs w:val="24"/>
              </w:rPr>
              <w:t>Standardizing GRC filings</w:t>
            </w:r>
          </w:p>
        </w:tc>
        <w:tc>
          <w:tcPr>
            <w:tcW w:w="4158" w:type="dxa"/>
            <w:vAlign w:val="center"/>
          </w:tcPr>
          <w:p w14:paraId="0B3302A9" w14:textId="77777777" w:rsidR="00A366E7" w:rsidRPr="00FB15B6" w:rsidRDefault="00A366E7" w:rsidP="00733DCF">
            <w:pPr>
              <w:pStyle w:val="Standard"/>
              <w:keepNext/>
              <w:keepLines/>
              <w:spacing w:line="240" w:lineRule="auto"/>
              <w:ind w:firstLine="0"/>
              <w:rPr>
                <w:sz w:val="24"/>
                <w:szCs w:val="24"/>
              </w:rPr>
            </w:pPr>
            <w:r w:rsidRPr="00733DCF">
              <w:rPr>
                <w:sz w:val="24"/>
                <w:szCs w:val="24"/>
              </w:rPr>
              <w:t xml:space="preserve">3 months after </w:t>
            </w:r>
            <w:r>
              <w:rPr>
                <w:sz w:val="24"/>
                <w:szCs w:val="24"/>
              </w:rPr>
              <w:t>this</w:t>
            </w:r>
            <w:r w:rsidRPr="00733DCF">
              <w:rPr>
                <w:sz w:val="24"/>
                <w:szCs w:val="24"/>
              </w:rPr>
              <w:t xml:space="preserve"> decision is issued</w:t>
            </w:r>
          </w:p>
        </w:tc>
      </w:tr>
      <w:tr w:rsidR="00A366E7" w:rsidRPr="00733DCF" w14:paraId="43DB6099" w14:textId="77777777" w:rsidTr="007C78CD">
        <w:tc>
          <w:tcPr>
            <w:tcW w:w="0" w:type="auto"/>
            <w:vAlign w:val="center"/>
          </w:tcPr>
          <w:p w14:paraId="0C5DD439" w14:textId="77777777" w:rsidR="00A366E7" w:rsidRPr="00FB15B6" w:rsidRDefault="00A366E7" w:rsidP="00A366E7">
            <w:pPr>
              <w:pStyle w:val="Standard"/>
              <w:keepNext/>
              <w:keepLines/>
              <w:spacing w:line="240" w:lineRule="auto"/>
              <w:ind w:firstLine="0"/>
              <w:jc w:val="center"/>
              <w:rPr>
                <w:sz w:val="24"/>
                <w:szCs w:val="24"/>
              </w:rPr>
            </w:pPr>
            <w:r>
              <w:rPr>
                <w:sz w:val="24"/>
                <w:szCs w:val="24"/>
              </w:rPr>
              <w:t>2</w:t>
            </w:r>
          </w:p>
        </w:tc>
        <w:tc>
          <w:tcPr>
            <w:tcW w:w="5082" w:type="dxa"/>
            <w:vAlign w:val="center"/>
          </w:tcPr>
          <w:p w14:paraId="06A356DE" w14:textId="77777777" w:rsidR="00A366E7" w:rsidRPr="00FB15B6" w:rsidRDefault="00A366E7" w:rsidP="00733DCF">
            <w:pPr>
              <w:pStyle w:val="Standard"/>
              <w:keepNext/>
              <w:keepLines/>
              <w:spacing w:line="240" w:lineRule="auto"/>
              <w:ind w:firstLine="0"/>
              <w:rPr>
                <w:sz w:val="24"/>
                <w:szCs w:val="24"/>
              </w:rPr>
            </w:pPr>
            <w:r w:rsidRPr="00FB15B6">
              <w:rPr>
                <w:sz w:val="24"/>
                <w:szCs w:val="24"/>
              </w:rPr>
              <w:t>RO model uniformity</w:t>
            </w:r>
          </w:p>
        </w:tc>
        <w:tc>
          <w:tcPr>
            <w:tcW w:w="4158" w:type="dxa"/>
            <w:vAlign w:val="center"/>
          </w:tcPr>
          <w:p w14:paraId="4348330D" w14:textId="77777777" w:rsidR="00A366E7" w:rsidRPr="00FB15B6" w:rsidRDefault="00A366E7" w:rsidP="00733DCF">
            <w:pPr>
              <w:pStyle w:val="Standard"/>
              <w:keepNext/>
              <w:keepLines/>
              <w:spacing w:line="240" w:lineRule="auto"/>
              <w:ind w:firstLine="0"/>
              <w:rPr>
                <w:sz w:val="24"/>
                <w:szCs w:val="24"/>
              </w:rPr>
            </w:pPr>
            <w:r w:rsidRPr="00733DCF">
              <w:rPr>
                <w:sz w:val="24"/>
                <w:szCs w:val="24"/>
              </w:rPr>
              <w:t>6 months after W</w:t>
            </w:r>
            <w:r>
              <w:rPr>
                <w:sz w:val="24"/>
                <w:szCs w:val="24"/>
              </w:rPr>
              <w:t>orkshop</w:t>
            </w:r>
            <w:r w:rsidRPr="00733DCF">
              <w:rPr>
                <w:sz w:val="24"/>
                <w:szCs w:val="24"/>
              </w:rPr>
              <w:t xml:space="preserve"> #1</w:t>
            </w:r>
          </w:p>
        </w:tc>
      </w:tr>
      <w:tr w:rsidR="00A366E7" w:rsidRPr="00733DCF" w14:paraId="0054D978" w14:textId="77777777" w:rsidTr="007C78CD">
        <w:tc>
          <w:tcPr>
            <w:tcW w:w="0" w:type="auto"/>
            <w:vAlign w:val="center"/>
          </w:tcPr>
          <w:p w14:paraId="5215B67B" w14:textId="77777777" w:rsidR="00A366E7" w:rsidRPr="00FB15B6" w:rsidRDefault="00A366E7" w:rsidP="00A366E7">
            <w:pPr>
              <w:pStyle w:val="Standard"/>
              <w:keepNext/>
              <w:keepLines/>
              <w:spacing w:line="240" w:lineRule="auto"/>
              <w:ind w:firstLine="0"/>
              <w:jc w:val="center"/>
              <w:rPr>
                <w:sz w:val="24"/>
                <w:szCs w:val="24"/>
              </w:rPr>
            </w:pPr>
            <w:r>
              <w:rPr>
                <w:sz w:val="24"/>
                <w:szCs w:val="24"/>
              </w:rPr>
              <w:t>3</w:t>
            </w:r>
          </w:p>
        </w:tc>
        <w:tc>
          <w:tcPr>
            <w:tcW w:w="5082" w:type="dxa"/>
            <w:vAlign w:val="center"/>
          </w:tcPr>
          <w:p w14:paraId="260671EA" w14:textId="77777777" w:rsidR="00A366E7" w:rsidRPr="00FB15B6" w:rsidRDefault="00A366E7" w:rsidP="00733DCF">
            <w:pPr>
              <w:pStyle w:val="Standard"/>
              <w:keepNext/>
              <w:keepLines/>
              <w:spacing w:line="240" w:lineRule="auto"/>
              <w:ind w:firstLine="0"/>
              <w:rPr>
                <w:sz w:val="24"/>
                <w:szCs w:val="24"/>
              </w:rPr>
            </w:pPr>
            <w:r w:rsidRPr="00FB15B6">
              <w:rPr>
                <w:sz w:val="24"/>
                <w:szCs w:val="24"/>
              </w:rPr>
              <w:t>Stipulated terms or rebuttable presumptions</w:t>
            </w:r>
          </w:p>
        </w:tc>
        <w:tc>
          <w:tcPr>
            <w:tcW w:w="4158" w:type="dxa"/>
            <w:vAlign w:val="center"/>
          </w:tcPr>
          <w:p w14:paraId="604CE0B1" w14:textId="77777777" w:rsidR="00A366E7" w:rsidRPr="00FB15B6" w:rsidRDefault="00A366E7" w:rsidP="00733DCF">
            <w:pPr>
              <w:pStyle w:val="Standard"/>
              <w:keepNext/>
              <w:keepLines/>
              <w:spacing w:line="240" w:lineRule="auto"/>
              <w:ind w:firstLine="0"/>
              <w:rPr>
                <w:sz w:val="24"/>
                <w:szCs w:val="24"/>
              </w:rPr>
            </w:pPr>
            <w:r w:rsidRPr="00733DCF">
              <w:rPr>
                <w:sz w:val="24"/>
                <w:szCs w:val="24"/>
              </w:rPr>
              <w:t>6 months after W</w:t>
            </w:r>
            <w:r>
              <w:rPr>
                <w:sz w:val="24"/>
                <w:szCs w:val="24"/>
              </w:rPr>
              <w:t>orkshop</w:t>
            </w:r>
            <w:r w:rsidRPr="00733DCF">
              <w:rPr>
                <w:sz w:val="24"/>
                <w:szCs w:val="24"/>
              </w:rPr>
              <w:t xml:space="preserve"> #2</w:t>
            </w:r>
          </w:p>
        </w:tc>
      </w:tr>
      <w:tr w:rsidR="00A366E7" w:rsidRPr="00733DCF" w14:paraId="37D7E9FB" w14:textId="77777777" w:rsidTr="007C78CD">
        <w:tc>
          <w:tcPr>
            <w:tcW w:w="0" w:type="auto"/>
            <w:vAlign w:val="center"/>
          </w:tcPr>
          <w:p w14:paraId="52278B09" w14:textId="77777777" w:rsidR="00A366E7" w:rsidRPr="00FB15B6" w:rsidRDefault="00A366E7" w:rsidP="00FC75E8">
            <w:pPr>
              <w:pStyle w:val="Standard"/>
              <w:spacing w:line="240" w:lineRule="auto"/>
              <w:ind w:firstLine="0"/>
              <w:jc w:val="center"/>
              <w:rPr>
                <w:sz w:val="24"/>
                <w:szCs w:val="24"/>
              </w:rPr>
            </w:pPr>
            <w:r>
              <w:rPr>
                <w:sz w:val="24"/>
                <w:szCs w:val="24"/>
              </w:rPr>
              <w:t>4</w:t>
            </w:r>
          </w:p>
        </w:tc>
        <w:tc>
          <w:tcPr>
            <w:tcW w:w="5082" w:type="dxa"/>
            <w:vAlign w:val="center"/>
          </w:tcPr>
          <w:p w14:paraId="520DCC2F" w14:textId="77777777" w:rsidR="00A366E7" w:rsidRPr="00FB15B6" w:rsidRDefault="00A366E7" w:rsidP="00FC75E8">
            <w:pPr>
              <w:pStyle w:val="Standard"/>
              <w:spacing w:line="240" w:lineRule="auto"/>
              <w:ind w:firstLine="0"/>
              <w:rPr>
                <w:sz w:val="24"/>
                <w:szCs w:val="24"/>
              </w:rPr>
            </w:pPr>
            <w:r w:rsidRPr="00FB15B6">
              <w:rPr>
                <w:sz w:val="24"/>
                <w:szCs w:val="24"/>
              </w:rPr>
              <w:t>FERC accounting</w:t>
            </w:r>
          </w:p>
        </w:tc>
        <w:tc>
          <w:tcPr>
            <w:tcW w:w="4158" w:type="dxa"/>
            <w:vAlign w:val="center"/>
          </w:tcPr>
          <w:p w14:paraId="765F0F39" w14:textId="77777777" w:rsidR="00A366E7" w:rsidRPr="00FB15B6" w:rsidRDefault="00A366E7" w:rsidP="00FC75E8">
            <w:pPr>
              <w:pStyle w:val="Standard"/>
              <w:spacing w:line="240" w:lineRule="auto"/>
              <w:ind w:firstLine="0"/>
              <w:rPr>
                <w:sz w:val="24"/>
                <w:szCs w:val="24"/>
              </w:rPr>
            </w:pPr>
            <w:r w:rsidRPr="00733DCF">
              <w:rPr>
                <w:sz w:val="24"/>
                <w:szCs w:val="24"/>
              </w:rPr>
              <w:t>To be determined</w:t>
            </w:r>
          </w:p>
        </w:tc>
      </w:tr>
      <w:bookmarkEnd w:id="65"/>
    </w:tbl>
    <w:p w14:paraId="713807CA" w14:textId="77777777" w:rsidR="00FF36D4" w:rsidRPr="007C78CD" w:rsidRDefault="00FF36D4" w:rsidP="00D7218F">
      <w:pPr>
        <w:pStyle w:val="Standard"/>
      </w:pPr>
    </w:p>
    <w:p w14:paraId="0D8FC6C6" w14:textId="4C8E2A27" w:rsidR="00FB15B6" w:rsidRPr="00FB15B6" w:rsidRDefault="00496C42" w:rsidP="00496C42">
      <w:pPr>
        <w:pStyle w:val="Standard"/>
      </w:pPr>
      <w:r>
        <w:t xml:space="preserve">Each of the parties that addressed </w:t>
      </w:r>
      <w:r w:rsidR="00740217">
        <w:t xml:space="preserve">Staff’s </w:t>
      </w:r>
      <w:r>
        <w:t>recommendation</w:t>
      </w:r>
      <w:r w:rsidR="00740217">
        <w:t>s</w:t>
      </w:r>
      <w:r>
        <w:t xml:space="preserve"> supported the </w:t>
      </w:r>
      <w:r w:rsidR="00740217">
        <w:t xml:space="preserve">general </w:t>
      </w:r>
      <w:r>
        <w:t>idea</w:t>
      </w:r>
      <w:r w:rsidR="00740217">
        <w:t xml:space="preserve"> of more workshops, though not necessarily the specifics</w:t>
      </w:r>
      <w:r>
        <w:t>.</w:t>
      </w:r>
      <w:r w:rsidR="00FF36D4">
        <w:rPr>
          <w:rStyle w:val="FootnoteReference"/>
        </w:rPr>
        <w:footnoteReference w:id="96"/>
      </w:r>
      <w:r>
        <w:t xml:space="preserve">  SCE offers useful suggestions regarding advance preparations by </w:t>
      </w:r>
      <w:r w:rsidR="00F56E42">
        <w:t>Commission staff</w:t>
      </w:r>
      <w:r>
        <w:t xml:space="preserve"> to ensure that the workshops are efficient </w:t>
      </w:r>
      <w:r w:rsidR="00740217">
        <w:t xml:space="preserve">uses of parties’ time </w:t>
      </w:r>
      <w:r>
        <w:t xml:space="preserve">and </w:t>
      </w:r>
      <w:r w:rsidR="00740217">
        <w:t xml:space="preserve">result in recommendations that are </w:t>
      </w:r>
      <w:r>
        <w:t>helpful to the Commission</w:t>
      </w:r>
      <w:r w:rsidR="00740217">
        <w:t xml:space="preserve">.  SCE suggests that </w:t>
      </w:r>
      <w:r w:rsidR="000D6852">
        <w:t xml:space="preserve">Commission staff </w:t>
      </w:r>
      <w:r>
        <w:t>meet “off</w:t>
      </w:r>
      <w:r w:rsidR="00FE5496">
        <w:noBreakHyphen/>
      </w:r>
      <w:r>
        <w:t>line” with each of the stakeholders prior to preparing workshop agendas, and circulating</w:t>
      </w:r>
      <w:r w:rsidRPr="00496C42">
        <w:t xml:space="preserve"> initial substantive proposals for review and comment in advance of </w:t>
      </w:r>
      <w:r>
        <w:t>each</w:t>
      </w:r>
      <w:r w:rsidRPr="00496C42">
        <w:t xml:space="preserve"> workshop</w:t>
      </w:r>
      <w:r>
        <w:t>.</w:t>
      </w:r>
      <w:r w:rsidR="002A0E81">
        <w:rPr>
          <w:rStyle w:val="FootnoteReference"/>
        </w:rPr>
        <w:footnoteReference w:id="97"/>
      </w:r>
    </w:p>
    <w:p w14:paraId="5FC94D1B" w14:textId="77777777" w:rsidR="00FB15B6" w:rsidRPr="00FB15B6" w:rsidRDefault="00FB15B6" w:rsidP="00FB15B6">
      <w:pPr>
        <w:pStyle w:val="Standard"/>
      </w:pPr>
      <w:r w:rsidRPr="00FB15B6">
        <w:t xml:space="preserve">We </w:t>
      </w:r>
      <w:r w:rsidR="00FF36D4">
        <w:t>appreciate the willingness of parties to continue to</w:t>
      </w:r>
      <w:r w:rsidR="00A366E7">
        <w:t xml:space="preserve"> work together to</w:t>
      </w:r>
      <w:r w:rsidR="00FF36D4">
        <w:t xml:space="preserve"> </w:t>
      </w:r>
      <w:r w:rsidR="00CB55AD">
        <w:t>improve</w:t>
      </w:r>
      <w:r w:rsidR="00FF36D4">
        <w:t xml:space="preserve"> GRC proceedings.</w:t>
      </w:r>
      <w:r w:rsidR="00A366E7">
        <w:t xml:space="preserve">  </w:t>
      </w:r>
      <w:r w:rsidR="00FF36D4">
        <w:t xml:space="preserve">We also agree with SCE’s general </w:t>
      </w:r>
      <w:r w:rsidRPr="00FB15B6">
        <w:t>recommendation</w:t>
      </w:r>
      <w:r w:rsidR="00FF36D4">
        <w:t xml:space="preserve"> </w:t>
      </w:r>
      <w:r w:rsidR="00FF36D4">
        <w:lastRenderedPageBreak/>
        <w:t xml:space="preserve">that the </w:t>
      </w:r>
      <w:r w:rsidR="00740217">
        <w:t xml:space="preserve">workshop </w:t>
      </w:r>
      <w:r w:rsidR="00FF36D4">
        <w:t xml:space="preserve">process be structured in a way that makes good use of stakeholders’ time and leads to further efficiencies </w:t>
      </w:r>
      <w:r w:rsidR="006610C4">
        <w:t xml:space="preserve">and improvements </w:t>
      </w:r>
      <w:r w:rsidR="00FF36D4">
        <w:t xml:space="preserve">in GRCs.  Parties also offered thoughtful analysis of the detailed </w:t>
      </w:r>
      <w:r w:rsidR="00A366E7">
        <w:t>workshop</w:t>
      </w:r>
      <w:r w:rsidR="00FF36D4">
        <w:t xml:space="preserve"> proposals in the Staff Report, </w:t>
      </w:r>
      <w:r w:rsidR="00733DCF">
        <w:t>agreeing with some and opposing others.  O</w:t>
      </w:r>
      <w:r w:rsidR="00FF36D4">
        <w:t>ur discussion</w:t>
      </w:r>
      <w:r w:rsidRPr="00FB15B6">
        <w:t xml:space="preserve"> below</w:t>
      </w:r>
      <w:r w:rsidR="00FF36D4">
        <w:t xml:space="preserve"> benefits from that analysis</w:t>
      </w:r>
      <w:r w:rsidRPr="00FB15B6">
        <w:t>.</w:t>
      </w:r>
      <w:r w:rsidR="00FF36D4">
        <w:t xml:space="preserve">  </w:t>
      </w:r>
      <w:r w:rsidR="00733DCF">
        <w:t>As will be seen</w:t>
      </w:r>
      <w:r w:rsidR="00FF36D4">
        <w:t xml:space="preserve">, our adopted plan for further workshops will address fewer issues than recommended by Staff, and </w:t>
      </w:r>
      <w:r w:rsidR="00A366E7">
        <w:t xml:space="preserve">do so </w:t>
      </w:r>
      <w:r w:rsidR="00FF36D4">
        <w:t>in a somewhat shorter period of time.</w:t>
      </w:r>
      <w:r w:rsidRPr="00FB15B6">
        <w:t xml:space="preserve"> </w:t>
      </w:r>
    </w:p>
    <w:p w14:paraId="489FE0F8" w14:textId="29D30CCB" w:rsidR="00FB15B6" w:rsidRPr="00FB15B6" w:rsidRDefault="00A366E7" w:rsidP="004B5523">
      <w:pPr>
        <w:pStyle w:val="Heading3"/>
      </w:pPr>
      <w:bookmarkStart w:id="66" w:name="_Hlk13755811"/>
      <w:bookmarkStart w:id="67" w:name="_Toc13244199"/>
      <w:bookmarkStart w:id="68" w:name="_Toc20998453"/>
      <w:bookmarkStart w:id="69" w:name="_Toc29817397"/>
      <w:r>
        <w:t>Should a Future Workshop Address</w:t>
      </w:r>
      <w:bookmarkEnd w:id="66"/>
      <w:r w:rsidR="004B5523">
        <w:t xml:space="preserve"> </w:t>
      </w:r>
      <w:r w:rsidR="00FB15B6" w:rsidRPr="00FB15B6">
        <w:t xml:space="preserve">Standardizing GRC </w:t>
      </w:r>
      <w:r w:rsidR="00FB6C82">
        <w:t>F</w:t>
      </w:r>
      <w:r w:rsidR="00FB15B6" w:rsidRPr="00FB15B6">
        <w:t>ilings</w:t>
      </w:r>
      <w:bookmarkEnd w:id="67"/>
      <w:r w:rsidR="00FB6C82">
        <w:t>?</w:t>
      </w:r>
      <w:bookmarkEnd w:id="68"/>
      <w:bookmarkEnd w:id="69"/>
    </w:p>
    <w:p w14:paraId="388673F8" w14:textId="7D2ED3B1" w:rsidR="00733DCF" w:rsidRDefault="00733DCF" w:rsidP="00FB15B6">
      <w:pPr>
        <w:pStyle w:val="Standard"/>
      </w:pPr>
      <w:r>
        <w:t xml:space="preserve">Staff suggests </w:t>
      </w:r>
      <w:r w:rsidR="00A366E7">
        <w:t xml:space="preserve">in the workshop report </w:t>
      </w:r>
      <w:r>
        <w:t>that if each of the energy utilities followed uniform filing standards when preparing their applications</w:t>
      </w:r>
      <w:r w:rsidR="00A366E7">
        <w:t>,</w:t>
      </w:r>
      <w:r>
        <w:t xml:space="preserve"> the Commission could process the applications more efficiently, and would</w:t>
      </w:r>
      <w:r w:rsidR="00A366E7">
        <w:t xml:space="preserve"> also</w:t>
      </w:r>
      <w:r>
        <w:t xml:space="preserve"> find it easier to directly compare revenue requirements across utilities.  Staff also envisions that standardized filings would reduce the need for staff to develop utility</w:t>
      </w:r>
      <w:r w:rsidR="00FE5496">
        <w:noBreakHyphen/>
      </w:r>
      <w:r>
        <w:t>specific expertise.</w:t>
      </w:r>
      <w:r w:rsidR="00671A74">
        <w:t xml:space="preserve">  </w:t>
      </w:r>
      <w:r w:rsidR="00A366E7">
        <w:t>For these reasons, the Staff Report recommends that a</w:t>
      </w:r>
      <w:r w:rsidR="00671A74">
        <w:t xml:space="preserve"> workshop </w:t>
      </w:r>
      <w:r w:rsidR="00A366E7">
        <w:t xml:space="preserve">be held to </w:t>
      </w:r>
      <w:r w:rsidR="00671A74">
        <w:t>address the topic of s</w:t>
      </w:r>
      <w:r w:rsidR="00671A74" w:rsidRPr="00FB15B6">
        <w:t>tandardizing GRC filings</w:t>
      </w:r>
      <w:r w:rsidR="00A366E7">
        <w:t>, with a</w:t>
      </w:r>
      <w:r w:rsidR="00671A74">
        <w:t xml:space="preserve"> focus on four sub</w:t>
      </w:r>
      <w:r w:rsidR="00FE5496">
        <w:noBreakHyphen/>
      </w:r>
      <w:r w:rsidR="00671A74">
        <w:t>topics:</w:t>
      </w:r>
    </w:p>
    <w:p w14:paraId="191BBDD3" w14:textId="77777777" w:rsidR="00671A74" w:rsidRDefault="00671A74" w:rsidP="006F0AC0">
      <w:pPr>
        <w:pStyle w:val="ListAlpha"/>
        <w:keepNext/>
        <w:keepLines/>
        <w:numPr>
          <w:ilvl w:val="7"/>
          <w:numId w:val="29"/>
        </w:numPr>
        <w:ind w:right="720"/>
      </w:pPr>
      <w:r w:rsidRPr="00671A74">
        <w:rPr>
          <w:u w:val="single"/>
        </w:rPr>
        <w:t>Data Request Format</w:t>
      </w:r>
      <w:r>
        <w:t>:  develop</w:t>
      </w:r>
      <w:r w:rsidR="00A366E7">
        <w:t>ment of</w:t>
      </w:r>
      <w:r>
        <w:t xml:space="preserve"> a standard process and format for all</w:t>
      </w:r>
      <w:r w:rsidRPr="00671A74">
        <w:t xml:space="preserve"> </w:t>
      </w:r>
      <w:r>
        <w:t>data requests sent to the utility, whether originated by intervenors or Commission staff</w:t>
      </w:r>
      <w:r w:rsidRPr="00671A74">
        <w:t xml:space="preserve"> </w:t>
      </w:r>
      <w:r>
        <w:t xml:space="preserve">[Master Data Request]  </w:t>
      </w:r>
    </w:p>
    <w:p w14:paraId="584DFB20" w14:textId="77777777" w:rsidR="00671A74" w:rsidRDefault="00671A74" w:rsidP="006F0AC0">
      <w:pPr>
        <w:pStyle w:val="ListAlpha"/>
        <w:numPr>
          <w:ilvl w:val="7"/>
          <w:numId w:val="29"/>
        </w:numPr>
        <w:ind w:right="720"/>
      </w:pPr>
      <w:r w:rsidRPr="00671A74">
        <w:rPr>
          <w:u w:val="single"/>
        </w:rPr>
        <w:t>Joint Comparison Exhibit</w:t>
      </w:r>
      <w:r w:rsidRPr="006F0AC0">
        <w:rPr>
          <w:u w:val="single"/>
        </w:rPr>
        <w:t xml:space="preserve"> (JCE)</w:t>
      </w:r>
      <w:r>
        <w:t>:  develop</w:t>
      </w:r>
      <w:r w:rsidR="00A366E7">
        <w:t>ment of</w:t>
      </w:r>
      <w:r>
        <w:t xml:space="preserve"> a standard process and format to be used by all utilities, for use by the Commission in reviewing issues in the proceeding </w:t>
      </w:r>
    </w:p>
    <w:p w14:paraId="42A7F2A9" w14:textId="77777777" w:rsidR="00671A74" w:rsidRDefault="00671A74" w:rsidP="006F0AC0">
      <w:pPr>
        <w:pStyle w:val="ListAlpha"/>
        <w:numPr>
          <w:ilvl w:val="7"/>
          <w:numId w:val="29"/>
        </w:numPr>
        <w:ind w:right="720"/>
      </w:pPr>
      <w:bookmarkStart w:id="70" w:name="_Hlk13589689"/>
      <w:r w:rsidRPr="00671A74">
        <w:rPr>
          <w:u w:val="single"/>
        </w:rPr>
        <w:t>Standard Index for Testimony</w:t>
      </w:r>
      <w:bookmarkEnd w:id="70"/>
      <w:r>
        <w:t xml:space="preserve">:  </w:t>
      </w:r>
      <w:r w:rsidR="00B462D1">
        <w:t>discuss</w:t>
      </w:r>
      <w:r w:rsidR="00A366E7">
        <w:t>ion of</w:t>
      </w:r>
      <w:r w:rsidR="00B462D1">
        <w:t xml:space="preserve"> whether </w:t>
      </w:r>
      <w:r>
        <w:t xml:space="preserve">the utilities and other parties should prepare testimony using standardized chapter numbers </w:t>
      </w:r>
      <w:r w:rsidR="00B462D1">
        <w:t>that always reference the same</w:t>
      </w:r>
      <w:r>
        <w:t xml:space="preserve"> class of expenses.</w:t>
      </w:r>
    </w:p>
    <w:p w14:paraId="401516C9" w14:textId="77777777" w:rsidR="00733DCF" w:rsidRDefault="00A224C8" w:rsidP="006F0AC0">
      <w:pPr>
        <w:pStyle w:val="ListAlpha"/>
        <w:numPr>
          <w:ilvl w:val="7"/>
          <w:numId w:val="29"/>
        </w:numPr>
        <w:spacing w:after="240"/>
        <w:ind w:right="720"/>
      </w:pPr>
      <w:r>
        <w:rPr>
          <w:u w:val="single"/>
        </w:rPr>
        <w:t xml:space="preserve">The </w:t>
      </w:r>
      <w:r w:rsidR="00671A74" w:rsidRPr="00671A74">
        <w:rPr>
          <w:u w:val="single"/>
        </w:rPr>
        <w:t xml:space="preserve">Base Year </w:t>
      </w:r>
      <w:r>
        <w:rPr>
          <w:u w:val="single"/>
        </w:rPr>
        <w:t>and Requirements Regarding R</w:t>
      </w:r>
      <w:r w:rsidR="00671A74" w:rsidRPr="00671A74">
        <w:rPr>
          <w:u w:val="single"/>
        </w:rPr>
        <w:t xml:space="preserve">ecorded </w:t>
      </w:r>
      <w:r>
        <w:rPr>
          <w:u w:val="single"/>
        </w:rPr>
        <w:t>D</w:t>
      </w:r>
      <w:r w:rsidR="00671A74" w:rsidRPr="00671A74">
        <w:rPr>
          <w:u w:val="single"/>
        </w:rPr>
        <w:t>ata</w:t>
      </w:r>
      <w:r w:rsidR="00B462D1" w:rsidRPr="006F0AC0">
        <w:t>:</w:t>
      </w:r>
      <w:r w:rsidR="00671A74" w:rsidRPr="00B462D1">
        <w:t xml:space="preserve"> </w:t>
      </w:r>
      <w:r w:rsidR="00671A74">
        <w:t xml:space="preserve"> </w:t>
      </w:r>
      <w:r w:rsidR="00B462D1">
        <w:t>stakeholders would</w:t>
      </w:r>
      <w:r w:rsidR="00671A74">
        <w:t xml:space="preserve"> explore whether the Commission should change the base year of a GRC</w:t>
      </w:r>
      <w:r w:rsidR="00B462D1">
        <w:t>,</w:t>
      </w:r>
      <w:r w:rsidR="00671A74">
        <w:t xml:space="preserve"> and how the Commission can </w:t>
      </w:r>
      <w:r w:rsidR="00671A74">
        <w:lastRenderedPageBreak/>
        <w:t>formally include the recorded spending data from the year of filing into the records of the GRC proceedings.</w:t>
      </w:r>
      <w:r w:rsidR="00740217" w:rsidRPr="00B462D1">
        <w:rPr>
          <w:rStyle w:val="FootnoteReference"/>
        </w:rPr>
        <w:footnoteReference w:id="98"/>
      </w:r>
    </w:p>
    <w:p w14:paraId="0417EB40" w14:textId="77777777" w:rsidR="00FB15B6" w:rsidRPr="00FD54BE" w:rsidRDefault="00B462D1" w:rsidP="004B5523">
      <w:pPr>
        <w:pStyle w:val="Heading4"/>
      </w:pPr>
      <w:bookmarkStart w:id="71" w:name="_Toc13244200"/>
      <w:bookmarkStart w:id="72" w:name="_Toc29817398"/>
      <w:r w:rsidRPr="004B5523">
        <w:t>Data</w:t>
      </w:r>
      <w:r w:rsidRPr="00FD54BE">
        <w:t xml:space="preserve"> Request F</w:t>
      </w:r>
      <w:r w:rsidR="00FB15B6" w:rsidRPr="00FD54BE">
        <w:t>ormat</w:t>
      </w:r>
      <w:bookmarkEnd w:id="71"/>
      <w:bookmarkEnd w:id="72"/>
      <w:r w:rsidR="00FB15B6" w:rsidRPr="00FD54BE">
        <w:t xml:space="preserve"> </w:t>
      </w:r>
    </w:p>
    <w:p w14:paraId="24A89BA4" w14:textId="1DBF8D10" w:rsidR="00FB15B6" w:rsidRPr="00FB15B6" w:rsidRDefault="00FB15B6" w:rsidP="00D14898">
      <w:pPr>
        <w:pStyle w:val="Standard"/>
      </w:pPr>
      <w:r w:rsidRPr="00FB15B6">
        <w:t>SCE supports adopting a form of Master Data Request that would be useful to the Staff from different Commission divisions.  In addition to the workshop</w:t>
      </w:r>
      <w:r w:rsidR="00FE5496">
        <w:noBreakHyphen/>
      </w:r>
      <w:r w:rsidRPr="00FB15B6">
        <w:t xml:space="preserve">type exploration that Energy Division recommends, SCE suggests that each utility host a meeting with Commission Staff and GRC parties before the utility files its GRC application. </w:t>
      </w:r>
      <w:r w:rsidR="00B462D1">
        <w:t xml:space="preserve"> </w:t>
      </w:r>
      <w:r w:rsidRPr="00FB15B6">
        <w:t xml:space="preserve">At </w:t>
      </w:r>
      <w:r w:rsidR="002A0E81">
        <w:t>such</w:t>
      </w:r>
      <w:r w:rsidRPr="00FB15B6">
        <w:t xml:space="preserve"> meeting</w:t>
      </w:r>
      <w:r w:rsidR="002A0E81">
        <w:t>s</w:t>
      </w:r>
      <w:r w:rsidRPr="00FB15B6">
        <w:t>, the utility c</w:t>
      </w:r>
      <w:r w:rsidR="002A0E81">
        <w:t>ould</w:t>
      </w:r>
      <w:r w:rsidRPr="00FB15B6">
        <w:t xml:space="preserve"> gather and synthesize similar inquiries from parties and staff, and thereby provide more comprehensive responses on a more efficient basis.</w:t>
      </w:r>
      <w:r w:rsidR="00B462D1">
        <w:rPr>
          <w:rStyle w:val="FootnoteReference"/>
        </w:rPr>
        <w:footnoteReference w:id="99"/>
      </w:r>
    </w:p>
    <w:p w14:paraId="7367AE8D" w14:textId="77777777" w:rsidR="00FB15B6" w:rsidRDefault="00FB15B6" w:rsidP="00D14898">
      <w:pPr>
        <w:pStyle w:val="Standard"/>
      </w:pPr>
      <w:r w:rsidRPr="00FB15B6">
        <w:t xml:space="preserve">SDG&amp;E and SoCalGas </w:t>
      </w:r>
      <w:r w:rsidR="00B462D1">
        <w:t xml:space="preserve">agree that </w:t>
      </w:r>
      <w:r w:rsidRPr="00FB15B6">
        <w:t>the Master Data Request used in GRC proceedings should be standardized to the extent possible</w:t>
      </w:r>
      <w:r w:rsidR="00B462D1">
        <w:t>.</w:t>
      </w:r>
      <w:r w:rsidR="00B462D1">
        <w:rPr>
          <w:rStyle w:val="FootnoteReference"/>
        </w:rPr>
        <w:footnoteReference w:id="100"/>
      </w:r>
    </w:p>
    <w:p w14:paraId="6BA05E77" w14:textId="44613824" w:rsidR="006608CD" w:rsidRDefault="009E3E65" w:rsidP="00D14898">
      <w:pPr>
        <w:pStyle w:val="Standard"/>
      </w:pPr>
      <w:r>
        <w:t xml:space="preserve">We agree that </w:t>
      </w:r>
      <w:r w:rsidR="006608CD">
        <w:t>stakeholders should develop and utilize a standard data request format, and this is a good example of a matter that would benefit from “off</w:t>
      </w:r>
      <w:r w:rsidR="00FE5496">
        <w:noBreakHyphen/>
      </w:r>
      <w:r w:rsidR="006608CD">
        <w:t>line” development prior to any workshop</w:t>
      </w:r>
      <w:r w:rsidR="00FB6C82">
        <w:t>, as SCE recommended in its reply comments</w:t>
      </w:r>
      <w:r w:rsidR="006608CD">
        <w:t xml:space="preserve">.  </w:t>
      </w:r>
      <w:r w:rsidR="00FB6C82">
        <w:t xml:space="preserve">We do note some confusion in terms regarding whether this recommendation relates </w:t>
      </w:r>
      <w:r w:rsidR="00740217">
        <w:t xml:space="preserve">(1) </w:t>
      </w:r>
      <w:r w:rsidR="00FB6C82">
        <w:t>solely to the so</w:t>
      </w:r>
      <w:r w:rsidR="00FE5496">
        <w:noBreakHyphen/>
      </w:r>
      <w:r w:rsidR="00FB6C82">
        <w:t>called “master data request” that is sometimes a feature of utility applications and is filed at the same time as the application and testimony, or</w:t>
      </w:r>
      <w:r w:rsidR="00740217">
        <w:t xml:space="preserve"> (2) </w:t>
      </w:r>
      <w:r w:rsidR="00FB6C82">
        <w:t>to all discovery requests in a GRC proceeding</w:t>
      </w:r>
      <w:r w:rsidR="005C4F44">
        <w:t>, from intervenors to the applicant, and vice versa</w:t>
      </w:r>
      <w:r w:rsidR="00FB6C82">
        <w:t xml:space="preserve">.  </w:t>
      </w:r>
      <w:r w:rsidR="005C4F44">
        <w:t xml:space="preserve">We prefer </w:t>
      </w:r>
      <w:r w:rsidR="00740217">
        <w:t xml:space="preserve">that parties reach </w:t>
      </w:r>
      <w:r w:rsidR="00740217">
        <w:lastRenderedPageBreak/>
        <w:t xml:space="preserve">agreement on </w:t>
      </w:r>
      <w:r w:rsidR="005C4F44">
        <w:t xml:space="preserve">the broadest scope and the most standardization that can be reasonably achieved.  </w:t>
      </w:r>
      <w:r w:rsidR="006608CD">
        <w:t xml:space="preserve">From the Commission’s standpoint, especially when discovery disputes arise or </w:t>
      </w:r>
      <w:r w:rsidR="005C4F44">
        <w:t>an “off</w:t>
      </w:r>
      <w:r w:rsidR="00FE5496">
        <w:noBreakHyphen/>
      </w:r>
      <w:r w:rsidR="005C4F44">
        <w:t xml:space="preserve">line” dispute is </w:t>
      </w:r>
      <w:r w:rsidR="00740217">
        <w:t xml:space="preserve">referenced </w:t>
      </w:r>
      <w:r w:rsidR="006608CD">
        <w:t xml:space="preserve">by parties during hearings, it is important to be able to clearly and </w:t>
      </w:r>
      <w:r w:rsidR="006608CD" w:rsidRPr="005C4F44">
        <w:rPr>
          <w:u w:val="single"/>
        </w:rPr>
        <w:t>consistently</w:t>
      </w:r>
      <w:r w:rsidR="006608CD">
        <w:t xml:space="preserve"> determine the following information at a glance</w:t>
      </w:r>
      <w:r w:rsidR="005C4F44">
        <w:t>, rather than spend time in hearings doing so</w:t>
      </w:r>
      <w:r w:rsidR="006608CD">
        <w:t>:</w:t>
      </w:r>
    </w:p>
    <w:p w14:paraId="0254F631" w14:textId="77777777" w:rsidR="006608CD" w:rsidRDefault="006608CD" w:rsidP="00D14898">
      <w:pPr>
        <w:pStyle w:val="ListBullet"/>
        <w:tabs>
          <w:tab w:val="clear" w:pos="360"/>
        </w:tabs>
        <w:ind w:left="1080" w:right="720"/>
      </w:pPr>
      <w:r>
        <w:t>The party and witness that originated the data request;</w:t>
      </w:r>
    </w:p>
    <w:p w14:paraId="10756C21" w14:textId="77777777" w:rsidR="006608CD" w:rsidRDefault="006608CD" w:rsidP="00D14898">
      <w:pPr>
        <w:pStyle w:val="ListBullet"/>
        <w:tabs>
          <w:tab w:val="clear" w:pos="360"/>
        </w:tabs>
        <w:ind w:left="1080" w:right="720"/>
      </w:pPr>
      <w:r>
        <w:t>The date of the data request, and the requested response date;</w:t>
      </w:r>
    </w:p>
    <w:p w14:paraId="03C1D58F" w14:textId="77777777" w:rsidR="006608CD" w:rsidRDefault="006608CD" w:rsidP="00D14898">
      <w:pPr>
        <w:pStyle w:val="ListBullet"/>
        <w:tabs>
          <w:tab w:val="clear" w:pos="360"/>
        </w:tabs>
        <w:ind w:left="1080" w:right="720"/>
      </w:pPr>
      <w:r>
        <w:t>The actual response date, including whether any extensions were negotiated and, if so, when and by whom; and</w:t>
      </w:r>
    </w:p>
    <w:p w14:paraId="3E2A6F78" w14:textId="19951CA9" w:rsidR="009E3E65" w:rsidRDefault="006608CD" w:rsidP="00D14898">
      <w:pPr>
        <w:pStyle w:val="ListBullet"/>
        <w:tabs>
          <w:tab w:val="clear" w:pos="360"/>
        </w:tabs>
        <w:spacing w:after="240"/>
        <w:ind w:left="1080" w:right="720"/>
      </w:pPr>
      <w:r>
        <w:t>The name of the witness sponsoring the response.</w:t>
      </w:r>
    </w:p>
    <w:p w14:paraId="08792E9A" w14:textId="268AAA85" w:rsidR="00616374" w:rsidRPr="00FB15B6" w:rsidRDefault="00616374" w:rsidP="00C2141D">
      <w:pPr>
        <w:pStyle w:val="Standard"/>
      </w:pPr>
      <w:bookmarkStart w:id="73" w:name="_Hlk21080457"/>
      <w:r>
        <w:t xml:space="preserve">Finally, workshop discussions about master data requests should include their use in each utility’s RAMP proceeding.  For example, if SED’s review of the RAMP filing could benefit from use of a standardized and obligatory master data request, </w:t>
      </w:r>
      <w:r w:rsidR="008C5C1D" w:rsidRPr="008C5C1D">
        <w:t xml:space="preserve">the format and questions </w:t>
      </w:r>
      <w:r>
        <w:t>should be developed at the future workshop or workshops</w:t>
      </w:r>
      <w:r w:rsidR="008C5C1D">
        <w:t xml:space="preserve"> discussed later in this decision</w:t>
      </w:r>
      <w:r>
        <w:t>.</w:t>
      </w:r>
      <w:bookmarkEnd w:id="73"/>
    </w:p>
    <w:p w14:paraId="7D0321FC" w14:textId="77777777" w:rsidR="00FB15B6" w:rsidRPr="00FB15B6" w:rsidRDefault="00A224C8" w:rsidP="004B5523">
      <w:pPr>
        <w:pStyle w:val="Heading4"/>
      </w:pPr>
      <w:bookmarkStart w:id="74" w:name="_Toc13244201"/>
      <w:bookmarkStart w:id="75" w:name="_Toc29817399"/>
      <w:r>
        <w:t>Standardized</w:t>
      </w:r>
      <w:r w:rsidR="00FB15B6" w:rsidRPr="00FB15B6">
        <w:t xml:space="preserve"> Joint Comparison Exhibit</w:t>
      </w:r>
      <w:bookmarkEnd w:id="74"/>
      <w:bookmarkEnd w:id="75"/>
      <w:r w:rsidR="00FB15B6" w:rsidRPr="00FB15B6">
        <w:t xml:space="preserve"> </w:t>
      </w:r>
    </w:p>
    <w:p w14:paraId="7C3BC71D" w14:textId="77777777" w:rsidR="00FB15B6" w:rsidRDefault="00FB15B6" w:rsidP="00D14898">
      <w:pPr>
        <w:pStyle w:val="Standard"/>
      </w:pPr>
      <w:r w:rsidRPr="00FB15B6">
        <w:t>SCE supports explor</w:t>
      </w:r>
      <w:r w:rsidR="00A224C8">
        <w:t>ation of</w:t>
      </w:r>
      <w:r w:rsidRPr="00FB15B6">
        <w:t xml:space="preserve"> adopting a standardized form of the JCE</w:t>
      </w:r>
      <w:r w:rsidR="000C247C">
        <w:t xml:space="preserve">, where </w:t>
      </w:r>
      <w:r w:rsidRPr="00FB15B6">
        <w:t xml:space="preserve">parties </w:t>
      </w:r>
      <w:r w:rsidR="000C247C">
        <w:t>would</w:t>
      </w:r>
      <w:r w:rsidR="000C247C" w:rsidRPr="00FB15B6">
        <w:t xml:space="preserve"> </w:t>
      </w:r>
      <w:r w:rsidRPr="00FB15B6">
        <w:t>continue to contribute to the JCE by providing their specific inputs into the JCE</w:t>
      </w:r>
      <w:r w:rsidR="000C247C">
        <w:t>, which is then compiled by the applicant utility</w:t>
      </w:r>
      <w:r w:rsidRPr="00FB15B6">
        <w:t>.</w:t>
      </w:r>
      <w:r w:rsidR="00A224C8">
        <w:rPr>
          <w:rStyle w:val="FootnoteReference"/>
        </w:rPr>
        <w:footnoteReference w:id="101"/>
      </w:r>
      <w:r w:rsidR="00A224C8">
        <w:t xml:space="preserve">  </w:t>
      </w:r>
      <w:r w:rsidRPr="00FB15B6">
        <w:t xml:space="preserve">SDG&amp;E and SoCalGas </w:t>
      </w:r>
      <w:r w:rsidR="00A224C8">
        <w:t>agree that</w:t>
      </w:r>
      <w:r w:rsidRPr="00FB15B6">
        <w:t xml:space="preserve"> the </w:t>
      </w:r>
      <w:r w:rsidR="000C247C">
        <w:t>JCEs</w:t>
      </w:r>
      <w:r w:rsidRPr="00FB15B6">
        <w:t xml:space="preserve"> used in GRC proceedings should be standardized to the extent possible.</w:t>
      </w:r>
      <w:r w:rsidR="00A224C8">
        <w:rPr>
          <w:rStyle w:val="FootnoteReference"/>
        </w:rPr>
        <w:footnoteReference w:id="102"/>
      </w:r>
    </w:p>
    <w:p w14:paraId="1C52AC6F" w14:textId="6F606E18" w:rsidR="006608CD" w:rsidRPr="00FB15B6" w:rsidRDefault="000C247C" w:rsidP="00D14898">
      <w:pPr>
        <w:pStyle w:val="Standard"/>
      </w:pPr>
      <w:r>
        <w:t xml:space="preserve">We note that </w:t>
      </w:r>
      <w:r w:rsidR="0067096B">
        <w:t xml:space="preserve">a JCE  is </w:t>
      </w:r>
      <w:r>
        <w:t xml:space="preserve">not prepared in every GRC; rather, </w:t>
      </w:r>
      <w:r w:rsidR="0067096B">
        <w:t xml:space="preserve">in each proceeding </w:t>
      </w:r>
      <w:r>
        <w:t xml:space="preserve">its necessity is discussed and resolved by the assigned </w:t>
      </w:r>
      <w:r>
        <w:lastRenderedPageBreak/>
        <w:t>Commissioner, ALJ, and the parties.  We see value in devoting workshop time to reaching agreement on a standard format because this would help the assigned Commissioner and ALJ decide early in the proceeding whether to require parties to prepare a JCE at all.  We also note that i</w:t>
      </w:r>
      <w:r w:rsidR="006608CD">
        <w:t xml:space="preserve">n past GRCs the JCEs that </w:t>
      </w:r>
      <w:r w:rsidR="00D5658C">
        <w:t>were</w:t>
      </w:r>
      <w:r w:rsidR="006608CD">
        <w:t xml:space="preserve"> useful to us </w:t>
      </w:r>
      <w:r>
        <w:t xml:space="preserve">as we made our decisions </w:t>
      </w:r>
      <w:r w:rsidR="00D5658C">
        <w:t xml:space="preserve">were those that </w:t>
      </w:r>
      <w:r w:rsidR="006608CD">
        <w:t xml:space="preserve">clearly show the differences between parties, especially in summary form, </w:t>
      </w:r>
      <w:r w:rsidR="00D5658C">
        <w:t xml:space="preserve">while also </w:t>
      </w:r>
      <w:r w:rsidR="005C4F44">
        <w:t>providing</w:t>
      </w:r>
      <w:r w:rsidR="00D5658C">
        <w:t xml:space="preserve"> </w:t>
      </w:r>
      <w:r>
        <w:t>specific</w:t>
      </w:r>
      <w:r w:rsidR="006608CD">
        <w:t xml:space="preserve"> citations</w:t>
      </w:r>
      <w:r>
        <w:t xml:space="preserve"> to testimony</w:t>
      </w:r>
      <w:r w:rsidR="006608CD">
        <w:t xml:space="preserve"> for </w:t>
      </w:r>
      <w:r>
        <w:t xml:space="preserve">those </w:t>
      </w:r>
      <w:r w:rsidR="006608CD">
        <w:t>reviewers needing or wanting to delve deeper into the details of parties’ positions.</w:t>
      </w:r>
      <w:r>
        <w:t xml:space="preserve">  We also direct parties to discuss</w:t>
      </w:r>
      <w:r w:rsidR="00D87541">
        <w:t xml:space="preserve"> the feasib</w:t>
      </w:r>
      <w:r w:rsidR="00776F43">
        <w:t>ility of preparing, prior to evidentiary hearings, a summary of positions on contested issues in order to provide the assigned Commissioner and ALJ with a “roadmap” to assist in efficiently conducting the hearings.</w:t>
      </w:r>
    </w:p>
    <w:p w14:paraId="2AADCC68" w14:textId="77777777" w:rsidR="00A224C8" w:rsidRDefault="00A224C8" w:rsidP="004B5523">
      <w:pPr>
        <w:pStyle w:val="Heading4"/>
      </w:pPr>
      <w:bookmarkStart w:id="76" w:name="_Toc29817400"/>
      <w:r w:rsidRPr="00A224C8">
        <w:t>Standard Index for Testimony</w:t>
      </w:r>
      <w:bookmarkEnd w:id="76"/>
    </w:p>
    <w:p w14:paraId="68878074" w14:textId="501608DD" w:rsidR="00125F49" w:rsidRPr="00C2141D" w:rsidRDefault="00A224C8" w:rsidP="00D14898">
      <w:pPr>
        <w:pStyle w:val="Standard"/>
      </w:pPr>
      <w:r w:rsidRPr="00C2141D">
        <w:t xml:space="preserve">Parties did not address this recommendation in their </w:t>
      </w:r>
      <w:r w:rsidR="00776F43" w:rsidRPr="00C2141D">
        <w:t>comments</w:t>
      </w:r>
      <w:r w:rsidRPr="00C2141D">
        <w:t xml:space="preserve">, but we agree that a standardized index would be helpful and should be developed </w:t>
      </w:r>
      <w:r w:rsidR="006608CD" w:rsidRPr="00C2141D">
        <w:t xml:space="preserve">prior to, and finalized </w:t>
      </w:r>
      <w:r w:rsidRPr="00C2141D">
        <w:t>during</w:t>
      </w:r>
      <w:r w:rsidR="006608CD" w:rsidRPr="00C2141D">
        <w:t>,</w:t>
      </w:r>
      <w:r w:rsidRPr="00C2141D">
        <w:t xml:space="preserve"> the </w:t>
      </w:r>
      <w:r w:rsidR="000F411B" w:rsidRPr="00C2141D">
        <w:t>workshops</w:t>
      </w:r>
      <w:r w:rsidRPr="00C2141D">
        <w:t xml:space="preserve"> we endorse in this decision.</w:t>
      </w:r>
      <w:r w:rsidR="00776F43" w:rsidRPr="00C2141D">
        <w:t xml:space="preserve">  </w:t>
      </w:r>
      <w:r w:rsidR="001A6694" w:rsidRPr="004A3E51">
        <w:t xml:space="preserve">In every GRC, the Commission’s essential task is identical:  to authorize the level of funding necessary for the applicant utility to provide safe and reliable service at just and reasonable rates.  </w:t>
      </w:r>
      <w:r w:rsidR="001A6694">
        <w:t>However, e</w:t>
      </w:r>
      <w:r w:rsidR="00776F43" w:rsidRPr="00C2141D">
        <w:t xml:space="preserve">ach GRC that comes before the Commission is likely to be overseen by different assigned Commissioners and ALJs, so a standardized presentation of each applicant’s request will assist the Commission as a whole to understand the issues in any given GRC.  </w:t>
      </w:r>
    </w:p>
    <w:p w14:paraId="11FAEE02" w14:textId="6321F904" w:rsidR="00125F49" w:rsidRDefault="00163E64" w:rsidP="00D14898">
      <w:pPr>
        <w:pStyle w:val="Standard"/>
      </w:pPr>
      <w:r>
        <w:t>G</w:t>
      </w:r>
      <w:r w:rsidR="00125F49" w:rsidRPr="00C2141D">
        <w:t>iven the importance to the energy utilities of having an approved revenue requirement prior to the beginning of the test year, it is in their self</w:t>
      </w:r>
      <w:r w:rsidR="00FE5496">
        <w:noBreakHyphen/>
      </w:r>
      <w:r w:rsidR="00125F49" w:rsidRPr="00C2141D">
        <w:t>interest to make it as easy as possible for every Commissioner, not just the assigned Commissioner</w:t>
      </w:r>
      <w:r w:rsidR="00BF482F" w:rsidRPr="00C2141D">
        <w:t xml:space="preserve"> who is most familiar with the proceeding</w:t>
      </w:r>
      <w:r w:rsidR="00125F49" w:rsidRPr="00C2141D">
        <w:t xml:space="preserve">, to evaluate the requests of </w:t>
      </w:r>
      <w:r w:rsidR="00BF482F" w:rsidRPr="00C2141D">
        <w:t>any</w:t>
      </w:r>
      <w:r w:rsidR="00125F49" w:rsidRPr="00C2141D">
        <w:t xml:space="preserve"> utility</w:t>
      </w:r>
      <w:r w:rsidR="00BF482F" w:rsidRPr="00C2141D">
        <w:t xml:space="preserve"> in any GRC</w:t>
      </w:r>
      <w:r w:rsidR="00125F49" w:rsidRPr="00C2141D">
        <w:t xml:space="preserve">.  By presenting their testimony according </w:t>
      </w:r>
      <w:r w:rsidR="00125F49" w:rsidRPr="00C2141D">
        <w:lastRenderedPageBreak/>
        <w:t xml:space="preserve">to a common outline, </w:t>
      </w:r>
      <w:r w:rsidR="00BF482F" w:rsidRPr="00C2141D">
        <w:t xml:space="preserve">and </w:t>
      </w:r>
      <w:r w:rsidR="00125F49" w:rsidRPr="00C2141D">
        <w:t xml:space="preserve">using consistent terminology and standard table formats, the utilities will </w:t>
      </w:r>
      <w:r w:rsidR="0042651B" w:rsidRPr="00C2141D">
        <w:t>ease the work of the Commission.</w:t>
      </w:r>
    </w:p>
    <w:p w14:paraId="1746D6D6" w14:textId="0B3B2F60" w:rsidR="00163E64" w:rsidRPr="00FB15B6" w:rsidRDefault="00163E64" w:rsidP="00D14898">
      <w:pPr>
        <w:pStyle w:val="Standard"/>
      </w:pPr>
      <w:bookmarkStart w:id="77" w:name="_Hlk21026274"/>
      <w:r>
        <w:t>Standardization should also be extended to the utilities’ RAMP filings, which will assist SED and parties in their review.  A standard format should be developed for mapping RAMP risk mitigations to GR</w:t>
      </w:r>
      <w:r w:rsidR="00032852">
        <w:t>C testimony and workpapers.  GRC workpapers should also indicate which costs are RAMP</w:t>
      </w:r>
      <w:r w:rsidR="00FE5496">
        <w:noBreakHyphen/>
      </w:r>
      <w:r w:rsidR="00032852">
        <w:t>related costs, and which are non</w:t>
      </w:r>
      <w:r w:rsidR="00FE5496">
        <w:noBreakHyphen/>
      </w:r>
      <w:r w:rsidR="00032852">
        <w:t>RAMP</w:t>
      </w:r>
      <w:r w:rsidR="00FE5496">
        <w:noBreakHyphen/>
      </w:r>
      <w:r w:rsidR="00032852">
        <w:t>related.</w:t>
      </w:r>
      <w:bookmarkEnd w:id="77"/>
      <w:r w:rsidR="00032852">
        <w:t xml:space="preserve">  We include these topics in our list of workshop topics at the end of this decision.</w:t>
      </w:r>
    </w:p>
    <w:p w14:paraId="62897F7E" w14:textId="77777777" w:rsidR="00FB15B6" w:rsidRPr="00FB15B6" w:rsidRDefault="00A224C8" w:rsidP="004B5523">
      <w:pPr>
        <w:pStyle w:val="Heading4"/>
      </w:pPr>
      <w:bookmarkStart w:id="78" w:name="_Toc29817401"/>
      <w:r w:rsidRPr="00A224C8">
        <w:t>The Base Year and Requirements</w:t>
      </w:r>
      <w:r w:rsidR="00DB22A9">
        <w:br/>
      </w:r>
      <w:r w:rsidRPr="00A224C8">
        <w:t>Regarding Recorded Data</w:t>
      </w:r>
      <w:bookmarkEnd w:id="78"/>
    </w:p>
    <w:p w14:paraId="4FECEA87" w14:textId="77777777" w:rsidR="00FB15B6" w:rsidRDefault="00A224C8" w:rsidP="00D14898">
      <w:pPr>
        <w:pStyle w:val="Standard"/>
      </w:pPr>
      <w:r w:rsidRPr="00A224C8">
        <w:t xml:space="preserve">SDG&amp;E and SoCalGas </w:t>
      </w:r>
      <w:r>
        <w:t>agree that u</w:t>
      </w:r>
      <w:r w:rsidR="00FB15B6" w:rsidRPr="00FB15B6">
        <w:t xml:space="preserve">se of base year recorded data in GRCs should be addressed to determine where it might be practical to standardize.  However, </w:t>
      </w:r>
      <w:r>
        <w:t>they also note that “</w:t>
      </w:r>
      <w:r w:rsidR="00FB15B6" w:rsidRPr="00FB15B6">
        <w:t xml:space="preserve">while utilities can provide the recorded data, it would not be efficient to retrofit back to workpapers and models, nor provide </w:t>
      </w:r>
      <w:r>
        <w:t>‘</w:t>
      </w:r>
      <w:r w:rsidR="00FB15B6" w:rsidRPr="00FB15B6">
        <w:t>updated</w:t>
      </w:r>
      <w:r>
        <w:t>’</w:t>
      </w:r>
      <w:r w:rsidR="00FB15B6" w:rsidRPr="00FB15B6">
        <w:t xml:space="preserve"> spreadsheets with the Base Year +1 data.</w:t>
      </w:r>
      <w:r>
        <w:t>”</w:t>
      </w:r>
      <w:r w:rsidR="00B462D1">
        <w:rPr>
          <w:rStyle w:val="FootnoteReference"/>
        </w:rPr>
        <w:footnoteReference w:id="103"/>
      </w:r>
    </w:p>
    <w:p w14:paraId="4EEE0A25" w14:textId="4A174E14" w:rsidR="00A224C8" w:rsidRPr="00FB15B6" w:rsidRDefault="00A224C8" w:rsidP="00FB15B6">
      <w:pPr>
        <w:pStyle w:val="Standard"/>
      </w:pPr>
      <w:r>
        <w:t>Agreement on a standard approach to</w:t>
      </w:r>
      <w:r w:rsidR="00043E32">
        <w:t xml:space="preserve"> “</w:t>
      </w:r>
      <w:r w:rsidR="00043E32" w:rsidRPr="00043E32">
        <w:t>Base Year +1 data</w:t>
      </w:r>
      <w:r w:rsidR="00043E32">
        <w:t>” should be an important topic for future workshops.  Stakeholders should endeavor to reach consensus on a means of incorporating this data into every GRC on an agreed</w:t>
      </w:r>
      <w:r w:rsidR="00FE5496">
        <w:noBreakHyphen/>
      </w:r>
      <w:r w:rsidR="00043E32">
        <w:t>upon schedule.  For example, in</w:t>
      </w:r>
      <w:r>
        <w:t xml:space="preserve"> the recently concluded SCE 2018 test year GRC, the base year was 2015.  However, </w:t>
      </w:r>
      <w:r w:rsidR="00BF482F">
        <w:t xml:space="preserve">during the proceeding </w:t>
      </w:r>
      <w:r>
        <w:t xml:space="preserve">SCE </w:t>
      </w:r>
      <w:r w:rsidR="00BF482F">
        <w:t xml:space="preserve">was able to </w:t>
      </w:r>
      <w:r>
        <w:t xml:space="preserve">update its recorded spending data </w:t>
      </w:r>
      <w:r w:rsidR="00043E32">
        <w:t xml:space="preserve">in its </w:t>
      </w:r>
      <w:r w:rsidR="0090238F">
        <w:t xml:space="preserve">June 2017 </w:t>
      </w:r>
      <w:r w:rsidR="00043E32">
        <w:t xml:space="preserve">rebuttal testimony </w:t>
      </w:r>
      <w:r>
        <w:t>to include all of 2016</w:t>
      </w:r>
      <w:r w:rsidR="00BF482F">
        <w:t xml:space="preserve"> (i.e., “</w:t>
      </w:r>
      <w:r w:rsidR="00BF482F" w:rsidRPr="00043E32">
        <w:t>Base Year +1</w:t>
      </w:r>
      <w:r w:rsidR="00BF482F">
        <w:t>)</w:t>
      </w:r>
      <w:r w:rsidR="00043E32">
        <w:t xml:space="preserve">.  </w:t>
      </w:r>
      <w:r w:rsidR="00BF482F">
        <w:t xml:space="preserve">It is neither surprising nor alarming that </w:t>
      </w:r>
      <w:r w:rsidR="00043E32">
        <w:t xml:space="preserve">the recorded 2016 data was often very different from the </w:t>
      </w:r>
      <w:r w:rsidR="009E3E65">
        <w:t xml:space="preserve">corresponding </w:t>
      </w:r>
      <w:r w:rsidR="00043E32">
        <w:t>2016 forecasts</w:t>
      </w:r>
      <w:r>
        <w:t xml:space="preserve"> </w:t>
      </w:r>
      <w:r w:rsidR="00043E32">
        <w:t xml:space="preserve">included in </w:t>
      </w:r>
      <w:r w:rsidR="00BF482F">
        <w:t xml:space="preserve">SCE’s </w:t>
      </w:r>
      <w:r w:rsidR="00043E32">
        <w:t>September 2016 application.  The</w:t>
      </w:r>
      <w:r>
        <w:t xml:space="preserve"> Commission’s </w:t>
      </w:r>
      <w:r>
        <w:lastRenderedPageBreak/>
        <w:t>decision</w:t>
      </w:r>
      <w:r w:rsidR="00FE5496">
        <w:noBreakHyphen/>
      </w:r>
      <w:r w:rsidR="00043E32">
        <w:t xml:space="preserve">making benefited from having </w:t>
      </w:r>
      <w:r>
        <w:t>th</w:t>
      </w:r>
      <w:r w:rsidR="00043E32">
        <w:t>e</w:t>
      </w:r>
      <w:r>
        <w:t xml:space="preserve"> recorded 2016 data </w:t>
      </w:r>
      <w:r w:rsidR="00043E32">
        <w:t xml:space="preserve">available </w:t>
      </w:r>
      <w:r>
        <w:t xml:space="preserve">because </w:t>
      </w:r>
      <w:r w:rsidR="00043E32">
        <w:t>of the</w:t>
      </w:r>
      <w:r>
        <w:t xml:space="preserve"> </w:t>
      </w:r>
      <w:r w:rsidR="00043E32">
        <w:t>improved accuracy</w:t>
      </w:r>
      <w:r w:rsidR="0090238F">
        <w:t>, so that should be considered a standard milestone in every energy GRC</w:t>
      </w:r>
      <w:r>
        <w:t>.</w:t>
      </w:r>
    </w:p>
    <w:p w14:paraId="1D0803C3" w14:textId="0ADCFD13" w:rsidR="00FB15B6" w:rsidRPr="00FB15B6" w:rsidRDefault="00DC7E51" w:rsidP="004B5523">
      <w:pPr>
        <w:pStyle w:val="Heading3"/>
      </w:pPr>
      <w:bookmarkStart w:id="79" w:name="_Toc13244204"/>
      <w:bookmarkStart w:id="80" w:name="_Toc20998454"/>
      <w:bookmarkStart w:id="81" w:name="_Toc29817402"/>
      <w:r w:rsidRPr="00DC7E51">
        <w:t>Should a Future Workshop Address</w:t>
      </w:r>
      <w:r w:rsidR="00AC43AB">
        <w:br/>
      </w:r>
      <w:r w:rsidR="00FB15B6" w:rsidRPr="00FB15B6">
        <w:t>Stipulated Terms, Rebuttable Presumptions,</w:t>
      </w:r>
      <w:r w:rsidR="004B5523">
        <w:t xml:space="preserve"> </w:t>
      </w:r>
      <w:r w:rsidR="00FB15B6" w:rsidRPr="00FB15B6">
        <w:t xml:space="preserve">and </w:t>
      </w:r>
      <w:bookmarkStart w:id="82" w:name="_Hlk19115244"/>
      <w:r w:rsidR="00FB15B6" w:rsidRPr="00A93280">
        <w:t>Formula</w:t>
      </w:r>
      <w:r w:rsidR="00FE5496">
        <w:noBreakHyphen/>
      </w:r>
      <w:r w:rsidR="00FB15B6" w:rsidRPr="00A93280">
        <w:t>Based Attrition Year Revenue Requirements</w:t>
      </w:r>
      <w:bookmarkEnd w:id="79"/>
      <w:bookmarkEnd w:id="82"/>
      <w:r>
        <w:t>?</w:t>
      </w:r>
      <w:bookmarkEnd w:id="80"/>
      <w:bookmarkEnd w:id="81"/>
    </w:p>
    <w:p w14:paraId="57850CE8" w14:textId="399123A3" w:rsidR="00DB3EA4" w:rsidRDefault="00DB3EA4" w:rsidP="00FB15B6">
      <w:pPr>
        <w:pStyle w:val="Standard"/>
      </w:pPr>
      <w:r>
        <w:t xml:space="preserve">The Staff Report </w:t>
      </w:r>
      <w:r w:rsidR="005C4F44">
        <w:t>explains</w:t>
      </w:r>
      <w:r>
        <w:t xml:space="preserve"> that some </w:t>
      </w:r>
      <w:r w:rsidR="00FB15B6" w:rsidRPr="00FB15B6">
        <w:t xml:space="preserve">parties at the workshop </w:t>
      </w:r>
      <w:r>
        <w:t xml:space="preserve">proposed that </w:t>
      </w:r>
      <w:r w:rsidR="00FB15B6" w:rsidRPr="00FB15B6">
        <w:t xml:space="preserve">the Commission </w:t>
      </w:r>
      <w:r w:rsidR="009D0FB8">
        <w:t>could process GRC applications more quickly if it considered</w:t>
      </w:r>
      <w:r w:rsidR="00FB15B6" w:rsidRPr="00FB15B6">
        <w:t xml:space="preserve"> adopt</w:t>
      </w:r>
      <w:r w:rsidR="009D0FB8">
        <w:t>ing</w:t>
      </w:r>
      <w:r w:rsidR="00FB15B6" w:rsidRPr="00FB15B6">
        <w:t xml:space="preserve"> stipulated terms, such as using multi</w:t>
      </w:r>
      <w:r w:rsidR="00FE5496">
        <w:noBreakHyphen/>
      </w:r>
      <w:r w:rsidR="00FB15B6" w:rsidRPr="00FB15B6">
        <w:t xml:space="preserve">year </w:t>
      </w:r>
      <w:r w:rsidR="0090238F" w:rsidRPr="00FB15B6">
        <w:t>average</w:t>
      </w:r>
      <w:r w:rsidR="0090238F">
        <w:t>s of historical spending for certain common or predictable expenses</w:t>
      </w:r>
      <w:r w:rsidR="00FB15B6" w:rsidRPr="00FB15B6">
        <w:t>, or rebuttable presumptions for certain “base operation” expenses</w:t>
      </w:r>
      <w:r>
        <w:t>:</w:t>
      </w:r>
    </w:p>
    <w:p w14:paraId="264CFB8C" w14:textId="76CF922D" w:rsidR="00DB3EA4" w:rsidRDefault="00DB3EA4" w:rsidP="00D14898">
      <w:pPr>
        <w:pStyle w:val="Standard"/>
        <w:spacing w:after="240" w:line="240" w:lineRule="auto"/>
        <w:ind w:left="720" w:right="720" w:firstLine="0"/>
      </w:pPr>
      <w:r w:rsidRPr="00DB3EA4">
        <w:t>In its presentation, SCE suggested that the Commission adopt stipulated terms for certain “base operation” expenses, particularly expenses for activities that can be forecasted using multi</w:t>
      </w:r>
      <w:r w:rsidR="00FE5496">
        <w:noBreakHyphen/>
      </w:r>
      <w:r w:rsidRPr="00DB3EA4">
        <w:t>year averages.  During discussions, TURN also suggested that the Commission adopt certain expenses under rebuttable presumptions to reduce the amount of litigated issues in a GRC.  For example, the Commission could employ a rebuttable presumption that base year plus inflation is adequate for general operational, maintenance, and administrative expenses that are not funding new programs.</w:t>
      </w:r>
      <w:r>
        <w:rPr>
          <w:rStyle w:val="FootnoteReference"/>
        </w:rPr>
        <w:footnoteReference w:id="104"/>
      </w:r>
    </w:p>
    <w:p w14:paraId="725AE679" w14:textId="77777777" w:rsidR="0054579D" w:rsidRDefault="0090238F" w:rsidP="0054579D">
      <w:pPr>
        <w:pStyle w:val="Standard"/>
      </w:pPr>
      <w:r>
        <w:t xml:space="preserve">The </w:t>
      </w:r>
      <w:r w:rsidR="003933C4">
        <w:t>Public Advocates Office</w:t>
      </w:r>
      <w:r w:rsidR="00DB3EA4">
        <w:t xml:space="preserve"> expressed more caution regarding these suggestions</w:t>
      </w:r>
      <w:r w:rsidR="0054579D">
        <w:t xml:space="preserve">.  </w:t>
      </w:r>
      <w:r>
        <w:t xml:space="preserve">The </w:t>
      </w:r>
      <w:r w:rsidR="00DB3EA4">
        <w:t xml:space="preserve">Staff </w:t>
      </w:r>
      <w:r w:rsidR="0054579D">
        <w:t>Report suggest</w:t>
      </w:r>
      <w:r>
        <w:t xml:space="preserve">s </w:t>
      </w:r>
      <w:r w:rsidR="00FB15B6" w:rsidRPr="00FB15B6">
        <w:t xml:space="preserve">that a workshop examine whether the Commission can adopt stipulated terms or rebuttable presumptions </w:t>
      </w:r>
      <w:r w:rsidR="0054579D">
        <w:t>without</w:t>
      </w:r>
      <w:r w:rsidR="00FB15B6" w:rsidRPr="00FB15B6">
        <w:t xml:space="preserve"> compromising its ability to determine whether the funding requests are just and reasonable.  </w:t>
      </w:r>
      <w:r w:rsidR="0054579D">
        <w:t xml:space="preserve">The workshop could consider not just whether </w:t>
      </w:r>
      <w:bookmarkStart w:id="83" w:name="_Hlk13241240"/>
      <w:r w:rsidR="00FB15B6" w:rsidRPr="00FB15B6">
        <w:t xml:space="preserve">the Commission </w:t>
      </w:r>
      <w:r w:rsidR="0054579D">
        <w:lastRenderedPageBreak/>
        <w:t xml:space="preserve">could </w:t>
      </w:r>
      <w:r w:rsidR="00FB15B6" w:rsidRPr="00FB15B6">
        <w:t xml:space="preserve">adopt certain </w:t>
      </w:r>
      <w:r w:rsidR="00EE408C">
        <w:t>t</w:t>
      </w:r>
      <w:r>
        <w:t xml:space="preserve">est </w:t>
      </w:r>
      <w:r w:rsidR="00EE408C">
        <w:t>y</w:t>
      </w:r>
      <w:r>
        <w:t xml:space="preserve">ear </w:t>
      </w:r>
      <w:r w:rsidR="00FB15B6" w:rsidRPr="00FB15B6">
        <w:t>expenses under stipulated terms or rebuttable presumptions</w:t>
      </w:r>
      <w:r w:rsidR="0054579D">
        <w:t xml:space="preserve">, but also whether </w:t>
      </w:r>
      <w:bookmarkEnd w:id="83"/>
      <w:r w:rsidR="00FB15B6" w:rsidRPr="00FB15B6">
        <w:t xml:space="preserve">attrition year </w:t>
      </w:r>
      <w:r w:rsidR="0054579D">
        <w:t xml:space="preserve">revenue requirements could be determined based upon </w:t>
      </w:r>
      <w:r w:rsidR="00FB15B6" w:rsidRPr="00FB15B6">
        <w:t>rebuttable presumptions</w:t>
      </w:r>
      <w:r w:rsidR="0054579D">
        <w:t xml:space="preserve"> such as </w:t>
      </w:r>
      <w:r w:rsidR="00FB15B6" w:rsidRPr="00FB15B6">
        <w:t xml:space="preserve">a </w:t>
      </w:r>
      <w:bookmarkStart w:id="84" w:name="_Hlk13241301"/>
      <w:r w:rsidR="00FB15B6" w:rsidRPr="00FB15B6">
        <w:t>standard escalation formula</w:t>
      </w:r>
      <w:r w:rsidR="0054579D">
        <w:t xml:space="preserve">, or </w:t>
      </w:r>
      <w:bookmarkStart w:id="85" w:name="_Hlk13241325"/>
      <w:bookmarkEnd w:id="84"/>
      <w:r w:rsidR="0054579D">
        <w:t>“</w:t>
      </w:r>
      <w:r w:rsidR="00FB15B6" w:rsidRPr="00FB15B6">
        <w:t>an incentive ratemaking mechanism for the attrition years</w:t>
      </w:r>
      <w:bookmarkEnd w:id="85"/>
      <w:r w:rsidR="00FB15B6" w:rsidRPr="00FB15B6">
        <w:t xml:space="preserve"> based on the utility’s return on equity or return on rate base</w:t>
      </w:r>
      <w:r w:rsidR="0054579D">
        <w:t>.”</w:t>
      </w:r>
      <w:r w:rsidR="0054579D">
        <w:rPr>
          <w:rStyle w:val="FootnoteReference"/>
        </w:rPr>
        <w:footnoteReference w:id="105"/>
      </w:r>
    </w:p>
    <w:p w14:paraId="2448AE23" w14:textId="563FAFCB" w:rsidR="00FB15B6" w:rsidRPr="00FB15B6" w:rsidRDefault="0054579D" w:rsidP="00FB15B6">
      <w:pPr>
        <w:pStyle w:val="Standard"/>
      </w:pPr>
      <w:r>
        <w:t xml:space="preserve">In its comments, </w:t>
      </w:r>
      <w:r w:rsidR="00FB15B6" w:rsidRPr="00FB15B6">
        <w:t xml:space="preserve">SCE agrees that workshops are warranted </w:t>
      </w:r>
      <w:r w:rsidR="005B05AC">
        <w:t>“</w:t>
      </w:r>
      <w:r w:rsidR="00FB15B6" w:rsidRPr="00FB15B6">
        <w:t>to ascertain if the Commission can adopt stipulated expenses</w:t>
      </w:r>
      <w:r>
        <w:t>, or rely upon rebuttable presumptions”</w:t>
      </w:r>
      <w:r w:rsidR="00FB15B6" w:rsidRPr="00FB15B6">
        <w:t xml:space="preserve"> to help streamline the processing of GRCs.</w:t>
      </w:r>
      <w:r w:rsidR="00B462D1">
        <w:rPr>
          <w:rStyle w:val="FootnoteReference"/>
        </w:rPr>
        <w:footnoteReference w:id="106"/>
      </w:r>
      <w:r>
        <w:t xml:space="preserve">  </w:t>
      </w:r>
      <w:r w:rsidR="00FB15B6" w:rsidRPr="00FB15B6">
        <w:t xml:space="preserve">SDG&amp;E and SoCalGas </w:t>
      </w:r>
      <w:r>
        <w:t>generally agree as well, while noting that “</w:t>
      </w:r>
      <w:r w:rsidR="00FB15B6" w:rsidRPr="00FB15B6">
        <w:t>there are already procedures for stipulations, and areas parties typically can stipulate are often non</w:t>
      </w:r>
      <w:r w:rsidR="00FE5496">
        <w:noBreakHyphen/>
      </w:r>
      <w:r w:rsidR="00FB15B6" w:rsidRPr="00FB15B6">
        <w:t>controversial</w:t>
      </w:r>
      <w:r w:rsidR="00B462D1">
        <w:t>.</w:t>
      </w:r>
      <w:r>
        <w:t>”</w:t>
      </w:r>
      <w:r w:rsidR="00B462D1">
        <w:rPr>
          <w:rStyle w:val="FootnoteReference"/>
        </w:rPr>
        <w:footnoteReference w:id="107"/>
      </w:r>
      <w:r>
        <w:t xml:space="preserve">  SDG&amp;E and SoCalGas also indicate that they require more details about how rebuttable presumptions and incentive ratemaking for attrition years might add value or be pursued in the GRC contex</w:t>
      </w:r>
      <w:r w:rsidR="009D0FB8">
        <w:t>t</w:t>
      </w:r>
      <w:r w:rsidR="00FB15B6" w:rsidRPr="00FB15B6">
        <w:t>.</w:t>
      </w:r>
      <w:r w:rsidR="00B462D1">
        <w:rPr>
          <w:rStyle w:val="FootnoteReference"/>
        </w:rPr>
        <w:footnoteReference w:id="108"/>
      </w:r>
    </w:p>
    <w:p w14:paraId="134D4A10" w14:textId="6A80672F" w:rsidR="009D0FB8" w:rsidRDefault="00FB15B6" w:rsidP="00FB15B6">
      <w:pPr>
        <w:pStyle w:val="Standard"/>
      </w:pPr>
      <w:r w:rsidRPr="00FB15B6">
        <w:t xml:space="preserve">TURN encourages the Commission to expedite the consideration of </w:t>
      </w:r>
      <w:r w:rsidR="009D0FB8">
        <w:t>these topics in a workshop:  “[g]</w:t>
      </w:r>
      <w:r w:rsidRPr="00FB15B6">
        <w:t>iven the work already done by staff and parties to identify these potential GRC policy changes to streamline the processing of GRCs (where feasible), TURN submits that it would be a shame to delay the benefits</w:t>
      </w:r>
      <w:r w:rsidR="009D0FB8">
        <w:t xml:space="preserve">…” of </w:t>
      </w:r>
      <w:r w:rsidRPr="00FB15B6">
        <w:t>reduce</w:t>
      </w:r>
      <w:r w:rsidR="009D0FB8">
        <w:t xml:space="preserve">d </w:t>
      </w:r>
      <w:r w:rsidRPr="00FB15B6">
        <w:t>litigation in GRC</w:t>
      </w:r>
      <w:r w:rsidR="009D0FB8">
        <w:t>s and more efficient GRC proceedings.</w:t>
      </w:r>
      <w:r w:rsidR="00F04D1F">
        <w:rPr>
          <w:rStyle w:val="FootnoteReference"/>
        </w:rPr>
        <w:footnoteReference w:id="109"/>
      </w:r>
    </w:p>
    <w:p w14:paraId="171EF705" w14:textId="55A66F93" w:rsidR="0029413C" w:rsidRDefault="009D0FB8" w:rsidP="00FB15B6">
      <w:pPr>
        <w:pStyle w:val="Standard"/>
      </w:pPr>
      <w:r>
        <w:t xml:space="preserve">We agree with TURN that a workshop should </w:t>
      </w:r>
      <w:r w:rsidR="00EF1984">
        <w:t xml:space="preserve">be </w:t>
      </w:r>
      <w:r>
        <w:t xml:space="preserve">held </w:t>
      </w:r>
      <w:r w:rsidR="00D0255E">
        <w:t xml:space="preserve">as soon as </w:t>
      </w:r>
      <w:r w:rsidR="00EF1984">
        <w:t xml:space="preserve">reasonably </w:t>
      </w:r>
      <w:r w:rsidR="00D0255E">
        <w:t>practicable</w:t>
      </w:r>
      <w:r>
        <w:t xml:space="preserve"> to further </w:t>
      </w:r>
      <w:r w:rsidR="0090238F">
        <w:t>refine</w:t>
      </w:r>
      <w:r>
        <w:t xml:space="preserve"> </w:t>
      </w:r>
      <w:r w:rsidR="00F64F31">
        <w:t xml:space="preserve">the recommendations at the </w:t>
      </w:r>
      <w:r w:rsidR="0029413C">
        <w:t xml:space="preserve">2017 </w:t>
      </w:r>
      <w:r w:rsidR="00F64F31">
        <w:t>work</w:t>
      </w:r>
      <w:r w:rsidR="005B05AC">
        <w:t>s</w:t>
      </w:r>
      <w:r w:rsidR="00F64F31">
        <w:t xml:space="preserve">hop and in the </w:t>
      </w:r>
      <w:r w:rsidR="0029413C">
        <w:t xml:space="preserve">2018 </w:t>
      </w:r>
      <w:r w:rsidR="00F64F31">
        <w:t xml:space="preserve">Staff Report regarding </w:t>
      </w:r>
      <w:r w:rsidR="005B05AC">
        <w:t xml:space="preserve">approaches that could reduce </w:t>
      </w:r>
      <w:r w:rsidR="005B05AC">
        <w:lastRenderedPageBreak/>
        <w:t xml:space="preserve">the number of litigated issues.  To our mind, this </w:t>
      </w:r>
      <w:r w:rsidR="0029413C">
        <w:t xml:space="preserve">topic </w:t>
      </w:r>
      <w:r w:rsidR="005B05AC">
        <w:t xml:space="preserve">differs somewhat from the stipulations referenced by SDG&amp;E and SoCalGas, which </w:t>
      </w:r>
      <w:r w:rsidR="0090238F">
        <w:t>are common</w:t>
      </w:r>
      <w:r w:rsidR="005B05AC">
        <w:t xml:space="preserve"> </w:t>
      </w:r>
      <w:r w:rsidR="0029413C">
        <w:t xml:space="preserve">in GRCs </w:t>
      </w:r>
      <w:r w:rsidR="005B05AC">
        <w:t xml:space="preserve">but </w:t>
      </w:r>
      <w:r w:rsidR="0090238F">
        <w:t>also</w:t>
      </w:r>
      <w:r w:rsidR="005B05AC">
        <w:t xml:space="preserve"> unique to an issue or a stakeholder’s interest in that particular proceeding.  Instead, the workshops </w:t>
      </w:r>
      <w:r w:rsidR="0090238F">
        <w:t>directed in</w:t>
      </w:r>
      <w:r w:rsidR="005B05AC">
        <w:t xml:space="preserve"> this decision should focus on building a framework for the utility’s initial showing that rests upon </w:t>
      </w:r>
      <w:r w:rsidR="005B05AC" w:rsidRPr="005B05AC">
        <w:t xml:space="preserve">stipulated </w:t>
      </w:r>
      <w:r w:rsidR="009C0C1E" w:rsidRPr="009C0C1E">
        <w:t xml:space="preserve">approaches to escalating capital expenditures or operating </w:t>
      </w:r>
      <w:r w:rsidR="005B05AC" w:rsidRPr="005B05AC">
        <w:t>expenses</w:t>
      </w:r>
      <w:r w:rsidR="009C0C1E">
        <w:t>,</w:t>
      </w:r>
      <w:r w:rsidR="005B05AC" w:rsidRPr="005B05AC">
        <w:t xml:space="preserve"> or rebuttable presumptions</w:t>
      </w:r>
      <w:r w:rsidR="009C0C1E" w:rsidRPr="009C0C1E">
        <w:t xml:space="preserve"> about the same test year </w:t>
      </w:r>
      <w:r w:rsidR="005202D6" w:rsidRPr="005202D6">
        <w:t>operating expense</w:t>
      </w:r>
      <w:r w:rsidR="009C0C1E" w:rsidRPr="009C0C1E">
        <w:t xml:space="preserve"> forecasts</w:t>
      </w:r>
      <w:r w:rsidR="0090238F">
        <w:t xml:space="preserve">.  This framework could </w:t>
      </w:r>
      <w:r w:rsidR="005B05AC">
        <w:t>be</w:t>
      </w:r>
      <w:r w:rsidR="0090238F">
        <w:t>come</w:t>
      </w:r>
      <w:r w:rsidR="005B05AC">
        <w:t xml:space="preserve"> common to every GRC, for every utility.</w:t>
      </w:r>
    </w:p>
    <w:p w14:paraId="19F73EEE" w14:textId="428A53F7" w:rsidR="00FB15B6" w:rsidRPr="00FB15B6" w:rsidRDefault="0029413C" w:rsidP="00FB15B6">
      <w:pPr>
        <w:pStyle w:val="Standard"/>
      </w:pPr>
      <w:r>
        <w:t>Regarding the matter of</w:t>
      </w:r>
      <w:r w:rsidR="005B05AC">
        <w:t xml:space="preserve"> </w:t>
      </w:r>
      <w:r>
        <w:t>f</w:t>
      </w:r>
      <w:r w:rsidRPr="0029413C">
        <w:t>ormula</w:t>
      </w:r>
      <w:r w:rsidR="00FE5496">
        <w:noBreakHyphen/>
      </w:r>
      <w:r>
        <w:t>b</w:t>
      </w:r>
      <w:r w:rsidRPr="0029413C">
        <w:t xml:space="preserve">ased </w:t>
      </w:r>
      <w:r>
        <w:t>a</w:t>
      </w:r>
      <w:r w:rsidRPr="0029413C">
        <w:t xml:space="preserve">ttrition </w:t>
      </w:r>
      <w:r>
        <w:t>y</w:t>
      </w:r>
      <w:r w:rsidRPr="0029413C">
        <w:t xml:space="preserve">ear </w:t>
      </w:r>
      <w:r>
        <w:t>r</w:t>
      </w:r>
      <w:r w:rsidRPr="0029413C">
        <w:t xml:space="preserve">evenue </w:t>
      </w:r>
      <w:r>
        <w:t>r</w:t>
      </w:r>
      <w:r w:rsidRPr="0029413C">
        <w:t>equirements</w:t>
      </w:r>
      <w:r>
        <w:t xml:space="preserve">, this is already the typical approach to the operating expense portion of the revenue requirement, which is determined by applying a range of escalation factors to specific expense categories within the adopted test year forecast.  Greater efficiencies in this area would clearly result if </w:t>
      </w:r>
      <w:r w:rsidR="003A5350">
        <w:t>agreed</w:t>
      </w:r>
      <w:r w:rsidR="00FE5496">
        <w:noBreakHyphen/>
      </w:r>
      <w:r>
        <w:t>upon stipulations or rebuttable presumptions were in place at the outset of a proceeding.  We are more cautious about implementing such an approach to the capital expenditure portion of attrition year revenue requirements.  We do not intend to adopt an approach that places such increases on “autopilot” for three years</w:t>
      </w:r>
      <w:r w:rsidR="00AA2199">
        <w:t xml:space="preserve"> out</w:t>
      </w:r>
      <w:r>
        <w:t xml:space="preserve"> of </w:t>
      </w:r>
      <w:r w:rsidR="00AA2199">
        <w:t>every</w:t>
      </w:r>
      <w:r>
        <w:t xml:space="preserve"> four</w:t>
      </w:r>
      <w:r w:rsidR="00FE5496">
        <w:noBreakHyphen/>
      </w:r>
      <w:r>
        <w:t>year GRC cycle—the long</w:t>
      </w:r>
      <w:r w:rsidR="00FE5496">
        <w:noBreakHyphen/>
      </w:r>
      <w:r>
        <w:t xml:space="preserve">term impact of capital investments on </w:t>
      </w:r>
      <w:r w:rsidR="00AA2199">
        <w:t>customer rates warrants a closer look at the attrition year changes and ongoing monitoring by Commission staff via the reporting requirements introduced by D.14</w:t>
      </w:r>
      <w:r w:rsidR="00FE5496">
        <w:noBreakHyphen/>
      </w:r>
      <w:r w:rsidR="00AA2199">
        <w:t>12</w:t>
      </w:r>
      <w:r w:rsidR="00FE5496">
        <w:noBreakHyphen/>
      </w:r>
      <w:r w:rsidR="00AA2199">
        <w:t>025, especially at a time when the utilities seek “</w:t>
      </w:r>
      <w:r w:rsidR="00AA2199" w:rsidRPr="00AA2199">
        <w:t>stakeholder agreement on the utility’s need to reprioritize</w:t>
      </w:r>
      <w:r w:rsidR="00AA2199">
        <w:t>” as PG&amp;E suggested at the 2017 workshop.</w:t>
      </w:r>
    </w:p>
    <w:p w14:paraId="3D35E835" w14:textId="77777777" w:rsidR="00FB15B6" w:rsidRPr="00FB15B6" w:rsidRDefault="00DC7E51" w:rsidP="004B5523">
      <w:pPr>
        <w:pStyle w:val="Heading3"/>
      </w:pPr>
      <w:bookmarkStart w:id="86" w:name="_Toc13244207"/>
      <w:bookmarkStart w:id="87" w:name="_Toc20998455"/>
      <w:bookmarkStart w:id="88" w:name="_Toc29817403"/>
      <w:r w:rsidRPr="00DC7E51">
        <w:lastRenderedPageBreak/>
        <w:t xml:space="preserve">Should a Future Workshop </w:t>
      </w:r>
      <w:r>
        <w:t>Consider</w:t>
      </w:r>
      <w:r w:rsidR="000A4151">
        <w:br/>
      </w:r>
      <w:r>
        <w:t>Greater Uniformity in the Results</w:t>
      </w:r>
      <w:r w:rsidR="000A4151">
        <w:br/>
      </w:r>
      <w:r>
        <w:t>of Operation Model?</w:t>
      </w:r>
      <w:bookmarkEnd w:id="86"/>
      <w:bookmarkEnd w:id="87"/>
      <w:bookmarkEnd w:id="88"/>
    </w:p>
    <w:p w14:paraId="581A187D" w14:textId="2C8E969F" w:rsidR="00C04AD7" w:rsidRDefault="00FB15B6" w:rsidP="00FB15B6">
      <w:pPr>
        <w:pStyle w:val="Standard"/>
      </w:pPr>
      <w:r w:rsidRPr="00FB15B6">
        <w:t>The</w:t>
      </w:r>
      <w:r w:rsidR="00C04AD7">
        <w:t xml:space="preserve"> Staff Report recommends that </w:t>
      </w:r>
      <w:r w:rsidR="00DC7E51">
        <w:t>a future</w:t>
      </w:r>
      <w:r w:rsidR="00C04AD7">
        <w:t xml:space="preserve"> </w:t>
      </w:r>
      <w:r w:rsidRPr="00FB15B6">
        <w:t>workshop</w:t>
      </w:r>
      <w:r w:rsidR="00C04AD7">
        <w:t xml:space="preserve"> </w:t>
      </w:r>
      <w:r w:rsidRPr="00FB15B6">
        <w:t>explore ways to make the RO models of the four utilities more uniform and user</w:t>
      </w:r>
      <w:r w:rsidR="00FE5496">
        <w:noBreakHyphen/>
      </w:r>
      <w:r w:rsidRPr="00FB15B6">
        <w:t>friendly</w:t>
      </w:r>
      <w:r w:rsidR="00C04AD7">
        <w:t>, including the following</w:t>
      </w:r>
      <w:r w:rsidR="00000816">
        <w:t xml:space="preserve"> (ranked from easiest to most difficult)</w:t>
      </w:r>
      <w:r w:rsidR="00C04AD7">
        <w:t>:</w:t>
      </w:r>
    </w:p>
    <w:p w14:paraId="7C2A4813" w14:textId="77777777" w:rsidR="00C04AD7" w:rsidRDefault="00C04AD7" w:rsidP="006F0AC0">
      <w:pPr>
        <w:pStyle w:val="Standard"/>
        <w:numPr>
          <w:ilvl w:val="1"/>
          <w:numId w:val="31"/>
        </w:numPr>
        <w:spacing w:after="120" w:line="240" w:lineRule="auto"/>
        <w:ind w:left="1080" w:right="720" w:hanging="360"/>
      </w:pPr>
      <w:r>
        <w:t xml:space="preserve">Developing a </w:t>
      </w:r>
      <w:r w:rsidRPr="00C04AD7">
        <w:rPr>
          <w:u w:val="single"/>
        </w:rPr>
        <w:t>standard format for the Summary of Earnings</w:t>
      </w:r>
      <w:r>
        <w:t xml:space="preserve"> table, which is usually a single table that shows the major components of the applicant’s requested revenue requirement, and at the end of the proceeding, the amounts authorized by the Commission (e.g., operating expenses, depreciation expenses, tax expenses, and return on rate base)</w:t>
      </w:r>
      <w:r w:rsidR="00000816">
        <w:t>;</w:t>
      </w:r>
      <w:r>
        <w:t xml:space="preserve"> </w:t>
      </w:r>
    </w:p>
    <w:p w14:paraId="7D1C0AD8" w14:textId="0F3ED984" w:rsidR="00C04AD7" w:rsidRDefault="00C04AD7" w:rsidP="006F0AC0">
      <w:pPr>
        <w:pStyle w:val="Standard"/>
        <w:numPr>
          <w:ilvl w:val="1"/>
          <w:numId w:val="31"/>
        </w:numPr>
        <w:spacing w:after="120" w:line="240" w:lineRule="auto"/>
        <w:ind w:left="1080" w:right="720" w:hanging="360"/>
      </w:pPr>
      <w:r>
        <w:t xml:space="preserve">Developing a </w:t>
      </w:r>
      <w:r w:rsidRPr="00C04AD7">
        <w:rPr>
          <w:u w:val="single"/>
        </w:rPr>
        <w:t>user</w:t>
      </w:r>
      <w:r w:rsidR="00FE5496">
        <w:rPr>
          <w:u w:val="single"/>
        </w:rPr>
        <w:noBreakHyphen/>
      </w:r>
      <w:r w:rsidRPr="00C04AD7">
        <w:rPr>
          <w:u w:val="single"/>
        </w:rPr>
        <w:t>friendly input interface</w:t>
      </w:r>
      <w:r>
        <w:t xml:space="preserve"> for the RO model, to enable a user without extensive RO modeling training to enter inputs into the model to calculate the revenue requirement</w:t>
      </w:r>
      <w:r w:rsidR="00000816">
        <w:t>; and</w:t>
      </w:r>
    </w:p>
    <w:p w14:paraId="37D8E9BE" w14:textId="77777777" w:rsidR="00C04AD7" w:rsidRDefault="00C04AD7" w:rsidP="006F0AC0">
      <w:pPr>
        <w:pStyle w:val="Standard"/>
        <w:numPr>
          <w:ilvl w:val="1"/>
          <w:numId w:val="31"/>
        </w:numPr>
        <w:spacing w:after="240" w:line="240" w:lineRule="auto"/>
        <w:ind w:left="1080" w:right="720" w:hanging="360"/>
      </w:pPr>
      <w:r>
        <w:t xml:space="preserve">Developing </w:t>
      </w:r>
      <w:r w:rsidRPr="00C04AD7">
        <w:rPr>
          <w:u w:val="single"/>
        </w:rPr>
        <w:t>a uniform RO model format or structure</w:t>
      </w:r>
      <w:r>
        <w:t xml:space="preserve"> so that they would be more consistent across the utilities and, presumably, easier for the Commission and others outside the utilities to understand</w:t>
      </w:r>
      <w:r w:rsidR="00DC7E51">
        <w:t>.</w:t>
      </w:r>
    </w:p>
    <w:p w14:paraId="178BFFCF" w14:textId="6691E2E8" w:rsidR="00AA2199" w:rsidRDefault="00AA2199" w:rsidP="00FB15B6">
      <w:pPr>
        <w:pStyle w:val="Standard"/>
      </w:pPr>
      <w:r>
        <w:t>T</w:t>
      </w:r>
      <w:r w:rsidR="00F94948">
        <w:t>he utilit</w:t>
      </w:r>
      <w:r w:rsidR="00B7521B">
        <w:t>ies’</w:t>
      </w:r>
      <w:r w:rsidR="00F94948">
        <w:t xml:space="preserve"> comments in response to these recommendations</w:t>
      </w:r>
      <w:r>
        <w:t xml:space="preserve"> note that </w:t>
      </w:r>
      <w:r w:rsidR="00F94948">
        <w:t>the first item listed above would be simple to develop, while the second would be more difficult and of questionable value</w:t>
      </w:r>
      <w:r w:rsidR="00B7521B">
        <w:t xml:space="preserve"> to our effort to streamline GRC proceedings</w:t>
      </w:r>
      <w:r w:rsidR="00F94948">
        <w:t xml:space="preserve">, and the third item </w:t>
      </w:r>
      <w:r w:rsidR="00F94948" w:rsidRPr="00FB15B6">
        <w:t xml:space="preserve">would be </w:t>
      </w:r>
      <w:r w:rsidR="00F94948">
        <w:t>“</w:t>
      </w:r>
      <w:r w:rsidR="00F94948" w:rsidRPr="00FB15B6">
        <w:t>extremely challenging</w:t>
      </w:r>
      <w:r w:rsidR="00F94948">
        <w:t>”</w:t>
      </w:r>
      <w:r w:rsidR="00B7521B">
        <w:rPr>
          <w:rStyle w:val="FootnoteReference"/>
        </w:rPr>
        <w:footnoteReference w:id="110"/>
      </w:r>
      <w:r w:rsidR="00F94948">
        <w:t xml:space="preserve"> and</w:t>
      </w:r>
      <w:r w:rsidR="00B7521B">
        <w:t xml:space="preserve"> (in our </w:t>
      </w:r>
      <w:r w:rsidR="00000816">
        <w:t xml:space="preserve">own </w:t>
      </w:r>
      <w:r w:rsidR="00B7521B">
        <w:t>view</w:t>
      </w:r>
      <w:r w:rsidR="000867AF">
        <w:t>, as well</w:t>
      </w:r>
      <w:r w:rsidR="00B7521B">
        <w:t>) not justified by the effort involved</w:t>
      </w:r>
      <w:r w:rsidR="00F94948">
        <w:t>.</w:t>
      </w:r>
    </w:p>
    <w:p w14:paraId="10C32ACF" w14:textId="0031D60C" w:rsidR="00DA6C76" w:rsidRDefault="008F4493" w:rsidP="00BF047C">
      <w:pPr>
        <w:pStyle w:val="Standard"/>
      </w:pPr>
      <w:r>
        <w:t xml:space="preserve">The Commission relies </w:t>
      </w:r>
      <w:r w:rsidR="00000816">
        <w:t>on RO models</w:t>
      </w:r>
      <w:r>
        <w:t xml:space="preserve"> for purposes that lead us to suggest that a different list </w:t>
      </w:r>
      <w:r w:rsidR="00DA6C76">
        <w:t>of refinement</w:t>
      </w:r>
      <w:r>
        <w:t xml:space="preserve">s </w:t>
      </w:r>
      <w:r w:rsidR="000867AF">
        <w:t xml:space="preserve">should </w:t>
      </w:r>
      <w:r>
        <w:t>be undertaken in order to</w:t>
      </w:r>
      <w:r w:rsidR="00DA6C76">
        <w:t xml:space="preserve"> help the Commission issue GRC decisions more quickly</w:t>
      </w:r>
      <w:r w:rsidR="00000816">
        <w:t xml:space="preserve">.  </w:t>
      </w:r>
      <w:r>
        <w:t>First, o</w:t>
      </w:r>
      <w:r w:rsidR="00000816">
        <w:t xml:space="preserve">ur </w:t>
      </w:r>
      <w:r>
        <w:t>overarching</w:t>
      </w:r>
      <w:r w:rsidR="00000816">
        <w:t xml:space="preserve"> concern is that the RO </w:t>
      </w:r>
      <w:r w:rsidR="00EA3933">
        <w:t>results and revenue requirement that is</w:t>
      </w:r>
      <w:r>
        <w:t xml:space="preserve"> </w:t>
      </w:r>
      <w:r w:rsidR="00000816">
        <w:t xml:space="preserve">included in the ALJ’s </w:t>
      </w:r>
      <w:r w:rsidR="00000816">
        <w:lastRenderedPageBreak/>
        <w:t xml:space="preserve">proposed decision is </w:t>
      </w:r>
      <w:r w:rsidR="00000816" w:rsidRPr="007C78CD">
        <w:rPr>
          <w:u w:val="single"/>
        </w:rPr>
        <w:t>accurate</w:t>
      </w:r>
      <w:r>
        <w:t xml:space="preserve">.  It is also important </w:t>
      </w:r>
      <w:r w:rsidR="00000816">
        <w:t xml:space="preserve">that parties trust </w:t>
      </w:r>
      <w:r>
        <w:t>that the calculation is</w:t>
      </w:r>
      <w:r w:rsidR="00000816">
        <w:t xml:space="preserve"> accura</w:t>
      </w:r>
      <w:r>
        <w:t>te</w:t>
      </w:r>
      <w:r w:rsidR="00000816">
        <w:t xml:space="preserve">, </w:t>
      </w:r>
      <w:r>
        <w:t xml:space="preserve">no matter who does that calculation.  Furthermore, given the time pressures at the end of GRC proceedings </w:t>
      </w:r>
      <w:r w:rsidR="00EA3933">
        <w:t>it is very important</w:t>
      </w:r>
      <w:r>
        <w:t xml:space="preserve"> </w:t>
      </w:r>
      <w:r w:rsidR="000867AF">
        <w:t xml:space="preserve">to the Commission </w:t>
      </w:r>
      <w:r w:rsidR="00000816">
        <w:t xml:space="preserve">that the </w:t>
      </w:r>
      <w:r>
        <w:t xml:space="preserve">actual task of </w:t>
      </w:r>
      <w:r w:rsidR="00EA3933">
        <w:t>preparing</w:t>
      </w:r>
      <w:r>
        <w:t xml:space="preserve"> the </w:t>
      </w:r>
      <w:r w:rsidR="00000816">
        <w:t>RO calculations proceed</w:t>
      </w:r>
      <w:r>
        <w:t>s</w:t>
      </w:r>
      <w:r w:rsidR="00000816">
        <w:t xml:space="preserve"> smoothly.  </w:t>
      </w:r>
      <w:r w:rsidR="002B45C3">
        <w:t>As has been typical in recent years, w</w:t>
      </w:r>
      <w:r w:rsidR="00000816">
        <w:t>e have no problem relying on the utilities to prepare the RO</w:t>
      </w:r>
      <w:r>
        <w:t xml:space="preserve"> for the PD and the final Commission decision</w:t>
      </w:r>
      <w:r w:rsidR="00000816">
        <w:t xml:space="preserve">, </w:t>
      </w:r>
      <w:r>
        <w:t xml:space="preserve">albeit </w:t>
      </w:r>
      <w:r w:rsidR="00000816">
        <w:t>with Energy Division oversight</w:t>
      </w:r>
      <w:r w:rsidR="002B45C3">
        <w:t xml:space="preserve"> and a non</w:t>
      </w:r>
      <w:r w:rsidR="00FE5496">
        <w:noBreakHyphen/>
      </w:r>
      <w:r w:rsidR="002B45C3">
        <w:t>disclosure agreement in place.  T</w:t>
      </w:r>
      <w:r w:rsidR="00000816">
        <w:t>he utilities know their own models best</w:t>
      </w:r>
      <w:r w:rsidR="002B45C3">
        <w:t xml:space="preserve">, </w:t>
      </w:r>
      <w:r>
        <w:t xml:space="preserve">which ensures as accurate a calculation as possible, </w:t>
      </w:r>
      <w:r w:rsidR="002B45C3">
        <w:t>and the penalties they would incur for violating our trust and manipulating the results far outweigh any potential gain</w:t>
      </w:r>
      <w:r w:rsidR="00000816">
        <w:t>.</w:t>
      </w:r>
      <w:r w:rsidR="00BF047C">
        <w:t xml:space="preserve">  However, </w:t>
      </w:r>
      <w:r w:rsidR="00DA6C76">
        <w:t xml:space="preserve">the “typical” process </w:t>
      </w:r>
      <w:r w:rsidR="00BF047C">
        <w:t>c</w:t>
      </w:r>
      <w:r>
        <w:t>ould</w:t>
      </w:r>
      <w:r w:rsidR="00DA6C76">
        <w:t xml:space="preserve"> be improved in a way that would result in more timely GRC decisions.  </w:t>
      </w:r>
      <w:r w:rsidR="00414E5E">
        <w:t>I</w:t>
      </w:r>
      <w:bookmarkStart w:id="89" w:name="_Hlk20988446"/>
      <w:r w:rsidR="00414E5E">
        <w:t>n future GRCs</w:t>
      </w:r>
      <w:r w:rsidR="00BF047C">
        <w:t xml:space="preserve">, under Energy Division oversight and </w:t>
      </w:r>
      <w:r w:rsidR="000867AF">
        <w:t xml:space="preserve">with the same </w:t>
      </w:r>
      <w:r w:rsidR="00BF047C">
        <w:t>non</w:t>
      </w:r>
      <w:r w:rsidR="00FE5496">
        <w:noBreakHyphen/>
      </w:r>
      <w:r w:rsidR="00BF047C">
        <w:t>disclosure agreement</w:t>
      </w:r>
      <w:r w:rsidR="000867AF">
        <w:t>s in place</w:t>
      </w:r>
      <w:r w:rsidR="00BF047C">
        <w:t xml:space="preserve">, each </w:t>
      </w:r>
      <w:r w:rsidR="00DA6C76">
        <w:t>utilit</w:t>
      </w:r>
      <w:r w:rsidR="00BF047C">
        <w:t>y</w:t>
      </w:r>
      <w:r w:rsidR="00DA6C76">
        <w:t xml:space="preserve"> </w:t>
      </w:r>
      <w:r w:rsidR="00460B9C">
        <w:t xml:space="preserve">should </w:t>
      </w:r>
      <w:r w:rsidR="00DA6C76">
        <w:t>begin</w:t>
      </w:r>
      <w:r w:rsidR="00414E5E">
        <w:t xml:space="preserve"> working with the Energy Division as soon as possible</w:t>
      </w:r>
      <w:bookmarkEnd w:id="89"/>
      <w:r>
        <w:t xml:space="preserve"> in the </w:t>
      </w:r>
      <w:r w:rsidR="000867AF">
        <w:t xml:space="preserve">PD </w:t>
      </w:r>
      <w:r>
        <w:t>drafting process and incorporat</w:t>
      </w:r>
      <w:r w:rsidR="00460B9C">
        <w:t>e</w:t>
      </w:r>
      <w:r>
        <w:t xml:space="preserve"> </w:t>
      </w:r>
      <w:r w:rsidR="00DA6C76">
        <w:t xml:space="preserve">the ALJ’s </w:t>
      </w:r>
      <w:r>
        <w:t>determinations as they are made</w:t>
      </w:r>
      <w:r w:rsidR="00BF047C">
        <w:t xml:space="preserve"> instead of waiting</w:t>
      </w:r>
      <w:r w:rsidR="00DA6C76">
        <w:t xml:space="preserve"> for </w:t>
      </w:r>
      <w:r w:rsidR="00EA3933">
        <w:t>a completed written</w:t>
      </w:r>
      <w:r w:rsidR="00DA6C76">
        <w:t xml:space="preserve"> draft of the </w:t>
      </w:r>
      <w:r w:rsidR="00EA3933">
        <w:t xml:space="preserve">entire </w:t>
      </w:r>
      <w:r w:rsidR="00DA6C76">
        <w:t xml:space="preserve">proposed decision before beginning the RO work.  </w:t>
      </w:r>
      <w:r w:rsidR="00414E5E">
        <w:t xml:space="preserve">The </w:t>
      </w:r>
      <w:r w:rsidR="00DA6C76">
        <w:t>future workshop</w:t>
      </w:r>
      <w:r w:rsidR="00414E5E">
        <w:t>s</w:t>
      </w:r>
      <w:r w:rsidR="00DA6C76">
        <w:t xml:space="preserve"> would provide </w:t>
      </w:r>
      <w:r w:rsidR="00414E5E">
        <w:t>an opportunity</w:t>
      </w:r>
      <w:r w:rsidR="00DA6C76">
        <w:t xml:space="preserve"> </w:t>
      </w:r>
      <w:r w:rsidR="00323945">
        <w:t xml:space="preserve">for the utilities to explain their </w:t>
      </w:r>
      <w:r w:rsidR="00414E5E">
        <w:t xml:space="preserve">perspectives </w:t>
      </w:r>
      <w:r w:rsidR="00323945">
        <w:t xml:space="preserve">and </w:t>
      </w:r>
      <w:bookmarkStart w:id="90" w:name="_Hlk20942340"/>
      <w:r w:rsidR="00EA3933">
        <w:t>develop</w:t>
      </w:r>
      <w:r w:rsidR="00323945">
        <w:t xml:space="preserve"> a single </w:t>
      </w:r>
      <w:r w:rsidR="00EA3933">
        <w:t xml:space="preserve">approach to </w:t>
      </w:r>
      <w:r w:rsidR="00323945">
        <w:t>their working relationship with the ALJ and Energy Division staff</w:t>
      </w:r>
      <w:bookmarkEnd w:id="90"/>
      <w:r w:rsidR="00323945">
        <w:t>, to be used by all utilities in all GRCs going forward.</w:t>
      </w:r>
      <w:r w:rsidR="00EA3933">
        <w:t xml:space="preserve">  This would </w:t>
      </w:r>
      <w:r w:rsidR="000867AF">
        <w:t>improve the</w:t>
      </w:r>
      <w:r w:rsidR="00EA3933">
        <w:t xml:space="preserve"> predictability </w:t>
      </w:r>
      <w:r w:rsidR="000867AF">
        <w:t xml:space="preserve">of </w:t>
      </w:r>
      <w:r w:rsidR="00EA3933">
        <w:t xml:space="preserve">this </w:t>
      </w:r>
      <w:r w:rsidR="000867AF">
        <w:t xml:space="preserve">stage </w:t>
      </w:r>
      <w:r w:rsidR="00EA3933">
        <w:t>of preparing the PD.</w:t>
      </w:r>
    </w:p>
    <w:p w14:paraId="2A4DF07D" w14:textId="5EE1D561" w:rsidR="00000816" w:rsidRDefault="00263E07" w:rsidP="00FB15B6">
      <w:pPr>
        <w:pStyle w:val="Standard"/>
      </w:pPr>
      <w:r>
        <w:t xml:space="preserve">Furthermore, </w:t>
      </w:r>
      <w:r w:rsidR="00323945">
        <w:t>a</w:t>
      </w:r>
      <w:r w:rsidR="002B45C3">
        <w:t xml:space="preserve">s noted above, in most large energy GRCs the Public Advocates Office is the only party that performs RO modeling independently of the utility applicant.  We hope this practice continues.  </w:t>
      </w:r>
      <w:bookmarkStart w:id="91" w:name="_Hlk18510875"/>
      <w:r w:rsidR="00EA3933">
        <w:t>T</w:t>
      </w:r>
      <w:r w:rsidR="002B45C3">
        <w:t xml:space="preserve">he Public Advocates Office </w:t>
      </w:r>
      <w:bookmarkEnd w:id="91"/>
      <w:r w:rsidR="00EA3933">
        <w:t xml:space="preserve">can </w:t>
      </w:r>
      <w:r w:rsidR="002B45C3">
        <w:t>make its own needs clear in the upcoming workshops</w:t>
      </w:r>
      <w:r w:rsidR="00323945">
        <w:t xml:space="preserve">, but we indicate here that we prefer that </w:t>
      </w:r>
      <w:r w:rsidR="00EA3933">
        <w:t>any</w:t>
      </w:r>
      <w:r w:rsidR="00323945">
        <w:t xml:space="preserve"> reasonable needs </w:t>
      </w:r>
      <w:r w:rsidR="00EA3933">
        <w:t xml:space="preserve">expressed by </w:t>
      </w:r>
      <w:r w:rsidR="00323945">
        <w:t xml:space="preserve">the Public Advocates </w:t>
      </w:r>
      <w:r w:rsidR="00323945">
        <w:lastRenderedPageBreak/>
        <w:t>Office are heeded and accommodated by the utilities</w:t>
      </w:r>
      <w:r w:rsidR="002B45C3">
        <w:t xml:space="preserve">.  For example, if the Public Advocates Office believes the RO models are becoming too complex, </w:t>
      </w:r>
      <w:r w:rsidR="00773108">
        <w:t>the utilities should</w:t>
      </w:r>
      <w:r w:rsidR="002B45C3">
        <w:t xml:space="preserve"> pay close attention to their recommended solutions.  Similarly, if </w:t>
      </w:r>
      <w:r w:rsidR="002B45C3" w:rsidRPr="006F0AC0">
        <w:rPr>
          <w:i/>
          <w:iCs/>
        </w:rPr>
        <w:t>any</w:t>
      </w:r>
      <w:r w:rsidR="002B45C3">
        <w:t xml:space="preserve"> intervenors can </w:t>
      </w:r>
      <w:r w:rsidR="00C77EB8">
        <w:t xml:space="preserve">demonstrate the value of greater standardization at either the “input” stage or the “output” stage than we have endorsed here, </w:t>
      </w:r>
      <w:r w:rsidR="00773108">
        <w:t>the utilities should</w:t>
      </w:r>
      <w:r w:rsidR="00C77EB8">
        <w:t xml:space="preserve"> consider those recommendations.  Any refinements that ease the burden on GRC parties </w:t>
      </w:r>
      <w:r w:rsidR="00323945">
        <w:t>are likely to</w:t>
      </w:r>
      <w:r w:rsidR="00C77EB8">
        <w:t xml:space="preserve"> translate into greater efficiencies for the Commission</w:t>
      </w:r>
      <w:r w:rsidR="00EA3933">
        <w:t>’s decision</w:t>
      </w:r>
      <w:r w:rsidR="00FE5496">
        <w:noBreakHyphen/>
      </w:r>
      <w:r w:rsidR="00EA3933">
        <w:t xml:space="preserve">making </w:t>
      </w:r>
      <w:r w:rsidR="00C77EB8">
        <w:t>as well.</w:t>
      </w:r>
    </w:p>
    <w:p w14:paraId="0B0FA21D" w14:textId="2C064541" w:rsidR="00263E07" w:rsidRDefault="00263E07" w:rsidP="00FB15B6">
      <w:pPr>
        <w:pStyle w:val="Standard"/>
      </w:pPr>
      <w:r>
        <w:t xml:space="preserve">Our final item regarding the RO model is one that was not mentioned in the Staff Report or parties’ comments:  bill impacts.  </w:t>
      </w:r>
      <w:r w:rsidR="003E02ED">
        <w:t>Each utility currently includes summary</w:t>
      </w:r>
      <w:r w:rsidR="00FE5496">
        <w:noBreakHyphen/>
      </w:r>
      <w:r w:rsidR="003E02ED">
        <w:t xml:space="preserve">level </w:t>
      </w:r>
      <w:bookmarkStart w:id="92" w:name="_Hlk21026994"/>
      <w:r w:rsidR="003E02ED">
        <w:t>bill impacts for a residential customer in its GRC application, but only for one</w:t>
      </w:r>
      <w:r w:rsidR="00773108">
        <w:t xml:space="preserve"> “average”</w:t>
      </w:r>
      <w:r w:rsidR="003E02ED">
        <w:t xml:space="preserve"> usage level, and without differentiating </w:t>
      </w:r>
      <w:r w:rsidR="00B53359">
        <w:t xml:space="preserve">by </w:t>
      </w:r>
      <w:r w:rsidR="00773108">
        <w:t xml:space="preserve">usage in </w:t>
      </w:r>
      <w:r w:rsidR="003E02ED">
        <w:t>various climate zones</w:t>
      </w:r>
      <w:r w:rsidR="00C57418">
        <w:t>, or other means,</w:t>
      </w:r>
      <w:r w:rsidR="003E02ED">
        <w:t xml:space="preserve"> in </w:t>
      </w:r>
      <w:r w:rsidR="00006DC0">
        <w:t>the utility’s service territory</w:t>
      </w:r>
      <w:bookmarkEnd w:id="92"/>
      <w:r w:rsidR="00006DC0">
        <w:t>.</w:t>
      </w:r>
      <w:r w:rsidR="00006DC0">
        <w:rPr>
          <w:rStyle w:val="FootnoteReference"/>
        </w:rPr>
        <w:footnoteReference w:id="111"/>
      </w:r>
      <w:r w:rsidR="00006DC0">
        <w:t xml:space="preserve">  The Energy Division should include the task of </w:t>
      </w:r>
      <w:bookmarkStart w:id="93" w:name="_Hlk20942510"/>
      <w:r w:rsidR="00006DC0">
        <w:t xml:space="preserve">incorporating standardized bill impact calculations into every GRC application </w:t>
      </w:r>
      <w:bookmarkEnd w:id="93"/>
      <w:r w:rsidR="00006DC0">
        <w:t xml:space="preserve">as a mandatory topic at </w:t>
      </w:r>
      <w:r w:rsidR="007E134F">
        <w:t xml:space="preserve">the </w:t>
      </w:r>
      <w:r w:rsidR="00006DC0">
        <w:t>future workshop</w:t>
      </w:r>
      <w:r w:rsidR="007E134F">
        <w:t>(</w:t>
      </w:r>
      <w:r w:rsidR="00006DC0">
        <w:t>s</w:t>
      </w:r>
      <w:r w:rsidR="007E134F">
        <w:t>)</w:t>
      </w:r>
      <w:r w:rsidR="00006DC0">
        <w:t xml:space="preserve">.  The utilities should consider this </w:t>
      </w:r>
      <w:r w:rsidR="007E134F">
        <w:t>to be</w:t>
      </w:r>
      <w:r w:rsidR="00006DC0">
        <w:t xml:space="preserve"> </w:t>
      </w:r>
      <w:r w:rsidR="00B53359">
        <w:t xml:space="preserve">a </w:t>
      </w:r>
      <w:r w:rsidR="00006DC0">
        <w:t>compliance item imposed on each of them by this decision.</w:t>
      </w:r>
    </w:p>
    <w:p w14:paraId="71CAD693" w14:textId="5AE573CE" w:rsidR="00FB15B6" w:rsidRPr="00FB15B6" w:rsidRDefault="00DC7E51" w:rsidP="004B5523">
      <w:pPr>
        <w:pStyle w:val="Heading3"/>
      </w:pPr>
      <w:bookmarkStart w:id="94" w:name="_Toc13244211"/>
      <w:bookmarkStart w:id="95" w:name="_Toc20998456"/>
      <w:bookmarkStart w:id="96" w:name="_Toc29817404"/>
      <w:r w:rsidRPr="00DC7E51">
        <w:t>Should a Future Workshop Address</w:t>
      </w:r>
      <w:r>
        <w:t xml:space="preserve"> </w:t>
      </w:r>
      <w:r w:rsidR="00FB15B6" w:rsidRPr="00FB15B6">
        <w:t xml:space="preserve">FERC </w:t>
      </w:r>
      <w:r>
        <w:t>A</w:t>
      </w:r>
      <w:r w:rsidR="00FB15B6" w:rsidRPr="00FB15B6">
        <w:t>ccounting</w:t>
      </w:r>
      <w:bookmarkEnd w:id="94"/>
      <w:r>
        <w:t>?</w:t>
      </w:r>
      <w:bookmarkEnd w:id="95"/>
      <w:bookmarkEnd w:id="96"/>
    </w:p>
    <w:p w14:paraId="0D96AD68" w14:textId="77777777" w:rsidR="00E92ADA" w:rsidRPr="008111FC" w:rsidRDefault="00E92ADA" w:rsidP="006F0AC0">
      <w:pPr>
        <w:pStyle w:val="Standard"/>
      </w:pPr>
      <w:r w:rsidRPr="008111FC">
        <w:t>The fourth and final workshop recommended in the Staff Report would further explore</w:t>
      </w:r>
      <w:r w:rsidR="00FB15B6" w:rsidRPr="008111FC">
        <w:t xml:space="preserve"> the benefits and costs of requiring the utilities to present their GRC requests </w:t>
      </w:r>
      <w:r w:rsidRPr="008111FC">
        <w:t xml:space="preserve">in a format that </w:t>
      </w:r>
      <w:r w:rsidR="007D2E1E" w:rsidRPr="008111FC">
        <w:t>conform</w:t>
      </w:r>
      <w:r w:rsidR="007D2E1E">
        <w:t>s</w:t>
      </w:r>
      <w:r w:rsidR="007D2E1E" w:rsidRPr="008111FC">
        <w:t xml:space="preserve"> </w:t>
      </w:r>
      <w:r w:rsidRPr="008111FC">
        <w:t>to the corresponding</w:t>
      </w:r>
      <w:r w:rsidR="00FB15B6" w:rsidRPr="008111FC">
        <w:t xml:space="preserve"> FERC account</w:t>
      </w:r>
      <w:r w:rsidR="00EA3933" w:rsidRPr="008111FC">
        <w:t xml:space="preserve">ing </w:t>
      </w:r>
      <w:r w:rsidR="00EA3933" w:rsidRPr="008111FC">
        <w:lastRenderedPageBreak/>
        <w:t>structure</w:t>
      </w:r>
      <w:r w:rsidR="00FB15B6" w:rsidRPr="008111FC">
        <w:t>.</w:t>
      </w:r>
      <w:r w:rsidR="0028739E" w:rsidRPr="00D14898">
        <w:rPr>
          <w:rStyle w:val="FootnoteReference"/>
        </w:rPr>
        <w:footnoteReference w:id="112"/>
      </w:r>
      <w:r w:rsidR="00FB15B6" w:rsidRPr="0093254B">
        <w:t xml:space="preserve"> </w:t>
      </w:r>
      <w:r w:rsidR="00EA3933" w:rsidRPr="00583975">
        <w:t xml:space="preserve"> </w:t>
      </w:r>
      <w:r w:rsidRPr="008111FC">
        <w:t>Staff explains that r</w:t>
      </w:r>
      <w:r w:rsidR="00FB15B6" w:rsidRPr="008111FC">
        <w:t xml:space="preserve">equiring utilities to present their GRC </w:t>
      </w:r>
      <w:r w:rsidRPr="008111FC">
        <w:t>in this manner would enable</w:t>
      </w:r>
      <w:r w:rsidR="00FB15B6" w:rsidRPr="008111FC">
        <w:t xml:space="preserve"> the Commission and parties to more easily compare cost</w:t>
      </w:r>
      <w:r w:rsidRPr="008111FC">
        <w:t>s</w:t>
      </w:r>
      <w:r w:rsidR="00FB15B6" w:rsidRPr="008111FC">
        <w:t xml:space="preserve"> across the four utilities</w:t>
      </w:r>
      <w:r w:rsidRPr="008111FC">
        <w:t xml:space="preserve">, as well as to utilities across the country that are also required to report this data in annual </w:t>
      </w:r>
      <w:r w:rsidR="00FB15B6" w:rsidRPr="008111FC">
        <w:t>FERC Form 1</w:t>
      </w:r>
      <w:r w:rsidRPr="008111FC">
        <w:t xml:space="preserve"> and Form 2 filings</w:t>
      </w:r>
      <w:r w:rsidR="00FB15B6" w:rsidRPr="008111FC">
        <w:t>.</w:t>
      </w:r>
    </w:p>
    <w:p w14:paraId="688726C0" w14:textId="77777777" w:rsidR="00FB15B6" w:rsidRDefault="00E92ADA" w:rsidP="00FB15B6">
      <w:pPr>
        <w:pStyle w:val="Standard"/>
      </w:pPr>
      <w:r>
        <w:t>The Staff Report acknowledges that</w:t>
      </w:r>
      <w:r w:rsidR="00FB15B6" w:rsidRPr="00FB15B6">
        <w:t xml:space="preserve"> workshop participants </w:t>
      </w:r>
      <w:r>
        <w:t>expressed</w:t>
      </w:r>
      <w:r w:rsidR="00FB15B6" w:rsidRPr="00FB15B6">
        <w:t xml:space="preserve"> widely different opinions about whether </w:t>
      </w:r>
      <w:r>
        <w:t>the Commission should adopt this requirement</w:t>
      </w:r>
      <w:r w:rsidR="00FB15B6" w:rsidRPr="00FB15B6">
        <w:t xml:space="preserve">.  </w:t>
      </w:r>
      <w:r w:rsidR="000F76D5">
        <w:t xml:space="preserve">Staff </w:t>
      </w:r>
      <w:r w:rsidR="00EA3933">
        <w:t xml:space="preserve">suggests </w:t>
      </w:r>
      <w:r w:rsidR="000F76D5">
        <w:t>t</w:t>
      </w:r>
      <w:r>
        <w:t xml:space="preserve">he recommended workshop </w:t>
      </w:r>
      <w:r w:rsidR="00EA3933">
        <w:t xml:space="preserve">would provide </w:t>
      </w:r>
      <w:r>
        <w:t>an opportunity to address this question in greater depth.</w:t>
      </w:r>
    </w:p>
    <w:p w14:paraId="23E687E4" w14:textId="77777777" w:rsidR="00E92ADA" w:rsidRDefault="00E92ADA" w:rsidP="00FB15B6">
      <w:pPr>
        <w:pStyle w:val="Standard"/>
      </w:pPr>
      <w:r>
        <w:t>As Staff anticipated, the utilities</w:t>
      </w:r>
      <w:r w:rsidR="0028739E">
        <w:t xml:space="preserve"> uniformly oppose </w:t>
      </w:r>
      <w:r w:rsidR="000F76D5">
        <w:t xml:space="preserve">the idea of presenting their GRC applications using the FERC Uniform System of Accounts, or even </w:t>
      </w:r>
      <w:r w:rsidR="005C6549">
        <w:t>scheduling a workshop to discuss the idea further</w:t>
      </w:r>
      <w:r w:rsidR="0028739E">
        <w:t xml:space="preserve">.  </w:t>
      </w:r>
      <w:r w:rsidR="0028739E" w:rsidRPr="0028739E">
        <w:t>SDG&amp;E and SoCalGas</w:t>
      </w:r>
      <w:r w:rsidR="0028739E">
        <w:t xml:space="preserve"> explain succinctly what PG&amp;E and SCE state in greater detail</w:t>
      </w:r>
      <w:r w:rsidR="0028739E" w:rsidRPr="0028739E">
        <w:t xml:space="preserve">:  </w:t>
      </w:r>
      <w:r w:rsidR="0028739E">
        <w:t>“[a]</w:t>
      </w:r>
      <w:r w:rsidR="0028739E" w:rsidRPr="0028739E">
        <w:t>lthough standardization of accounting systems across all utilities for GRC purposes might seem to be a desirable goal, use of the FERC system of accounts would not be feasible or realistic, as all the utilities are very different.</w:t>
      </w:r>
      <w:r w:rsidR="0028739E">
        <w:t>”</w:t>
      </w:r>
      <w:r w:rsidR="0028739E">
        <w:rPr>
          <w:rStyle w:val="FootnoteReference"/>
        </w:rPr>
        <w:footnoteReference w:id="113"/>
      </w:r>
    </w:p>
    <w:p w14:paraId="5DF7FE22" w14:textId="320D3399" w:rsidR="00BA6157" w:rsidRPr="00FB15B6" w:rsidRDefault="005C6549" w:rsidP="00FB15B6">
      <w:pPr>
        <w:pStyle w:val="Standard"/>
      </w:pPr>
      <w:r>
        <w:lastRenderedPageBreak/>
        <w:t>The</w:t>
      </w:r>
      <w:r w:rsidR="00BA6157">
        <w:t xml:space="preserve"> utilities </w:t>
      </w:r>
      <w:r w:rsidR="00C77EB8">
        <w:t xml:space="preserve">have </w:t>
      </w:r>
      <w:r>
        <w:t>convinc</w:t>
      </w:r>
      <w:r w:rsidR="00C77EB8">
        <w:t xml:space="preserve">ed us </w:t>
      </w:r>
      <w:r w:rsidR="00BA6157">
        <w:t xml:space="preserve">that </w:t>
      </w:r>
      <w:r w:rsidR="00BA6157" w:rsidRPr="00BA6157">
        <w:t>requiring the</w:t>
      </w:r>
      <w:r w:rsidR="00BA6157">
        <w:t xml:space="preserve">m to </w:t>
      </w:r>
      <w:r w:rsidR="00BA6157" w:rsidRPr="00BA6157">
        <w:t xml:space="preserve">present their GRC requests in a </w:t>
      </w:r>
      <w:r w:rsidR="00263E07" w:rsidRPr="00BA6157">
        <w:t>format</w:t>
      </w:r>
      <w:r w:rsidR="00263E07">
        <w:t xml:space="preserve"> based on </w:t>
      </w:r>
      <w:r>
        <w:t>FERC</w:t>
      </w:r>
      <w:r w:rsidR="00263E07">
        <w:t xml:space="preserve"> accounts </w:t>
      </w:r>
      <w:r>
        <w:t>would be</w:t>
      </w:r>
      <w:r w:rsidR="00BA6157">
        <w:t xml:space="preserve"> inadvisable and would not result in greater efficiencies or streamlining of the GRC process.  That said, </w:t>
      </w:r>
      <w:r w:rsidR="00323945">
        <w:t>one takeaway for the utilities from our discussions above should be the</w:t>
      </w:r>
      <w:r w:rsidR="00BA6157">
        <w:t xml:space="preserve"> importance </w:t>
      </w:r>
      <w:r w:rsidR="00323945">
        <w:t xml:space="preserve">we place on </w:t>
      </w:r>
      <w:r w:rsidR="00BA6157">
        <w:t>having information available to us that allows us to compare the utilities with each other on an “apples</w:t>
      </w:r>
      <w:r w:rsidR="00FE5496">
        <w:noBreakHyphen/>
      </w:r>
      <w:r w:rsidR="00BA6157">
        <w:t>to</w:t>
      </w:r>
      <w:r w:rsidR="00FE5496">
        <w:noBreakHyphen/>
      </w:r>
      <w:r w:rsidR="00BA6157">
        <w:t xml:space="preserve">apples” basis.  </w:t>
      </w:r>
      <w:r w:rsidR="00263E07">
        <w:t xml:space="preserve">If the FERC accounting framework is not the best means of accomplishing this goal, we expect the utilities to suggest a better approach.  Once again, though it may not seem </w:t>
      </w:r>
      <w:r w:rsidR="000867AF">
        <w:t xml:space="preserve">evident </w:t>
      </w:r>
      <w:r w:rsidR="00263E07">
        <w:t>to the utilities, our review of any particular GRC application can be completed more quickly if all the applications are presented to us in a common format.</w:t>
      </w:r>
    </w:p>
    <w:p w14:paraId="0DDD430F" w14:textId="77777777" w:rsidR="00FB15B6" w:rsidRPr="00FB15B6" w:rsidRDefault="00FB15B6" w:rsidP="004B5523">
      <w:pPr>
        <w:pStyle w:val="Heading3"/>
      </w:pPr>
      <w:bookmarkStart w:id="97" w:name="_Toc13244212"/>
      <w:bookmarkStart w:id="98" w:name="_Toc20998457"/>
      <w:bookmarkStart w:id="99" w:name="_Toc29817405"/>
      <w:r w:rsidRPr="00FB15B6">
        <w:t>Adopted Workshop</w:t>
      </w:r>
      <w:bookmarkEnd w:id="97"/>
      <w:r w:rsidR="008B1D03">
        <w:t xml:space="preserve"> Topics and Schedule</w:t>
      </w:r>
      <w:bookmarkEnd w:id="98"/>
      <w:bookmarkEnd w:id="99"/>
    </w:p>
    <w:p w14:paraId="7C624EB8" w14:textId="254562EC" w:rsidR="0098753A" w:rsidRDefault="005C6549" w:rsidP="0098753A">
      <w:pPr>
        <w:pStyle w:val="Standard"/>
      </w:pPr>
      <w:r w:rsidRPr="005C6549">
        <w:t xml:space="preserve">As we said earlier in this decision, </w:t>
      </w:r>
      <w:r>
        <w:t>we embrace any changes to the RCP that will help us process GRCs more efficiently.  The same goes for future workshops.  Parties’ comments on the Staff Report have helped us narrow the list of topics that should be considered in workshops</w:t>
      </w:r>
      <w:r w:rsidR="00720980">
        <w:t xml:space="preserve"> to those where parties </w:t>
      </w:r>
      <w:r w:rsidR="00773108">
        <w:t xml:space="preserve">indicated </w:t>
      </w:r>
      <w:r w:rsidR="00720980">
        <w:t xml:space="preserve">success is likely.  On that basis, we direct Staff to schedule </w:t>
      </w:r>
      <w:r w:rsidR="0098753A">
        <w:t>one or more workshop</w:t>
      </w:r>
      <w:r w:rsidR="00720980">
        <w:t>s to address the topics listed below.  We leave it up to Staff, working collaboratively with parties at the planning stage as SCE suggests in its comments, to organize the details.</w:t>
      </w:r>
    </w:p>
    <w:p w14:paraId="6272D27E" w14:textId="77777777" w:rsidR="007800AE" w:rsidRDefault="0098753A" w:rsidP="0098753A">
      <w:pPr>
        <w:pStyle w:val="Standard"/>
      </w:pPr>
      <w:r>
        <w:t>We would welcome parties</w:t>
      </w:r>
      <w:r w:rsidR="00611288">
        <w:t>’</w:t>
      </w:r>
      <w:r>
        <w:t xml:space="preserve"> suggestions for improvements in the following broad areas:</w:t>
      </w:r>
    </w:p>
    <w:p w14:paraId="6A020A1B" w14:textId="7E437DAE" w:rsidR="007800AE" w:rsidRDefault="007800AE" w:rsidP="00D14898">
      <w:pPr>
        <w:pStyle w:val="Standard"/>
        <w:numPr>
          <w:ilvl w:val="0"/>
          <w:numId w:val="36"/>
        </w:numPr>
        <w:spacing w:after="120" w:line="240" w:lineRule="auto"/>
        <w:ind w:left="1080" w:right="720"/>
      </w:pPr>
      <w:bookmarkStart w:id="100" w:name="_Hlk21018118"/>
      <w:r>
        <w:t xml:space="preserve">Standardizing </w:t>
      </w:r>
      <w:r w:rsidR="003E242E">
        <w:t xml:space="preserve">the organization and format of </w:t>
      </w:r>
      <w:r>
        <w:t xml:space="preserve">GRC </w:t>
      </w:r>
      <w:r w:rsidR="003E242E">
        <w:t xml:space="preserve">and RAMP </w:t>
      </w:r>
      <w:r w:rsidR="00611288">
        <w:t>filings and the proceeding record, including the possibilities offered in the Staff Report:</w:t>
      </w:r>
    </w:p>
    <w:p w14:paraId="6B4AA1F2" w14:textId="4E53DCB0" w:rsidR="00A110A3" w:rsidRDefault="00A110A3" w:rsidP="00D14898">
      <w:pPr>
        <w:pStyle w:val="FoF"/>
        <w:numPr>
          <w:ilvl w:val="1"/>
          <w:numId w:val="36"/>
        </w:numPr>
        <w:spacing w:after="120" w:line="240" w:lineRule="auto"/>
        <w:ind w:right="720"/>
      </w:pPr>
      <w:bookmarkStart w:id="101" w:name="_Hlk13758341"/>
      <w:r>
        <w:t xml:space="preserve">Developing and recommending </w:t>
      </w:r>
      <w:bookmarkEnd w:id="101"/>
      <w:r>
        <w:t>a standard index for testimony</w:t>
      </w:r>
      <w:r w:rsidR="00332A9F">
        <w:t>;</w:t>
      </w:r>
    </w:p>
    <w:p w14:paraId="38458D63" w14:textId="0D0678FA" w:rsidR="00032852" w:rsidRDefault="00032852" w:rsidP="00D14898">
      <w:pPr>
        <w:pStyle w:val="FoF"/>
        <w:numPr>
          <w:ilvl w:val="1"/>
          <w:numId w:val="36"/>
        </w:numPr>
        <w:spacing w:after="120" w:line="240" w:lineRule="auto"/>
        <w:ind w:right="720"/>
      </w:pPr>
      <w:r>
        <w:lastRenderedPageBreak/>
        <w:t xml:space="preserve">Developing and recommending a </w:t>
      </w:r>
      <w:r w:rsidRPr="00032852">
        <w:t xml:space="preserve">standard format for mapping RAMP risk mitigations to GRC testimony and workpapers.  GRC workpapers should </w:t>
      </w:r>
      <w:r>
        <w:t xml:space="preserve">also </w:t>
      </w:r>
      <w:r w:rsidRPr="00032852">
        <w:t>indicate which costs are RAMP</w:t>
      </w:r>
      <w:r w:rsidR="00FE5496">
        <w:noBreakHyphen/>
      </w:r>
      <w:r w:rsidRPr="00032852">
        <w:t>related costs, and which are non</w:t>
      </w:r>
      <w:r w:rsidR="00FE5496">
        <w:noBreakHyphen/>
      </w:r>
      <w:r w:rsidRPr="00032852">
        <w:t>RAMP</w:t>
      </w:r>
      <w:r w:rsidR="00FE5496">
        <w:noBreakHyphen/>
      </w:r>
      <w:r w:rsidRPr="00032852">
        <w:t>related</w:t>
      </w:r>
      <w:r w:rsidR="00396EE1">
        <w:t>;</w:t>
      </w:r>
    </w:p>
    <w:p w14:paraId="2933AF96" w14:textId="794EE9B5" w:rsidR="007800AE" w:rsidRDefault="00A110A3" w:rsidP="00D14898">
      <w:pPr>
        <w:pStyle w:val="FoF"/>
        <w:numPr>
          <w:ilvl w:val="1"/>
          <w:numId w:val="36"/>
        </w:numPr>
        <w:spacing w:after="120" w:line="240" w:lineRule="auto"/>
        <w:ind w:right="720"/>
      </w:pPr>
      <w:r>
        <w:t xml:space="preserve">Developing and recommending </w:t>
      </w:r>
      <w:r w:rsidR="00611288">
        <w:t xml:space="preserve">a standard </w:t>
      </w:r>
      <w:r>
        <w:t>d</w:t>
      </w:r>
      <w:r w:rsidR="007800AE">
        <w:t xml:space="preserve">ata </w:t>
      </w:r>
      <w:r>
        <w:t>r</w:t>
      </w:r>
      <w:r w:rsidR="007800AE">
        <w:t xml:space="preserve">equest </w:t>
      </w:r>
      <w:r>
        <w:t>f</w:t>
      </w:r>
      <w:r w:rsidR="007800AE">
        <w:t>ormat</w:t>
      </w:r>
      <w:r>
        <w:t xml:space="preserve">, </w:t>
      </w:r>
      <w:r w:rsidR="008C5C1D">
        <w:t xml:space="preserve">including for the RAMP, </w:t>
      </w:r>
      <w:r>
        <w:t xml:space="preserve">as we discussed in </w:t>
      </w:r>
      <w:r w:rsidR="000867AF">
        <w:br/>
      </w:r>
      <w:r>
        <w:t>Section 5.5.1 above</w:t>
      </w:r>
      <w:r w:rsidR="00332A9F">
        <w:t>;</w:t>
      </w:r>
    </w:p>
    <w:p w14:paraId="3EE3CBE8" w14:textId="77777777" w:rsidR="007800AE" w:rsidRDefault="00A110A3" w:rsidP="00D14898">
      <w:pPr>
        <w:pStyle w:val="FoF"/>
        <w:numPr>
          <w:ilvl w:val="1"/>
          <w:numId w:val="36"/>
        </w:numPr>
        <w:spacing w:after="120" w:line="240" w:lineRule="auto"/>
        <w:ind w:right="720"/>
      </w:pPr>
      <w:r>
        <w:t>Developing and recommending a standard format for the</w:t>
      </w:r>
      <w:r w:rsidR="007800AE">
        <w:t xml:space="preserve"> Joint Comparison Exhibit</w:t>
      </w:r>
      <w:r w:rsidR="00332A9F">
        <w:t>; and</w:t>
      </w:r>
    </w:p>
    <w:p w14:paraId="441268E2" w14:textId="77777777" w:rsidR="007800AE" w:rsidRDefault="00611288" w:rsidP="00D14898">
      <w:pPr>
        <w:pStyle w:val="FoF"/>
        <w:numPr>
          <w:ilvl w:val="1"/>
          <w:numId w:val="36"/>
        </w:numPr>
        <w:spacing w:after="120" w:line="240" w:lineRule="auto"/>
        <w:ind w:right="720"/>
      </w:pPr>
      <w:r>
        <w:t>Developing and recommending general ground rules regarding identification of t</w:t>
      </w:r>
      <w:r w:rsidR="007800AE">
        <w:t>he Base Year</w:t>
      </w:r>
      <w:r>
        <w:t xml:space="preserve">, as well as a common framework for incorporating updated </w:t>
      </w:r>
      <w:r w:rsidR="00C77EB8">
        <w:t xml:space="preserve">“Base Year +1” </w:t>
      </w:r>
      <w:r>
        <w:t>r</w:t>
      </w:r>
      <w:r w:rsidR="007800AE">
        <w:t xml:space="preserve">ecorded </w:t>
      </w:r>
      <w:r>
        <w:t>d</w:t>
      </w:r>
      <w:r w:rsidR="007800AE">
        <w:t>ata</w:t>
      </w:r>
      <w:r>
        <w:t xml:space="preserve"> at a given stage of the GRC proceeding.</w:t>
      </w:r>
    </w:p>
    <w:p w14:paraId="05BB506C" w14:textId="23E9D8B2" w:rsidR="00066D93" w:rsidRDefault="00A110A3" w:rsidP="00D14898">
      <w:pPr>
        <w:pStyle w:val="Standard"/>
        <w:numPr>
          <w:ilvl w:val="0"/>
          <w:numId w:val="36"/>
        </w:numPr>
        <w:spacing w:after="240" w:line="240" w:lineRule="auto"/>
        <w:ind w:left="1080" w:right="720"/>
      </w:pPr>
      <w:bookmarkStart w:id="102" w:name="_Hlk21017919"/>
      <w:bookmarkEnd w:id="100"/>
      <w:r w:rsidRPr="00A110A3">
        <w:t>D</w:t>
      </w:r>
      <w:r>
        <w:t>iscussing</w:t>
      </w:r>
      <w:r w:rsidRPr="00A110A3">
        <w:t xml:space="preserve"> and </w:t>
      </w:r>
      <w:r>
        <w:t xml:space="preserve">developing </w:t>
      </w:r>
      <w:r w:rsidRPr="00A110A3">
        <w:t>recommend</w:t>
      </w:r>
      <w:r>
        <w:t>ations regarding the possible use of stipulated terms, rebuttable presumptions, and escalation</w:t>
      </w:r>
      <w:r w:rsidR="00FE5496">
        <w:noBreakHyphen/>
      </w:r>
      <w:r>
        <w:t xml:space="preserve">based attrition year revenue requirements.  </w:t>
      </w:r>
      <w:bookmarkEnd w:id="102"/>
      <w:r>
        <w:t xml:space="preserve">We </w:t>
      </w:r>
      <w:r w:rsidR="00611288">
        <w:t xml:space="preserve">clarify here that we </w:t>
      </w:r>
      <w:r>
        <w:t>do not consider these workshops to be the proper forum for more far</w:t>
      </w:r>
      <w:r w:rsidR="00FE5496">
        <w:noBreakHyphen/>
      </w:r>
      <w:r>
        <w:t>reaching discussions regarding a</w:t>
      </w:r>
      <w:r w:rsidR="00611288">
        <w:t xml:space="preserve">n </w:t>
      </w:r>
      <w:r>
        <w:t>incentive ratemaking mechanism for attrition years, so Staff should not pursue that idea further</w:t>
      </w:r>
      <w:r w:rsidR="00611288">
        <w:t xml:space="preserve"> in these workshops.</w:t>
      </w:r>
    </w:p>
    <w:p w14:paraId="2E839503" w14:textId="77F3457F" w:rsidR="00066D93" w:rsidRDefault="00066D93" w:rsidP="00FE0D5B">
      <w:pPr>
        <w:pStyle w:val="Standard"/>
        <w:numPr>
          <w:ilvl w:val="0"/>
          <w:numId w:val="36"/>
        </w:numPr>
        <w:spacing w:after="120" w:line="240" w:lineRule="auto"/>
        <w:ind w:left="1080" w:right="720"/>
      </w:pPr>
      <w:bookmarkStart w:id="103" w:name="_Hlk21018065"/>
      <w:r>
        <w:t>Results of Operations</w:t>
      </w:r>
    </w:p>
    <w:p w14:paraId="114E8BA2" w14:textId="5DDDF8B5" w:rsidR="007800AE" w:rsidRDefault="00066D93" w:rsidP="00066D93">
      <w:pPr>
        <w:pStyle w:val="FoF"/>
        <w:numPr>
          <w:ilvl w:val="1"/>
          <w:numId w:val="36"/>
        </w:numPr>
        <w:spacing w:after="120" w:line="240" w:lineRule="auto"/>
        <w:ind w:right="720"/>
      </w:pPr>
      <w:r>
        <w:t>Developing a standard format for the “Summary of Earnings” table produced by the RO model to be incorporated into each utility’s RO model;</w:t>
      </w:r>
    </w:p>
    <w:p w14:paraId="6CA1271C" w14:textId="46B8201F" w:rsidR="00066D93" w:rsidRDefault="003A5350" w:rsidP="00066D93">
      <w:pPr>
        <w:pStyle w:val="FoF"/>
        <w:numPr>
          <w:ilvl w:val="1"/>
          <w:numId w:val="36"/>
        </w:numPr>
        <w:spacing w:after="120" w:line="240" w:lineRule="auto"/>
        <w:ind w:right="720"/>
      </w:pPr>
      <w:r>
        <w:t>To more efficiently complete the RO modeling</w:t>
      </w:r>
      <w:r w:rsidR="00BB0910">
        <w:t xml:space="preserve"> for the proposed decision, developing </w:t>
      </w:r>
      <w:r w:rsidR="00BB0910" w:rsidRPr="00BB0910">
        <w:t>a single approach</w:t>
      </w:r>
      <w:r w:rsidR="00BB0910">
        <w:t xml:space="preserve"> across utilities</w:t>
      </w:r>
      <w:r w:rsidR="00BB0910" w:rsidRPr="00BB0910">
        <w:t xml:space="preserve"> to the working relationship with the ALJ and Energy Division staff</w:t>
      </w:r>
      <w:r w:rsidR="00BB0910">
        <w:t>; and</w:t>
      </w:r>
    </w:p>
    <w:p w14:paraId="08AF8F8B" w14:textId="6368BA77" w:rsidR="00BB0910" w:rsidRDefault="00BB0910" w:rsidP="00FE0D5B">
      <w:pPr>
        <w:pStyle w:val="FoF"/>
        <w:numPr>
          <w:ilvl w:val="1"/>
          <w:numId w:val="36"/>
        </w:numPr>
        <w:spacing w:after="240" w:line="240" w:lineRule="auto"/>
        <w:ind w:right="720"/>
      </w:pPr>
      <w:r>
        <w:t xml:space="preserve">Developing and </w:t>
      </w:r>
      <w:r w:rsidRPr="00BB0910">
        <w:t>incorporating standardized bill impact calculations into every GRC application</w:t>
      </w:r>
      <w:r>
        <w:t>.</w:t>
      </w:r>
    </w:p>
    <w:p w14:paraId="43C64EDB" w14:textId="4E1F8A52" w:rsidR="000867AF" w:rsidRDefault="000867AF" w:rsidP="005B3F70">
      <w:pPr>
        <w:pStyle w:val="FoF"/>
        <w:numPr>
          <w:ilvl w:val="0"/>
          <w:numId w:val="0"/>
        </w:numPr>
        <w:spacing w:after="120"/>
        <w:ind w:right="720" w:firstLine="547"/>
      </w:pPr>
      <w:r>
        <w:t>We continue this list with several additional topics</w:t>
      </w:r>
      <w:r w:rsidR="0007204E">
        <w:t xml:space="preserve"> discussed earlier in this decision</w:t>
      </w:r>
      <w:r>
        <w:t>:</w:t>
      </w:r>
    </w:p>
    <w:p w14:paraId="3F4C9BAF" w14:textId="36591BA2" w:rsidR="000867AF" w:rsidRDefault="00E2465C" w:rsidP="000867AF">
      <w:pPr>
        <w:pStyle w:val="Standard"/>
        <w:numPr>
          <w:ilvl w:val="0"/>
          <w:numId w:val="36"/>
        </w:numPr>
        <w:spacing w:after="120" w:line="240" w:lineRule="auto"/>
        <w:ind w:left="1080" w:right="720"/>
      </w:pPr>
      <w:r>
        <w:lastRenderedPageBreak/>
        <w:t xml:space="preserve">GRC </w:t>
      </w:r>
      <w:r w:rsidR="000867AF">
        <w:t>Phase 2</w:t>
      </w:r>
      <w:r>
        <w:t xml:space="preserve"> schedule and filing requirements</w:t>
      </w:r>
      <w:r w:rsidR="003640F5">
        <w:t xml:space="preserve">:  as we noted in Section 5.2 above, PG&amp;E </w:t>
      </w:r>
      <w:r>
        <w:t>suggested</w:t>
      </w:r>
      <w:r w:rsidR="003640F5">
        <w:t xml:space="preserve"> in its comments on the PD that the Commission </w:t>
      </w:r>
      <w:r w:rsidR="003640F5" w:rsidRPr="003640F5">
        <w:t xml:space="preserve">would benefit from a more robust record on whether to modify the filing requirements for </w:t>
      </w:r>
      <w:r w:rsidR="003640F5">
        <w:t xml:space="preserve">GRC </w:t>
      </w:r>
      <w:r w:rsidR="003640F5" w:rsidRPr="003640F5">
        <w:t xml:space="preserve">Phase 2 applications.  </w:t>
      </w:r>
    </w:p>
    <w:p w14:paraId="3954B370" w14:textId="77777777" w:rsidR="003E5462" w:rsidRDefault="003E5462" w:rsidP="000867AF">
      <w:pPr>
        <w:pStyle w:val="Standard"/>
        <w:numPr>
          <w:ilvl w:val="0"/>
          <w:numId w:val="36"/>
        </w:numPr>
        <w:spacing w:after="120" w:line="240" w:lineRule="auto"/>
        <w:ind w:left="1080" w:right="720"/>
      </w:pPr>
      <w:bookmarkStart w:id="104" w:name="_Hlk23709081"/>
      <w:r>
        <w:t>Framework for attrition year revenue requirements</w:t>
      </w:r>
    </w:p>
    <w:bookmarkEnd w:id="104"/>
    <w:p w14:paraId="508CD77B" w14:textId="6984B70A" w:rsidR="003E5462" w:rsidRDefault="003E5462" w:rsidP="005B3DDC">
      <w:pPr>
        <w:pStyle w:val="Standard"/>
        <w:numPr>
          <w:ilvl w:val="1"/>
          <w:numId w:val="36"/>
        </w:numPr>
        <w:spacing w:after="120" w:line="240" w:lineRule="auto"/>
        <w:ind w:right="720"/>
      </w:pPr>
      <w:r>
        <w:t>How can the Commission’s reporting requirements be used</w:t>
      </w:r>
      <w:r w:rsidR="005B3DDC">
        <w:t xml:space="preserve"> to enable Commission staff to mo</w:t>
      </w:r>
      <w:r w:rsidR="005B3DDC" w:rsidRPr="00EC0D91">
        <w:t>nitor how utilities reprioritize authorized GRC funding</w:t>
      </w:r>
      <w:r w:rsidR="005B3DDC">
        <w:t xml:space="preserve"> during a GRC cycle</w:t>
      </w:r>
      <w:r w:rsidR="00014B5D">
        <w:t>?</w:t>
      </w:r>
    </w:p>
    <w:p w14:paraId="088C1551" w14:textId="71F6A201" w:rsidR="003E5462" w:rsidRDefault="003E5462" w:rsidP="003E5462">
      <w:pPr>
        <w:pStyle w:val="Standard"/>
        <w:numPr>
          <w:ilvl w:val="1"/>
          <w:numId w:val="36"/>
        </w:numPr>
        <w:spacing w:after="120" w:line="240" w:lineRule="auto"/>
        <w:ind w:right="720"/>
      </w:pPr>
      <w:r>
        <w:t>Do any gaps exist</w:t>
      </w:r>
      <w:r w:rsidR="005B3DDC">
        <w:t xml:space="preserve"> in reported data</w:t>
      </w:r>
      <w:r>
        <w:t xml:space="preserve">, where certain costs </w:t>
      </w:r>
      <w:r w:rsidRPr="003E5462">
        <w:t xml:space="preserve">funded through a GRC </w:t>
      </w:r>
      <w:r>
        <w:t xml:space="preserve">are not subject to </w:t>
      </w:r>
      <w:r w:rsidRPr="003E5462">
        <w:t>spending accountability report</w:t>
      </w:r>
      <w:r>
        <w:t>ing?</w:t>
      </w:r>
      <w:r w:rsidR="0045716D">
        <w:rPr>
          <w:rStyle w:val="FootnoteReference"/>
        </w:rPr>
        <w:footnoteReference w:id="114"/>
      </w:r>
    </w:p>
    <w:p w14:paraId="379B76F0" w14:textId="52C64B50" w:rsidR="00E2465C" w:rsidRDefault="0045716D" w:rsidP="0054121A">
      <w:pPr>
        <w:pStyle w:val="Standard"/>
        <w:numPr>
          <w:ilvl w:val="1"/>
          <w:numId w:val="36"/>
        </w:numPr>
        <w:spacing w:after="240" w:line="240" w:lineRule="auto"/>
        <w:ind w:right="720"/>
      </w:pPr>
      <w:r>
        <w:t xml:space="preserve">Today, attrition year revenue requirements are determined by escalation factors and/or </w:t>
      </w:r>
      <w:r w:rsidR="00BA651D">
        <w:t xml:space="preserve">Commission authorization of specific capital spending plans.  </w:t>
      </w:r>
      <w:r w:rsidR="00E2465C">
        <w:t>Major new developments beyond the utility’s control are often granted memorandum account treatment, or addressed using a “z</w:t>
      </w:r>
      <w:r w:rsidR="00FE5496">
        <w:noBreakHyphen/>
      </w:r>
      <w:r w:rsidR="00E2465C">
        <w:t>factor” mechanism.  Does the addition of a third attrition year require any additional mechanism, beyond those listed here?</w:t>
      </w:r>
      <w:r w:rsidR="00E2465C">
        <w:rPr>
          <w:rStyle w:val="FootnoteReference"/>
        </w:rPr>
        <w:footnoteReference w:id="115"/>
      </w:r>
    </w:p>
    <w:p w14:paraId="0D4F7E0D" w14:textId="561C3AC8" w:rsidR="00611288" w:rsidRPr="00D14898" w:rsidRDefault="00611288">
      <w:pPr>
        <w:pStyle w:val="Standard"/>
      </w:pPr>
      <w:bookmarkStart w:id="105" w:name="_Toc13244213"/>
      <w:bookmarkEnd w:id="103"/>
      <w:r w:rsidRPr="00581245">
        <w:t>Finally, regarding scheduling, we agree with TURN</w:t>
      </w:r>
      <w:r w:rsidR="00C015EB" w:rsidRPr="00581245">
        <w:t xml:space="preserve">’s observation that Staff’s proposal to </w:t>
      </w:r>
      <w:r w:rsidR="009A22CF">
        <w:t>divide these topics between</w:t>
      </w:r>
      <w:r w:rsidR="00C015EB" w:rsidRPr="00581245">
        <w:t xml:space="preserve"> </w:t>
      </w:r>
      <w:r w:rsidR="009A22CF">
        <w:t xml:space="preserve">several </w:t>
      </w:r>
      <w:r w:rsidR="00C015EB" w:rsidRPr="00581245">
        <w:t>workshops</w:t>
      </w:r>
      <w:r w:rsidR="009A22CF">
        <w:t xml:space="preserve"> spread</w:t>
      </w:r>
      <w:r w:rsidR="00C015EB" w:rsidRPr="00581245">
        <w:t xml:space="preserve"> out over many months may be too gradual, in light of the progress </w:t>
      </w:r>
      <w:r w:rsidR="00B41FCF" w:rsidRPr="00581245">
        <w:t xml:space="preserve">already </w:t>
      </w:r>
      <w:r w:rsidR="00C015EB" w:rsidRPr="00581245">
        <w:t xml:space="preserve">made by Staff and the </w:t>
      </w:r>
      <w:r w:rsidR="00B41FCF" w:rsidRPr="00581245">
        <w:t>parties to identify potential policy changes to streamline the processing of GRCs.</w:t>
      </w:r>
      <w:r w:rsidR="00C015EB" w:rsidRPr="00581245">
        <w:t xml:space="preserve">  </w:t>
      </w:r>
      <w:r w:rsidR="00EF1984">
        <w:t>However</w:t>
      </w:r>
      <w:r w:rsidR="00BB174A">
        <w:t xml:space="preserve">, we are mindful that implementing </w:t>
      </w:r>
      <w:r w:rsidR="00D0255E">
        <w:t xml:space="preserve">the requirements in Section 5.4 of this </w:t>
      </w:r>
      <w:r w:rsidR="00EF1984">
        <w:t xml:space="preserve">decision </w:t>
      </w:r>
      <w:r w:rsidR="00D0255E">
        <w:t xml:space="preserve">for additional attrition years for Sempra and SCE will </w:t>
      </w:r>
      <w:r w:rsidR="00EF1984">
        <w:t xml:space="preserve">require </w:t>
      </w:r>
      <w:r w:rsidR="00CE6098">
        <w:t>prioritizing S</w:t>
      </w:r>
      <w:r w:rsidR="00D0255E">
        <w:t xml:space="preserve">taff and party resources in the near term. </w:t>
      </w:r>
      <w:r w:rsidR="00C015EB" w:rsidRPr="00581245">
        <w:t xml:space="preserve"> </w:t>
      </w:r>
      <w:r w:rsidR="00D0255E">
        <w:t>W</w:t>
      </w:r>
      <w:r w:rsidR="00C015EB" w:rsidRPr="00581245">
        <w:t xml:space="preserve">e </w:t>
      </w:r>
      <w:r w:rsidR="009A22CF">
        <w:t xml:space="preserve">leave it to </w:t>
      </w:r>
      <w:r w:rsidR="00C015EB" w:rsidRPr="00581245">
        <w:t xml:space="preserve">Staff and interested parties to </w:t>
      </w:r>
      <w:r w:rsidR="009A22CF">
        <w:t xml:space="preserve">decide the best </w:t>
      </w:r>
      <w:r w:rsidR="00840EC2">
        <w:t>way</w:t>
      </w:r>
      <w:r w:rsidR="009A22CF">
        <w:t xml:space="preserve"> </w:t>
      </w:r>
      <w:r w:rsidR="00C015EB" w:rsidRPr="00581245">
        <w:t>to address the topics we list above</w:t>
      </w:r>
      <w:r w:rsidR="00D0255E">
        <w:t xml:space="preserve"> within </w:t>
      </w:r>
      <w:r w:rsidR="00EF1984">
        <w:t xml:space="preserve">the </w:t>
      </w:r>
      <w:r w:rsidR="00D0255E">
        <w:t>next 12 months</w:t>
      </w:r>
      <w:r w:rsidR="00C015EB" w:rsidRPr="00581245">
        <w:t xml:space="preserve">, </w:t>
      </w:r>
      <w:r w:rsidR="00BB0910">
        <w:t>while</w:t>
      </w:r>
      <w:r w:rsidR="009A22CF">
        <w:t xml:space="preserve"> relying on</w:t>
      </w:r>
      <w:r w:rsidR="00C015EB" w:rsidRPr="00581245">
        <w:t xml:space="preserve"> pre</w:t>
      </w:r>
      <w:r w:rsidR="00FE5496">
        <w:noBreakHyphen/>
      </w:r>
      <w:r w:rsidR="00C015EB" w:rsidRPr="00581245">
        <w:t xml:space="preserve">planning </w:t>
      </w:r>
      <w:r w:rsidR="009A22CF">
        <w:lastRenderedPageBreak/>
        <w:t>as suggested by SCE to</w:t>
      </w:r>
      <w:r w:rsidR="00C015EB" w:rsidRPr="00581245">
        <w:t xml:space="preserve"> focus activity at the workshop</w:t>
      </w:r>
      <w:r w:rsidR="009A22CF">
        <w:t>(s)</w:t>
      </w:r>
      <w:r w:rsidR="00C015EB" w:rsidRPr="00581245">
        <w:t xml:space="preserve"> on finalizing parties’ proposals and recommendations.</w:t>
      </w:r>
      <w:r w:rsidR="009A22CF">
        <w:t xml:space="preserve"> </w:t>
      </w:r>
    </w:p>
    <w:p w14:paraId="3DA3750A" w14:textId="7E875EC4" w:rsidR="00FB15B6" w:rsidRPr="00FB15B6" w:rsidRDefault="00C015EB" w:rsidP="00FE5496">
      <w:pPr>
        <w:pStyle w:val="Heading2"/>
      </w:pPr>
      <w:bookmarkStart w:id="106" w:name="_Toc20998458"/>
      <w:bookmarkStart w:id="107" w:name="_Toc29817406"/>
      <w:r>
        <w:t>Should the Commission Open a “</w:t>
      </w:r>
      <w:r w:rsidR="00FB15B6" w:rsidRPr="00FB15B6">
        <w:t>Tax</w:t>
      </w:r>
      <w:r w:rsidR="004B5523">
        <w:t> </w:t>
      </w:r>
      <w:r w:rsidR="00FB15B6" w:rsidRPr="00FB15B6">
        <w:t>Rulemaking</w:t>
      </w:r>
      <w:bookmarkEnd w:id="105"/>
      <w:r>
        <w:t>”?</w:t>
      </w:r>
      <w:bookmarkEnd w:id="106"/>
      <w:bookmarkEnd w:id="107"/>
    </w:p>
    <w:p w14:paraId="42CDE2F0" w14:textId="77777777" w:rsidR="00FB15B6" w:rsidRPr="00FB15B6" w:rsidRDefault="00C015EB" w:rsidP="00FB15B6">
      <w:pPr>
        <w:pStyle w:val="Standard"/>
      </w:pPr>
      <w:r>
        <w:t xml:space="preserve">The </w:t>
      </w:r>
      <w:r w:rsidR="00FB15B6" w:rsidRPr="00FB15B6">
        <w:t xml:space="preserve">Staff </w:t>
      </w:r>
      <w:r>
        <w:t xml:space="preserve">Report includes a </w:t>
      </w:r>
      <w:r w:rsidR="00FB15B6" w:rsidRPr="00FB15B6">
        <w:t>recommend</w:t>
      </w:r>
      <w:r>
        <w:t>ation</w:t>
      </w:r>
      <w:r w:rsidR="00FB15B6" w:rsidRPr="00FB15B6">
        <w:t xml:space="preserve"> that the Commission open a new rulemaking to revisit its policies on the utilities’ recovery of income tax expenses and related rate base issues.</w:t>
      </w:r>
      <w:r w:rsidR="006F009E">
        <w:rPr>
          <w:rStyle w:val="FootnoteReference"/>
        </w:rPr>
        <w:footnoteReference w:id="116"/>
      </w:r>
      <w:r w:rsidR="00FB15B6" w:rsidRPr="00FB15B6">
        <w:t xml:space="preserve">  Staff explains that in recent energy GRCs a number of issues pertaining to income tax expenses were heavily contested and litigated.  Furthermore, </w:t>
      </w:r>
      <w:r w:rsidR="007F0C25">
        <w:t xml:space="preserve">Staff suggests that </w:t>
      </w:r>
      <w:r w:rsidR="00FB15B6" w:rsidRPr="00FB15B6">
        <w:t xml:space="preserve">the Commission’s policies on taxes </w:t>
      </w:r>
      <w:r w:rsidR="007F0C25">
        <w:t xml:space="preserve">may </w:t>
      </w:r>
      <w:r w:rsidR="00FB15B6" w:rsidRPr="00FB15B6">
        <w:t xml:space="preserve">not </w:t>
      </w:r>
      <w:r w:rsidR="007F0C25">
        <w:t xml:space="preserve">have </w:t>
      </w:r>
      <w:r w:rsidR="00FB15B6" w:rsidRPr="00FB15B6">
        <w:t>kept pace with recent changes in the tax law.  Staff concludes that “a look at the Commission’s policies on the utilities’ recovery of income tax expenses is long overdue” and recommends that the Commission open a new rulemaking in order to adopt a consistent tax policy for all the energy utilities.</w:t>
      </w:r>
    </w:p>
    <w:p w14:paraId="6F87F703" w14:textId="43F976E2" w:rsidR="00FB15B6" w:rsidRPr="00FB15B6" w:rsidRDefault="00FB15B6" w:rsidP="00FB15B6">
      <w:pPr>
        <w:pStyle w:val="Standard"/>
      </w:pPr>
      <w:r w:rsidRPr="00FB15B6">
        <w:t xml:space="preserve">Parties’ comments on this recommendation </w:t>
      </w:r>
      <w:r w:rsidR="00C015EB">
        <w:t>ranged from tentative support to outright opposition</w:t>
      </w:r>
      <w:r w:rsidRPr="00FB15B6">
        <w:t>.  SDG&amp;E and SoCalGas would support a “properly scoped” rulemaking.</w:t>
      </w:r>
      <w:r w:rsidRPr="00FB15B6">
        <w:rPr>
          <w:vertAlign w:val="superscript"/>
        </w:rPr>
        <w:footnoteReference w:id="117"/>
      </w:r>
      <w:r w:rsidRPr="00FB15B6">
        <w:t xml:space="preserve">  TURN</w:t>
      </w:r>
      <w:r w:rsidR="00C015EB">
        <w:t>, while it</w:t>
      </w:r>
      <w:r w:rsidRPr="00FB15B6">
        <w:t xml:space="preserve"> “would not oppose” such a rulemaking, notes that it would be difficult to effectively participate in the “foreseeable future” because of the demands of other Commission matters, such as GRCs, wildfire</w:t>
      </w:r>
      <w:r w:rsidR="00FE5496">
        <w:noBreakHyphen/>
      </w:r>
      <w:r w:rsidRPr="00FB15B6">
        <w:t>related applications, rate design</w:t>
      </w:r>
      <w:r w:rsidR="00FE5496">
        <w:noBreakHyphen/>
      </w:r>
      <w:r w:rsidRPr="00FB15B6">
        <w:t>related dockets, resource planning and procurement proceedings, among others.</w:t>
      </w:r>
      <w:r w:rsidRPr="00FB15B6">
        <w:rPr>
          <w:vertAlign w:val="superscript"/>
        </w:rPr>
        <w:footnoteReference w:id="118"/>
      </w:r>
      <w:r w:rsidRPr="00FB15B6">
        <w:t xml:space="preserve">  SCE </w:t>
      </w:r>
      <w:r w:rsidR="00DE480A">
        <w:t>suggests</w:t>
      </w:r>
      <w:r w:rsidR="00C015EB">
        <w:t xml:space="preserve"> </w:t>
      </w:r>
      <w:r w:rsidRPr="00FB15B6">
        <w:t>the Commission consider this to be a “lower</w:t>
      </w:r>
      <w:r w:rsidR="00FE5496">
        <w:noBreakHyphen/>
      </w:r>
      <w:r w:rsidRPr="00FB15B6">
        <w:t xml:space="preserve">priority issue” </w:t>
      </w:r>
      <w:r w:rsidR="00C015EB">
        <w:t>as it</w:t>
      </w:r>
      <w:r w:rsidRPr="00FB15B6">
        <w:t xml:space="preserve"> review</w:t>
      </w:r>
      <w:r w:rsidR="00C015EB">
        <w:t>s</w:t>
      </w:r>
      <w:r w:rsidRPr="00FB15B6">
        <w:t xml:space="preserve"> the Energy Division</w:t>
      </w:r>
      <w:r w:rsidR="00915CBC">
        <w:t>’</w:t>
      </w:r>
      <w:r w:rsidRPr="00FB15B6">
        <w:t xml:space="preserve">s </w:t>
      </w:r>
      <w:r w:rsidRPr="00FB15B6">
        <w:lastRenderedPageBreak/>
        <w:t>recommendations.</w:t>
      </w:r>
      <w:r w:rsidRPr="00FB15B6">
        <w:rPr>
          <w:vertAlign w:val="superscript"/>
        </w:rPr>
        <w:footnoteReference w:id="119"/>
      </w:r>
      <w:r w:rsidRPr="00FB15B6">
        <w:t xml:space="preserve">  Finally, PG&amp;E does not agree that a separate rulemaking on taxes is necessary, given the balancing and memorandum accounts that have already been adopted for the utilities to address tax changes as well as the processes currently underway to adjust the IOUs</w:t>
      </w:r>
      <w:r w:rsidR="00915CBC">
        <w:t>’</w:t>
      </w:r>
      <w:r w:rsidRPr="00FB15B6">
        <w:t xml:space="preserve"> revenue requirements to reflect recent changes to the Internal Revenue Code resulting from the Tax Cuts and Jobs Acts of 2017 (TCJA).</w:t>
      </w:r>
      <w:r w:rsidRPr="00FB15B6">
        <w:rPr>
          <w:vertAlign w:val="superscript"/>
        </w:rPr>
        <w:footnoteReference w:id="120"/>
      </w:r>
    </w:p>
    <w:p w14:paraId="4E1C2886" w14:textId="77777777" w:rsidR="00FB15B6" w:rsidRPr="00FB15B6" w:rsidRDefault="001730FA" w:rsidP="00FB15B6">
      <w:pPr>
        <w:pStyle w:val="Standard"/>
        <w:rPr>
          <w:b/>
        </w:rPr>
      </w:pPr>
      <w:r>
        <w:t>B</w:t>
      </w:r>
      <w:r w:rsidR="00FB15B6" w:rsidRPr="00FB15B6">
        <w:t xml:space="preserve">ased on these comments, </w:t>
      </w:r>
      <w:r>
        <w:t>we find that it is not necessary to</w:t>
      </w:r>
      <w:r w:rsidR="00FB15B6" w:rsidRPr="00FB15B6">
        <w:t xml:space="preserve"> open a new rulemaking to address tax issues.  In GRC decisions issued more recently than the Staff Report, the Commission directed each of the energy utilities to establish Tax Memorandum Accounts with a common structure.</w:t>
      </w:r>
      <w:r w:rsidR="00FB15B6" w:rsidRPr="00FB15B6">
        <w:rPr>
          <w:vertAlign w:val="superscript"/>
        </w:rPr>
        <w:footnoteReference w:id="121"/>
      </w:r>
      <w:r w:rsidR="00FB15B6" w:rsidRPr="00FB15B6">
        <w:t xml:space="preserve">  Our intent in doing so was to address the types of concerns raised by the Energy Division in the Staff Report.  And as noted by PG&amp;E, following passage of the TCJA we directed each utility subject to our jurisdiction (including all energy utilities) to take certain actions to pass any tax savings that resulted from the new legislation immediately on to ratepayers.  In short, we are comfortable that the Commission and its staff are now </w:t>
      </w:r>
      <w:bookmarkStart w:id="108" w:name="_Hlk13672803"/>
      <w:r w:rsidR="00FB15B6" w:rsidRPr="00FB15B6">
        <w:t>equipped to monitor changes in the tax law and quickly exercise our oversight over the utilities in order to ensure that ratepayers are treated fairly as new provisions are implemented</w:t>
      </w:r>
      <w:bookmarkEnd w:id="108"/>
      <w:r w:rsidR="00FB15B6" w:rsidRPr="00FB15B6">
        <w:t xml:space="preserve">. </w:t>
      </w:r>
    </w:p>
    <w:p w14:paraId="294B6F07" w14:textId="77777777" w:rsidR="00FB15B6" w:rsidRPr="00FB15B6" w:rsidRDefault="00915CBC" w:rsidP="00FE5496">
      <w:pPr>
        <w:pStyle w:val="Heading2"/>
      </w:pPr>
      <w:bookmarkStart w:id="109" w:name="_Toc20998459"/>
      <w:bookmarkStart w:id="110" w:name="_Toc29817407"/>
      <w:r>
        <w:t>Closure of this Rulemaking</w:t>
      </w:r>
      <w:bookmarkEnd w:id="109"/>
      <w:bookmarkEnd w:id="110"/>
    </w:p>
    <w:p w14:paraId="4DEF2AEC" w14:textId="23EB1C69" w:rsidR="001539C3" w:rsidRDefault="00FB15B6" w:rsidP="00FB15B6">
      <w:pPr>
        <w:pStyle w:val="Standard"/>
      </w:pPr>
      <w:r w:rsidRPr="00FB15B6">
        <w:t xml:space="preserve">The </w:t>
      </w:r>
      <w:r w:rsidR="001539C3">
        <w:t>Staff Report</w:t>
      </w:r>
      <w:r w:rsidRPr="00FB15B6">
        <w:t xml:space="preserve"> recommends that the Commission close R.13</w:t>
      </w:r>
      <w:r w:rsidR="00FE5496">
        <w:noBreakHyphen/>
      </w:r>
      <w:r w:rsidRPr="00FB15B6">
        <w:t>11</w:t>
      </w:r>
      <w:r w:rsidR="00FE5496">
        <w:noBreakHyphen/>
      </w:r>
      <w:r w:rsidRPr="00FB15B6">
        <w:t xml:space="preserve">006 and open a new </w:t>
      </w:r>
      <w:r w:rsidR="001539C3">
        <w:t>r</w:t>
      </w:r>
      <w:r w:rsidRPr="00FB15B6">
        <w:t xml:space="preserve">ulemaking to implement the recommendations </w:t>
      </w:r>
      <w:r w:rsidR="001539C3">
        <w:t>adopted in this decision</w:t>
      </w:r>
      <w:r w:rsidRPr="00FB15B6">
        <w:t>.</w:t>
      </w:r>
      <w:r w:rsidR="001539C3">
        <w:t xml:space="preserve">  As we explained at the outset of this decision, the Commission opened </w:t>
      </w:r>
      <w:r w:rsidR="001539C3">
        <w:lastRenderedPageBreak/>
        <w:t xml:space="preserve">this rulemaking </w:t>
      </w:r>
      <w:r w:rsidR="001539C3" w:rsidRPr="00FB15B6">
        <w:t>primarily to develop and adopt a risk</w:t>
      </w:r>
      <w:r w:rsidR="00FE5496">
        <w:noBreakHyphen/>
      </w:r>
      <w:r w:rsidR="001539C3" w:rsidRPr="00FB15B6">
        <w:t>based decision</w:t>
      </w:r>
      <w:r w:rsidR="00FE5496">
        <w:noBreakHyphen/>
      </w:r>
      <w:r w:rsidR="001539C3" w:rsidRPr="00FB15B6">
        <w:t>making framework to evaluate safety and reliability improvements in the rate cases of the energy utilities.</w:t>
      </w:r>
      <w:r w:rsidR="001539C3">
        <w:t xml:space="preserve">  The Commission completed that task when it adopted D.14</w:t>
      </w:r>
      <w:r w:rsidR="00FE5496">
        <w:noBreakHyphen/>
      </w:r>
      <w:r w:rsidR="001539C3">
        <w:t>12</w:t>
      </w:r>
      <w:r w:rsidR="00FE5496">
        <w:noBreakHyphen/>
      </w:r>
      <w:r w:rsidR="001539C3">
        <w:t>025, but left this proceeding open in order to provide a forum for the issues that we resolve in this decision.</w:t>
      </w:r>
      <w:r w:rsidR="00915CBC">
        <w:t xml:space="preserve">  </w:t>
      </w:r>
      <w:r w:rsidR="001539C3">
        <w:t xml:space="preserve">Today’s decision </w:t>
      </w:r>
      <w:r w:rsidR="00915CBC">
        <w:t>addresses</w:t>
      </w:r>
      <w:r w:rsidR="001539C3">
        <w:t xml:space="preserve"> all of the tasks within the scope of R.13</w:t>
      </w:r>
      <w:r w:rsidR="00FE5496">
        <w:noBreakHyphen/>
      </w:r>
      <w:r w:rsidR="001539C3">
        <w:t>11</w:t>
      </w:r>
      <w:r w:rsidR="00FE5496">
        <w:noBreakHyphen/>
      </w:r>
      <w:r w:rsidR="001539C3">
        <w:t xml:space="preserve">006.  </w:t>
      </w:r>
      <w:r w:rsidR="00915CBC">
        <w:t>Whil</w:t>
      </w:r>
      <w:r w:rsidR="001539C3">
        <w:t xml:space="preserve">e </w:t>
      </w:r>
      <w:r w:rsidR="00915CBC">
        <w:t xml:space="preserve">we do </w:t>
      </w:r>
      <w:r w:rsidR="001539C3">
        <w:t xml:space="preserve">expect that the workshops we endorse in this decision will yield </w:t>
      </w:r>
      <w:r w:rsidR="00915CBC">
        <w:t xml:space="preserve">additional “actionable” </w:t>
      </w:r>
      <w:r w:rsidR="001539C3">
        <w:t>recommendations to improve our GRC process</w:t>
      </w:r>
      <w:r w:rsidR="00915CBC">
        <w:t>, we will treat parties’ obligations to provide those recommendations as “compliance items</w:t>
      </w:r>
      <w:r w:rsidR="001539C3">
        <w:t>.</w:t>
      </w:r>
      <w:r w:rsidR="00915CBC">
        <w:t>”  By doing so, we can close this rulemaking with the issuance of this decision, while preserving the option to either reopen this proceeding or initiate a new rulemaking, depending on the recommendations ultimately provided by parties.</w:t>
      </w:r>
      <w:r w:rsidR="001539C3">
        <w:t xml:space="preserve"> </w:t>
      </w:r>
    </w:p>
    <w:p w14:paraId="6B4E6F3B" w14:textId="77777777" w:rsidR="005939A5" w:rsidRDefault="005939A5" w:rsidP="004B5523">
      <w:pPr>
        <w:pStyle w:val="Heading1"/>
      </w:pPr>
      <w:bookmarkStart w:id="111" w:name="_Toc8123723"/>
      <w:bookmarkStart w:id="112" w:name="_Toc20998460"/>
      <w:bookmarkStart w:id="113" w:name="_Toc29817408"/>
      <w:r>
        <w:t>Comments on Proposed Decision</w:t>
      </w:r>
      <w:bookmarkEnd w:id="111"/>
      <w:bookmarkEnd w:id="112"/>
      <w:bookmarkEnd w:id="113"/>
    </w:p>
    <w:p w14:paraId="3B0E1FEC" w14:textId="7484AF21" w:rsidR="005939A5" w:rsidRDefault="004233BB" w:rsidP="006E6574">
      <w:pPr>
        <w:pStyle w:val="Standard"/>
      </w:pPr>
      <w:r>
        <w:t xml:space="preserve">The proposed decision of Commissioner Rechtschaffen in this matter was mailed to the parties in accordance with Section 311 of the Public Utilities Code and comments were allowed under Rule 14.3 of the Commission’s Rules of Practice and Procedure.  Comments were filed on </w:t>
      </w:r>
      <w:r w:rsidR="004B7EB0">
        <w:t>October 24, 2019 by PG&amp;E, SCE, SoCalGas and SDG&amp;E (jointly), Public Advocates, TURN and CUE.  R</w:t>
      </w:r>
      <w:r>
        <w:t xml:space="preserve">eply comments were filed on </w:t>
      </w:r>
      <w:r w:rsidR="004B7EB0" w:rsidRPr="004B7EB0">
        <w:t>October 24, 2019 by PG&amp;E, SCE</w:t>
      </w:r>
      <w:r w:rsidR="004B7EB0">
        <w:t xml:space="preserve">, Public Advocates, and </w:t>
      </w:r>
      <w:r w:rsidR="00D24892">
        <w:t>TURN</w:t>
      </w:r>
      <w:r>
        <w:t>.</w:t>
      </w:r>
    </w:p>
    <w:p w14:paraId="4E3C8782" w14:textId="10E60452" w:rsidR="00C93AE5" w:rsidRDefault="00C93AE5" w:rsidP="006E6574">
      <w:pPr>
        <w:pStyle w:val="Standard"/>
      </w:pPr>
      <w:r w:rsidRPr="00C93AE5">
        <w:t xml:space="preserve">Pursuant to Rule 14.3(c), comments shall focus on factual, legal or technical errors in the proposed decision and in citing such errors shall make specific references to the record or applicable law.  Comments which fail to do so will be accorded no weight.  Comments proposing specific changes to the proposed or alternate decision shall include supporting findings of fact and conclusions of law.  Pursuant to Rule 14.3 (d), replies to comments shall be limited to </w:t>
      </w:r>
      <w:r w:rsidRPr="00C93AE5">
        <w:lastRenderedPageBreak/>
        <w:t>identifying misrepresentations of law, fact or condition of the record contained in the comments of other parties.</w:t>
      </w:r>
    </w:p>
    <w:p w14:paraId="7904F8D1" w14:textId="58299514" w:rsidR="00F151A1" w:rsidRPr="006E6574" w:rsidRDefault="00BF6802" w:rsidP="005B6468">
      <w:pPr>
        <w:pStyle w:val="Standard"/>
      </w:pPr>
      <w:r>
        <w:t>All commenters support (or, in the case of TURN, accept) the PD’s adoption of four</w:t>
      </w:r>
      <w:r w:rsidR="00FE5496">
        <w:noBreakHyphen/>
      </w:r>
      <w:r>
        <w:t xml:space="preserve">year GRC cycle, and PG&amp;E </w:t>
      </w:r>
      <w:r w:rsidR="00D24892">
        <w:t>also</w:t>
      </w:r>
      <w:r>
        <w:t xml:space="preserve"> supports combining its GT&amp;S and GRC proceedings.</w:t>
      </w:r>
      <w:r>
        <w:rPr>
          <w:rStyle w:val="FootnoteReference"/>
        </w:rPr>
        <w:footnoteReference w:id="122"/>
      </w:r>
      <w:r>
        <w:t xml:space="preserve">  All commenters also support changing the due date for the Public Advocates Office’s opening testimony.  However, each of the commenters recommends a number of adjustments to the revised RCP schedule provided in the PD.</w:t>
      </w:r>
      <w:r w:rsidR="005C3647">
        <w:t xml:space="preserve">  </w:t>
      </w:r>
      <w:r w:rsidR="005B6468">
        <w:t>T</w:t>
      </w:r>
      <w:r w:rsidR="005C3647">
        <w:t>he PD has been modified in a number of areas in response to parties’ comments and recommendations.</w:t>
      </w:r>
    </w:p>
    <w:p w14:paraId="27EB7362" w14:textId="77777777" w:rsidR="005939A5" w:rsidRDefault="005939A5" w:rsidP="004B5523">
      <w:pPr>
        <w:pStyle w:val="Heading1"/>
      </w:pPr>
      <w:bookmarkStart w:id="114" w:name="_Toc8123724"/>
      <w:bookmarkStart w:id="115" w:name="_Toc20998461"/>
      <w:bookmarkStart w:id="116" w:name="_Toc29817409"/>
      <w:r>
        <w:t>Assignment of Proceeding</w:t>
      </w:r>
      <w:bookmarkEnd w:id="114"/>
      <w:bookmarkEnd w:id="115"/>
      <w:bookmarkEnd w:id="116"/>
    </w:p>
    <w:p w14:paraId="0EB6377E" w14:textId="6C4610D2" w:rsidR="005939A5" w:rsidRDefault="007B045A" w:rsidP="006E6574">
      <w:pPr>
        <w:pStyle w:val="Standard"/>
      </w:pPr>
      <w:r w:rsidRPr="007B045A">
        <w:t>Clifford Rechtschaffen is the assigned Commissioner in this proceeding</w:t>
      </w:r>
      <w:r w:rsidR="005939A5">
        <w:t>.</w:t>
      </w:r>
    </w:p>
    <w:p w14:paraId="7F7B9BC9" w14:textId="77777777" w:rsidR="005939A5" w:rsidRDefault="005939A5" w:rsidP="001B7E48">
      <w:pPr>
        <w:pStyle w:val="Heading1"/>
        <w:numPr>
          <w:ilvl w:val="0"/>
          <w:numId w:val="0"/>
        </w:numPr>
        <w:ind w:left="360" w:hanging="360"/>
      </w:pPr>
      <w:bookmarkStart w:id="117" w:name="_Toc8123725"/>
      <w:bookmarkStart w:id="118" w:name="_Toc20998462"/>
      <w:bookmarkStart w:id="119" w:name="_Toc29817410"/>
      <w:r>
        <w:t>Findings of Fact</w:t>
      </w:r>
      <w:bookmarkEnd w:id="117"/>
      <w:bookmarkEnd w:id="118"/>
      <w:bookmarkEnd w:id="119"/>
    </w:p>
    <w:p w14:paraId="44146501" w14:textId="77777777" w:rsidR="00071080" w:rsidRDefault="00787E43" w:rsidP="001E2A62">
      <w:pPr>
        <w:pStyle w:val="FoF"/>
      </w:pPr>
      <w:r w:rsidRPr="00787E43">
        <w:t xml:space="preserve">The </w:t>
      </w:r>
      <w:r w:rsidR="00071080">
        <w:t xml:space="preserve">Commission follows a </w:t>
      </w:r>
      <w:r w:rsidRPr="00787E43">
        <w:t>RCP to govern the information, processes, and schedule associated with the GRC applications of the energy utilities</w:t>
      </w:r>
      <w:r w:rsidR="00071080">
        <w:t>.</w:t>
      </w:r>
    </w:p>
    <w:p w14:paraId="5D73C249" w14:textId="688CFC99" w:rsidR="00CA63BA" w:rsidRDefault="003A27D4" w:rsidP="00CA63BA">
      <w:pPr>
        <w:pStyle w:val="FoF"/>
      </w:pPr>
      <w:r w:rsidRPr="003A27D4">
        <w:t>In order to adopt and develop a risk</w:t>
      </w:r>
      <w:r w:rsidR="00FE5496">
        <w:noBreakHyphen/>
      </w:r>
      <w:r w:rsidRPr="003A27D4">
        <w:t>based decision</w:t>
      </w:r>
      <w:r w:rsidR="00FE5496">
        <w:noBreakHyphen/>
      </w:r>
      <w:r w:rsidRPr="003A27D4">
        <w:t>making framework to evaluate safety and reliability improvements</w:t>
      </w:r>
      <w:r>
        <w:t>,</w:t>
      </w:r>
      <w:r w:rsidRPr="003A27D4">
        <w:t xml:space="preserve"> </w:t>
      </w:r>
      <w:r>
        <w:t>D.14</w:t>
      </w:r>
      <w:r w:rsidR="00FE5496">
        <w:noBreakHyphen/>
      </w:r>
      <w:r>
        <w:t>12</w:t>
      </w:r>
      <w:r w:rsidR="00FE5496">
        <w:noBreakHyphen/>
      </w:r>
      <w:r>
        <w:t xml:space="preserve">025 modified the </w:t>
      </w:r>
      <w:r w:rsidR="00787E43" w:rsidRPr="00787E43">
        <w:t xml:space="preserve">schedule of the RCP </w:t>
      </w:r>
      <w:r>
        <w:t xml:space="preserve">previously followed by </w:t>
      </w:r>
      <w:r w:rsidR="00787E43" w:rsidRPr="00787E43">
        <w:t xml:space="preserve">the energy utilities </w:t>
      </w:r>
      <w:r>
        <w:t xml:space="preserve">pursuant to </w:t>
      </w:r>
      <w:r w:rsidR="00787E43" w:rsidRPr="00787E43">
        <w:t>Appendix A of D.07</w:t>
      </w:r>
      <w:r w:rsidR="00FE5496">
        <w:noBreakHyphen/>
      </w:r>
      <w:r w:rsidR="00787E43" w:rsidRPr="00787E43">
        <w:t>07</w:t>
      </w:r>
      <w:r w:rsidR="00FE5496">
        <w:noBreakHyphen/>
      </w:r>
      <w:r w:rsidR="00787E43" w:rsidRPr="00787E43">
        <w:t>004.</w:t>
      </w:r>
    </w:p>
    <w:p w14:paraId="3CF14C14" w14:textId="7835FE76" w:rsidR="00CA63BA" w:rsidRDefault="00CA63BA" w:rsidP="00CA63BA">
      <w:pPr>
        <w:pStyle w:val="FoF"/>
      </w:pPr>
      <w:r>
        <w:t>Modifying the RCP to add a third attrition year and create a four</w:t>
      </w:r>
      <w:r w:rsidR="00FE5496">
        <w:noBreakHyphen/>
      </w:r>
      <w:r>
        <w:t xml:space="preserve">year GRC cycle </w:t>
      </w:r>
      <w:r w:rsidR="00C52D21">
        <w:t xml:space="preserve">without </w:t>
      </w:r>
      <w:r w:rsidR="00840EC2">
        <w:t xml:space="preserve">making </w:t>
      </w:r>
      <w:r w:rsidR="00C52D21">
        <w:t xml:space="preserve">other </w:t>
      </w:r>
      <w:r w:rsidR="00314B50">
        <w:t xml:space="preserve">changes to the RCP schedule </w:t>
      </w:r>
      <w:r>
        <w:t>would not lead to more efficiencies.</w:t>
      </w:r>
    </w:p>
    <w:p w14:paraId="7B9AC7D8" w14:textId="6B9167F0" w:rsidR="00EC7C54" w:rsidRDefault="00EC7C54" w:rsidP="00616374">
      <w:pPr>
        <w:pStyle w:val="FoF"/>
      </w:pPr>
      <w:r w:rsidRPr="00EC7C54">
        <w:lastRenderedPageBreak/>
        <w:t>Pursuant to</w:t>
      </w:r>
      <w:r>
        <w:t xml:space="preserve"> Ordering Paragraph 101 of</w:t>
      </w:r>
      <w:r w:rsidRPr="00EC7C54">
        <w:t xml:space="preserve"> D.</w:t>
      </w:r>
      <w:r>
        <w:t>19</w:t>
      </w:r>
      <w:r w:rsidR="00FE5496">
        <w:noBreakHyphen/>
      </w:r>
      <w:r>
        <w:t>09</w:t>
      </w:r>
      <w:r w:rsidR="00FE5496">
        <w:noBreakHyphen/>
      </w:r>
      <w:r>
        <w:t>025, unless otherwise directed by the Commission, PG&amp;E shall file its next GT&amp;S rate case consistent with the schedule required for a 2023 test year.</w:t>
      </w:r>
    </w:p>
    <w:p w14:paraId="100061C7" w14:textId="6D8126D6" w:rsidR="00CA63BA" w:rsidRDefault="00CA63BA" w:rsidP="00CA63BA">
      <w:pPr>
        <w:pStyle w:val="FoF"/>
      </w:pPr>
      <w:r>
        <w:t>The Commission would gain a total</w:t>
      </w:r>
      <w:r w:rsidR="00FE5496">
        <w:noBreakHyphen/>
      </w:r>
      <w:r>
        <w:t>company perspective on PG&amp;E’s cost of service, including risk</w:t>
      </w:r>
      <w:r w:rsidR="00FE5496">
        <w:noBreakHyphen/>
      </w:r>
      <w:r>
        <w:t xml:space="preserve">related spending, if </w:t>
      </w:r>
      <w:bookmarkStart w:id="120" w:name="_Hlk16178047"/>
      <w:r>
        <w:t>PG&amp;E’s GT&amp;S</w:t>
      </w:r>
      <w:r w:rsidR="00FE5496">
        <w:noBreakHyphen/>
      </w:r>
      <w:r>
        <w:t xml:space="preserve"> and GRC</w:t>
      </w:r>
      <w:r w:rsidR="00FE5496">
        <w:noBreakHyphen/>
      </w:r>
      <w:r>
        <w:t>related revenue requirements were reviewed in a single general rate case</w:t>
      </w:r>
      <w:bookmarkEnd w:id="120"/>
      <w:r>
        <w:t>.</w:t>
      </w:r>
    </w:p>
    <w:p w14:paraId="79B3BFD8" w14:textId="77777777" w:rsidR="00CA63BA" w:rsidRDefault="00CA63BA" w:rsidP="00CA63BA">
      <w:pPr>
        <w:pStyle w:val="FoF"/>
      </w:pPr>
      <w:r>
        <w:t>The amount of time presently allowed in the RCP for</w:t>
      </w:r>
      <w:r w:rsidR="00934D39">
        <w:t xml:space="preserve"> the</w:t>
      </w:r>
      <w:r>
        <w:t xml:space="preserve"> </w:t>
      </w:r>
      <w:r w:rsidR="003933C4">
        <w:t>Public Advocates Office</w:t>
      </w:r>
      <w:r>
        <w:t xml:space="preserve"> to complete discovery and prepare its testimony is inadequate.</w:t>
      </w:r>
    </w:p>
    <w:p w14:paraId="7FD3B647" w14:textId="57002D97" w:rsidR="00CA63BA" w:rsidRDefault="00CA63BA" w:rsidP="00CA63BA">
      <w:pPr>
        <w:pStyle w:val="FoF"/>
      </w:pPr>
      <w:r>
        <w:t>If the GRC proceedings began in</w:t>
      </w:r>
      <w:r w:rsidR="005B7CD4">
        <w:t xml:space="preserve"> </w:t>
      </w:r>
      <w:r w:rsidR="005B6468">
        <w:t>May</w:t>
      </w:r>
      <w:r w:rsidR="002A26BD">
        <w:t xml:space="preserve"> </w:t>
      </w:r>
      <w:r>
        <w:t xml:space="preserve">instead of September, </w:t>
      </w:r>
      <w:r w:rsidR="00107CCD">
        <w:t>the schedule would enable the Commission to issue its final decision prior to the utility applicant’s test year.</w:t>
      </w:r>
    </w:p>
    <w:p w14:paraId="7804C8E3" w14:textId="41D5FF0E" w:rsidR="00107CCD" w:rsidDel="00A65202" w:rsidRDefault="00107CCD">
      <w:pPr>
        <w:pStyle w:val="FoF"/>
      </w:pPr>
      <w:r w:rsidDel="00A65202">
        <w:t xml:space="preserve">Additional workshops </w:t>
      </w:r>
      <w:r w:rsidR="00A44CFC">
        <w:t>could</w:t>
      </w:r>
      <w:r w:rsidR="00A44CFC" w:rsidDel="00A65202">
        <w:t xml:space="preserve"> </w:t>
      </w:r>
      <w:r w:rsidDel="00A65202">
        <w:t xml:space="preserve">explore </w:t>
      </w:r>
      <w:r w:rsidR="00B36644">
        <w:t>standardizing the organization and format of GRC and RAMP filings; the possible use of stipulated terms and rebuttable presumptions to reduce litigated issues, and improving the accuracy of attrition year forecasting, escalation factors, and ratemaking; high level consistency in the Results of Operations modeling process across utilities</w:t>
      </w:r>
      <w:r w:rsidR="006A30A7">
        <w:t xml:space="preserve">; </w:t>
      </w:r>
      <w:r w:rsidR="006A30A7" w:rsidRPr="006A30A7">
        <w:t>and the timing and implementation of Phase 2 applications on electric and gas rate design and cost allocation</w:t>
      </w:r>
      <w:r w:rsidR="00B36644">
        <w:t>.</w:t>
      </w:r>
    </w:p>
    <w:p w14:paraId="6A9B997C" w14:textId="034A518C" w:rsidR="007800AE" w:rsidRPr="001E2A62" w:rsidRDefault="007800AE" w:rsidP="007800AE">
      <w:pPr>
        <w:pStyle w:val="FoF"/>
      </w:pPr>
      <w:r>
        <w:t xml:space="preserve">There is no need to conduct workshops to </w:t>
      </w:r>
      <w:r w:rsidR="00A44CFC">
        <w:t>produce</w:t>
      </w:r>
      <w:r>
        <w:t xml:space="preserve"> </w:t>
      </w:r>
      <w:r w:rsidR="007D1D99">
        <w:t xml:space="preserve">complete </w:t>
      </w:r>
      <w:r>
        <w:t>uniformity in the results of operation model, or to consider the use of the FERC’s Uniform System of Accounts in the utilities’ GRC applications.</w:t>
      </w:r>
    </w:p>
    <w:p w14:paraId="6E5C0EF9" w14:textId="5E1B50F2" w:rsidR="008E6AE6" w:rsidRDefault="00107CCD" w:rsidP="001E2A62">
      <w:pPr>
        <w:pStyle w:val="FoF"/>
      </w:pPr>
      <w:r>
        <w:t>There is no need for the Commission to open a rulemaking on GRC</w:t>
      </w:r>
      <w:r w:rsidR="00FE5496">
        <w:noBreakHyphen/>
      </w:r>
      <w:r>
        <w:t>related tax issues because i</w:t>
      </w:r>
      <w:r w:rsidR="00FF12A2" w:rsidRPr="00FF12A2">
        <w:t xml:space="preserve">n </w:t>
      </w:r>
      <w:r w:rsidR="00FF12A2">
        <w:t xml:space="preserve">recent </w:t>
      </w:r>
      <w:r w:rsidR="00FF12A2" w:rsidRPr="00FF12A2">
        <w:t>GRC decisions the Commission has directed each of the energy utilities to establish Tax Memorandum Accounts with a common structure</w:t>
      </w:r>
      <w:r>
        <w:t>.</w:t>
      </w:r>
      <w:r w:rsidR="00FF12A2">
        <w:t xml:space="preserve"> </w:t>
      </w:r>
      <w:r>
        <w:t xml:space="preserve"> This will </w:t>
      </w:r>
      <w:r w:rsidR="00FF12A2">
        <w:t xml:space="preserve">enable the Commission </w:t>
      </w:r>
      <w:r w:rsidR="00FF12A2" w:rsidRPr="00FF12A2">
        <w:t xml:space="preserve">to monitor changes in the tax law </w:t>
      </w:r>
      <w:r w:rsidR="00FF12A2" w:rsidRPr="00FF12A2">
        <w:lastRenderedPageBreak/>
        <w:t xml:space="preserve">and quickly exercise </w:t>
      </w:r>
      <w:r w:rsidR="00FF12A2">
        <w:t>its</w:t>
      </w:r>
      <w:r w:rsidR="00FF12A2" w:rsidRPr="00FF12A2">
        <w:t xml:space="preserve"> oversight over the utilities in order to ensure that ratepayers are treated fairly as new provisions are implemented.</w:t>
      </w:r>
    </w:p>
    <w:p w14:paraId="5CB759FF" w14:textId="77777777" w:rsidR="005939A5" w:rsidRDefault="005939A5" w:rsidP="001B7E48">
      <w:pPr>
        <w:pStyle w:val="Heading1"/>
        <w:numPr>
          <w:ilvl w:val="0"/>
          <w:numId w:val="0"/>
        </w:numPr>
        <w:ind w:left="360" w:hanging="360"/>
      </w:pPr>
      <w:bookmarkStart w:id="121" w:name="_Toc8123726"/>
      <w:bookmarkStart w:id="122" w:name="_Toc20998463"/>
      <w:bookmarkStart w:id="123" w:name="_Toc29817411"/>
      <w:r>
        <w:t>Conclusions of Law</w:t>
      </w:r>
      <w:bookmarkEnd w:id="121"/>
      <w:bookmarkEnd w:id="122"/>
      <w:bookmarkEnd w:id="123"/>
    </w:p>
    <w:p w14:paraId="01046914" w14:textId="6FCC0921" w:rsidR="003A27D4" w:rsidRDefault="003A27D4" w:rsidP="003A27D4">
      <w:pPr>
        <w:pStyle w:val="CoL"/>
      </w:pPr>
      <w:r w:rsidRPr="003A27D4">
        <w:t>The end goal of this rulemaking is to revise the RCP to better facilitate utility revenue requirement showings based on a risk</w:t>
      </w:r>
      <w:r w:rsidR="00FE5496">
        <w:noBreakHyphen/>
      </w:r>
      <w:r w:rsidRPr="003A27D4">
        <w:t>informed decision</w:t>
      </w:r>
      <w:r w:rsidR="00FE5496">
        <w:noBreakHyphen/>
      </w:r>
      <w:r w:rsidRPr="003A27D4">
        <w:t>making process that will lead to safe and reliable service levels that are in compliance with state and federal guidelines, rational, well</w:t>
      </w:r>
      <w:r w:rsidR="00FE5496">
        <w:noBreakHyphen/>
      </w:r>
      <w:r w:rsidRPr="003A27D4">
        <w:t xml:space="preserve">informed and comparable to the best industry practices, and that the adopted rates are just and reasonable. </w:t>
      </w:r>
    </w:p>
    <w:p w14:paraId="213FC4C9" w14:textId="77777777" w:rsidR="002A26BD" w:rsidRPr="003A27D4" w:rsidRDefault="002A26BD" w:rsidP="0093254B">
      <w:pPr>
        <w:pStyle w:val="CoL"/>
      </w:pPr>
      <w:r>
        <w:t>The RCP should be modified if it will enable GRC proceedings to be conducted more efficiently.</w:t>
      </w:r>
    </w:p>
    <w:p w14:paraId="266D266B" w14:textId="3B1547DB" w:rsidR="00932865" w:rsidRDefault="003A27D4" w:rsidP="001E2A62">
      <w:pPr>
        <w:pStyle w:val="CoL"/>
      </w:pPr>
      <w:r w:rsidRPr="003A27D4">
        <w:t>No evidentiary hearings are needed in this proceeding because this is a quasi</w:t>
      </w:r>
      <w:r w:rsidR="00FE5496">
        <w:noBreakHyphen/>
      </w:r>
      <w:r w:rsidRPr="003A27D4">
        <w:t>legislative proceeding which establishes policy, and the Commission can consider and base its policy determinations on the pleadings and comment process which has been filed in this proceeding.</w:t>
      </w:r>
    </w:p>
    <w:p w14:paraId="44679C38" w14:textId="546BA1BC" w:rsidR="00281FA4" w:rsidRDefault="00281FA4" w:rsidP="001E2A62">
      <w:pPr>
        <w:pStyle w:val="CoL"/>
      </w:pPr>
      <w:r>
        <w:t xml:space="preserve">The </w:t>
      </w:r>
      <w:r w:rsidR="00A65202" w:rsidRPr="003A27D4">
        <w:t>RCP</w:t>
      </w:r>
      <w:r w:rsidR="00A65202" w:rsidDel="00A65202">
        <w:t xml:space="preserve"> </w:t>
      </w:r>
      <w:r>
        <w:t xml:space="preserve">should </w:t>
      </w:r>
      <w:r w:rsidR="00A65202">
        <w:t xml:space="preserve">be revised </w:t>
      </w:r>
      <w:r>
        <w:t xml:space="preserve">to require that </w:t>
      </w:r>
      <w:r w:rsidR="00A65202">
        <w:t xml:space="preserve">the </w:t>
      </w:r>
      <w:r>
        <w:t xml:space="preserve">GRCs </w:t>
      </w:r>
      <w:r w:rsidR="00A65202">
        <w:t xml:space="preserve">of PG&amp;E, SCE, SoCalGas and SDG&amp;E </w:t>
      </w:r>
      <w:r>
        <w:t xml:space="preserve">follow a </w:t>
      </w:r>
      <w:r w:rsidR="00A65202">
        <w:t>four</w:t>
      </w:r>
      <w:r w:rsidR="00FE5496">
        <w:noBreakHyphen/>
      </w:r>
      <w:r>
        <w:t xml:space="preserve">year cycle based on a forecast test year revenue requirement, followed by </w:t>
      </w:r>
      <w:r w:rsidR="00A65202">
        <w:t xml:space="preserve">three </w:t>
      </w:r>
      <w:r>
        <w:t>attrition years.</w:t>
      </w:r>
    </w:p>
    <w:p w14:paraId="55E0DB29" w14:textId="3D522830" w:rsidR="00281FA4" w:rsidRPr="001E2A62" w:rsidRDefault="00281FA4" w:rsidP="001E2A62">
      <w:pPr>
        <w:pStyle w:val="CoL"/>
      </w:pPr>
      <w:r w:rsidRPr="00281FA4">
        <w:t>PG&amp;E’s GT&amp;S</w:t>
      </w:r>
      <w:r w:rsidR="00FE5496">
        <w:noBreakHyphen/>
      </w:r>
      <w:r w:rsidRPr="00281FA4">
        <w:t xml:space="preserve"> and GRC</w:t>
      </w:r>
      <w:r w:rsidR="00FE5496">
        <w:noBreakHyphen/>
      </w:r>
      <w:r w:rsidRPr="00281FA4">
        <w:t xml:space="preserve">related revenue requirements </w:t>
      </w:r>
      <w:r>
        <w:t xml:space="preserve">should be </w:t>
      </w:r>
      <w:r w:rsidRPr="00281FA4">
        <w:t>reviewed in a single general rate case</w:t>
      </w:r>
      <w:r>
        <w:t>.</w:t>
      </w:r>
    </w:p>
    <w:p w14:paraId="2E4488B7" w14:textId="09F36028" w:rsidR="00A65202" w:rsidRDefault="003A27D4" w:rsidP="00A44CFC">
      <w:pPr>
        <w:pStyle w:val="CoL"/>
      </w:pPr>
      <w:r w:rsidRPr="003A27D4">
        <w:t xml:space="preserve">The </w:t>
      </w:r>
      <w:r w:rsidR="0037354A">
        <w:t>GRC RCP</w:t>
      </w:r>
      <w:r w:rsidRPr="0037354A">
        <w:t xml:space="preserve"> schedule shown in </w:t>
      </w:r>
      <w:r w:rsidR="0037354A" w:rsidRPr="0037354A">
        <w:t>Appendix A</w:t>
      </w:r>
      <w:r w:rsidRPr="0037354A">
        <w:t xml:space="preserve"> </w:t>
      </w:r>
      <w:r w:rsidR="0037354A" w:rsidRPr="0037354A">
        <w:t>to</w:t>
      </w:r>
      <w:r w:rsidRPr="0037354A">
        <w:t xml:space="preserve"> this decision</w:t>
      </w:r>
      <w:r w:rsidRPr="003A27D4">
        <w:t xml:space="preserve"> </w:t>
      </w:r>
      <w:r>
        <w:t xml:space="preserve">should </w:t>
      </w:r>
      <w:r w:rsidRPr="003A27D4">
        <w:t>modif</w:t>
      </w:r>
      <w:r>
        <w:t>y</w:t>
      </w:r>
      <w:r w:rsidRPr="003A27D4">
        <w:t xml:space="preserve"> and replace the </w:t>
      </w:r>
      <w:r w:rsidR="0037354A">
        <w:t>RCP</w:t>
      </w:r>
      <w:r w:rsidRPr="003A27D4">
        <w:t xml:space="preserve"> schedule adopted </w:t>
      </w:r>
      <w:r>
        <w:t xml:space="preserve">by the Commission as shown </w:t>
      </w:r>
      <w:r w:rsidRPr="003A27D4">
        <w:t xml:space="preserve">in </w:t>
      </w:r>
      <w:r>
        <w:t>Table 4</w:t>
      </w:r>
      <w:r w:rsidRPr="003A27D4">
        <w:t xml:space="preserve"> of D.</w:t>
      </w:r>
      <w:r>
        <w:t>14</w:t>
      </w:r>
      <w:r w:rsidR="00FE5496">
        <w:noBreakHyphen/>
      </w:r>
      <w:r>
        <w:t>12</w:t>
      </w:r>
      <w:r w:rsidR="00FE5496">
        <w:noBreakHyphen/>
      </w:r>
      <w:r w:rsidR="001F2F4B">
        <w:t>025 and</w:t>
      </w:r>
      <w:r w:rsidR="00CA63BA">
        <w:t xml:space="preserve"> should </w:t>
      </w:r>
      <w:r w:rsidR="0037354A">
        <w:t xml:space="preserve">take effect on </w:t>
      </w:r>
      <w:r w:rsidR="005B7CD4">
        <w:t>June 30</w:t>
      </w:r>
      <w:r w:rsidR="0037354A">
        <w:t>, 2020</w:t>
      </w:r>
      <w:r w:rsidRPr="003A27D4">
        <w:t>.</w:t>
      </w:r>
    </w:p>
    <w:p w14:paraId="160EFC04" w14:textId="26A7B29E" w:rsidR="00C2384D" w:rsidRDefault="00C2384D" w:rsidP="00484F14">
      <w:pPr>
        <w:pStyle w:val="CoL"/>
      </w:pPr>
      <w:r>
        <w:t>PG&amp;E, SCE, SoCalGas and SDG&amp;E</w:t>
      </w:r>
      <w:r w:rsidRPr="00C2384D">
        <w:t xml:space="preserve"> sh</w:t>
      </w:r>
      <w:r>
        <w:t>ould</w:t>
      </w:r>
      <w:r w:rsidRPr="00C2384D">
        <w:t xml:space="preserve"> take all procedural steps necessary to implement the schedule for the transition from the current three</w:t>
      </w:r>
      <w:r w:rsidR="00FE5496">
        <w:noBreakHyphen/>
      </w:r>
      <w:r w:rsidRPr="00C2384D">
        <w:t>year GRC cycle to the four</w:t>
      </w:r>
      <w:r w:rsidR="00FE5496">
        <w:noBreakHyphen/>
      </w:r>
      <w:r w:rsidRPr="00C2384D">
        <w:t>year GRC cycle, as provided in Appendix B to this decision.</w:t>
      </w:r>
    </w:p>
    <w:p w14:paraId="1F7057D0" w14:textId="3BC0D06B" w:rsidR="007D1D99" w:rsidRDefault="007D1D99" w:rsidP="00A44CFC">
      <w:pPr>
        <w:pStyle w:val="CoL"/>
      </w:pPr>
      <w:r>
        <w:lastRenderedPageBreak/>
        <w:t xml:space="preserve">The inclusion of </w:t>
      </w:r>
      <w:r w:rsidRPr="007D1D99">
        <w:t>bill impacts for</w:t>
      </w:r>
      <w:r>
        <w:t xml:space="preserve"> </w:t>
      </w:r>
      <w:r w:rsidRPr="007D1D99">
        <w:t xml:space="preserve">residential customer in </w:t>
      </w:r>
      <w:r>
        <w:t>utility</w:t>
      </w:r>
      <w:r w:rsidRPr="007D1D99">
        <w:t xml:space="preserve"> GRC application</w:t>
      </w:r>
      <w:r>
        <w:t>s</w:t>
      </w:r>
      <w:r w:rsidRPr="007D1D99">
        <w:t>,</w:t>
      </w:r>
      <w:r>
        <w:t xml:space="preserve"> </w:t>
      </w:r>
      <w:r w:rsidRPr="007D1D99">
        <w:t>differentiat</w:t>
      </w:r>
      <w:r>
        <w:t>ed</w:t>
      </w:r>
      <w:r w:rsidRPr="007D1D99">
        <w:t xml:space="preserve"> </w:t>
      </w:r>
      <w:r>
        <w:t>by</w:t>
      </w:r>
      <w:r w:rsidRPr="007D1D99">
        <w:t xml:space="preserve"> usage in </w:t>
      </w:r>
      <w:r>
        <w:t>each</w:t>
      </w:r>
      <w:r w:rsidRPr="007D1D99">
        <w:t xml:space="preserve"> climate zone</w:t>
      </w:r>
      <w:r w:rsidR="00C57418">
        <w:t>, or other means,</w:t>
      </w:r>
      <w:r w:rsidRPr="007D1D99">
        <w:t xml:space="preserve"> in the </w:t>
      </w:r>
      <w:r>
        <w:t>applicant’s</w:t>
      </w:r>
      <w:r w:rsidRPr="007D1D99">
        <w:t xml:space="preserve"> service territory</w:t>
      </w:r>
      <w:r>
        <w:t>, would help the Commission determine whether its decision on the application will result in just and reasonable rates.</w:t>
      </w:r>
    </w:p>
    <w:p w14:paraId="163D9FA3" w14:textId="41F07247" w:rsidR="008F143D" w:rsidRDefault="00281FA4" w:rsidP="00A44CFC">
      <w:pPr>
        <w:pStyle w:val="CoL"/>
      </w:pPr>
      <w:r w:rsidRPr="00281FA4">
        <w:t>The Commission’s Energy Division</w:t>
      </w:r>
      <w:r w:rsidR="00136828">
        <w:t xml:space="preserve">, in consultation with </w:t>
      </w:r>
      <w:r w:rsidR="00EF1984">
        <w:t xml:space="preserve">the </w:t>
      </w:r>
      <w:r w:rsidR="00136828">
        <w:t xml:space="preserve">Safety and Enforcement Division, as </w:t>
      </w:r>
      <w:r w:rsidR="00EF1984">
        <w:t>needed</w:t>
      </w:r>
      <w:r w:rsidR="00136828">
        <w:t>,</w:t>
      </w:r>
      <w:r w:rsidRPr="00281FA4">
        <w:t xml:space="preserve"> sh</w:t>
      </w:r>
      <w:r>
        <w:t xml:space="preserve">ould facilitate </w:t>
      </w:r>
      <w:r w:rsidRPr="00281FA4">
        <w:t>a workshop</w:t>
      </w:r>
      <w:r w:rsidR="00890390">
        <w:t xml:space="preserve"> or workshops</w:t>
      </w:r>
      <w:r w:rsidRPr="00281FA4">
        <w:t xml:space="preserve"> within </w:t>
      </w:r>
      <w:r w:rsidR="00EF1984">
        <w:t>twelve</w:t>
      </w:r>
      <w:r w:rsidR="00EF1984" w:rsidRPr="00281FA4">
        <w:t xml:space="preserve"> </w:t>
      </w:r>
      <w:r w:rsidRPr="00281FA4">
        <w:t>months of today’s date</w:t>
      </w:r>
      <w:r w:rsidR="000A1399">
        <w:t>, and subsequent workshops as needed,</w:t>
      </w:r>
      <w:r w:rsidRPr="00281FA4">
        <w:t xml:space="preserve"> </w:t>
      </w:r>
      <w:r w:rsidR="00890390" w:rsidRPr="00890390">
        <w:t xml:space="preserve">to address the topics listed in Section 5.5.5 of this decision, “Adopted Workshop Topics and Schedule.”  </w:t>
      </w:r>
    </w:p>
    <w:p w14:paraId="2B268073" w14:textId="0EE69435" w:rsidR="001B7E48" w:rsidRPr="001E2A62" w:rsidRDefault="0037354A" w:rsidP="001B7E48">
      <w:pPr>
        <w:pStyle w:val="CoL"/>
      </w:pPr>
      <w:r>
        <w:t>T</w:t>
      </w:r>
      <w:r w:rsidR="00FF12A2">
        <w:t xml:space="preserve">he Commission </w:t>
      </w:r>
      <w:r>
        <w:t>should not</w:t>
      </w:r>
      <w:r w:rsidR="00FF12A2">
        <w:t xml:space="preserve"> open a </w:t>
      </w:r>
      <w:r w:rsidR="00FF12A2" w:rsidRPr="00FF12A2">
        <w:t>new rulemaking to address tax issues</w:t>
      </w:r>
      <w:r w:rsidR="00FF12A2">
        <w:t>.</w:t>
      </w:r>
    </w:p>
    <w:p w14:paraId="1139E2B1" w14:textId="77777777" w:rsidR="00BB0243" w:rsidRPr="001B7E48" w:rsidRDefault="005939A5" w:rsidP="001B7E48">
      <w:pPr>
        <w:pStyle w:val="Heading1"/>
        <w:numPr>
          <w:ilvl w:val="0"/>
          <w:numId w:val="0"/>
        </w:numPr>
        <w:spacing w:before="240"/>
        <w:ind w:right="0"/>
        <w:jc w:val="center"/>
        <w:rPr>
          <w:spacing w:val="60"/>
        </w:rPr>
      </w:pPr>
      <w:bookmarkStart w:id="124" w:name="_Toc20998464"/>
      <w:bookmarkStart w:id="125" w:name="_Toc29817412"/>
      <w:r w:rsidRPr="001B7E48">
        <w:rPr>
          <w:spacing w:val="60"/>
        </w:rPr>
        <w:t>O</w:t>
      </w:r>
      <w:r w:rsidR="00722850" w:rsidRPr="001B7E48">
        <w:rPr>
          <w:spacing w:val="60"/>
        </w:rPr>
        <w:t>RDER</w:t>
      </w:r>
      <w:bookmarkEnd w:id="124"/>
      <w:bookmarkEnd w:id="125"/>
    </w:p>
    <w:p w14:paraId="74BA4B75" w14:textId="77777777" w:rsidR="00BB0243" w:rsidRDefault="00BB0243" w:rsidP="000A6E05">
      <w:pPr>
        <w:keepNext/>
      </w:pPr>
      <w:r w:rsidRPr="00BB0243">
        <w:rPr>
          <w:b/>
        </w:rPr>
        <w:t>IT IS ORDERED</w:t>
      </w:r>
      <w:r>
        <w:t xml:space="preserve"> that:</w:t>
      </w:r>
    </w:p>
    <w:p w14:paraId="29EDB952" w14:textId="696200A5" w:rsidR="00932865" w:rsidRDefault="00787E43" w:rsidP="001E2A62">
      <w:pPr>
        <w:pStyle w:val="OP"/>
      </w:pPr>
      <w:r w:rsidRPr="0037354A">
        <w:t xml:space="preserve">Table </w:t>
      </w:r>
      <w:r w:rsidR="0037354A" w:rsidRPr="0037354A">
        <w:t>1</w:t>
      </w:r>
      <w:r w:rsidRPr="0037354A">
        <w:t xml:space="preserve"> </w:t>
      </w:r>
      <w:r w:rsidR="000F6BCA" w:rsidRPr="0037354A">
        <w:t>in</w:t>
      </w:r>
      <w:r w:rsidR="000F6BCA">
        <w:t xml:space="preserve"> Appendix A </w:t>
      </w:r>
      <w:r w:rsidR="0037354A">
        <w:t>to</w:t>
      </w:r>
      <w:r w:rsidRPr="00787E43">
        <w:t xml:space="preserve"> this decision modifies and replaces the </w:t>
      </w:r>
      <w:r>
        <w:t>“</w:t>
      </w:r>
      <w:bookmarkStart w:id="126" w:name="_Hlk13668381"/>
      <w:r>
        <w:t>GRC Application Filing</w:t>
      </w:r>
      <w:bookmarkEnd w:id="126"/>
      <w:r w:rsidRPr="00787E43">
        <w:t xml:space="preserve"> </w:t>
      </w:r>
      <w:r w:rsidR="0037354A">
        <w:t>S</w:t>
      </w:r>
      <w:r w:rsidRPr="00787E43">
        <w:t>chedule</w:t>
      </w:r>
      <w:r w:rsidR="0037354A">
        <w:t>”</w:t>
      </w:r>
      <w:r w:rsidRPr="00787E43">
        <w:t xml:space="preserve"> </w:t>
      </w:r>
      <w:r>
        <w:t xml:space="preserve">presented in Table 4 of </w:t>
      </w:r>
      <w:r w:rsidRPr="00787E43">
        <w:t xml:space="preserve">Decision </w:t>
      </w:r>
      <w:r>
        <w:t>14</w:t>
      </w:r>
      <w:r w:rsidR="00FE5496">
        <w:noBreakHyphen/>
      </w:r>
      <w:r>
        <w:t>12</w:t>
      </w:r>
      <w:r w:rsidR="00FE5496">
        <w:noBreakHyphen/>
      </w:r>
      <w:r>
        <w:t>025.</w:t>
      </w:r>
    </w:p>
    <w:p w14:paraId="1FEB5555" w14:textId="3D598259" w:rsidR="00787E43" w:rsidRDefault="00787E43" w:rsidP="003A27D4">
      <w:pPr>
        <w:pStyle w:val="OP"/>
      </w:pPr>
      <w:r w:rsidRPr="00787E43">
        <w:t xml:space="preserve">Beginning </w:t>
      </w:r>
      <w:r w:rsidR="005B7CD4">
        <w:t>June 30</w:t>
      </w:r>
      <w:r w:rsidRPr="00787E43">
        <w:t xml:space="preserve">, </w:t>
      </w:r>
      <w:r w:rsidR="0037354A">
        <w:t xml:space="preserve">2020 </w:t>
      </w:r>
      <w:r w:rsidRPr="00787E43">
        <w:t xml:space="preserve">the </w:t>
      </w:r>
      <w:r w:rsidR="0037354A">
        <w:t>“</w:t>
      </w:r>
      <w:r w:rsidRPr="00787E43">
        <w:t xml:space="preserve">GRC Application Filing </w:t>
      </w:r>
      <w:r w:rsidR="0037354A">
        <w:t>S</w:t>
      </w:r>
      <w:r>
        <w:t>chedule</w:t>
      </w:r>
      <w:r w:rsidR="0037354A">
        <w:t>”</w:t>
      </w:r>
      <w:r>
        <w:t xml:space="preserve"> presented in </w:t>
      </w:r>
      <w:r w:rsidR="0037354A" w:rsidRPr="0037354A">
        <w:t>Table 1 in</w:t>
      </w:r>
      <w:r w:rsidR="0037354A">
        <w:t xml:space="preserve"> Appendix A to</w:t>
      </w:r>
      <w:r w:rsidR="0037354A" w:rsidRPr="00787E43">
        <w:t xml:space="preserve"> </w:t>
      </w:r>
      <w:r>
        <w:t xml:space="preserve">this </w:t>
      </w:r>
      <w:r w:rsidRPr="00787E43">
        <w:t xml:space="preserve">decision shall apply to all future General Rate Case application filings of </w:t>
      </w:r>
      <w:bookmarkStart w:id="127" w:name="_Hlk27405641"/>
      <w:r w:rsidRPr="00787E43">
        <w:t xml:space="preserve">Pacific Gas and Electric Company, </w:t>
      </w:r>
      <w:r w:rsidR="00A65202" w:rsidRPr="00787E43">
        <w:t>Southern California Edison Company</w:t>
      </w:r>
      <w:r w:rsidR="00A65202">
        <w:t>,</w:t>
      </w:r>
      <w:r w:rsidR="00A65202" w:rsidRPr="00787E43">
        <w:t xml:space="preserve"> Southern California Gas Company, and </w:t>
      </w:r>
      <w:r w:rsidRPr="00787E43">
        <w:t>San Diego Gas &amp; Electric Company</w:t>
      </w:r>
      <w:bookmarkEnd w:id="127"/>
      <w:r w:rsidRPr="00787E43">
        <w:t>.</w:t>
      </w:r>
    </w:p>
    <w:p w14:paraId="15D01B5C" w14:textId="114007B0" w:rsidR="00C2384D" w:rsidRDefault="00C2384D" w:rsidP="00484F14">
      <w:pPr>
        <w:pStyle w:val="OP"/>
      </w:pPr>
      <w:bookmarkStart w:id="128" w:name="_Hlk27405958"/>
      <w:r w:rsidRPr="00C2384D">
        <w:t>Pacific Gas and Electric Company, Southern California Edison Company, Southern California Gas Company, and San Diego Gas &amp; Electric Company</w:t>
      </w:r>
      <w:r>
        <w:t xml:space="preserve"> shall take all procedural steps necessary to implement the schedule for the transition from the current three</w:t>
      </w:r>
      <w:r w:rsidR="00FE5496">
        <w:noBreakHyphen/>
      </w:r>
      <w:r>
        <w:t>year GRC cycle to the four</w:t>
      </w:r>
      <w:r w:rsidR="00FE5496">
        <w:noBreakHyphen/>
      </w:r>
      <w:r>
        <w:t>year GRC cycle, as provided in Appendix B to this decision.</w:t>
      </w:r>
    </w:p>
    <w:bookmarkEnd w:id="128"/>
    <w:p w14:paraId="1B6ED5B5" w14:textId="75CEB0C6" w:rsidR="00EC7C54" w:rsidRDefault="00EC7C54" w:rsidP="003A5350">
      <w:pPr>
        <w:pStyle w:val="OP"/>
      </w:pPr>
      <w:r>
        <w:t>Pursuant to Ordering Paragraph 101 of Decision 19</w:t>
      </w:r>
      <w:r w:rsidR="00FE5496">
        <w:noBreakHyphen/>
      </w:r>
      <w:r>
        <w:t>09</w:t>
      </w:r>
      <w:r w:rsidR="00FE5496">
        <w:noBreakHyphen/>
      </w:r>
      <w:r>
        <w:t xml:space="preserve">025, Pacific Gas and Electric Company is directed to incorporate its requests for </w:t>
      </w:r>
      <w:r w:rsidR="00C649B6">
        <w:t xml:space="preserve">test year 2023 </w:t>
      </w:r>
      <w:r>
        <w:lastRenderedPageBreak/>
        <w:t xml:space="preserve">revenue requirements related to its gas transmission </w:t>
      </w:r>
      <w:r w:rsidR="00C649B6">
        <w:t xml:space="preserve">and storage systems </w:t>
      </w:r>
      <w:r w:rsidR="00890390">
        <w:t>into</w:t>
      </w:r>
      <w:r w:rsidR="00C649B6">
        <w:t xml:space="preserve"> its </w:t>
      </w:r>
      <w:r w:rsidR="00890390" w:rsidRPr="00EC7C54">
        <w:t>test year 2023</w:t>
      </w:r>
      <w:r w:rsidR="00890390">
        <w:t xml:space="preserve"> </w:t>
      </w:r>
      <w:r w:rsidR="00C649B6">
        <w:t>general rate case application.</w:t>
      </w:r>
    </w:p>
    <w:p w14:paraId="22356FDA" w14:textId="6BEF6C26" w:rsidR="0037354A" w:rsidRDefault="00E75B88" w:rsidP="003A27D4">
      <w:pPr>
        <w:pStyle w:val="OP"/>
      </w:pPr>
      <w:r w:rsidRPr="00E75B88">
        <w:t>The Commission’s Energy Division</w:t>
      </w:r>
      <w:r w:rsidR="00136828">
        <w:t>, in consultation with the</w:t>
      </w:r>
      <w:r w:rsidR="005570A3">
        <w:t xml:space="preserve"> </w:t>
      </w:r>
      <w:r w:rsidR="00EF1984">
        <w:t xml:space="preserve">Safety </w:t>
      </w:r>
      <w:r w:rsidR="005570A3">
        <w:t xml:space="preserve">and Enforcement Division, as </w:t>
      </w:r>
      <w:r w:rsidR="00EF1984">
        <w:t>needed</w:t>
      </w:r>
      <w:r w:rsidR="005570A3">
        <w:t>,</w:t>
      </w:r>
      <w:r w:rsidRPr="00E75B88">
        <w:t xml:space="preserve"> shall </w:t>
      </w:r>
      <w:r w:rsidR="00281FA4">
        <w:t>facilitate</w:t>
      </w:r>
      <w:r w:rsidRPr="00E75B88">
        <w:t xml:space="preserve"> a workshop</w:t>
      </w:r>
      <w:r w:rsidR="00890390">
        <w:t xml:space="preserve"> or workshops</w:t>
      </w:r>
      <w:r w:rsidRPr="00E75B88">
        <w:t xml:space="preserve"> within </w:t>
      </w:r>
      <w:r w:rsidR="00EF1984">
        <w:t xml:space="preserve">twelve </w:t>
      </w:r>
      <w:r w:rsidRPr="00E75B88">
        <w:t xml:space="preserve">months of today’s date to </w:t>
      </w:r>
      <w:r w:rsidR="00890390">
        <w:t xml:space="preserve">address the topics listed in Section 5.5.5 of </w:t>
      </w:r>
      <w:r>
        <w:t>this decision</w:t>
      </w:r>
      <w:r w:rsidR="00890390">
        <w:t>, “Adopted Workshop Topics and Schedule</w:t>
      </w:r>
      <w:r>
        <w:t>.</w:t>
      </w:r>
      <w:r w:rsidR="00890390">
        <w:t>”</w:t>
      </w:r>
      <w:r w:rsidR="00666250">
        <w:t xml:space="preserve">  </w:t>
      </w:r>
      <w:r w:rsidR="00890390">
        <w:t xml:space="preserve">No later than 30 days after the conclusion of </w:t>
      </w:r>
      <w:r w:rsidR="00281FA4">
        <w:t>the workshop</w:t>
      </w:r>
      <w:r w:rsidR="00890390">
        <w:t xml:space="preserve"> or workshops</w:t>
      </w:r>
      <w:r w:rsidR="00281FA4">
        <w:t xml:space="preserve">, a designated utility shall submit a report </w:t>
      </w:r>
      <w:r w:rsidR="00AE1D6D">
        <w:t xml:space="preserve">to </w:t>
      </w:r>
      <w:r w:rsidR="00EF1984">
        <w:t xml:space="preserve">the </w:t>
      </w:r>
      <w:r w:rsidR="00AE1D6D">
        <w:t xml:space="preserve">Directors of the Energy Division and Safety and Enforcement Division with </w:t>
      </w:r>
      <w:r w:rsidR="00EF1984">
        <w:t xml:space="preserve">copies </w:t>
      </w:r>
      <w:r w:rsidR="00AE1D6D">
        <w:t xml:space="preserve">to this proceeding’s service list </w:t>
      </w:r>
      <w:r w:rsidR="00281FA4">
        <w:t xml:space="preserve">summarizing the workshop </w:t>
      </w:r>
      <w:r w:rsidR="00890390">
        <w:t xml:space="preserve">or workshops </w:t>
      </w:r>
      <w:r w:rsidR="00281FA4">
        <w:t>and any agreed</w:t>
      </w:r>
      <w:r w:rsidR="00FE5496">
        <w:noBreakHyphen/>
      </w:r>
      <w:r w:rsidR="00281FA4">
        <w:t>upon proposals, as a compliance item in this docket</w:t>
      </w:r>
      <w:r w:rsidRPr="00E75B88">
        <w:t>.</w:t>
      </w:r>
    </w:p>
    <w:p w14:paraId="4B16717D" w14:textId="4A7A913D" w:rsidR="007D1D99" w:rsidRPr="001E2A62" w:rsidRDefault="007D1D99" w:rsidP="003A27D4">
      <w:pPr>
        <w:pStyle w:val="OP"/>
      </w:pPr>
      <w:r>
        <w:t xml:space="preserve">As a compliance item in this docket, </w:t>
      </w:r>
      <w:r w:rsidRPr="007D1D99">
        <w:t>Pacific Gas and Electric Company, Southern California Edison Company, Southern California Gas Company, and San Diego Gas &amp; Electric Company</w:t>
      </w:r>
      <w:r>
        <w:t xml:space="preserve"> shall develop </w:t>
      </w:r>
      <w:r w:rsidRPr="007D1D99">
        <w:t xml:space="preserve">bill impact </w:t>
      </w:r>
      <w:r>
        <w:t xml:space="preserve">calculations </w:t>
      </w:r>
      <w:r w:rsidRPr="007D1D99">
        <w:t>for residential customer</w:t>
      </w:r>
      <w:r>
        <w:t>s</w:t>
      </w:r>
      <w:r w:rsidR="00C54880" w:rsidRPr="00C54880">
        <w:t xml:space="preserve"> </w:t>
      </w:r>
      <w:r w:rsidR="00C54880" w:rsidRPr="007D1D99">
        <w:t>in the applicant’s service territory</w:t>
      </w:r>
      <w:r>
        <w:t xml:space="preserve">, </w:t>
      </w:r>
      <w:r w:rsidRPr="007D1D99">
        <w:t xml:space="preserve">differentiated </w:t>
      </w:r>
      <w:r>
        <w:t>by</w:t>
      </w:r>
      <w:r w:rsidRPr="007D1D99">
        <w:t xml:space="preserve"> usage in </w:t>
      </w:r>
      <w:r>
        <w:t xml:space="preserve">each </w:t>
      </w:r>
      <w:r w:rsidRPr="007D1D99">
        <w:t>climate zone</w:t>
      </w:r>
      <w:r w:rsidR="00C57418" w:rsidRPr="00C57418">
        <w:t xml:space="preserve">, or other means as </w:t>
      </w:r>
      <w:r w:rsidR="00C57418">
        <w:t xml:space="preserve">may be </w:t>
      </w:r>
      <w:r w:rsidR="00C54880">
        <w:t>directed</w:t>
      </w:r>
      <w:r w:rsidR="00C57418" w:rsidRPr="00C57418">
        <w:t xml:space="preserve"> by the Commission or by the Director of the Energy Division,</w:t>
      </w:r>
      <w:r w:rsidRPr="007D1D99">
        <w:t xml:space="preserve"> </w:t>
      </w:r>
      <w:r>
        <w:t xml:space="preserve">to be included in </w:t>
      </w:r>
      <w:r w:rsidR="00B53359">
        <w:t>every</w:t>
      </w:r>
      <w:r>
        <w:t xml:space="preserve"> future</w:t>
      </w:r>
      <w:r w:rsidRPr="007D1D99">
        <w:t xml:space="preserve"> GRC application</w:t>
      </w:r>
      <w:r>
        <w:t xml:space="preserve">.  The utilities shall present their standardized calculations </w:t>
      </w:r>
      <w:r w:rsidR="00B53359">
        <w:t xml:space="preserve">for discussion </w:t>
      </w:r>
      <w:r>
        <w:t xml:space="preserve">at </w:t>
      </w:r>
      <w:r w:rsidR="00B53359">
        <w:t xml:space="preserve">the </w:t>
      </w:r>
      <w:r w:rsidRPr="00E75B88">
        <w:t>workshop</w:t>
      </w:r>
      <w:r>
        <w:t xml:space="preserve"> or workshops</w:t>
      </w:r>
      <w:r w:rsidR="00B53359">
        <w:t xml:space="preserve"> facilitated by the </w:t>
      </w:r>
      <w:r w:rsidR="00EF1984">
        <w:t xml:space="preserve">Energy </w:t>
      </w:r>
      <w:r w:rsidR="00B53359">
        <w:t>Division</w:t>
      </w:r>
      <w:r w:rsidR="00352A12">
        <w:t xml:space="preserve">, in consultation with </w:t>
      </w:r>
      <w:r w:rsidR="00EF1984">
        <w:t xml:space="preserve">the </w:t>
      </w:r>
      <w:r w:rsidR="00352A12">
        <w:t>Safety and Enforcement Division, as needed,</w:t>
      </w:r>
      <w:r w:rsidR="00B53359">
        <w:t xml:space="preserve"> pursuant to Ordering Paragraph </w:t>
      </w:r>
      <w:r w:rsidR="00196CCB">
        <w:t>5</w:t>
      </w:r>
      <w:r w:rsidR="00B53359">
        <w:t xml:space="preserve"> of this decision.</w:t>
      </w:r>
    </w:p>
    <w:p w14:paraId="7710CD17" w14:textId="0C000B08" w:rsidR="00F6397D" w:rsidRDefault="00E23CBB" w:rsidP="00C51C4B">
      <w:pPr>
        <w:pStyle w:val="OP"/>
        <w:keepNext/>
        <w:keepLines/>
      </w:pPr>
      <w:r w:rsidRPr="001E2A62">
        <w:t>Rulemaking</w:t>
      </w:r>
      <w:r w:rsidR="00787E43">
        <w:t xml:space="preserve"> 13</w:t>
      </w:r>
      <w:r w:rsidR="00FE5496">
        <w:noBreakHyphen/>
      </w:r>
      <w:r w:rsidR="00787E43">
        <w:t>11</w:t>
      </w:r>
      <w:r w:rsidR="00FE5496">
        <w:noBreakHyphen/>
      </w:r>
      <w:r w:rsidR="00787E43">
        <w:t>006</w:t>
      </w:r>
      <w:r w:rsidRPr="001E2A62">
        <w:t xml:space="preserve"> is closed.</w:t>
      </w:r>
    </w:p>
    <w:p w14:paraId="5A98F5D2" w14:textId="77777777" w:rsidR="008F0116" w:rsidRDefault="008F0116" w:rsidP="00C51C4B">
      <w:pPr>
        <w:keepNext/>
        <w:keepLines/>
      </w:pPr>
      <w:r>
        <w:t>This order is effective today.</w:t>
      </w:r>
    </w:p>
    <w:p w14:paraId="391B6CE7" w14:textId="1D95BCC7" w:rsidR="00426014" w:rsidRDefault="008F0116" w:rsidP="00C51C4B">
      <w:pPr>
        <w:keepNext/>
        <w:keepLines/>
      </w:pPr>
      <w:r>
        <w:t>Dated</w:t>
      </w:r>
      <w:r w:rsidR="00796D10">
        <w:t xml:space="preserve"> January 16, 2020</w:t>
      </w:r>
      <w:r>
        <w:t>, at San Francisco, California</w:t>
      </w:r>
      <w:r w:rsidR="00FF110C">
        <w:t>.</w:t>
      </w:r>
    </w:p>
    <w:p w14:paraId="365D768C" w14:textId="3A999999" w:rsidR="00796D10" w:rsidRDefault="00796D10" w:rsidP="00C51C4B">
      <w:pPr>
        <w:keepNext/>
        <w:keepLines/>
      </w:pPr>
    </w:p>
    <w:tbl>
      <w:tblPr>
        <w:tblW w:w="0" w:type="auto"/>
        <w:tblLook w:val="04A0" w:firstRow="1" w:lastRow="0" w:firstColumn="1" w:lastColumn="0" w:noHBand="0" w:noVBand="1"/>
      </w:tblPr>
      <w:tblGrid>
        <w:gridCol w:w="4988"/>
        <w:gridCol w:w="268"/>
        <w:gridCol w:w="4104"/>
      </w:tblGrid>
      <w:tr w:rsidR="00AC4058" w:rsidRPr="00B97820" w14:paraId="192F5825" w14:textId="77777777" w:rsidTr="00AC4058">
        <w:tc>
          <w:tcPr>
            <w:tcW w:w="4988" w:type="dxa"/>
            <w:shd w:val="clear" w:color="auto" w:fill="auto"/>
          </w:tcPr>
          <w:p w14:paraId="4D99D59C" w14:textId="77777777" w:rsidR="00AC4058" w:rsidRPr="00B97820" w:rsidRDefault="00AC4058" w:rsidP="0002194C">
            <w:pPr>
              <w:autoSpaceDE w:val="0"/>
              <w:autoSpaceDN w:val="0"/>
              <w:adjustRightInd w:val="0"/>
              <w:ind w:left="4320"/>
              <w:jc w:val="both"/>
              <w:rPr>
                <w:rFonts w:cs="Palatino"/>
                <w:szCs w:val="26"/>
              </w:rPr>
            </w:pPr>
          </w:p>
        </w:tc>
        <w:tc>
          <w:tcPr>
            <w:tcW w:w="268" w:type="dxa"/>
            <w:shd w:val="clear" w:color="auto" w:fill="auto"/>
          </w:tcPr>
          <w:p w14:paraId="21A496F1" w14:textId="77777777" w:rsidR="00AC4058" w:rsidRPr="00B97820" w:rsidRDefault="00AC4058" w:rsidP="0002194C">
            <w:pPr>
              <w:keepNext/>
              <w:keepLines/>
              <w:rPr>
                <w:rFonts w:cs="Palatino"/>
                <w:szCs w:val="26"/>
              </w:rPr>
            </w:pPr>
          </w:p>
        </w:tc>
        <w:tc>
          <w:tcPr>
            <w:tcW w:w="4104" w:type="dxa"/>
            <w:shd w:val="clear" w:color="auto" w:fill="auto"/>
          </w:tcPr>
          <w:p w14:paraId="423F6A27" w14:textId="77777777" w:rsidR="00AC4058" w:rsidRPr="00B97820" w:rsidRDefault="00AC4058" w:rsidP="00AC4058">
            <w:pPr>
              <w:keepNext/>
              <w:keepLines/>
              <w:spacing w:line="240" w:lineRule="auto"/>
              <w:ind w:firstLine="0"/>
              <w:rPr>
                <w:rFonts w:cs="Palatino"/>
                <w:szCs w:val="26"/>
              </w:rPr>
            </w:pPr>
            <w:r w:rsidRPr="00B97820">
              <w:rPr>
                <w:rFonts w:cs="Palatino"/>
                <w:szCs w:val="26"/>
              </w:rPr>
              <w:t>MARYBEL BATJER</w:t>
            </w:r>
          </w:p>
          <w:p w14:paraId="15D82267" w14:textId="77777777" w:rsidR="00AC4058" w:rsidRPr="00B97820" w:rsidRDefault="00AC4058" w:rsidP="00AC4058">
            <w:pPr>
              <w:keepNext/>
              <w:keepLines/>
              <w:spacing w:line="240" w:lineRule="auto"/>
              <w:ind w:firstLine="0"/>
              <w:rPr>
                <w:rFonts w:cs="Palatino"/>
                <w:szCs w:val="26"/>
              </w:rPr>
            </w:pPr>
            <w:r w:rsidRPr="00B97820">
              <w:rPr>
                <w:rFonts w:cs="Palatino"/>
                <w:szCs w:val="26"/>
              </w:rPr>
              <w:lastRenderedPageBreak/>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Cs w:val="26"/>
              </w:rPr>
              <w:t xml:space="preserve">        </w:t>
            </w:r>
            <w:r w:rsidRPr="00B97820">
              <w:rPr>
                <w:rFonts w:cs="Palatino"/>
                <w:sz w:val="20"/>
                <w:szCs w:val="26"/>
              </w:rPr>
              <w:t xml:space="preserve"> </w:t>
            </w:r>
            <w:r w:rsidRPr="00B97820">
              <w:rPr>
                <w:rFonts w:cs="Palatino"/>
                <w:sz w:val="24"/>
                <w:szCs w:val="26"/>
              </w:rPr>
              <w:t xml:space="preserve"> </w:t>
            </w:r>
            <w:r w:rsidRPr="00B97820">
              <w:rPr>
                <w:rFonts w:cs="Palatino"/>
                <w:szCs w:val="26"/>
              </w:rPr>
              <w:t xml:space="preserve"> </w:t>
            </w:r>
            <w:r w:rsidRPr="00B97820">
              <w:rPr>
                <w:rFonts w:cs="Palatino"/>
                <w:sz w:val="24"/>
                <w:szCs w:val="26"/>
              </w:rPr>
              <w:t xml:space="preserve"> </w:t>
            </w:r>
            <w:r w:rsidRPr="00B97820">
              <w:rPr>
                <w:rFonts w:cs="Palatino"/>
                <w:szCs w:val="26"/>
              </w:rPr>
              <w:t xml:space="preserve"> President</w:t>
            </w:r>
          </w:p>
          <w:p w14:paraId="1FAC80CB" w14:textId="77777777" w:rsidR="00AC4058" w:rsidRPr="00B97820" w:rsidRDefault="00AC4058" w:rsidP="00AC4058">
            <w:pPr>
              <w:keepNext/>
              <w:keepLines/>
              <w:spacing w:line="240" w:lineRule="auto"/>
              <w:ind w:firstLine="0"/>
              <w:rPr>
                <w:rFonts w:cs="Courier New"/>
                <w:szCs w:val="26"/>
              </w:rPr>
            </w:pPr>
            <w:r w:rsidRPr="00B97820">
              <w:rPr>
                <w:rFonts w:cs="Courier New"/>
                <w:szCs w:val="26"/>
              </w:rPr>
              <w:t>LIANE M. RANDOLPH</w:t>
            </w:r>
          </w:p>
          <w:p w14:paraId="37D5A824" w14:textId="77777777" w:rsidR="00AC4058" w:rsidRPr="00B97820" w:rsidRDefault="00AC4058" w:rsidP="00AC4058">
            <w:pPr>
              <w:keepNext/>
              <w:keepLines/>
              <w:spacing w:line="240" w:lineRule="auto"/>
              <w:ind w:firstLine="0"/>
              <w:rPr>
                <w:rFonts w:cs="Courier New"/>
                <w:szCs w:val="26"/>
              </w:rPr>
            </w:pPr>
            <w:r w:rsidRPr="00B97820">
              <w:rPr>
                <w:rFonts w:cs="Courier New"/>
                <w:szCs w:val="26"/>
              </w:rPr>
              <w:t>MARTHA GUZMAN ACEVES</w:t>
            </w:r>
          </w:p>
          <w:p w14:paraId="1AA02FFE" w14:textId="77777777" w:rsidR="00AC4058" w:rsidRPr="00B97820" w:rsidRDefault="00AC4058" w:rsidP="00AC4058">
            <w:pPr>
              <w:keepNext/>
              <w:keepLines/>
              <w:spacing w:line="240" w:lineRule="auto"/>
              <w:ind w:firstLine="0"/>
              <w:rPr>
                <w:rFonts w:cs="Courier New"/>
                <w:szCs w:val="26"/>
              </w:rPr>
            </w:pPr>
            <w:r w:rsidRPr="00B97820">
              <w:rPr>
                <w:rFonts w:cs="Courier New"/>
                <w:szCs w:val="26"/>
              </w:rPr>
              <w:t>CLIFFORD RECHTSCHAFFEN</w:t>
            </w:r>
          </w:p>
          <w:p w14:paraId="0E5DDE9F" w14:textId="77777777" w:rsidR="00AC4058" w:rsidRPr="00B97820" w:rsidRDefault="00AC4058" w:rsidP="00AC4058">
            <w:pPr>
              <w:keepNext/>
              <w:keepLines/>
              <w:spacing w:line="240" w:lineRule="auto"/>
              <w:ind w:firstLine="0"/>
              <w:rPr>
                <w:rFonts w:cs="Courier New"/>
                <w:szCs w:val="26"/>
              </w:rPr>
            </w:pPr>
            <w:r w:rsidRPr="00B97820">
              <w:rPr>
                <w:rFonts w:cs="Courier New"/>
                <w:szCs w:val="26"/>
              </w:rPr>
              <w:t>GENEVIEVE SHIROMA</w:t>
            </w:r>
          </w:p>
          <w:p w14:paraId="423227D8" w14:textId="77777777" w:rsidR="00AC4058" w:rsidRPr="00B97820" w:rsidRDefault="00AC4058" w:rsidP="00AC4058">
            <w:pPr>
              <w:keepNext/>
              <w:keepLines/>
              <w:spacing w:line="240" w:lineRule="auto"/>
              <w:ind w:firstLine="0"/>
            </w:pPr>
            <w:r w:rsidRPr="00B97820">
              <w:t xml:space="preserve">            </w:t>
            </w:r>
            <w:r w:rsidRPr="00B97820">
              <w:rPr>
                <w:sz w:val="22"/>
              </w:rPr>
              <w:t xml:space="preserve"> </w:t>
            </w:r>
            <w:r w:rsidRPr="00B97820">
              <w:t xml:space="preserve">              </w:t>
            </w:r>
            <w:r w:rsidRPr="00B97820">
              <w:rPr>
                <w:sz w:val="32"/>
              </w:rPr>
              <w:t xml:space="preserve"> </w:t>
            </w:r>
            <w:r w:rsidRPr="00B97820">
              <w:rPr>
                <w:sz w:val="24"/>
              </w:rPr>
              <w:t xml:space="preserve"> </w:t>
            </w:r>
            <w:r w:rsidRPr="00B97820">
              <w:t>Commissioners</w:t>
            </w:r>
          </w:p>
        </w:tc>
      </w:tr>
    </w:tbl>
    <w:p w14:paraId="7BCD24B0" w14:textId="77777777" w:rsidR="00AC4058" w:rsidRPr="00B97820" w:rsidRDefault="00AC4058" w:rsidP="00AC4058">
      <w:pPr>
        <w:pStyle w:val="standard0"/>
        <w:rPr>
          <w:sz w:val="10"/>
          <w:szCs w:val="26"/>
        </w:rPr>
      </w:pPr>
      <w:r w:rsidRPr="00B97820">
        <w:rPr>
          <w:sz w:val="10"/>
          <w:szCs w:val="26"/>
        </w:rPr>
        <w:lastRenderedPageBreak/>
        <w:t xml:space="preserve"> </w:t>
      </w:r>
    </w:p>
    <w:p w14:paraId="31E5792C" w14:textId="3B6876D8" w:rsidR="0059764F" w:rsidRPr="00AC4058" w:rsidRDefault="00AC4058" w:rsidP="00AC4058">
      <w:pPr>
        <w:rPr>
          <w:szCs w:val="26"/>
        </w:rPr>
      </w:pPr>
      <w:r>
        <w:rPr>
          <w:szCs w:val="26"/>
        </w:rPr>
        <w:t xml:space="preserve"> </w:t>
      </w:r>
    </w:p>
    <w:p w14:paraId="4B666912" w14:textId="77777777" w:rsidR="0059764F" w:rsidRDefault="0059764F" w:rsidP="00C51C4B">
      <w:pPr>
        <w:keepNext/>
        <w:keepLines/>
        <w:sectPr w:rsidR="0059764F" w:rsidSect="001E323B">
          <w:pgSz w:w="12240" w:h="15840"/>
          <w:pgMar w:top="1728" w:right="1440" w:bottom="1440" w:left="1440" w:header="720" w:footer="720" w:gutter="0"/>
          <w:cols w:space="720"/>
          <w:docGrid w:linePitch="360"/>
        </w:sectPr>
      </w:pPr>
    </w:p>
    <w:p w14:paraId="32D9BA72" w14:textId="77777777" w:rsidR="008F0116" w:rsidRPr="000F411B" w:rsidRDefault="00426014" w:rsidP="00426014">
      <w:pPr>
        <w:pStyle w:val="Main"/>
        <w:rPr>
          <w:sz w:val="24"/>
          <w:szCs w:val="52"/>
        </w:rPr>
      </w:pPr>
      <w:r w:rsidRPr="000F411B">
        <w:rPr>
          <w:sz w:val="24"/>
          <w:szCs w:val="52"/>
        </w:rPr>
        <w:lastRenderedPageBreak/>
        <w:t>Appendix A</w:t>
      </w:r>
    </w:p>
    <w:p w14:paraId="65D27842" w14:textId="77777777" w:rsidR="00426014" w:rsidRPr="007C78CD" w:rsidRDefault="00426014" w:rsidP="00426014">
      <w:pPr>
        <w:rPr>
          <w:sz w:val="10"/>
          <w:szCs w:val="6"/>
        </w:rPr>
      </w:pPr>
    </w:p>
    <w:p w14:paraId="565C7BCE" w14:textId="77777777" w:rsidR="008443BF" w:rsidRDefault="008443BF" w:rsidP="001730FA">
      <w:pPr>
        <w:pStyle w:val="standard0"/>
        <w:keepNext/>
        <w:keepLines/>
        <w:spacing w:line="240" w:lineRule="auto"/>
        <w:ind w:firstLine="0"/>
        <w:jc w:val="center"/>
        <w:rPr>
          <w:rFonts w:ascii="Book Antiqua" w:hAnsi="Book Antiqua"/>
          <w:b/>
          <w:bCs/>
          <w:sz w:val="24"/>
          <w:szCs w:val="18"/>
        </w:rPr>
      </w:pPr>
      <w:bookmarkStart w:id="129" w:name="_Hlk13725718"/>
      <w:r>
        <w:rPr>
          <w:rFonts w:ascii="Book Antiqua" w:hAnsi="Book Antiqua"/>
          <w:b/>
          <w:bCs/>
          <w:sz w:val="24"/>
          <w:szCs w:val="18"/>
        </w:rPr>
        <w:t>Table 1</w:t>
      </w:r>
    </w:p>
    <w:p w14:paraId="35066308" w14:textId="77777777" w:rsidR="001730FA" w:rsidRDefault="001730FA" w:rsidP="001730FA">
      <w:pPr>
        <w:pStyle w:val="standard0"/>
        <w:keepNext/>
        <w:keepLines/>
        <w:spacing w:line="240" w:lineRule="auto"/>
        <w:ind w:firstLine="0"/>
        <w:jc w:val="center"/>
        <w:rPr>
          <w:rFonts w:ascii="Book Antiqua" w:hAnsi="Book Antiqua"/>
          <w:b/>
          <w:bCs/>
          <w:sz w:val="24"/>
          <w:szCs w:val="18"/>
        </w:rPr>
      </w:pPr>
      <w:r>
        <w:rPr>
          <w:rFonts w:ascii="Book Antiqua" w:hAnsi="Book Antiqua"/>
          <w:b/>
          <w:bCs/>
          <w:sz w:val="24"/>
          <w:szCs w:val="18"/>
        </w:rPr>
        <w:t xml:space="preserve">Adopted Revised </w:t>
      </w:r>
      <w:r w:rsidRPr="00CE14F2">
        <w:rPr>
          <w:rFonts w:ascii="Book Antiqua" w:hAnsi="Book Antiqua"/>
          <w:b/>
          <w:bCs/>
          <w:sz w:val="24"/>
          <w:szCs w:val="18"/>
        </w:rPr>
        <w:t>GRC Application Filing Schedule</w:t>
      </w:r>
    </w:p>
    <w:p w14:paraId="5111F189" w14:textId="11BAC47B" w:rsidR="00856D42" w:rsidRPr="004F7294" w:rsidRDefault="001730FA">
      <w:pPr>
        <w:pStyle w:val="standard0"/>
        <w:keepNext/>
        <w:keepLines/>
        <w:spacing w:after="120" w:line="240" w:lineRule="auto"/>
        <w:ind w:firstLine="0"/>
        <w:jc w:val="center"/>
        <w:rPr>
          <w:rFonts w:ascii="Arial" w:hAnsi="Arial" w:cs="Arial"/>
          <w:b/>
          <w:bCs/>
          <w:sz w:val="24"/>
          <w:szCs w:val="18"/>
        </w:rPr>
      </w:pPr>
      <w:r w:rsidRPr="0036263B">
        <w:rPr>
          <w:rFonts w:ascii="Book Antiqua" w:hAnsi="Book Antiqua"/>
          <w:b/>
          <w:bCs/>
          <w:i/>
          <w:iCs/>
          <w:sz w:val="24"/>
          <w:szCs w:val="18"/>
        </w:rPr>
        <w:t>Effective</w:t>
      </w:r>
      <w:r w:rsidR="00616374">
        <w:rPr>
          <w:rFonts w:ascii="Book Antiqua" w:hAnsi="Book Antiqua"/>
          <w:b/>
          <w:bCs/>
          <w:i/>
          <w:iCs/>
          <w:sz w:val="24"/>
          <w:szCs w:val="18"/>
        </w:rPr>
        <w:t xml:space="preserve"> </w:t>
      </w:r>
      <w:r w:rsidR="001502AD">
        <w:rPr>
          <w:rFonts w:ascii="Book Antiqua" w:hAnsi="Book Antiqua"/>
          <w:b/>
          <w:bCs/>
          <w:i/>
          <w:iCs/>
          <w:sz w:val="24"/>
          <w:szCs w:val="18"/>
        </w:rPr>
        <w:t>June 30</w:t>
      </w:r>
      <w:r w:rsidRPr="0036263B">
        <w:rPr>
          <w:rFonts w:ascii="Book Antiqua" w:hAnsi="Book Antiqua"/>
          <w:b/>
          <w:bCs/>
          <w:i/>
          <w:iCs/>
          <w:sz w:val="24"/>
          <w:szCs w:val="18"/>
        </w:rPr>
        <w:t>, 2020</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4675"/>
      </w:tblGrid>
      <w:tr w:rsidR="00326D0E" w:rsidRPr="00FD0BF5" w14:paraId="043EC7F8" w14:textId="77777777" w:rsidTr="007C78CD">
        <w:trPr>
          <w:cantSplit/>
        </w:trPr>
        <w:tc>
          <w:tcPr>
            <w:tcW w:w="3145" w:type="dxa"/>
            <w:shd w:val="clear" w:color="auto" w:fill="auto"/>
            <w:vAlign w:val="center"/>
          </w:tcPr>
          <w:p w14:paraId="386C077C" w14:textId="77777777" w:rsidR="00326D0E" w:rsidRPr="007C78CD" w:rsidRDefault="00326D0E" w:rsidP="00326D0E">
            <w:pPr>
              <w:keepNext/>
              <w:keepLines/>
              <w:spacing w:line="240" w:lineRule="auto"/>
              <w:ind w:firstLine="0"/>
              <w:jc w:val="center"/>
              <w:rPr>
                <w:b/>
                <w:sz w:val="22"/>
              </w:rPr>
            </w:pPr>
            <w:bookmarkStart w:id="130" w:name="_Hlk23711199"/>
            <w:r w:rsidRPr="007C78CD">
              <w:rPr>
                <w:b/>
                <w:sz w:val="22"/>
              </w:rPr>
              <w:t>Date</w:t>
            </w:r>
          </w:p>
        </w:tc>
        <w:tc>
          <w:tcPr>
            <w:tcW w:w="1530" w:type="dxa"/>
          </w:tcPr>
          <w:p w14:paraId="2367FD69" w14:textId="77777777" w:rsidR="00326D0E" w:rsidRPr="007C78CD" w:rsidRDefault="00326D0E" w:rsidP="00326D0E">
            <w:pPr>
              <w:keepNext/>
              <w:keepLines/>
              <w:spacing w:line="240" w:lineRule="auto"/>
              <w:ind w:firstLine="0"/>
              <w:jc w:val="center"/>
              <w:rPr>
                <w:b/>
                <w:sz w:val="22"/>
              </w:rPr>
            </w:pPr>
            <w:r w:rsidRPr="007C78CD">
              <w:rPr>
                <w:b/>
                <w:sz w:val="22"/>
              </w:rPr>
              <w:t>Days</w:t>
            </w:r>
          </w:p>
        </w:tc>
        <w:tc>
          <w:tcPr>
            <w:tcW w:w="4675" w:type="dxa"/>
            <w:shd w:val="clear" w:color="auto" w:fill="auto"/>
            <w:vAlign w:val="center"/>
          </w:tcPr>
          <w:p w14:paraId="6771650E" w14:textId="77777777" w:rsidR="00326D0E" w:rsidRPr="007C78CD" w:rsidRDefault="00326D0E" w:rsidP="00326D0E">
            <w:pPr>
              <w:keepNext/>
              <w:keepLines/>
              <w:spacing w:line="240" w:lineRule="auto"/>
              <w:ind w:firstLine="0"/>
              <w:jc w:val="center"/>
              <w:rPr>
                <w:b/>
                <w:sz w:val="22"/>
              </w:rPr>
            </w:pPr>
            <w:r w:rsidRPr="007C78CD">
              <w:rPr>
                <w:b/>
                <w:sz w:val="22"/>
              </w:rPr>
              <w:t>Event</w:t>
            </w:r>
          </w:p>
        </w:tc>
      </w:tr>
      <w:tr w:rsidR="001730FA" w:rsidRPr="00FD0BF5" w14:paraId="0B29305E" w14:textId="77777777" w:rsidTr="007C78CD">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A2E90" w14:textId="2A1D1F23" w:rsidR="001730FA" w:rsidRPr="007C78CD" w:rsidRDefault="001730FA" w:rsidP="006F0AC0">
            <w:pPr>
              <w:pStyle w:val="standard0"/>
              <w:spacing w:line="240" w:lineRule="auto"/>
              <w:ind w:hanging="17"/>
              <w:jc w:val="center"/>
              <w:rPr>
                <w:b/>
                <w:sz w:val="22"/>
              </w:rPr>
            </w:pPr>
            <w:r w:rsidRPr="007C78CD">
              <w:rPr>
                <w:b/>
                <w:sz w:val="22"/>
              </w:rPr>
              <w:t>Test Year minus</w:t>
            </w:r>
            <w:r w:rsidR="00FE5496">
              <w:rPr>
                <w:b/>
                <w:sz w:val="22"/>
              </w:rPr>
              <w:noBreakHyphen/>
            </w:r>
            <w:r w:rsidRPr="007C78CD">
              <w:rPr>
                <w:b/>
                <w:sz w:val="22"/>
              </w:rPr>
              <w:t>3</w:t>
            </w:r>
          </w:p>
        </w:tc>
      </w:tr>
      <w:tr w:rsidR="001730FA" w:rsidRPr="00FD0BF5" w14:paraId="49D8452A" w14:textId="77777777" w:rsidTr="007C78CD">
        <w:trPr>
          <w:cantSplit/>
        </w:trPr>
        <w:tc>
          <w:tcPr>
            <w:tcW w:w="3145" w:type="dxa"/>
            <w:shd w:val="clear" w:color="auto" w:fill="auto"/>
            <w:vAlign w:val="center"/>
          </w:tcPr>
          <w:p w14:paraId="463148E9" w14:textId="2D7EB61D" w:rsidR="001730FA" w:rsidRPr="007C78CD" w:rsidRDefault="00AD030D" w:rsidP="007C78CD">
            <w:pPr>
              <w:spacing w:line="240" w:lineRule="auto"/>
              <w:ind w:firstLine="0"/>
              <w:rPr>
                <w:sz w:val="22"/>
              </w:rPr>
            </w:pPr>
            <w:r w:rsidRPr="00FD0BF5">
              <w:rPr>
                <w:sz w:val="22"/>
              </w:rPr>
              <w:t>May 15</w:t>
            </w:r>
          </w:p>
        </w:tc>
        <w:tc>
          <w:tcPr>
            <w:tcW w:w="1530" w:type="dxa"/>
            <w:vAlign w:val="center"/>
          </w:tcPr>
          <w:p w14:paraId="6BC6E669" w14:textId="5F0A43E8" w:rsidR="001730FA" w:rsidRPr="007C78CD" w:rsidRDefault="00B1692C" w:rsidP="007C78CD">
            <w:pPr>
              <w:spacing w:line="240" w:lineRule="auto"/>
              <w:ind w:firstLine="0"/>
              <w:rPr>
                <w:sz w:val="22"/>
              </w:rPr>
            </w:pPr>
            <w:r w:rsidRPr="00FD0BF5">
              <w:rPr>
                <w:sz w:val="22"/>
              </w:rPr>
              <w:t>Day 0</w:t>
            </w:r>
          </w:p>
        </w:tc>
        <w:tc>
          <w:tcPr>
            <w:tcW w:w="4675" w:type="dxa"/>
            <w:shd w:val="clear" w:color="auto" w:fill="auto"/>
            <w:vAlign w:val="center"/>
          </w:tcPr>
          <w:p w14:paraId="48824D32" w14:textId="27A351A0" w:rsidR="001730FA" w:rsidRPr="007C78CD" w:rsidRDefault="001730FA" w:rsidP="007C78CD">
            <w:pPr>
              <w:spacing w:line="240" w:lineRule="auto"/>
              <w:ind w:firstLine="0"/>
              <w:rPr>
                <w:sz w:val="22"/>
              </w:rPr>
            </w:pPr>
            <w:r w:rsidRPr="007C78CD">
              <w:rPr>
                <w:sz w:val="22"/>
              </w:rPr>
              <w:t xml:space="preserve">Utility </w:t>
            </w:r>
            <w:r w:rsidR="000C54F6" w:rsidRPr="00FD0BF5">
              <w:rPr>
                <w:sz w:val="22"/>
              </w:rPr>
              <w:t xml:space="preserve">files application to </w:t>
            </w:r>
            <w:r w:rsidRPr="00FD0BF5">
              <w:rPr>
                <w:sz w:val="22"/>
              </w:rPr>
              <w:t>initiat</w:t>
            </w:r>
            <w:r w:rsidR="000C54F6" w:rsidRPr="00FD0BF5">
              <w:rPr>
                <w:sz w:val="22"/>
              </w:rPr>
              <w:t>e its</w:t>
            </w:r>
            <w:r w:rsidRPr="007C78CD">
              <w:rPr>
                <w:sz w:val="22"/>
              </w:rPr>
              <w:t xml:space="preserve"> RAMP proceeding</w:t>
            </w:r>
          </w:p>
        </w:tc>
      </w:tr>
      <w:tr w:rsidR="001730FA" w:rsidRPr="00FD0BF5" w14:paraId="13E0EB37" w14:textId="77777777" w:rsidTr="007C78CD">
        <w:trPr>
          <w:cantSplit/>
        </w:trPr>
        <w:tc>
          <w:tcPr>
            <w:tcW w:w="3145" w:type="dxa"/>
            <w:shd w:val="clear" w:color="auto" w:fill="auto"/>
            <w:vAlign w:val="center"/>
          </w:tcPr>
          <w:p w14:paraId="08E23979" w14:textId="0BE423D5" w:rsidR="001730FA" w:rsidRPr="007C78CD" w:rsidRDefault="00B1692C" w:rsidP="007C78CD">
            <w:pPr>
              <w:spacing w:line="240" w:lineRule="auto"/>
              <w:ind w:firstLine="0"/>
              <w:rPr>
                <w:sz w:val="22"/>
              </w:rPr>
            </w:pPr>
            <w:r w:rsidRPr="00FD0BF5">
              <w:rPr>
                <w:sz w:val="22"/>
              </w:rPr>
              <w:t>By September 1</w:t>
            </w:r>
          </w:p>
        </w:tc>
        <w:tc>
          <w:tcPr>
            <w:tcW w:w="1530" w:type="dxa"/>
            <w:vAlign w:val="center"/>
          </w:tcPr>
          <w:p w14:paraId="69C388EF" w14:textId="2A57198E" w:rsidR="001730FA" w:rsidRPr="007C78CD" w:rsidRDefault="00B1692C" w:rsidP="007C78CD">
            <w:pPr>
              <w:spacing w:line="240" w:lineRule="auto"/>
              <w:ind w:firstLine="0"/>
              <w:rPr>
                <w:sz w:val="22"/>
              </w:rPr>
            </w:pPr>
            <w:r w:rsidRPr="00FD0BF5">
              <w:rPr>
                <w:sz w:val="22"/>
              </w:rPr>
              <w:t xml:space="preserve">~Day </w:t>
            </w:r>
            <w:r w:rsidR="00AD030D" w:rsidRPr="00FD0BF5">
              <w:rPr>
                <w:sz w:val="22"/>
              </w:rPr>
              <w:t>110</w:t>
            </w:r>
          </w:p>
        </w:tc>
        <w:tc>
          <w:tcPr>
            <w:tcW w:w="4675" w:type="dxa"/>
            <w:shd w:val="clear" w:color="auto" w:fill="auto"/>
            <w:vAlign w:val="center"/>
          </w:tcPr>
          <w:p w14:paraId="0D691896" w14:textId="4A3F6B0F" w:rsidR="001730FA" w:rsidRPr="007C78CD" w:rsidRDefault="00B1692C" w:rsidP="007C78CD">
            <w:pPr>
              <w:spacing w:line="240" w:lineRule="auto"/>
              <w:ind w:firstLine="0"/>
              <w:rPr>
                <w:sz w:val="22"/>
              </w:rPr>
            </w:pPr>
            <w:r w:rsidRPr="00FD0BF5">
              <w:rPr>
                <w:rFonts w:cs="Arial"/>
                <w:sz w:val="22"/>
              </w:rPr>
              <w:t xml:space="preserve">SED files and serve report on utility’s RAMP submission. </w:t>
            </w:r>
          </w:p>
        </w:tc>
      </w:tr>
      <w:tr w:rsidR="001730FA" w:rsidRPr="00FD0BF5" w14:paraId="2271BA00" w14:textId="77777777" w:rsidTr="007C78CD">
        <w:trPr>
          <w:cantSplit/>
        </w:trPr>
        <w:tc>
          <w:tcPr>
            <w:tcW w:w="3145" w:type="dxa"/>
            <w:shd w:val="clear" w:color="auto" w:fill="auto"/>
            <w:vAlign w:val="center"/>
          </w:tcPr>
          <w:p w14:paraId="36AC63B7" w14:textId="7DFAFFA1" w:rsidR="001730FA" w:rsidRPr="007C78CD" w:rsidRDefault="00B1692C" w:rsidP="007C78CD">
            <w:pPr>
              <w:spacing w:line="240" w:lineRule="auto"/>
              <w:ind w:firstLine="0"/>
              <w:rPr>
                <w:sz w:val="22"/>
              </w:rPr>
            </w:pPr>
            <w:r w:rsidRPr="00FD0BF5">
              <w:rPr>
                <w:sz w:val="22"/>
              </w:rPr>
              <w:t>By November 15</w:t>
            </w:r>
          </w:p>
        </w:tc>
        <w:tc>
          <w:tcPr>
            <w:tcW w:w="1530" w:type="dxa"/>
            <w:vAlign w:val="center"/>
          </w:tcPr>
          <w:p w14:paraId="0E7A28F1" w14:textId="271A700C" w:rsidR="001730FA" w:rsidRPr="007C78CD" w:rsidRDefault="00B1692C" w:rsidP="007C78CD">
            <w:pPr>
              <w:spacing w:line="240" w:lineRule="auto"/>
              <w:ind w:firstLine="0"/>
              <w:rPr>
                <w:sz w:val="22"/>
              </w:rPr>
            </w:pPr>
            <w:r w:rsidRPr="00FD0BF5">
              <w:rPr>
                <w:sz w:val="22"/>
              </w:rPr>
              <w:t>~Day 1</w:t>
            </w:r>
            <w:r w:rsidR="00AD030D" w:rsidRPr="00FD0BF5">
              <w:rPr>
                <w:sz w:val="22"/>
              </w:rPr>
              <w:t>84</w:t>
            </w:r>
          </w:p>
        </w:tc>
        <w:tc>
          <w:tcPr>
            <w:tcW w:w="4675" w:type="dxa"/>
            <w:shd w:val="clear" w:color="auto" w:fill="auto"/>
            <w:vAlign w:val="center"/>
          </w:tcPr>
          <w:p w14:paraId="7F8167A2" w14:textId="3E4298EB" w:rsidR="001730FA" w:rsidRPr="007C78CD" w:rsidRDefault="00B1692C" w:rsidP="007C78CD">
            <w:pPr>
              <w:spacing w:line="240" w:lineRule="auto"/>
              <w:ind w:firstLine="0"/>
              <w:rPr>
                <w:sz w:val="22"/>
              </w:rPr>
            </w:pPr>
            <w:r w:rsidRPr="00FD0BF5">
              <w:rPr>
                <w:sz w:val="22"/>
              </w:rPr>
              <w:t xml:space="preserve">Opening </w:t>
            </w:r>
            <w:r w:rsidR="00AD030D" w:rsidRPr="00FD0BF5">
              <w:rPr>
                <w:sz w:val="22"/>
              </w:rPr>
              <w:t>c</w:t>
            </w:r>
            <w:r w:rsidRPr="00FD0BF5">
              <w:rPr>
                <w:sz w:val="22"/>
              </w:rPr>
              <w:t>omments on</w:t>
            </w:r>
            <w:r w:rsidRPr="007C78CD">
              <w:rPr>
                <w:sz w:val="22"/>
              </w:rPr>
              <w:t xml:space="preserve"> RAMP submission </w:t>
            </w:r>
            <w:r w:rsidRPr="00FD0BF5">
              <w:rPr>
                <w:sz w:val="22"/>
              </w:rPr>
              <w:t>and</w:t>
            </w:r>
            <w:r w:rsidRPr="007C78CD">
              <w:rPr>
                <w:sz w:val="22"/>
              </w:rPr>
              <w:t xml:space="preserve"> the </w:t>
            </w:r>
            <w:r w:rsidRPr="00FD0BF5">
              <w:rPr>
                <w:sz w:val="22"/>
              </w:rPr>
              <w:t>SED report</w:t>
            </w:r>
          </w:p>
        </w:tc>
      </w:tr>
      <w:tr w:rsidR="00B1692C" w:rsidRPr="00FD0BF5" w14:paraId="5A374970" w14:textId="77777777" w:rsidTr="007C78CD">
        <w:trPr>
          <w:cantSplit/>
        </w:trPr>
        <w:tc>
          <w:tcPr>
            <w:tcW w:w="3145" w:type="dxa"/>
            <w:shd w:val="clear" w:color="auto" w:fill="auto"/>
            <w:vAlign w:val="center"/>
          </w:tcPr>
          <w:p w14:paraId="0F3D2B24" w14:textId="67C500F2" w:rsidR="00B1692C" w:rsidRPr="00FD0BF5" w:rsidRDefault="00B1692C" w:rsidP="007C78CD">
            <w:pPr>
              <w:spacing w:line="240" w:lineRule="auto"/>
              <w:ind w:firstLine="0"/>
              <w:rPr>
                <w:sz w:val="22"/>
              </w:rPr>
            </w:pPr>
            <w:r w:rsidRPr="00FD0BF5">
              <w:rPr>
                <w:sz w:val="22"/>
              </w:rPr>
              <w:t>By December 1</w:t>
            </w:r>
          </w:p>
        </w:tc>
        <w:tc>
          <w:tcPr>
            <w:tcW w:w="1530" w:type="dxa"/>
            <w:vAlign w:val="center"/>
          </w:tcPr>
          <w:p w14:paraId="38ACCD6F" w14:textId="65064EA1" w:rsidR="00B1692C" w:rsidRPr="00FD0BF5" w:rsidRDefault="00B1692C" w:rsidP="007C78CD">
            <w:pPr>
              <w:spacing w:line="240" w:lineRule="auto"/>
              <w:ind w:firstLine="0"/>
              <w:rPr>
                <w:sz w:val="22"/>
              </w:rPr>
            </w:pPr>
            <w:r w:rsidRPr="00FD0BF5">
              <w:rPr>
                <w:sz w:val="22"/>
              </w:rPr>
              <w:t xml:space="preserve">~Day </w:t>
            </w:r>
            <w:r w:rsidR="00AD030D" w:rsidRPr="00FD0BF5">
              <w:rPr>
                <w:sz w:val="22"/>
              </w:rPr>
              <w:t>200</w:t>
            </w:r>
          </w:p>
        </w:tc>
        <w:tc>
          <w:tcPr>
            <w:tcW w:w="4675" w:type="dxa"/>
            <w:shd w:val="clear" w:color="auto" w:fill="auto"/>
            <w:vAlign w:val="center"/>
          </w:tcPr>
          <w:p w14:paraId="5851EE7E" w14:textId="4A6F4755" w:rsidR="00B1692C" w:rsidRPr="00FD0BF5" w:rsidRDefault="00B1692C" w:rsidP="007C78CD">
            <w:pPr>
              <w:spacing w:line="240" w:lineRule="auto"/>
              <w:ind w:firstLine="0"/>
              <w:rPr>
                <w:sz w:val="22"/>
              </w:rPr>
            </w:pPr>
            <w:r w:rsidRPr="00FD0BF5">
              <w:rPr>
                <w:sz w:val="22"/>
              </w:rPr>
              <w:t>Reply Comments</w:t>
            </w:r>
          </w:p>
        </w:tc>
      </w:tr>
      <w:tr w:rsidR="001730FA" w:rsidRPr="00FD0BF5" w14:paraId="192A6826" w14:textId="77777777" w:rsidTr="007C78CD">
        <w:trPr>
          <w:cantSplit/>
        </w:trPr>
        <w:tc>
          <w:tcPr>
            <w:tcW w:w="9350" w:type="dxa"/>
            <w:gridSpan w:val="3"/>
            <w:shd w:val="clear" w:color="auto" w:fill="D9D9D9" w:themeFill="background1" w:themeFillShade="D9"/>
            <w:vAlign w:val="center"/>
          </w:tcPr>
          <w:p w14:paraId="7FF9471F" w14:textId="4CCF6444" w:rsidR="001730FA" w:rsidRPr="007C78CD" w:rsidRDefault="001730FA" w:rsidP="007C78CD">
            <w:pPr>
              <w:spacing w:line="240" w:lineRule="auto"/>
              <w:ind w:firstLine="0"/>
              <w:jc w:val="center"/>
              <w:rPr>
                <w:b/>
                <w:sz w:val="22"/>
              </w:rPr>
            </w:pPr>
            <w:r w:rsidRPr="007C78CD">
              <w:rPr>
                <w:b/>
                <w:sz w:val="22"/>
              </w:rPr>
              <w:t>Test Year minus</w:t>
            </w:r>
            <w:r w:rsidR="00FE5496">
              <w:rPr>
                <w:b/>
                <w:sz w:val="22"/>
              </w:rPr>
              <w:noBreakHyphen/>
            </w:r>
            <w:r w:rsidRPr="007C78CD">
              <w:rPr>
                <w:b/>
                <w:sz w:val="22"/>
              </w:rPr>
              <w:t>2</w:t>
            </w:r>
          </w:p>
        </w:tc>
      </w:tr>
      <w:tr w:rsidR="001730FA" w:rsidRPr="00FD0BF5" w14:paraId="51DC9EE4" w14:textId="77777777" w:rsidTr="007C78CD">
        <w:trPr>
          <w:cantSplit/>
        </w:trPr>
        <w:tc>
          <w:tcPr>
            <w:tcW w:w="3145" w:type="dxa"/>
            <w:shd w:val="clear" w:color="auto" w:fill="auto"/>
            <w:vAlign w:val="center"/>
          </w:tcPr>
          <w:p w14:paraId="0AEA4543" w14:textId="1BF13B6D" w:rsidR="001730FA" w:rsidRPr="007C78CD" w:rsidRDefault="00AD030D" w:rsidP="007C78CD">
            <w:pPr>
              <w:spacing w:line="240" w:lineRule="auto"/>
              <w:ind w:firstLine="0"/>
              <w:rPr>
                <w:sz w:val="22"/>
              </w:rPr>
            </w:pPr>
            <w:r w:rsidRPr="00FD0BF5">
              <w:rPr>
                <w:sz w:val="22"/>
              </w:rPr>
              <w:t>May 15</w:t>
            </w:r>
          </w:p>
        </w:tc>
        <w:tc>
          <w:tcPr>
            <w:tcW w:w="1530" w:type="dxa"/>
            <w:vAlign w:val="center"/>
          </w:tcPr>
          <w:p w14:paraId="586FCB71" w14:textId="77777777" w:rsidR="001730FA" w:rsidRPr="007C78CD" w:rsidRDefault="001730FA" w:rsidP="007C78CD">
            <w:pPr>
              <w:spacing w:line="240" w:lineRule="auto"/>
              <w:ind w:firstLine="0"/>
              <w:rPr>
                <w:sz w:val="22"/>
              </w:rPr>
            </w:pPr>
            <w:r w:rsidRPr="007C78CD">
              <w:rPr>
                <w:sz w:val="22"/>
              </w:rPr>
              <w:t>Day 0</w:t>
            </w:r>
          </w:p>
        </w:tc>
        <w:tc>
          <w:tcPr>
            <w:tcW w:w="4675" w:type="dxa"/>
            <w:shd w:val="clear" w:color="auto" w:fill="auto"/>
            <w:vAlign w:val="center"/>
          </w:tcPr>
          <w:p w14:paraId="53DC9F6B" w14:textId="77777777" w:rsidR="001730FA" w:rsidRPr="007C78CD" w:rsidRDefault="001730FA" w:rsidP="007C78CD">
            <w:pPr>
              <w:spacing w:line="240" w:lineRule="auto"/>
              <w:ind w:firstLine="0"/>
              <w:rPr>
                <w:sz w:val="22"/>
              </w:rPr>
            </w:pPr>
            <w:r w:rsidRPr="007C78CD">
              <w:rPr>
                <w:sz w:val="22"/>
              </w:rPr>
              <w:t>Utility files GRC application, and serves prepared testimony</w:t>
            </w:r>
          </w:p>
        </w:tc>
      </w:tr>
      <w:tr w:rsidR="001730FA" w:rsidRPr="00FD0BF5" w14:paraId="02B743B6" w14:textId="77777777" w:rsidTr="007C78CD">
        <w:trPr>
          <w:cantSplit/>
        </w:trPr>
        <w:tc>
          <w:tcPr>
            <w:tcW w:w="3145" w:type="dxa"/>
            <w:shd w:val="clear" w:color="auto" w:fill="auto"/>
            <w:vAlign w:val="center"/>
          </w:tcPr>
          <w:p w14:paraId="17C8748F" w14:textId="5401CA64" w:rsidR="001730FA" w:rsidRPr="007C78CD" w:rsidRDefault="001730FA" w:rsidP="007C78CD">
            <w:pPr>
              <w:spacing w:line="240" w:lineRule="auto"/>
              <w:ind w:firstLine="0"/>
              <w:rPr>
                <w:sz w:val="22"/>
              </w:rPr>
            </w:pPr>
            <w:r w:rsidRPr="007C78CD">
              <w:rPr>
                <w:sz w:val="22"/>
              </w:rPr>
              <w:t xml:space="preserve">By </w:t>
            </w:r>
            <w:r w:rsidR="00AD030D" w:rsidRPr="00FD0BF5">
              <w:rPr>
                <w:sz w:val="22"/>
              </w:rPr>
              <w:t>May 30</w:t>
            </w:r>
          </w:p>
        </w:tc>
        <w:tc>
          <w:tcPr>
            <w:tcW w:w="1530" w:type="dxa"/>
            <w:vAlign w:val="center"/>
          </w:tcPr>
          <w:p w14:paraId="002C62BA" w14:textId="77777777" w:rsidR="001730FA" w:rsidRPr="007C78CD" w:rsidRDefault="00896E4E" w:rsidP="007C78CD">
            <w:pPr>
              <w:spacing w:line="240" w:lineRule="auto"/>
              <w:ind w:firstLine="0"/>
              <w:rPr>
                <w:sz w:val="22"/>
              </w:rPr>
            </w:pPr>
            <w:r w:rsidRPr="007C78CD">
              <w:rPr>
                <w:sz w:val="22"/>
              </w:rPr>
              <w:t>~</w:t>
            </w:r>
            <w:r w:rsidR="001730FA" w:rsidRPr="007C78CD">
              <w:rPr>
                <w:sz w:val="22"/>
              </w:rPr>
              <w:t>Day 15</w:t>
            </w:r>
          </w:p>
        </w:tc>
        <w:tc>
          <w:tcPr>
            <w:tcW w:w="4675" w:type="dxa"/>
            <w:shd w:val="clear" w:color="auto" w:fill="auto"/>
            <w:vAlign w:val="center"/>
          </w:tcPr>
          <w:p w14:paraId="41D425B4" w14:textId="77777777" w:rsidR="001730FA" w:rsidRPr="007C78CD" w:rsidRDefault="001730FA" w:rsidP="007C78CD">
            <w:pPr>
              <w:spacing w:line="240" w:lineRule="auto"/>
              <w:ind w:firstLine="0"/>
              <w:rPr>
                <w:sz w:val="22"/>
              </w:rPr>
            </w:pPr>
            <w:r w:rsidRPr="007C78CD">
              <w:rPr>
                <w:sz w:val="22"/>
              </w:rPr>
              <w:t>Utility holds public workshop on overall GRC application</w:t>
            </w:r>
          </w:p>
        </w:tc>
      </w:tr>
      <w:tr w:rsidR="001730FA" w:rsidRPr="00FD0BF5" w14:paraId="0F8F7B84" w14:textId="77777777" w:rsidTr="007C78CD">
        <w:trPr>
          <w:cantSplit/>
        </w:trPr>
        <w:tc>
          <w:tcPr>
            <w:tcW w:w="3145" w:type="dxa"/>
            <w:shd w:val="clear" w:color="auto" w:fill="auto"/>
            <w:vAlign w:val="center"/>
          </w:tcPr>
          <w:p w14:paraId="4BAD4C66" w14:textId="77777777" w:rsidR="001730FA" w:rsidRPr="007C78CD" w:rsidRDefault="001730FA" w:rsidP="007C78CD">
            <w:pPr>
              <w:spacing w:line="240" w:lineRule="auto"/>
              <w:ind w:firstLine="0"/>
              <w:rPr>
                <w:sz w:val="22"/>
              </w:rPr>
            </w:pPr>
            <w:r w:rsidRPr="007C78CD">
              <w:rPr>
                <w:sz w:val="22"/>
              </w:rPr>
              <w:t>30 days after Daily Calendar notice</w:t>
            </w:r>
          </w:p>
        </w:tc>
        <w:tc>
          <w:tcPr>
            <w:tcW w:w="1530" w:type="dxa"/>
            <w:vAlign w:val="center"/>
          </w:tcPr>
          <w:p w14:paraId="5258B022" w14:textId="77777777" w:rsidR="001730FA" w:rsidRPr="007C78CD" w:rsidRDefault="00896E4E" w:rsidP="007C78CD">
            <w:pPr>
              <w:spacing w:line="240" w:lineRule="auto"/>
              <w:ind w:firstLine="0"/>
              <w:rPr>
                <w:sz w:val="22"/>
              </w:rPr>
            </w:pPr>
            <w:r w:rsidRPr="007C78CD">
              <w:rPr>
                <w:sz w:val="22"/>
              </w:rPr>
              <w:t>~</w:t>
            </w:r>
            <w:r w:rsidR="001730FA" w:rsidRPr="007C78CD">
              <w:rPr>
                <w:sz w:val="22"/>
              </w:rPr>
              <w:t>Day 30</w:t>
            </w:r>
          </w:p>
        </w:tc>
        <w:tc>
          <w:tcPr>
            <w:tcW w:w="4675" w:type="dxa"/>
            <w:shd w:val="clear" w:color="auto" w:fill="auto"/>
            <w:vAlign w:val="center"/>
          </w:tcPr>
          <w:p w14:paraId="2F69F958" w14:textId="77777777" w:rsidR="001730FA" w:rsidRPr="007C78CD" w:rsidRDefault="001730FA" w:rsidP="007C78CD">
            <w:pPr>
              <w:spacing w:line="240" w:lineRule="auto"/>
              <w:ind w:firstLine="0"/>
              <w:rPr>
                <w:sz w:val="22"/>
              </w:rPr>
            </w:pPr>
            <w:r w:rsidRPr="007C78CD">
              <w:rPr>
                <w:sz w:val="22"/>
              </w:rPr>
              <w:t>Due date for protests and responses to GRC application, pursuant to Rule 2.6(a)</w:t>
            </w:r>
          </w:p>
        </w:tc>
      </w:tr>
      <w:tr w:rsidR="001730FA" w:rsidRPr="00FD0BF5" w14:paraId="163B1A76" w14:textId="77777777" w:rsidTr="007C78CD">
        <w:trPr>
          <w:cantSplit/>
        </w:trPr>
        <w:tc>
          <w:tcPr>
            <w:tcW w:w="3145" w:type="dxa"/>
            <w:shd w:val="clear" w:color="auto" w:fill="auto"/>
            <w:vAlign w:val="center"/>
          </w:tcPr>
          <w:p w14:paraId="0E822291" w14:textId="5CB44D36" w:rsidR="001730FA" w:rsidRPr="007C78CD" w:rsidRDefault="001730FA" w:rsidP="007C78CD">
            <w:pPr>
              <w:spacing w:line="240" w:lineRule="auto"/>
              <w:ind w:firstLine="0"/>
              <w:rPr>
                <w:sz w:val="22"/>
              </w:rPr>
            </w:pPr>
            <w:r w:rsidRPr="007C78CD">
              <w:rPr>
                <w:sz w:val="22"/>
              </w:rPr>
              <w:t xml:space="preserve">By </w:t>
            </w:r>
            <w:r w:rsidR="00AD030D" w:rsidRPr="00FD0BF5">
              <w:rPr>
                <w:sz w:val="22"/>
              </w:rPr>
              <w:t>June 30</w:t>
            </w:r>
          </w:p>
        </w:tc>
        <w:tc>
          <w:tcPr>
            <w:tcW w:w="1530" w:type="dxa"/>
            <w:vAlign w:val="center"/>
          </w:tcPr>
          <w:p w14:paraId="3174BD37" w14:textId="77777777" w:rsidR="001730FA" w:rsidRPr="007C78CD" w:rsidRDefault="00896E4E" w:rsidP="007C78CD">
            <w:pPr>
              <w:spacing w:line="240" w:lineRule="auto"/>
              <w:ind w:firstLine="0"/>
              <w:rPr>
                <w:sz w:val="22"/>
              </w:rPr>
            </w:pPr>
            <w:r w:rsidRPr="007C78CD">
              <w:rPr>
                <w:sz w:val="22"/>
              </w:rPr>
              <w:t>~</w:t>
            </w:r>
            <w:r w:rsidR="001730FA" w:rsidRPr="007C78CD">
              <w:rPr>
                <w:sz w:val="22"/>
              </w:rPr>
              <w:t>Day 45</w:t>
            </w:r>
          </w:p>
        </w:tc>
        <w:tc>
          <w:tcPr>
            <w:tcW w:w="4675" w:type="dxa"/>
            <w:shd w:val="clear" w:color="auto" w:fill="auto"/>
            <w:vAlign w:val="center"/>
          </w:tcPr>
          <w:p w14:paraId="668BA4B8" w14:textId="77777777" w:rsidR="001730FA" w:rsidRPr="007C78CD" w:rsidRDefault="001730FA" w:rsidP="007C78CD">
            <w:pPr>
              <w:spacing w:line="240" w:lineRule="auto"/>
              <w:ind w:firstLine="0"/>
              <w:rPr>
                <w:sz w:val="22"/>
              </w:rPr>
            </w:pPr>
            <w:r w:rsidRPr="007C78CD">
              <w:rPr>
                <w:sz w:val="22"/>
              </w:rPr>
              <w:t>Prehearing Conference held</w:t>
            </w:r>
          </w:p>
        </w:tc>
      </w:tr>
      <w:tr w:rsidR="001730FA" w:rsidRPr="00FD0BF5" w14:paraId="414A8D73" w14:textId="77777777" w:rsidTr="007C78CD">
        <w:trPr>
          <w:cantSplit/>
        </w:trPr>
        <w:tc>
          <w:tcPr>
            <w:tcW w:w="3145" w:type="dxa"/>
            <w:shd w:val="clear" w:color="auto" w:fill="auto"/>
            <w:vAlign w:val="center"/>
          </w:tcPr>
          <w:p w14:paraId="7472DEC1" w14:textId="0C02F21A" w:rsidR="001730FA" w:rsidRPr="007C78CD" w:rsidRDefault="001730FA" w:rsidP="007C78CD">
            <w:pPr>
              <w:spacing w:line="240" w:lineRule="auto"/>
              <w:ind w:firstLine="0"/>
              <w:rPr>
                <w:sz w:val="22"/>
              </w:rPr>
            </w:pPr>
            <w:r w:rsidRPr="007C78CD">
              <w:rPr>
                <w:sz w:val="22"/>
              </w:rPr>
              <w:t xml:space="preserve">By </w:t>
            </w:r>
            <w:r w:rsidR="00AD030D" w:rsidRPr="00FD0BF5">
              <w:rPr>
                <w:sz w:val="22"/>
              </w:rPr>
              <w:t>August 15</w:t>
            </w:r>
          </w:p>
        </w:tc>
        <w:tc>
          <w:tcPr>
            <w:tcW w:w="1530" w:type="dxa"/>
            <w:vAlign w:val="center"/>
          </w:tcPr>
          <w:p w14:paraId="75D893A9" w14:textId="77777777" w:rsidR="001730FA" w:rsidRPr="007C78CD" w:rsidRDefault="00896E4E" w:rsidP="007C78CD">
            <w:pPr>
              <w:spacing w:line="240" w:lineRule="auto"/>
              <w:ind w:firstLine="0"/>
              <w:rPr>
                <w:sz w:val="22"/>
              </w:rPr>
            </w:pPr>
            <w:r w:rsidRPr="007C78CD">
              <w:rPr>
                <w:sz w:val="22"/>
              </w:rPr>
              <w:t>~</w:t>
            </w:r>
            <w:r w:rsidR="001730FA" w:rsidRPr="007C78CD">
              <w:rPr>
                <w:sz w:val="22"/>
              </w:rPr>
              <w:t>Day 90</w:t>
            </w:r>
          </w:p>
        </w:tc>
        <w:tc>
          <w:tcPr>
            <w:tcW w:w="4675" w:type="dxa"/>
            <w:shd w:val="clear" w:color="auto" w:fill="auto"/>
            <w:vAlign w:val="center"/>
          </w:tcPr>
          <w:p w14:paraId="10A5BCD9" w14:textId="11903497" w:rsidR="001730FA" w:rsidRPr="007C78CD" w:rsidRDefault="001730FA" w:rsidP="007C78CD">
            <w:pPr>
              <w:spacing w:line="240" w:lineRule="auto"/>
              <w:ind w:firstLine="0"/>
              <w:rPr>
                <w:sz w:val="22"/>
              </w:rPr>
            </w:pPr>
            <w:r w:rsidRPr="007C78CD">
              <w:rPr>
                <w:sz w:val="22"/>
              </w:rPr>
              <w:t xml:space="preserve">Scoping Memo of Assigned Commissioner issued </w:t>
            </w:r>
          </w:p>
        </w:tc>
      </w:tr>
      <w:tr w:rsidR="00070DB8" w:rsidRPr="00FD0BF5" w14:paraId="2B6CBF5D" w14:textId="77777777" w:rsidTr="007C78CD">
        <w:trPr>
          <w:cantSplit/>
        </w:trPr>
        <w:tc>
          <w:tcPr>
            <w:tcW w:w="3145" w:type="dxa"/>
            <w:shd w:val="clear" w:color="auto" w:fill="auto"/>
            <w:vAlign w:val="center"/>
          </w:tcPr>
          <w:p w14:paraId="64214C97" w14:textId="77777777" w:rsidR="00070DB8" w:rsidRPr="007C78CD" w:rsidRDefault="00070DB8" w:rsidP="007C78CD">
            <w:pPr>
              <w:spacing w:line="240" w:lineRule="auto"/>
              <w:ind w:firstLine="0"/>
              <w:rPr>
                <w:sz w:val="22"/>
              </w:rPr>
            </w:pPr>
            <w:r w:rsidRPr="007C78CD">
              <w:rPr>
                <w:sz w:val="22"/>
              </w:rPr>
              <w:t>To be decided</w:t>
            </w:r>
          </w:p>
        </w:tc>
        <w:tc>
          <w:tcPr>
            <w:tcW w:w="1530" w:type="dxa"/>
            <w:vAlign w:val="center"/>
          </w:tcPr>
          <w:p w14:paraId="6C84388F" w14:textId="77777777" w:rsidR="00070DB8" w:rsidRPr="007C78CD" w:rsidRDefault="00070DB8" w:rsidP="007C78CD">
            <w:pPr>
              <w:spacing w:line="240" w:lineRule="auto"/>
              <w:ind w:firstLine="0"/>
              <w:rPr>
                <w:sz w:val="22"/>
              </w:rPr>
            </w:pPr>
          </w:p>
        </w:tc>
        <w:tc>
          <w:tcPr>
            <w:tcW w:w="4675" w:type="dxa"/>
            <w:shd w:val="clear" w:color="auto" w:fill="auto"/>
            <w:vAlign w:val="center"/>
          </w:tcPr>
          <w:p w14:paraId="277AC1E2" w14:textId="77777777" w:rsidR="00070DB8" w:rsidRPr="007C78CD" w:rsidRDefault="00070DB8" w:rsidP="007C78CD">
            <w:pPr>
              <w:spacing w:line="240" w:lineRule="auto"/>
              <w:ind w:firstLine="0"/>
              <w:rPr>
                <w:sz w:val="22"/>
              </w:rPr>
            </w:pPr>
            <w:r w:rsidRPr="007C78CD">
              <w:rPr>
                <w:sz w:val="22"/>
              </w:rPr>
              <w:t>Public Participation Hearings</w:t>
            </w:r>
          </w:p>
        </w:tc>
      </w:tr>
      <w:tr w:rsidR="001730FA" w:rsidRPr="00FD0BF5" w14:paraId="1788D42F" w14:textId="77777777" w:rsidTr="007C78CD">
        <w:trPr>
          <w:cantSplit/>
        </w:trPr>
        <w:tc>
          <w:tcPr>
            <w:tcW w:w="3145" w:type="dxa"/>
            <w:shd w:val="clear" w:color="auto" w:fill="auto"/>
            <w:vAlign w:val="center"/>
          </w:tcPr>
          <w:p w14:paraId="05F61879" w14:textId="643E2C91" w:rsidR="001730FA" w:rsidRPr="007C78CD" w:rsidRDefault="00AD030D" w:rsidP="007C78CD">
            <w:pPr>
              <w:spacing w:line="240" w:lineRule="auto"/>
              <w:ind w:firstLine="0"/>
              <w:rPr>
                <w:sz w:val="22"/>
              </w:rPr>
            </w:pPr>
            <w:r w:rsidRPr="007C78CD">
              <w:rPr>
                <w:sz w:val="22"/>
              </w:rPr>
              <w:t xml:space="preserve">By </w:t>
            </w:r>
            <w:r w:rsidRPr="00FD0BF5">
              <w:rPr>
                <w:sz w:val="22"/>
              </w:rPr>
              <w:t>December 15</w:t>
            </w:r>
          </w:p>
        </w:tc>
        <w:tc>
          <w:tcPr>
            <w:tcW w:w="1530" w:type="dxa"/>
            <w:vAlign w:val="center"/>
          </w:tcPr>
          <w:p w14:paraId="4D158A96" w14:textId="40409ADB" w:rsidR="001730FA" w:rsidRPr="007C78CD" w:rsidRDefault="001730FA" w:rsidP="007C78CD">
            <w:pPr>
              <w:spacing w:line="240" w:lineRule="auto"/>
              <w:ind w:firstLine="0"/>
              <w:rPr>
                <w:sz w:val="22"/>
              </w:rPr>
            </w:pPr>
            <w:r w:rsidRPr="007C78CD">
              <w:rPr>
                <w:sz w:val="22"/>
              </w:rPr>
              <w:t xml:space="preserve">~Day </w:t>
            </w:r>
            <w:r w:rsidRPr="00FD0BF5">
              <w:rPr>
                <w:sz w:val="22"/>
              </w:rPr>
              <w:t>2</w:t>
            </w:r>
            <w:r w:rsidR="00AD030D" w:rsidRPr="00FD0BF5">
              <w:rPr>
                <w:sz w:val="22"/>
              </w:rPr>
              <w:t>1</w:t>
            </w:r>
            <w:r w:rsidRPr="00FD0BF5">
              <w:rPr>
                <w:sz w:val="22"/>
              </w:rPr>
              <w:t>5</w:t>
            </w:r>
          </w:p>
        </w:tc>
        <w:tc>
          <w:tcPr>
            <w:tcW w:w="4675" w:type="dxa"/>
            <w:shd w:val="clear" w:color="auto" w:fill="auto"/>
            <w:vAlign w:val="center"/>
          </w:tcPr>
          <w:p w14:paraId="4E7271E9" w14:textId="098197C8" w:rsidR="001730FA" w:rsidRPr="007C78CD" w:rsidRDefault="001730FA" w:rsidP="007C78CD">
            <w:pPr>
              <w:spacing w:line="240" w:lineRule="auto"/>
              <w:ind w:firstLine="0"/>
              <w:rPr>
                <w:sz w:val="22"/>
              </w:rPr>
            </w:pPr>
            <w:r w:rsidRPr="007C78CD">
              <w:rPr>
                <w:sz w:val="22"/>
              </w:rPr>
              <w:t xml:space="preserve">Public Advocates Office </w:t>
            </w:r>
            <w:r w:rsidR="008D446B" w:rsidRPr="00FD0BF5">
              <w:rPr>
                <w:sz w:val="22"/>
              </w:rPr>
              <w:t xml:space="preserve">and other intervenors </w:t>
            </w:r>
            <w:r w:rsidRPr="00FD0BF5">
              <w:rPr>
                <w:sz w:val="22"/>
              </w:rPr>
              <w:t>serve</w:t>
            </w:r>
            <w:r w:rsidRPr="007C78CD">
              <w:rPr>
                <w:sz w:val="22"/>
              </w:rPr>
              <w:t xml:space="preserve"> opening testimony</w:t>
            </w:r>
          </w:p>
        </w:tc>
      </w:tr>
      <w:tr w:rsidR="007C2E03" w:rsidRPr="00FD0BF5" w14:paraId="36821BD7" w14:textId="198A3514" w:rsidTr="00685DEB">
        <w:trPr>
          <w:cantSplit/>
        </w:trPr>
        <w:tc>
          <w:tcPr>
            <w:tcW w:w="9350" w:type="dxa"/>
            <w:gridSpan w:val="3"/>
            <w:shd w:val="clear" w:color="auto" w:fill="D9D9D9" w:themeFill="background1" w:themeFillShade="D9"/>
          </w:tcPr>
          <w:p w14:paraId="1F717A66" w14:textId="64AE974A" w:rsidR="007C2E03" w:rsidRPr="00AB6CF3" w:rsidRDefault="007C2E03" w:rsidP="007C78CD">
            <w:pPr>
              <w:spacing w:line="240" w:lineRule="auto"/>
              <w:ind w:firstLine="0"/>
              <w:jc w:val="center"/>
              <w:rPr>
                <w:sz w:val="24"/>
                <w:szCs w:val="24"/>
              </w:rPr>
            </w:pPr>
            <w:r w:rsidRPr="00FD0BF5">
              <w:rPr>
                <w:b/>
                <w:bCs/>
                <w:sz w:val="22"/>
              </w:rPr>
              <w:t>Test Year minus</w:t>
            </w:r>
            <w:r w:rsidR="00FE5496">
              <w:rPr>
                <w:b/>
                <w:bCs/>
                <w:sz w:val="22"/>
              </w:rPr>
              <w:noBreakHyphen/>
            </w:r>
            <w:r w:rsidRPr="00FD0BF5">
              <w:rPr>
                <w:b/>
                <w:bCs/>
                <w:sz w:val="22"/>
              </w:rPr>
              <w:t>1</w:t>
            </w:r>
          </w:p>
        </w:tc>
      </w:tr>
      <w:tr w:rsidR="00AD030D" w:rsidRPr="00FD0BF5" w14:paraId="0F654122" w14:textId="77777777" w:rsidTr="007C78CD">
        <w:trPr>
          <w:cantSplit/>
        </w:trPr>
        <w:tc>
          <w:tcPr>
            <w:tcW w:w="3145" w:type="dxa"/>
            <w:shd w:val="clear" w:color="auto" w:fill="auto"/>
            <w:vAlign w:val="center"/>
          </w:tcPr>
          <w:p w14:paraId="48CC0068" w14:textId="4C59D7D3" w:rsidR="00AD030D" w:rsidRPr="007C78CD" w:rsidRDefault="00AD030D" w:rsidP="007C78CD">
            <w:pPr>
              <w:spacing w:line="240" w:lineRule="auto"/>
              <w:ind w:firstLine="0"/>
              <w:rPr>
                <w:sz w:val="22"/>
              </w:rPr>
            </w:pPr>
            <w:r w:rsidRPr="00FD0BF5">
              <w:rPr>
                <w:sz w:val="22"/>
              </w:rPr>
              <w:t>By January 30</w:t>
            </w:r>
          </w:p>
        </w:tc>
        <w:tc>
          <w:tcPr>
            <w:tcW w:w="1530" w:type="dxa"/>
            <w:vAlign w:val="center"/>
          </w:tcPr>
          <w:p w14:paraId="5538650E" w14:textId="2DB99837" w:rsidR="00AD030D" w:rsidRPr="007C78CD" w:rsidRDefault="00AD030D" w:rsidP="007C78CD">
            <w:pPr>
              <w:spacing w:line="240" w:lineRule="auto"/>
              <w:ind w:firstLine="0"/>
              <w:rPr>
                <w:sz w:val="22"/>
              </w:rPr>
            </w:pPr>
            <w:r w:rsidRPr="007C78CD">
              <w:rPr>
                <w:sz w:val="22"/>
              </w:rPr>
              <w:t xml:space="preserve">~Day </w:t>
            </w:r>
            <w:r w:rsidRPr="00FD0BF5">
              <w:rPr>
                <w:sz w:val="22"/>
              </w:rPr>
              <w:t>260</w:t>
            </w:r>
          </w:p>
        </w:tc>
        <w:tc>
          <w:tcPr>
            <w:tcW w:w="4675" w:type="dxa"/>
            <w:shd w:val="clear" w:color="auto" w:fill="auto"/>
            <w:vAlign w:val="center"/>
          </w:tcPr>
          <w:p w14:paraId="6F89AAAA" w14:textId="77777777" w:rsidR="00AD030D" w:rsidRPr="007C78CD" w:rsidRDefault="00AD030D" w:rsidP="007C78CD">
            <w:pPr>
              <w:spacing w:line="240" w:lineRule="auto"/>
              <w:ind w:firstLine="0"/>
              <w:rPr>
                <w:sz w:val="22"/>
              </w:rPr>
            </w:pPr>
            <w:r w:rsidRPr="007C78CD">
              <w:rPr>
                <w:sz w:val="22"/>
              </w:rPr>
              <w:t>Concurrent rebuttal testimony served</w:t>
            </w:r>
          </w:p>
        </w:tc>
      </w:tr>
      <w:tr w:rsidR="00AD030D" w:rsidRPr="00FD0BF5" w14:paraId="5FC15738" w14:textId="77777777" w:rsidTr="007C78CD">
        <w:trPr>
          <w:cantSplit/>
        </w:trPr>
        <w:tc>
          <w:tcPr>
            <w:tcW w:w="3145" w:type="dxa"/>
            <w:shd w:val="clear" w:color="auto" w:fill="auto"/>
            <w:vAlign w:val="center"/>
          </w:tcPr>
          <w:p w14:paraId="3872E37E" w14:textId="7EA949D5" w:rsidR="00AD030D" w:rsidRPr="007C78CD" w:rsidRDefault="00AD030D" w:rsidP="007C78CD">
            <w:pPr>
              <w:spacing w:line="240" w:lineRule="auto"/>
              <w:ind w:firstLine="0"/>
              <w:rPr>
                <w:sz w:val="22"/>
              </w:rPr>
            </w:pPr>
            <w:r w:rsidRPr="00FD0BF5">
              <w:rPr>
                <w:sz w:val="22"/>
              </w:rPr>
              <w:t>By February 25</w:t>
            </w:r>
          </w:p>
        </w:tc>
        <w:tc>
          <w:tcPr>
            <w:tcW w:w="1530" w:type="dxa"/>
            <w:vAlign w:val="center"/>
          </w:tcPr>
          <w:p w14:paraId="2A8E3131" w14:textId="3F826AD0" w:rsidR="00AD030D" w:rsidRPr="007C78CD" w:rsidRDefault="00AD030D" w:rsidP="007C78CD">
            <w:pPr>
              <w:spacing w:line="240" w:lineRule="auto"/>
              <w:ind w:firstLine="0"/>
              <w:rPr>
                <w:sz w:val="22"/>
              </w:rPr>
            </w:pPr>
            <w:r w:rsidRPr="007C78CD">
              <w:rPr>
                <w:sz w:val="22"/>
              </w:rPr>
              <w:t xml:space="preserve">~Day </w:t>
            </w:r>
            <w:r w:rsidRPr="00FD0BF5">
              <w:rPr>
                <w:sz w:val="22"/>
              </w:rPr>
              <w:t>285</w:t>
            </w:r>
          </w:p>
        </w:tc>
        <w:tc>
          <w:tcPr>
            <w:tcW w:w="4675" w:type="dxa"/>
            <w:shd w:val="clear" w:color="auto" w:fill="auto"/>
            <w:vAlign w:val="center"/>
          </w:tcPr>
          <w:p w14:paraId="2C01E52A" w14:textId="77777777" w:rsidR="00AD030D" w:rsidRPr="007C78CD" w:rsidRDefault="00AD030D" w:rsidP="007C78CD">
            <w:pPr>
              <w:spacing w:line="240" w:lineRule="auto"/>
              <w:ind w:firstLine="0"/>
              <w:rPr>
                <w:sz w:val="22"/>
              </w:rPr>
            </w:pPr>
            <w:r w:rsidRPr="007C78CD">
              <w:rPr>
                <w:sz w:val="22"/>
              </w:rPr>
              <w:t>Evidentiary hearings begin</w:t>
            </w:r>
          </w:p>
        </w:tc>
      </w:tr>
      <w:tr w:rsidR="00AD030D" w:rsidRPr="00FD0BF5" w14:paraId="21DC46B8" w14:textId="77777777" w:rsidTr="007C78CD">
        <w:trPr>
          <w:cantSplit/>
        </w:trPr>
        <w:tc>
          <w:tcPr>
            <w:tcW w:w="3145" w:type="dxa"/>
            <w:shd w:val="clear" w:color="auto" w:fill="auto"/>
            <w:vAlign w:val="center"/>
          </w:tcPr>
          <w:p w14:paraId="173BECD1" w14:textId="09487FEA" w:rsidR="00AD030D" w:rsidRPr="007C78CD" w:rsidRDefault="00AD030D" w:rsidP="007C78CD">
            <w:pPr>
              <w:spacing w:line="240" w:lineRule="auto"/>
              <w:ind w:firstLine="0"/>
              <w:rPr>
                <w:sz w:val="22"/>
              </w:rPr>
            </w:pPr>
            <w:r w:rsidRPr="00FD0BF5">
              <w:rPr>
                <w:sz w:val="22"/>
              </w:rPr>
              <w:t>By March 15</w:t>
            </w:r>
          </w:p>
        </w:tc>
        <w:tc>
          <w:tcPr>
            <w:tcW w:w="1530" w:type="dxa"/>
            <w:vAlign w:val="center"/>
          </w:tcPr>
          <w:p w14:paraId="70F8CFDC" w14:textId="3D5FD906" w:rsidR="00AD030D" w:rsidRPr="007C78CD" w:rsidRDefault="00AD030D" w:rsidP="007C78CD">
            <w:pPr>
              <w:spacing w:line="240" w:lineRule="auto"/>
              <w:ind w:firstLine="0"/>
              <w:rPr>
                <w:sz w:val="22"/>
              </w:rPr>
            </w:pPr>
            <w:r w:rsidRPr="007C78CD">
              <w:rPr>
                <w:sz w:val="22"/>
              </w:rPr>
              <w:t xml:space="preserve">~Day </w:t>
            </w:r>
            <w:r w:rsidRPr="00FD0BF5">
              <w:rPr>
                <w:sz w:val="22"/>
              </w:rPr>
              <w:t>305</w:t>
            </w:r>
          </w:p>
        </w:tc>
        <w:tc>
          <w:tcPr>
            <w:tcW w:w="4675" w:type="dxa"/>
            <w:shd w:val="clear" w:color="auto" w:fill="auto"/>
            <w:vAlign w:val="center"/>
          </w:tcPr>
          <w:p w14:paraId="144B2522" w14:textId="77777777" w:rsidR="00AD030D" w:rsidRPr="007C78CD" w:rsidRDefault="00AD030D" w:rsidP="007C78CD">
            <w:pPr>
              <w:spacing w:line="240" w:lineRule="auto"/>
              <w:ind w:firstLine="0"/>
              <w:rPr>
                <w:sz w:val="22"/>
              </w:rPr>
            </w:pPr>
            <w:r w:rsidRPr="007C78CD">
              <w:rPr>
                <w:sz w:val="22"/>
              </w:rPr>
              <w:t>Evidentiary hearings end</w:t>
            </w:r>
          </w:p>
        </w:tc>
      </w:tr>
      <w:tr w:rsidR="00AD030D" w:rsidRPr="00FD0BF5" w14:paraId="310A507C" w14:textId="77777777" w:rsidTr="007C78CD">
        <w:trPr>
          <w:cantSplit/>
        </w:trPr>
        <w:tc>
          <w:tcPr>
            <w:tcW w:w="3145" w:type="dxa"/>
            <w:shd w:val="clear" w:color="auto" w:fill="auto"/>
            <w:vAlign w:val="center"/>
          </w:tcPr>
          <w:p w14:paraId="1A91D19E" w14:textId="77777777" w:rsidR="00AD030D" w:rsidRPr="007C78CD" w:rsidRDefault="00AD030D" w:rsidP="007C78CD">
            <w:pPr>
              <w:spacing w:line="240" w:lineRule="auto"/>
              <w:ind w:firstLine="0"/>
              <w:rPr>
                <w:sz w:val="22"/>
              </w:rPr>
            </w:pPr>
            <w:r w:rsidRPr="007C78CD">
              <w:rPr>
                <w:sz w:val="22"/>
              </w:rPr>
              <w:t>To be decided</w:t>
            </w:r>
          </w:p>
        </w:tc>
        <w:tc>
          <w:tcPr>
            <w:tcW w:w="1530" w:type="dxa"/>
            <w:vAlign w:val="center"/>
          </w:tcPr>
          <w:p w14:paraId="67236CE4" w14:textId="77777777" w:rsidR="00AD030D" w:rsidRPr="007C78CD" w:rsidRDefault="00AD030D" w:rsidP="007C78CD">
            <w:pPr>
              <w:spacing w:line="240" w:lineRule="auto"/>
              <w:ind w:firstLine="0"/>
              <w:rPr>
                <w:sz w:val="22"/>
              </w:rPr>
            </w:pPr>
          </w:p>
        </w:tc>
        <w:tc>
          <w:tcPr>
            <w:tcW w:w="4675" w:type="dxa"/>
            <w:shd w:val="clear" w:color="auto" w:fill="auto"/>
            <w:vAlign w:val="center"/>
          </w:tcPr>
          <w:p w14:paraId="55156681" w14:textId="77777777" w:rsidR="00AD030D" w:rsidRPr="007C78CD" w:rsidRDefault="00AD030D" w:rsidP="007C78CD">
            <w:pPr>
              <w:spacing w:line="240" w:lineRule="auto"/>
              <w:ind w:firstLine="0"/>
              <w:rPr>
                <w:sz w:val="22"/>
              </w:rPr>
            </w:pPr>
            <w:r w:rsidRPr="007C78CD">
              <w:rPr>
                <w:sz w:val="22"/>
              </w:rPr>
              <w:t>Update testimony and hearings, if necessary</w:t>
            </w:r>
          </w:p>
        </w:tc>
      </w:tr>
      <w:tr w:rsidR="00AD030D" w:rsidRPr="00FD0BF5" w14:paraId="6E7D4302" w14:textId="77777777" w:rsidTr="007C78CD">
        <w:trPr>
          <w:cantSplit/>
        </w:trPr>
        <w:tc>
          <w:tcPr>
            <w:tcW w:w="3145" w:type="dxa"/>
            <w:shd w:val="clear" w:color="auto" w:fill="auto"/>
            <w:vAlign w:val="center"/>
          </w:tcPr>
          <w:p w14:paraId="73BE74EB" w14:textId="149129E4" w:rsidR="00AD030D" w:rsidRPr="007C78CD" w:rsidRDefault="00AD030D" w:rsidP="007C78CD">
            <w:pPr>
              <w:spacing w:line="240" w:lineRule="auto"/>
              <w:ind w:firstLine="0"/>
              <w:rPr>
                <w:sz w:val="22"/>
              </w:rPr>
            </w:pPr>
            <w:r w:rsidRPr="00FD0BF5">
              <w:rPr>
                <w:sz w:val="22"/>
              </w:rPr>
              <w:t xml:space="preserve">By </w:t>
            </w:r>
            <w:r w:rsidR="00E734BC" w:rsidRPr="00FD0BF5">
              <w:rPr>
                <w:sz w:val="22"/>
              </w:rPr>
              <w:t>April 20</w:t>
            </w:r>
          </w:p>
        </w:tc>
        <w:tc>
          <w:tcPr>
            <w:tcW w:w="1530" w:type="dxa"/>
            <w:vAlign w:val="center"/>
          </w:tcPr>
          <w:p w14:paraId="6C984D56" w14:textId="2000D0B8" w:rsidR="00AD030D" w:rsidRPr="007C78CD" w:rsidRDefault="00AD030D" w:rsidP="007C78CD">
            <w:pPr>
              <w:spacing w:line="240" w:lineRule="auto"/>
              <w:ind w:firstLine="0"/>
              <w:rPr>
                <w:sz w:val="22"/>
              </w:rPr>
            </w:pPr>
            <w:r w:rsidRPr="007C78CD">
              <w:rPr>
                <w:sz w:val="22"/>
              </w:rPr>
              <w:t xml:space="preserve">~Day </w:t>
            </w:r>
            <w:r w:rsidRPr="00FD0BF5">
              <w:rPr>
                <w:sz w:val="22"/>
              </w:rPr>
              <w:t>340</w:t>
            </w:r>
          </w:p>
        </w:tc>
        <w:tc>
          <w:tcPr>
            <w:tcW w:w="4675" w:type="dxa"/>
            <w:shd w:val="clear" w:color="auto" w:fill="auto"/>
            <w:vAlign w:val="center"/>
          </w:tcPr>
          <w:p w14:paraId="29DBC0B9" w14:textId="77777777" w:rsidR="00AD030D" w:rsidRPr="007C78CD" w:rsidRDefault="00AD030D" w:rsidP="007C78CD">
            <w:pPr>
              <w:spacing w:line="240" w:lineRule="auto"/>
              <w:ind w:firstLine="0"/>
              <w:rPr>
                <w:sz w:val="22"/>
              </w:rPr>
            </w:pPr>
            <w:r w:rsidRPr="007C78CD">
              <w:rPr>
                <w:sz w:val="22"/>
              </w:rPr>
              <w:t>Briefs filed</w:t>
            </w:r>
          </w:p>
        </w:tc>
      </w:tr>
      <w:tr w:rsidR="00AD030D" w:rsidRPr="00FD0BF5" w14:paraId="3E1AE688" w14:textId="77777777" w:rsidTr="007C78CD">
        <w:trPr>
          <w:cantSplit/>
        </w:trPr>
        <w:tc>
          <w:tcPr>
            <w:tcW w:w="3145" w:type="dxa"/>
            <w:shd w:val="clear" w:color="auto" w:fill="auto"/>
            <w:vAlign w:val="center"/>
          </w:tcPr>
          <w:p w14:paraId="5680A0B5" w14:textId="7E6C106A" w:rsidR="00AD030D" w:rsidRPr="007C78CD" w:rsidRDefault="00AD030D" w:rsidP="007C78CD">
            <w:pPr>
              <w:spacing w:line="240" w:lineRule="auto"/>
              <w:ind w:firstLine="0"/>
              <w:rPr>
                <w:sz w:val="22"/>
              </w:rPr>
            </w:pPr>
            <w:r w:rsidRPr="00FD0BF5">
              <w:rPr>
                <w:sz w:val="22"/>
              </w:rPr>
              <w:t xml:space="preserve">By </w:t>
            </w:r>
            <w:r w:rsidR="00E734BC" w:rsidRPr="00FD0BF5">
              <w:rPr>
                <w:sz w:val="22"/>
              </w:rPr>
              <w:t>May 12</w:t>
            </w:r>
          </w:p>
        </w:tc>
        <w:tc>
          <w:tcPr>
            <w:tcW w:w="1530" w:type="dxa"/>
            <w:vAlign w:val="center"/>
          </w:tcPr>
          <w:p w14:paraId="1FA218B2" w14:textId="12BEBA6E" w:rsidR="00AD030D" w:rsidRPr="007C78CD" w:rsidRDefault="00AD030D" w:rsidP="007C78CD">
            <w:pPr>
              <w:spacing w:line="240" w:lineRule="auto"/>
              <w:ind w:firstLine="0"/>
              <w:rPr>
                <w:sz w:val="22"/>
              </w:rPr>
            </w:pPr>
            <w:r w:rsidRPr="007C78CD">
              <w:rPr>
                <w:sz w:val="22"/>
              </w:rPr>
              <w:t xml:space="preserve">~Day </w:t>
            </w:r>
            <w:r w:rsidRPr="00FD0BF5">
              <w:rPr>
                <w:sz w:val="22"/>
              </w:rPr>
              <w:t>3</w:t>
            </w:r>
            <w:r w:rsidR="00E734BC" w:rsidRPr="00FD0BF5">
              <w:rPr>
                <w:sz w:val="22"/>
              </w:rPr>
              <w:t>60</w:t>
            </w:r>
          </w:p>
        </w:tc>
        <w:tc>
          <w:tcPr>
            <w:tcW w:w="4675" w:type="dxa"/>
            <w:shd w:val="clear" w:color="auto" w:fill="auto"/>
            <w:vAlign w:val="center"/>
          </w:tcPr>
          <w:p w14:paraId="289A2F72" w14:textId="77777777" w:rsidR="00AD030D" w:rsidRPr="007C78CD" w:rsidRDefault="00AD030D" w:rsidP="007C78CD">
            <w:pPr>
              <w:spacing w:line="240" w:lineRule="auto"/>
              <w:ind w:firstLine="0"/>
              <w:rPr>
                <w:sz w:val="22"/>
              </w:rPr>
            </w:pPr>
            <w:r w:rsidRPr="007C78CD">
              <w:rPr>
                <w:sz w:val="22"/>
              </w:rPr>
              <w:t xml:space="preserve">Reply briefs filed </w:t>
            </w:r>
          </w:p>
        </w:tc>
      </w:tr>
      <w:tr w:rsidR="00AD030D" w:rsidRPr="00FD0BF5" w14:paraId="1E72063D" w14:textId="77777777" w:rsidTr="007C78CD">
        <w:trPr>
          <w:cantSplit/>
        </w:trPr>
        <w:tc>
          <w:tcPr>
            <w:tcW w:w="3145" w:type="dxa"/>
            <w:shd w:val="clear" w:color="auto" w:fill="auto"/>
            <w:vAlign w:val="center"/>
          </w:tcPr>
          <w:p w14:paraId="290AB923" w14:textId="3A02D49E" w:rsidR="00AD030D" w:rsidRPr="007C78CD" w:rsidRDefault="00AD030D" w:rsidP="007C78CD">
            <w:pPr>
              <w:spacing w:line="240" w:lineRule="auto"/>
              <w:ind w:firstLine="0"/>
              <w:rPr>
                <w:sz w:val="22"/>
              </w:rPr>
            </w:pPr>
            <w:r w:rsidRPr="00FD0BF5">
              <w:rPr>
                <w:sz w:val="22"/>
              </w:rPr>
              <w:t xml:space="preserve">By </w:t>
            </w:r>
            <w:r w:rsidR="00E734BC" w:rsidRPr="007C78CD">
              <w:rPr>
                <w:sz w:val="22"/>
              </w:rPr>
              <w:t xml:space="preserve">August </w:t>
            </w:r>
            <w:r w:rsidR="00E734BC" w:rsidRPr="00FD0BF5">
              <w:rPr>
                <w:sz w:val="22"/>
              </w:rPr>
              <w:t>3</w:t>
            </w:r>
          </w:p>
        </w:tc>
        <w:tc>
          <w:tcPr>
            <w:tcW w:w="1530" w:type="dxa"/>
            <w:vAlign w:val="center"/>
          </w:tcPr>
          <w:p w14:paraId="1B6D435E" w14:textId="19A39641" w:rsidR="00AD030D" w:rsidRPr="007C78CD" w:rsidRDefault="00AD030D" w:rsidP="007C78CD">
            <w:pPr>
              <w:spacing w:line="240" w:lineRule="auto"/>
              <w:ind w:firstLine="0"/>
              <w:rPr>
                <w:sz w:val="22"/>
              </w:rPr>
            </w:pPr>
            <w:r w:rsidRPr="007C78CD">
              <w:rPr>
                <w:sz w:val="22"/>
              </w:rPr>
              <w:t xml:space="preserve">~Day </w:t>
            </w:r>
            <w:r w:rsidR="00E734BC" w:rsidRPr="00FD0BF5">
              <w:rPr>
                <w:sz w:val="22"/>
              </w:rPr>
              <w:t>445</w:t>
            </w:r>
          </w:p>
        </w:tc>
        <w:tc>
          <w:tcPr>
            <w:tcW w:w="4675" w:type="dxa"/>
            <w:shd w:val="clear" w:color="auto" w:fill="auto"/>
            <w:vAlign w:val="center"/>
          </w:tcPr>
          <w:p w14:paraId="49BE23D9" w14:textId="31740390" w:rsidR="00AD030D" w:rsidRPr="007C78CD" w:rsidRDefault="00AD030D" w:rsidP="007C78CD">
            <w:pPr>
              <w:spacing w:line="240" w:lineRule="auto"/>
              <w:ind w:firstLine="0"/>
              <w:rPr>
                <w:sz w:val="22"/>
              </w:rPr>
            </w:pPr>
            <w:r w:rsidRPr="007C78CD">
              <w:rPr>
                <w:sz w:val="22"/>
              </w:rPr>
              <w:t>Status conference, proceeding submitted for Commission decision [Rule 13.14(a)]</w:t>
            </w:r>
          </w:p>
        </w:tc>
      </w:tr>
      <w:tr w:rsidR="00AD030D" w:rsidRPr="00FD0BF5" w14:paraId="3842E61B" w14:textId="77777777" w:rsidTr="007C78CD">
        <w:trPr>
          <w:cantSplit/>
        </w:trPr>
        <w:tc>
          <w:tcPr>
            <w:tcW w:w="3145" w:type="dxa"/>
            <w:shd w:val="clear" w:color="auto" w:fill="auto"/>
            <w:vAlign w:val="center"/>
          </w:tcPr>
          <w:p w14:paraId="176613CD" w14:textId="33C801D2" w:rsidR="00AD030D" w:rsidRPr="007C78CD" w:rsidRDefault="00AD030D" w:rsidP="007C78CD">
            <w:pPr>
              <w:spacing w:line="240" w:lineRule="auto"/>
              <w:ind w:firstLine="0"/>
              <w:rPr>
                <w:sz w:val="22"/>
              </w:rPr>
            </w:pPr>
            <w:r w:rsidRPr="00FD0BF5">
              <w:rPr>
                <w:sz w:val="22"/>
              </w:rPr>
              <w:t xml:space="preserve">By </w:t>
            </w:r>
            <w:r w:rsidR="00E734BC" w:rsidRPr="00FD0BF5">
              <w:rPr>
                <w:sz w:val="22"/>
              </w:rPr>
              <w:t>November</w:t>
            </w:r>
            <w:r w:rsidRPr="00FD0BF5">
              <w:rPr>
                <w:sz w:val="22"/>
              </w:rPr>
              <w:t xml:space="preserve"> 1</w:t>
            </w:r>
          </w:p>
        </w:tc>
        <w:tc>
          <w:tcPr>
            <w:tcW w:w="1530" w:type="dxa"/>
            <w:vAlign w:val="center"/>
          </w:tcPr>
          <w:p w14:paraId="42125772" w14:textId="1AFAB6B3" w:rsidR="00AD030D" w:rsidRPr="007C78CD" w:rsidRDefault="00AD030D" w:rsidP="007C78CD">
            <w:pPr>
              <w:spacing w:line="240" w:lineRule="auto"/>
              <w:ind w:firstLine="0"/>
              <w:rPr>
                <w:sz w:val="22"/>
              </w:rPr>
            </w:pPr>
            <w:r w:rsidRPr="007C78CD">
              <w:rPr>
                <w:sz w:val="22"/>
              </w:rPr>
              <w:t xml:space="preserve">~Day </w:t>
            </w:r>
            <w:r w:rsidR="00E734BC" w:rsidRPr="00FD0BF5">
              <w:rPr>
                <w:sz w:val="22"/>
              </w:rPr>
              <w:t>535</w:t>
            </w:r>
          </w:p>
        </w:tc>
        <w:tc>
          <w:tcPr>
            <w:tcW w:w="4675" w:type="dxa"/>
            <w:shd w:val="clear" w:color="auto" w:fill="auto"/>
            <w:vAlign w:val="center"/>
          </w:tcPr>
          <w:p w14:paraId="54B17E30" w14:textId="77777777" w:rsidR="00AD030D" w:rsidRPr="007C78CD" w:rsidRDefault="00AD030D" w:rsidP="007C78CD">
            <w:pPr>
              <w:spacing w:line="240" w:lineRule="auto"/>
              <w:ind w:firstLine="0"/>
              <w:rPr>
                <w:sz w:val="22"/>
              </w:rPr>
            </w:pPr>
            <w:r w:rsidRPr="007C78CD">
              <w:rPr>
                <w:sz w:val="22"/>
              </w:rPr>
              <w:t>Proposed decision mailed for comment</w:t>
            </w:r>
          </w:p>
        </w:tc>
      </w:tr>
      <w:tr w:rsidR="00AD030D" w:rsidRPr="00FD0BF5" w14:paraId="18217B1E" w14:textId="77777777" w:rsidTr="007C78CD">
        <w:trPr>
          <w:cantSplit/>
        </w:trPr>
        <w:tc>
          <w:tcPr>
            <w:tcW w:w="3145" w:type="dxa"/>
            <w:shd w:val="clear" w:color="auto" w:fill="auto"/>
            <w:vAlign w:val="center"/>
          </w:tcPr>
          <w:p w14:paraId="79827E82" w14:textId="1F3FA99A" w:rsidR="00AD030D" w:rsidRPr="007C78CD" w:rsidRDefault="00AD030D" w:rsidP="007C78CD">
            <w:pPr>
              <w:spacing w:line="240" w:lineRule="auto"/>
              <w:ind w:firstLine="0"/>
              <w:rPr>
                <w:sz w:val="22"/>
              </w:rPr>
            </w:pPr>
            <w:r w:rsidRPr="00FD0BF5">
              <w:rPr>
                <w:sz w:val="22"/>
              </w:rPr>
              <w:t xml:space="preserve">By </w:t>
            </w:r>
            <w:r w:rsidR="00E734BC" w:rsidRPr="00FD0BF5">
              <w:rPr>
                <w:sz w:val="22"/>
              </w:rPr>
              <w:t>December 1</w:t>
            </w:r>
          </w:p>
        </w:tc>
        <w:tc>
          <w:tcPr>
            <w:tcW w:w="1530" w:type="dxa"/>
            <w:vAlign w:val="center"/>
          </w:tcPr>
          <w:p w14:paraId="1E3C463A" w14:textId="685A31BD" w:rsidR="00AD030D" w:rsidRPr="007C78CD" w:rsidRDefault="00AD030D" w:rsidP="007C78CD">
            <w:pPr>
              <w:spacing w:line="240" w:lineRule="auto"/>
              <w:ind w:firstLine="0"/>
              <w:rPr>
                <w:sz w:val="22"/>
              </w:rPr>
            </w:pPr>
            <w:r w:rsidRPr="007C78CD">
              <w:rPr>
                <w:sz w:val="22"/>
              </w:rPr>
              <w:t xml:space="preserve">~Day </w:t>
            </w:r>
            <w:r w:rsidR="00E734BC" w:rsidRPr="00FD0BF5">
              <w:rPr>
                <w:sz w:val="22"/>
              </w:rPr>
              <w:t>565</w:t>
            </w:r>
          </w:p>
        </w:tc>
        <w:tc>
          <w:tcPr>
            <w:tcW w:w="4675" w:type="dxa"/>
            <w:shd w:val="clear" w:color="auto" w:fill="auto"/>
            <w:vAlign w:val="center"/>
          </w:tcPr>
          <w:p w14:paraId="095EE26F" w14:textId="77777777" w:rsidR="00AD030D" w:rsidRPr="007C78CD" w:rsidRDefault="00AD030D" w:rsidP="007C78CD">
            <w:pPr>
              <w:spacing w:line="240" w:lineRule="auto"/>
              <w:ind w:firstLine="0"/>
              <w:rPr>
                <w:sz w:val="22"/>
              </w:rPr>
            </w:pPr>
            <w:r w:rsidRPr="007C78CD">
              <w:rPr>
                <w:sz w:val="22"/>
              </w:rPr>
              <w:t>Final decision adopted</w:t>
            </w:r>
          </w:p>
        </w:tc>
      </w:tr>
      <w:tr w:rsidR="00AD030D" w:rsidRPr="00FD0BF5" w14:paraId="6E1B2352" w14:textId="77777777" w:rsidTr="007C78CD">
        <w:trPr>
          <w:cantSplit/>
        </w:trPr>
        <w:tc>
          <w:tcPr>
            <w:tcW w:w="9350" w:type="dxa"/>
            <w:gridSpan w:val="3"/>
            <w:shd w:val="clear" w:color="auto" w:fill="D9D9D9" w:themeFill="background1" w:themeFillShade="D9"/>
          </w:tcPr>
          <w:p w14:paraId="577CE99D" w14:textId="77777777" w:rsidR="00AD030D" w:rsidRPr="007C78CD" w:rsidRDefault="00AD030D" w:rsidP="007C78CD">
            <w:pPr>
              <w:spacing w:line="240" w:lineRule="auto"/>
              <w:ind w:firstLine="0"/>
              <w:jc w:val="center"/>
              <w:rPr>
                <w:b/>
                <w:sz w:val="22"/>
              </w:rPr>
            </w:pPr>
            <w:r w:rsidRPr="007C78CD">
              <w:rPr>
                <w:b/>
                <w:sz w:val="22"/>
              </w:rPr>
              <w:t>Test Year</w:t>
            </w:r>
          </w:p>
        </w:tc>
      </w:tr>
      <w:tr w:rsidR="00AD030D" w:rsidRPr="00FD0BF5" w14:paraId="2AF2447B" w14:textId="77777777" w:rsidTr="007C78CD">
        <w:trPr>
          <w:cantSplit/>
        </w:trPr>
        <w:tc>
          <w:tcPr>
            <w:tcW w:w="3145" w:type="dxa"/>
            <w:shd w:val="clear" w:color="auto" w:fill="auto"/>
            <w:vAlign w:val="center"/>
          </w:tcPr>
          <w:p w14:paraId="2226E139" w14:textId="77777777" w:rsidR="00AD030D" w:rsidRPr="007C78CD" w:rsidRDefault="00AD030D" w:rsidP="00AD030D">
            <w:pPr>
              <w:spacing w:line="240" w:lineRule="auto"/>
              <w:ind w:firstLine="0"/>
              <w:rPr>
                <w:sz w:val="22"/>
              </w:rPr>
            </w:pPr>
            <w:r w:rsidRPr="007C78CD">
              <w:rPr>
                <w:sz w:val="22"/>
              </w:rPr>
              <w:t>January 1</w:t>
            </w:r>
          </w:p>
        </w:tc>
        <w:tc>
          <w:tcPr>
            <w:tcW w:w="1530" w:type="dxa"/>
            <w:vAlign w:val="center"/>
          </w:tcPr>
          <w:p w14:paraId="489B18DB" w14:textId="673313B9" w:rsidR="00AD030D" w:rsidRPr="007C78CD" w:rsidRDefault="00AD030D" w:rsidP="00AD030D">
            <w:pPr>
              <w:spacing w:line="240" w:lineRule="auto"/>
              <w:ind w:firstLine="0"/>
              <w:rPr>
                <w:sz w:val="22"/>
              </w:rPr>
            </w:pPr>
            <w:r w:rsidRPr="007C78CD">
              <w:rPr>
                <w:sz w:val="22"/>
              </w:rPr>
              <w:t xml:space="preserve">~Day </w:t>
            </w:r>
            <w:r w:rsidR="00E734BC" w:rsidRPr="00FD0BF5">
              <w:rPr>
                <w:sz w:val="22"/>
              </w:rPr>
              <w:t>595</w:t>
            </w:r>
          </w:p>
        </w:tc>
        <w:tc>
          <w:tcPr>
            <w:tcW w:w="4675" w:type="dxa"/>
            <w:shd w:val="clear" w:color="auto" w:fill="auto"/>
            <w:vAlign w:val="center"/>
          </w:tcPr>
          <w:p w14:paraId="0115588A" w14:textId="77777777" w:rsidR="00AD030D" w:rsidRPr="007C78CD" w:rsidRDefault="00AD030D" w:rsidP="00AD030D">
            <w:pPr>
              <w:spacing w:line="240" w:lineRule="auto"/>
              <w:ind w:firstLine="0"/>
              <w:rPr>
                <w:sz w:val="22"/>
              </w:rPr>
            </w:pPr>
            <w:r w:rsidRPr="007C78CD">
              <w:rPr>
                <w:sz w:val="22"/>
              </w:rPr>
              <w:t>Effective date of final decision</w:t>
            </w:r>
          </w:p>
        </w:tc>
      </w:tr>
      <w:bookmarkEnd w:id="130"/>
    </w:tbl>
    <w:p w14:paraId="2B39EBD1" w14:textId="77777777" w:rsidR="00856D42" w:rsidRPr="007C78CD" w:rsidRDefault="00856D42" w:rsidP="00856D42">
      <w:pPr>
        <w:pStyle w:val="standard0"/>
        <w:rPr>
          <w:sz w:val="22"/>
          <w:szCs w:val="16"/>
        </w:rPr>
      </w:pPr>
    </w:p>
    <w:p w14:paraId="68187AB1" w14:textId="0EB553F1" w:rsidR="00C2384D" w:rsidRDefault="00426014" w:rsidP="00D14898">
      <w:pPr>
        <w:pStyle w:val="Main"/>
        <w:rPr>
          <w:sz w:val="24"/>
          <w:szCs w:val="52"/>
        </w:rPr>
      </w:pPr>
      <w:r w:rsidRPr="000F411B">
        <w:rPr>
          <w:sz w:val="24"/>
          <w:szCs w:val="52"/>
        </w:rPr>
        <w:t>(End of Appendix A)</w:t>
      </w:r>
    </w:p>
    <w:p w14:paraId="78172C6B" w14:textId="77777777" w:rsidR="00D138D0" w:rsidRDefault="00D138D0" w:rsidP="00C2384D">
      <w:pPr>
        <w:pStyle w:val="Main"/>
        <w:rPr>
          <w:sz w:val="24"/>
          <w:szCs w:val="52"/>
        </w:rPr>
        <w:sectPr w:rsidR="00D138D0" w:rsidSect="00D44DB6">
          <w:footerReference w:type="default" r:id="rId24"/>
          <w:pgSz w:w="12240" w:h="15840"/>
          <w:pgMar w:top="1728" w:right="1440" w:bottom="1440" w:left="1440" w:header="720" w:footer="720" w:gutter="0"/>
          <w:pgNumType w:start="1"/>
          <w:cols w:space="720"/>
          <w:docGrid w:linePitch="360"/>
        </w:sectPr>
      </w:pPr>
    </w:p>
    <w:p w14:paraId="105ACE37" w14:textId="72F9E6C6" w:rsidR="00EF69E0" w:rsidRDefault="00EF69E0" w:rsidP="00C2384D">
      <w:pPr>
        <w:pStyle w:val="Main"/>
        <w:rPr>
          <w:sz w:val="24"/>
          <w:szCs w:val="52"/>
        </w:rPr>
      </w:pPr>
    </w:p>
    <w:p w14:paraId="4D82C88C" w14:textId="71421CE1" w:rsidR="00C2384D" w:rsidRDefault="00C2384D" w:rsidP="00C2384D">
      <w:pPr>
        <w:pStyle w:val="Main"/>
        <w:rPr>
          <w:sz w:val="24"/>
          <w:szCs w:val="52"/>
        </w:rPr>
      </w:pPr>
      <w:r w:rsidRPr="000F411B">
        <w:rPr>
          <w:sz w:val="24"/>
          <w:szCs w:val="52"/>
        </w:rPr>
        <w:t xml:space="preserve">Appendix </w:t>
      </w:r>
      <w:r>
        <w:rPr>
          <w:sz w:val="24"/>
          <w:szCs w:val="52"/>
        </w:rPr>
        <w:t>B</w:t>
      </w:r>
    </w:p>
    <w:p w14:paraId="762CB82B" w14:textId="77777777" w:rsidR="00EF69E0" w:rsidRPr="00EF69E0" w:rsidRDefault="00EF69E0" w:rsidP="00EF69E0"/>
    <w:p w14:paraId="44052C98" w14:textId="5A572278" w:rsidR="00EF69E0" w:rsidRDefault="00EF69E0" w:rsidP="00EF69E0">
      <w:pPr>
        <w:pStyle w:val="Standard"/>
        <w:spacing w:line="240" w:lineRule="auto"/>
        <w:ind w:firstLine="0"/>
        <w:jc w:val="center"/>
        <w:rPr>
          <w:sz w:val="24"/>
          <w:szCs w:val="20"/>
        </w:rPr>
      </w:pPr>
      <w:bookmarkStart w:id="131" w:name="_Hlk27406338"/>
      <w:r>
        <w:rPr>
          <w:sz w:val="24"/>
          <w:szCs w:val="20"/>
        </w:rPr>
        <w:t>Schedule for</w:t>
      </w:r>
      <w:r w:rsidRPr="00C360FC">
        <w:rPr>
          <w:sz w:val="24"/>
          <w:szCs w:val="20"/>
        </w:rPr>
        <w:t xml:space="preserve"> the Transition from the </w:t>
      </w:r>
    </w:p>
    <w:p w14:paraId="158C8A2E" w14:textId="673F347D" w:rsidR="00EF69E0" w:rsidRDefault="00EF69E0" w:rsidP="00EF69E0">
      <w:pPr>
        <w:pStyle w:val="Standard"/>
        <w:spacing w:after="120" w:line="240" w:lineRule="auto"/>
        <w:ind w:firstLine="0"/>
        <w:jc w:val="center"/>
        <w:rPr>
          <w:sz w:val="24"/>
          <w:szCs w:val="20"/>
        </w:rPr>
      </w:pPr>
      <w:r w:rsidRPr="00C360FC">
        <w:rPr>
          <w:sz w:val="24"/>
          <w:szCs w:val="20"/>
        </w:rPr>
        <w:t>Current Three</w:t>
      </w:r>
      <w:r w:rsidR="00FE5496">
        <w:rPr>
          <w:sz w:val="24"/>
          <w:szCs w:val="20"/>
        </w:rPr>
        <w:noBreakHyphen/>
      </w:r>
      <w:r w:rsidRPr="00C360FC">
        <w:rPr>
          <w:sz w:val="24"/>
          <w:szCs w:val="20"/>
        </w:rPr>
        <w:t xml:space="preserve">Year </w:t>
      </w:r>
      <w:r>
        <w:rPr>
          <w:sz w:val="24"/>
          <w:szCs w:val="20"/>
        </w:rPr>
        <w:t xml:space="preserve">GRC </w:t>
      </w:r>
      <w:r w:rsidRPr="00C360FC">
        <w:rPr>
          <w:sz w:val="24"/>
          <w:szCs w:val="20"/>
        </w:rPr>
        <w:t>Cycle to the Four</w:t>
      </w:r>
      <w:r w:rsidR="00FE5496">
        <w:rPr>
          <w:sz w:val="24"/>
          <w:szCs w:val="20"/>
        </w:rPr>
        <w:noBreakHyphen/>
      </w:r>
      <w:r w:rsidRPr="00C360FC">
        <w:rPr>
          <w:sz w:val="24"/>
          <w:szCs w:val="20"/>
        </w:rPr>
        <w:t xml:space="preserve">Year </w:t>
      </w:r>
      <w:r>
        <w:rPr>
          <w:sz w:val="24"/>
          <w:szCs w:val="20"/>
        </w:rPr>
        <w:t xml:space="preserve">GRC </w:t>
      </w:r>
      <w:r w:rsidRPr="00C360FC">
        <w:rPr>
          <w:sz w:val="24"/>
          <w:szCs w:val="20"/>
        </w:rPr>
        <w:t>Cycle</w:t>
      </w:r>
    </w:p>
    <w:bookmarkEnd w:id="131"/>
    <w:p w14:paraId="1CDD4F91" w14:textId="77777777" w:rsidR="00EF69E0" w:rsidRDefault="00EF69E0" w:rsidP="00EF69E0">
      <w:pPr>
        <w:pStyle w:val="Standard"/>
        <w:spacing w:after="120" w:line="240" w:lineRule="auto"/>
        <w:ind w:firstLine="0"/>
        <w:jc w:val="center"/>
        <w:rPr>
          <w:sz w:val="24"/>
          <w:szCs w:val="20"/>
        </w:rPr>
      </w:pPr>
    </w:p>
    <w:tbl>
      <w:tblPr>
        <w:tblStyle w:val="TableGrid"/>
        <w:tblW w:w="0" w:type="auto"/>
        <w:tblLook w:val="04A0" w:firstRow="1" w:lastRow="0" w:firstColumn="1" w:lastColumn="0" w:noHBand="0" w:noVBand="1"/>
      </w:tblPr>
      <w:tblGrid>
        <w:gridCol w:w="1019"/>
        <w:gridCol w:w="3073"/>
        <w:gridCol w:w="2495"/>
        <w:gridCol w:w="2989"/>
      </w:tblGrid>
      <w:tr w:rsidR="008D3F6D" w:rsidRPr="008F4B5E" w14:paraId="5E688377" w14:textId="77777777" w:rsidTr="00EF69E0">
        <w:trPr>
          <w:cantSplit/>
        </w:trPr>
        <w:tc>
          <w:tcPr>
            <w:tcW w:w="0" w:type="auto"/>
            <w:vAlign w:val="center"/>
          </w:tcPr>
          <w:p w14:paraId="4B9DBAB6" w14:textId="77777777" w:rsidR="00EF69E0" w:rsidRPr="008F4B5E" w:rsidRDefault="00EF69E0" w:rsidP="00484F14">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Filing Date</w:t>
            </w:r>
          </w:p>
        </w:tc>
        <w:tc>
          <w:tcPr>
            <w:tcW w:w="3073" w:type="dxa"/>
            <w:vAlign w:val="center"/>
          </w:tcPr>
          <w:p w14:paraId="7D10B433" w14:textId="77777777" w:rsidR="00EF69E0" w:rsidRPr="008F4B5E" w:rsidRDefault="00EF69E0" w:rsidP="00484F14">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PG&amp;E</w:t>
            </w:r>
          </w:p>
        </w:tc>
        <w:tc>
          <w:tcPr>
            <w:tcW w:w="2495" w:type="dxa"/>
            <w:vAlign w:val="center"/>
          </w:tcPr>
          <w:p w14:paraId="04DE11CD" w14:textId="77777777" w:rsidR="00EF69E0" w:rsidRPr="008F4B5E" w:rsidRDefault="00EF69E0" w:rsidP="00484F14">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SCE</w:t>
            </w:r>
          </w:p>
        </w:tc>
        <w:tc>
          <w:tcPr>
            <w:tcW w:w="2989" w:type="dxa"/>
            <w:vAlign w:val="center"/>
          </w:tcPr>
          <w:p w14:paraId="565D8FF5" w14:textId="77777777" w:rsidR="00EF69E0" w:rsidRPr="008F4B5E" w:rsidRDefault="00EF69E0" w:rsidP="00484F14">
            <w:pPr>
              <w:pStyle w:val="Standard"/>
              <w:spacing w:line="240" w:lineRule="auto"/>
              <w:ind w:firstLine="0"/>
              <w:jc w:val="center"/>
              <w:rPr>
                <w:rFonts w:ascii="Arial Narrow" w:hAnsi="Arial Narrow"/>
                <w:b/>
                <w:bCs/>
                <w:sz w:val="20"/>
                <w:szCs w:val="20"/>
              </w:rPr>
            </w:pPr>
            <w:r w:rsidRPr="008F4B5E">
              <w:rPr>
                <w:rFonts w:ascii="Arial Narrow" w:hAnsi="Arial Narrow"/>
                <w:b/>
                <w:bCs/>
                <w:sz w:val="20"/>
                <w:szCs w:val="20"/>
              </w:rPr>
              <w:t>SDG&amp;E and SoCalGas</w:t>
            </w:r>
          </w:p>
        </w:tc>
      </w:tr>
      <w:tr w:rsidR="008D3F6D" w:rsidRPr="008F4B5E" w14:paraId="37B394E9" w14:textId="77777777" w:rsidTr="00EF69E0">
        <w:trPr>
          <w:cantSplit/>
        </w:trPr>
        <w:tc>
          <w:tcPr>
            <w:tcW w:w="0" w:type="auto"/>
            <w:vAlign w:val="center"/>
          </w:tcPr>
          <w:p w14:paraId="07EFED1B" w14:textId="77777777" w:rsidR="00EF69E0" w:rsidRPr="008F4B5E" w:rsidRDefault="00EF69E0" w:rsidP="00484F14">
            <w:pPr>
              <w:pStyle w:val="Standard"/>
              <w:spacing w:line="240" w:lineRule="auto"/>
              <w:ind w:firstLine="0"/>
              <w:rPr>
                <w:rFonts w:ascii="Arial Narrow" w:hAnsi="Arial Narrow"/>
                <w:sz w:val="20"/>
                <w:szCs w:val="20"/>
              </w:rPr>
            </w:pPr>
            <w:r w:rsidRPr="008F4B5E">
              <w:rPr>
                <w:rFonts w:ascii="Arial Narrow" w:hAnsi="Arial Narrow"/>
                <w:sz w:val="20"/>
                <w:szCs w:val="20"/>
              </w:rPr>
              <w:t>August 30, 2019</w:t>
            </w:r>
          </w:p>
        </w:tc>
        <w:tc>
          <w:tcPr>
            <w:tcW w:w="3073" w:type="dxa"/>
            <w:vAlign w:val="center"/>
          </w:tcPr>
          <w:p w14:paraId="1A67DECE" w14:textId="77777777" w:rsidR="00EF69E0" w:rsidRPr="008F4B5E" w:rsidRDefault="00EF69E0" w:rsidP="00484F14">
            <w:pPr>
              <w:pStyle w:val="Standard"/>
              <w:spacing w:line="240" w:lineRule="auto"/>
              <w:ind w:firstLine="0"/>
              <w:rPr>
                <w:rFonts w:ascii="Arial Narrow" w:hAnsi="Arial Narrow"/>
                <w:sz w:val="20"/>
                <w:szCs w:val="20"/>
              </w:rPr>
            </w:pPr>
          </w:p>
        </w:tc>
        <w:tc>
          <w:tcPr>
            <w:tcW w:w="2495" w:type="dxa"/>
            <w:vAlign w:val="center"/>
          </w:tcPr>
          <w:p w14:paraId="1DDB4EF1" w14:textId="54DBAF5A" w:rsidR="00EF69E0" w:rsidRPr="008F4B5E" w:rsidRDefault="00EF69E0" w:rsidP="00484F14">
            <w:pPr>
              <w:pStyle w:val="Standard"/>
              <w:spacing w:line="240" w:lineRule="auto"/>
              <w:ind w:firstLine="0"/>
              <w:rPr>
                <w:rFonts w:ascii="Arial Narrow" w:hAnsi="Arial Narrow"/>
                <w:sz w:val="20"/>
                <w:szCs w:val="20"/>
              </w:rPr>
            </w:pPr>
            <w:r w:rsidRPr="008F4B5E">
              <w:rPr>
                <w:rFonts w:ascii="Arial Narrow" w:hAnsi="Arial Narrow"/>
                <w:sz w:val="20"/>
                <w:szCs w:val="20"/>
              </w:rPr>
              <w:t>GRC:  A.19</w:t>
            </w:r>
            <w:r w:rsidR="00FE5496">
              <w:rPr>
                <w:rFonts w:ascii="Arial Narrow" w:hAnsi="Arial Narrow"/>
                <w:sz w:val="20"/>
                <w:szCs w:val="20"/>
              </w:rPr>
              <w:noBreakHyphen/>
            </w:r>
            <w:r w:rsidRPr="008F4B5E">
              <w:rPr>
                <w:rFonts w:ascii="Arial Narrow" w:hAnsi="Arial Narrow"/>
                <w:sz w:val="20"/>
                <w:szCs w:val="20"/>
              </w:rPr>
              <w:t>08</w:t>
            </w:r>
            <w:r w:rsidR="00FE5496">
              <w:rPr>
                <w:rFonts w:ascii="Arial Narrow" w:hAnsi="Arial Narrow"/>
                <w:sz w:val="20"/>
                <w:szCs w:val="20"/>
              </w:rPr>
              <w:noBreakHyphen/>
            </w:r>
            <w:r w:rsidRPr="008F4B5E">
              <w:rPr>
                <w:rFonts w:ascii="Arial Narrow" w:hAnsi="Arial Narrow"/>
                <w:sz w:val="20"/>
                <w:szCs w:val="20"/>
              </w:rPr>
              <w:t>013</w:t>
            </w:r>
          </w:p>
          <w:p w14:paraId="01703FAF" w14:textId="77777777" w:rsidR="00EF69E0" w:rsidRDefault="00EF69E0" w:rsidP="00484F14">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Test Year:  2021</w:t>
            </w:r>
          </w:p>
          <w:p w14:paraId="4A47BEAB" w14:textId="407EC36A" w:rsidR="00EF69E0" w:rsidRPr="008F4B5E" w:rsidRDefault="00EF69E0" w:rsidP="00484F14">
            <w:pPr>
              <w:pStyle w:val="Standard"/>
              <w:numPr>
                <w:ilvl w:val="0"/>
                <w:numId w:val="56"/>
              </w:numPr>
              <w:spacing w:line="240" w:lineRule="auto"/>
              <w:ind w:left="178" w:hanging="178"/>
              <w:rPr>
                <w:rFonts w:ascii="Arial Narrow" w:hAnsi="Arial Narrow"/>
                <w:sz w:val="20"/>
                <w:szCs w:val="20"/>
              </w:rPr>
            </w:pPr>
            <w:r w:rsidRPr="008F4B5E">
              <w:rPr>
                <w:rFonts w:ascii="Arial Narrow" w:hAnsi="Arial Narrow"/>
                <w:sz w:val="20"/>
                <w:szCs w:val="20"/>
              </w:rPr>
              <w:t>Attrition Year</w:t>
            </w:r>
            <w:r>
              <w:rPr>
                <w:rFonts w:ascii="Arial Narrow" w:hAnsi="Arial Narrow"/>
                <w:sz w:val="20"/>
                <w:szCs w:val="20"/>
              </w:rPr>
              <w:t>s</w:t>
            </w:r>
            <w:r w:rsidRPr="008F4B5E">
              <w:rPr>
                <w:rFonts w:ascii="Arial Narrow" w:hAnsi="Arial Narrow"/>
                <w:sz w:val="20"/>
                <w:szCs w:val="20"/>
              </w:rPr>
              <w:t xml:space="preserve">:  </w:t>
            </w:r>
            <w:r w:rsidRPr="00F25409">
              <w:rPr>
                <w:rFonts w:ascii="Arial Narrow" w:hAnsi="Arial Narrow"/>
                <w:sz w:val="20"/>
                <w:szCs w:val="20"/>
              </w:rPr>
              <w:t>2022</w:t>
            </w:r>
            <w:r w:rsidR="00FE5496">
              <w:rPr>
                <w:rFonts w:ascii="Arial Narrow" w:hAnsi="Arial Narrow"/>
                <w:sz w:val="20"/>
                <w:szCs w:val="20"/>
              </w:rPr>
              <w:noBreakHyphen/>
            </w:r>
            <w:r w:rsidRPr="00F25409">
              <w:rPr>
                <w:rFonts w:ascii="Arial Narrow" w:hAnsi="Arial Narrow"/>
                <w:sz w:val="20"/>
                <w:szCs w:val="20"/>
              </w:rPr>
              <w:t>202</w:t>
            </w:r>
            <w:r>
              <w:rPr>
                <w:rFonts w:ascii="Arial Narrow" w:hAnsi="Arial Narrow"/>
                <w:sz w:val="20"/>
                <w:szCs w:val="20"/>
              </w:rPr>
              <w:t>3</w:t>
            </w:r>
          </w:p>
        </w:tc>
        <w:tc>
          <w:tcPr>
            <w:tcW w:w="2989" w:type="dxa"/>
            <w:vAlign w:val="center"/>
          </w:tcPr>
          <w:p w14:paraId="3D6A7266" w14:textId="77777777" w:rsidR="00EF69E0" w:rsidRPr="008F4B5E" w:rsidRDefault="00EF69E0" w:rsidP="00484F14">
            <w:pPr>
              <w:pStyle w:val="Standard"/>
              <w:spacing w:line="240" w:lineRule="auto"/>
              <w:ind w:firstLine="0"/>
              <w:rPr>
                <w:rFonts w:ascii="Arial Narrow" w:hAnsi="Arial Narrow"/>
                <w:sz w:val="20"/>
                <w:szCs w:val="20"/>
              </w:rPr>
            </w:pPr>
          </w:p>
        </w:tc>
      </w:tr>
      <w:tr w:rsidR="008D3F6D" w:rsidRPr="003218A0" w14:paraId="75718825" w14:textId="77777777" w:rsidTr="00EF69E0">
        <w:trPr>
          <w:cantSplit/>
        </w:trPr>
        <w:tc>
          <w:tcPr>
            <w:tcW w:w="0" w:type="auto"/>
            <w:vAlign w:val="center"/>
          </w:tcPr>
          <w:p w14:paraId="7F649106" w14:textId="77777777" w:rsidR="00EF69E0" w:rsidRPr="003218A0" w:rsidRDefault="00EF69E0" w:rsidP="00484F14">
            <w:pPr>
              <w:pStyle w:val="Standard"/>
              <w:spacing w:line="240" w:lineRule="auto"/>
              <w:ind w:firstLine="0"/>
              <w:rPr>
                <w:rFonts w:ascii="Arial Narrow" w:hAnsi="Arial Narrow"/>
                <w:sz w:val="20"/>
                <w:szCs w:val="20"/>
              </w:rPr>
            </w:pPr>
            <w:r w:rsidRPr="003218A0">
              <w:rPr>
                <w:rFonts w:ascii="Arial Narrow" w:hAnsi="Arial Narrow"/>
                <w:sz w:val="20"/>
                <w:szCs w:val="20"/>
              </w:rPr>
              <w:t>November 7, 2019</w:t>
            </w:r>
          </w:p>
        </w:tc>
        <w:tc>
          <w:tcPr>
            <w:tcW w:w="3073" w:type="dxa"/>
            <w:vAlign w:val="center"/>
          </w:tcPr>
          <w:p w14:paraId="501C7FFA" w14:textId="77777777" w:rsidR="00EF69E0" w:rsidRPr="003218A0" w:rsidRDefault="00EF69E0" w:rsidP="00484F14">
            <w:pPr>
              <w:pStyle w:val="Standard"/>
              <w:spacing w:line="240" w:lineRule="auto"/>
              <w:ind w:firstLine="0"/>
              <w:rPr>
                <w:rFonts w:ascii="Arial Narrow" w:hAnsi="Arial Narrow"/>
                <w:sz w:val="20"/>
                <w:szCs w:val="20"/>
              </w:rPr>
            </w:pPr>
          </w:p>
        </w:tc>
        <w:tc>
          <w:tcPr>
            <w:tcW w:w="2495" w:type="dxa"/>
            <w:vAlign w:val="center"/>
          </w:tcPr>
          <w:p w14:paraId="706669C4" w14:textId="77777777" w:rsidR="00EF69E0" w:rsidRPr="003218A0" w:rsidRDefault="00EF69E0" w:rsidP="00484F14">
            <w:pPr>
              <w:pStyle w:val="Standard"/>
              <w:spacing w:line="240" w:lineRule="auto"/>
              <w:ind w:firstLine="0"/>
              <w:rPr>
                <w:rFonts w:ascii="Arial Narrow" w:hAnsi="Arial Narrow"/>
                <w:sz w:val="20"/>
                <w:szCs w:val="20"/>
              </w:rPr>
            </w:pPr>
          </w:p>
        </w:tc>
        <w:tc>
          <w:tcPr>
            <w:tcW w:w="2989" w:type="dxa"/>
            <w:vAlign w:val="center"/>
          </w:tcPr>
          <w:p w14:paraId="23F47D24" w14:textId="30A8A3EF" w:rsidR="00EF69E0" w:rsidRPr="003218A0" w:rsidRDefault="00EF69E0" w:rsidP="00484F14">
            <w:pPr>
              <w:pStyle w:val="Standard"/>
              <w:spacing w:line="240" w:lineRule="auto"/>
              <w:ind w:firstLine="0"/>
              <w:rPr>
                <w:rFonts w:ascii="Arial Narrow" w:hAnsi="Arial Narrow"/>
                <w:sz w:val="20"/>
                <w:szCs w:val="20"/>
              </w:rPr>
            </w:pPr>
            <w:r w:rsidRPr="0038776D">
              <w:rPr>
                <w:rFonts w:ascii="Arial Narrow" w:hAnsi="Arial Narrow"/>
                <w:sz w:val="20"/>
                <w:szCs w:val="20"/>
              </w:rPr>
              <w:t>I.19</w:t>
            </w:r>
            <w:r w:rsidR="00FE5496">
              <w:rPr>
                <w:rFonts w:ascii="Arial Narrow" w:hAnsi="Arial Narrow"/>
                <w:sz w:val="20"/>
                <w:szCs w:val="20"/>
              </w:rPr>
              <w:noBreakHyphen/>
            </w:r>
            <w:r w:rsidRPr="0038776D">
              <w:rPr>
                <w:rFonts w:ascii="Arial Narrow" w:hAnsi="Arial Narrow"/>
                <w:sz w:val="20"/>
                <w:szCs w:val="20"/>
              </w:rPr>
              <w:t>11</w:t>
            </w:r>
            <w:r w:rsidR="00FE5496">
              <w:rPr>
                <w:rFonts w:ascii="Arial Narrow" w:hAnsi="Arial Narrow"/>
                <w:sz w:val="20"/>
                <w:szCs w:val="20"/>
              </w:rPr>
              <w:noBreakHyphen/>
            </w:r>
            <w:r w:rsidRPr="0038776D">
              <w:rPr>
                <w:rFonts w:ascii="Arial Narrow" w:hAnsi="Arial Narrow"/>
                <w:sz w:val="20"/>
                <w:szCs w:val="20"/>
              </w:rPr>
              <w:t>010 and I.19</w:t>
            </w:r>
            <w:r w:rsidR="00FE5496">
              <w:rPr>
                <w:rFonts w:ascii="Arial Narrow" w:hAnsi="Arial Narrow"/>
                <w:sz w:val="20"/>
                <w:szCs w:val="20"/>
              </w:rPr>
              <w:noBreakHyphen/>
            </w:r>
            <w:r w:rsidRPr="0038776D">
              <w:rPr>
                <w:rFonts w:ascii="Arial Narrow" w:hAnsi="Arial Narrow"/>
                <w:sz w:val="20"/>
                <w:szCs w:val="20"/>
              </w:rPr>
              <w:t>11</w:t>
            </w:r>
            <w:r w:rsidR="00FE5496">
              <w:rPr>
                <w:rFonts w:ascii="Arial Narrow" w:hAnsi="Arial Narrow"/>
                <w:sz w:val="20"/>
                <w:szCs w:val="20"/>
              </w:rPr>
              <w:noBreakHyphen/>
            </w:r>
            <w:r w:rsidRPr="0038776D">
              <w:rPr>
                <w:rFonts w:ascii="Arial Narrow" w:hAnsi="Arial Narrow"/>
                <w:sz w:val="20"/>
                <w:szCs w:val="20"/>
              </w:rPr>
              <w:t xml:space="preserve">011 </w:t>
            </w:r>
            <w:r w:rsidRPr="003218A0">
              <w:rPr>
                <w:rFonts w:ascii="Arial Narrow" w:hAnsi="Arial Narrow"/>
                <w:sz w:val="20"/>
                <w:szCs w:val="20"/>
              </w:rPr>
              <w:t>opened for SDG&amp;E and SoCalGas RAMPs</w:t>
            </w:r>
          </w:p>
        </w:tc>
      </w:tr>
      <w:tr w:rsidR="008D3F6D" w:rsidRPr="00F25409" w14:paraId="78D8CDA2" w14:textId="77777777" w:rsidTr="00EF69E0">
        <w:trPr>
          <w:cantSplit/>
        </w:trPr>
        <w:tc>
          <w:tcPr>
            <w:tcW w:w="0" w:type="auto"/>
            <w:vAlign w:val="center"/>
          </w:tcPr>
          <w:p w14:paraId="5BDE33BA" w14:textId="1351D10C" w:rsidR="002A0795" w:rsidRPr="00E77589" w:rsidRDefault="00EF1984" w:rsidP="002A0795">
            <w:pPr>
              <w:pStyle w:val="Standard"/>
              <w:spacing w:line="240" w:lineRule="auto"/>
              <w:ind w:firstLine="0"/>
              <w:rPr>
                <w:rFonts w:ascii="Arial Narrow" w:hAnsi="Arial Narrow"/>
                <w:sz w:val="20"/>
                <w:szCs w:val="20"/>
              </w:rPr>
            </w:pPr>
            <w:r w:rsidRPr="00E77589">
              <w:rPr>
                <w:rFonts w:ascii="Arial Narrow" w:hAnsi="Arial Narrow"/>
                <w:sz w:val="20"/>
                <w:szCs w:val="20"/>
              </w:rPr>
              <w:t>F</w:t>
            </w:r>
            <w:r>
              <w:rPr>
                <w:rFonts w:ascii="Arial Narrow" w:hAnsi="Arial Narrow"/>
                <w:sz w:val="20"/>
                <w:szCs w:val="20"/>
              </w:rPr>
              <w:t>or</w:t>
            </w:r>
            <w:r w:rsidRPr="00E77589">
              <w:rPr>
                <w:rFonts w:ascii="Arial Narrow" w:hAnsi="Arial Narrow"/>
                <w:sz w:val="20"/>
                <w:szCs w:val="20"/>
              </w:rPr>
              <w:t xml:space="preserve"> </w:t>
            </w:r>
            <w:r w:rsidR="002A0795" w:rsidRPr="00E77589">
              <w:rPr>
                <w:rFonts w:ascii="Arial Narrow" w:hAnsi="Arial Narrow"/>
                <w:sz w:val="20"/>
                <w:szCs w:val="20"/>
              </w:rPr>
              <w:t>SDG&amp;</w:t>
            </w:r>
            <w:r>
              <w:rPr>
                <w:rFonts w:ascii="Arial Narrow" w:hAnsi="Arial Narrow"/>
                <w:sz w:val="20"/>
                <w:szCs w:val="20"/>
              </w:rPr>
              <w:t>E</w:t>
            </w:r>
            <w:r w:rsidRPr="00E77589">
              <w:rPr>
                <w:rFonts w:ascii="Arial Narrow" w:hAnsi="Arial Narrow"/>
                <w:sz w:val="20"/>
                <w:szCs w:val="20"/>
              </w:rPr>
              <w:t xml:space="preserve"> </w:t>
            </w:r>
            <w:r>
              <w:rPr>
                <w:rFonts w:ascii="Arial Narrow" w:hAnsi="Arial Narrow"/>
                <w:sz w:val="20"/>
                <w:szCs w:val="20"/>
              </w:rPr>
              <w:t>a</w:t>
            </w:r>
            <w:r w:rsidRPr="00E77589">
              <w:rPr>
                <w:rFonts w:ascii="Arial Narrow" w:hAnsi="Arial Narrow"/>
                <w:sz w:val="20"/>
                <w:szCs w:val="20"/>
              </w:rPr>
              <w:t>n</w:t>
            </w:r>
            <w:r>
              <w:rPr>
                <w:rFonts w:ascii="Arial Narrow" w:hAnsi="Arial Narrow"/>
                <w:sz w:val="20"/>
                <w:szCs w:val="20"/>
              </w:rPr>
              <w:t xml:space="preserve">d </w:t>
            </w:r>
            <w:r w:rsidR="002A0795" w:rsidRPr="00E77589">
              <w:rPr>
                <w:rFonts w:ascii="Arial Narrow" w:hAnsi="Arial Narrow"/>
                <w:sz w:val="20"/>
                <w:szCs w:val="20"/>
              </w:rPr>
              <w:t xml:space="preserve">SoCalGas: </w:t>
            </w:r>
            <w:r w:rsidR="002A0795">
              <w:rPr>
                <w:rFonts w:ascii="Arial Narrow" w:hAnsi="Arial Narrow"/>
                <w:sz w:val="20"/>
                <w:szCs w:val="20"/>
              </w:rPr>
              <w:t>as soon as practicable</w:t>
            </w:r>
          </w:p>
          <w:p w14:paraId="1F80EAE1" w14:textId="1A368400" w:rsidR="008D3F6D" w:rsidRPr="00F25409" w:rsidRDefault="002A0795" w:rsidP="00EF69E0">
            <w:pPr>
              <w:pStyle w:val="Standard"/>
              <w:spacing w:line="240" w:lineRule="auto"/>
              <w:ind w:firstLine="0"/>
              <w:rPr>
                <w:rFonts w:ascii="Arial Narrow" w:hAnsi="Arial Narrow"/>
                <w:sz w:val="20"/>
                <w:szCs w:val="20"/>
              </w:rPr>
            </w:pPr>
            <w:r w:rsidRPr="00E77589">
              <w:rPr>
                <w:rFonts w:ascii="Arial Narrow" w:hAnsi="Arial Narrow"/>
                <w:sz w:val="20"/>
                <w:szCs w:val="20"/>
              </w:rPr>
              <w:t>F</w:t>
            </w:r>
            <w:r w:rsidR="00D30E05">
              <w:rPr>
                <w:rFonts w:ascii="Arial Narrow" w:hAnsi="Arial Narrow"/>
                <w:sz w:val="20"/>
                <w:szCs w:val="20"/>
              </w:rPr>
              <w:t>o</w:t>
            </w:r>
            <w:r w:rsidRPr="00E77589">
              <w:rPr>
                <w:rFonts w:ascii="Arial Narrow" w:hAnsi="Arial Narrow"/>
                <w:sz w:val="20"/>
                <w:szCs w:val="20"/>
              </w:rPr>
              <w:t xml:space="preserve">r SCE: As </w:t>
            </w:r>
            <w:r w:rsidR="00D30E05">
              <w:rPr>
                <w:rFonts w:ascii="Arial Narrow" w:hAnsi="Arial Narrow"/>
                <w:sz w:val="20"/>
                <w:szCs w:val="20"/>
              </w:rPr>
              <w:t xml:space="preserve"> </w:t>
            </w:r>
            <w:r w:rsidRPr="00E77589">
              <w:rPr>
                <w:rFonts w:ascii="Arial Narrow" w:hAnsi="Arial Narrow"/>
                <w:sz w:val="20"/>
                <w:szCs w:val="20"/>
              </w:rPr>
              <w:t>dir</w:t>
            </w:r>
            <w:r w:rsidR="00D30E05">
              <w:rPr>
                <w:rFonts w:ascii="Arial Narrow" w:hAnsi="Arial Narrow"/>
                <w:sz w:val="20"/>
                <w:szCs w:val="20"/>
              </w:rPr>
              <w:t>e`</w:t>
            </w:r>
            <w:r w:rsidRPr="00E77589">
              <w:rPr>
                <w:rFonts w:ascii="Arial Narrow" w:hAnsi="Arial Narrow"/>
                <w:sz w:val="20"/>
                <w:szCs w:val="20"/>
              </w:rPr>
              <w:t>cted</w:t>
            </w:r>
          </w:p>
        </w:tc>
        <w:tc>
          <w:tcPr>
            <w:tcW w:w="3073" w:type="dxa"/>
            <w:vAlign w:val="center"/>
          </w:tcPr>
          <w:p w14:paraId="2FBF81E5" w14:textId="77777777" w:rsidR="00EF69E0" w:rsidRPr="00F25409" w:rsidRDefault="00EF69E0" w:rsidP="00EF69E0">
            <w:pPr>
              <w:pStyle w:val="Standard"/>
              <w:spacing w:line="240" w:lineRule="auto"/>
              <w:ind w:firstLine="0"/>
              <w:rPr>
                <w:rFonts w:ascii="Arial Narrow" w:hAnsi="Arial Narrow"/>
                <w:sz w:val="20"/>
                <w:szCs w:val="20"/>
              </w:rPr>
            </w:pPr>
          </w:p>
        </w:tc>
        <w:tc>
          <w:tcPr>
            <w:tcW w:w="2495" w:type="dxa"/>
            <w:vAlign w:val="center"/>
          </w:tcPr>
          <w:p w14:paraId="36302E4C" w14:textId="05C69DA4" w:rsidR="00C870CF" w:rsidRDefault="00C870CF" w:rsidP="00EF69E0">
            <w:pPr>
              <w:pStyle w:val="Standard"/>
              <w:spacing w:line="240" w:lineRule="auto"/>
              <w:ind w:firstLine="0"/>
              <w:rPr>
                <w:rFonts w:ascii="Arial Narrow" w:hAnsi="Arial Narrow"/>
                <w:sz w:val="20"/>
                <w:szCs w:val="20"/>
              </w:rPr>
            </w:pPr>
            <w:r w:rsidRPr="00C870CF">
              <w:rPr>
                <w:rFonts w:ascii="Arial Narrow" w:hAnsi="Arial Narrow"/>
                <w:sz w:val="20"/>
                <w:szCs w:val="20"/>
              </w:rPr>
              <w:t>SCE shall amend A.19</w:t>
            </w:r>
            <w:r w:rsidR="00FE5496">
              <w:rPr>
                <w:rFonts w:ascii="Arial Narrow" w:hAnsi="Arial Narrow"/>
                <w:sz w:val="20"/>
                <w:szCs w:val="20"/>
              </w:rPr>
              <w:noBreakHyphen/>
            </w:r>
            <w:r w:rsidRPr="00C870CF">
              <w:rPr>
                <w:rFonts w:ascii="Arial Narrow" w:hAnsi="Arial Narrow"/>
                <w:sz w:val="20"/>
                <w:szCs w:val="20"/>
              </w:rPr>
              <w:t>08</w:t>
            </w:r>
            <w:r w:rsidR="00FE5496">
              <w:rPr>
                <w:rFonts w:ascii="Arial Narrow" w:hAnsi="Arial Narrow"/>
                <w:sz w:val="20"/>
                <w:szCs w:val="20"/>
              </w:rPr>
              <w:noBreakHyphen/>
            </w:r>
            <w:r w:rsidRPr="00C870CF">
              <w:rPr>
                <w:rFonts w:ascii="Arial Narrow" w:hAnsi="Arial Narrow"/>
                <w:sz w:val="20"/>
                <w:szCs w:val="20"/>
              </w:rPr>
              <w:t xml:space="preserve">013 to propose </w:t>
            </w:r>
            <w:r w:rsidR="00D30E05">
              <w:rPr>
                <w:rFonts w:ascii="Arial Narrow" w:hAnsi="Arial Narrow"/>
                <w:sz w:val="20"/>
                <w:szCs w:val="20"/>
              </w:rPr>
              <w:t>a</w:t>
            </w:r>
            <w:r w:rsidRPr="00C870CF">
              <w:rPr>
                <w:rFonts w:ascii="Arial Narrow" w:hAnsi="Arial Narrow"/>
                <w:sz w:val="20"/>
                <w:szCs w:val="20"/>
              </w:rPr>
              <w:t>n additional attrition year for 2024</w:t>
            </w:r>
            <w:r w:rsidR="002A0795">
              <w:rPr>
                <w:rFonts w:ascii="Arial Narrow" w:hAnsi="Arial Narrow"/>
                <w:sz w:val="20"/>
                <w:szCs w:val="20"/>
              </w:rPr>
              <w:t xml:space="preserve">, </w:t>
            </w:r>
            <w:r w:rsidR="00D30E05">
              <w:rPr>
                <w:rFonts w:ascii="Arial Narrow" w:hAnsi="Arial Narrow"/>
                <w:sz w:val="20"/>
                <w:szCs w:val="20"/>
              </w:rPr>
              <w:t>a</w:t>
            </w:r>
            <w:r w:rsidR="002A0795">
              <w:rPr>
                <w:rFonts w:ascii="Arial Narrow" w:hAnsi="Arial Narrow"/>
                <w:sz w:val="20"/>
                <w:szCs w:val="20"/>
              </w:rPr>
              <w:t>s dir</w:t>
            </w:r>
            <w:r w:rsidR="00D30E05">
              <w:rPr>
                <w:rFonts w:ascii="Arial Narrow" w:hAnsi="Arial Narrow"/>
                <w:sz w:val="20"/>
                <w:szCs w:val="20"/>
              </w:rPr>
              <w:t>e</w:t>
            </w:r>
            <w:r w:rsidR="002A0795">
              <w:rPr>
                <w:rFonts w:ascii="Arial Narrow" w:hAnsi="Arial Narrow"/>
                <w:sz w:val="20"/>
                <w:szCs w:val="20"/>
              </w:rPr>
              <w:t>cted</w:t>
            </w:r>
          </w:p>
          <w:p w14:paraId="60E704F5" w14:textId="77CD6012" w:rsidR="00EF69E0" w:rsidRPr="00F25409" w:rsidRDefault="00EF69E0" w:rsidP="00EF69E0">
            <w:pPr>
              <w:pStyle w:val="Standard"/>
              <w:spacing w:line="240" w:lineRule="auto"/>
              <w:ind w:firstLine="0"/>
              <w:rPr>
                <w:rFonts w:ascii="Arial Narrow" w:hAnsi="Arial Narrow"/>
                <w:sz w:val="20"/>
                <w:szCs w:val="20"/>
              </w:rPr>
            </w:pPr>
          </w:p>
        </w:tc>
        <w:tc>
          <w:tcPr>
            <w:tcW w:w="2989" w:type="dxa"/>
            <w:vAlign w:val="center"/>
          </w:tcPr>
          <w:p w14:paraId="19B611E2" w14:textId="60CCCCAA" w:rsidR="00EF69E0" w:rsidRPr="00F25409" w:rsidRDefault="00EF69E0" w:rsidP="00EF69E0">
            <w:pPr>
              <w:pStyle w:val="Standard"/>
              <w:spacing w:line="240" w:lineRule="auto"/>
              <w:ind w:firstLine="0"/>
              <w:rPr>
                <w:rFonts w:ascii="Arial Narrow" w:hAnsi="Arial Narrow"/>
                <w:sz w:val="20"/>
                <w:szCs w:val="20"/>
                <w:highlight w:val="yellow"/>
              </w:rPr>
            </w:pPr>
            <w:r w:rsidRPr="00F25409">
              <w:rPr>
                <w:rFonts w:ascii="Arial Narrow" w:hAnsi="Arial Narrow"/>
                <w:sz w:val="20"/>
                <w:szCs w:val="20"/>
              </w:rPr>
              <w:t>SDG&amp;E and SoCalGas shall file Petitions for Modification of D.19</w:t>
            </w:r>
            <w:r w:rsidR="00FE5496">
              <w:rPr>
                <w:rFonts w:ascii="Arial Narrow" w:hAnsi="Arial Narrow"/>
                <w:sz w:val="20"/>
                <w:szCs w:val="20"/>
              </w:rPr>
              <w:noBreakHyphen/>
            </w:r>
            <w:r w:rsidRPr="00F25409">
              <w:rPr>
                <w:rFonts w:ascii="Arial Narrow" w:hAnsi="Arial Narrow"/>
                <w:sz w:val="20"/>
                <w:szCs w:val="20"/>
              </w:rPr>
              <w:t>09</w:t>
            </w:r>
            <w:r w:rsidR="00FE5496">
              <w:rPr>
                <w:rFonts w:ascii="Arial Narrow" w:hAnsi="Arial Narrow"/>
                <w:sz w:val="20"/>
                <w:szCs w:val="20"/>
              </w:rPr>
              <w:noBreakHyphen/>
            </w:r>
            <w:r w:rsidRPr="00F25409">
              <w:rPr>
                <w:rFonts w:ascii="Arial Narrow" w:hAnsi="Arial Narrow"/>
                <w:sz w:val="20"/>
                <w:szCs w:val="20"/>
              </w:rPr>
              <w:t>0</w:t>
            </w:r>
            <w:r w:rsidR="00FF319D">
              <w:rPr>
                <w:rFonts w:ascii="Arial Narrow" w:hAnsi="Arial Narrow"/>
                <w:sz w:val="20"/>
                <w:szCs w:val="20"/>
              </w:rPr>
              <w:t>51</w:t>
            </w:r>
            <w:r w:rsidRPr="00F25409">
              <w:rPr>
                <w:rFonts w:ascii="Arial Narrow" w:hAnsi="Arial Narrow"/>
                <w:sz w:val="20"/>
                <w:szCs w:val="20"/>
              </w:rPr>
              <w:t xml:space="preserve"> to add 2022 and 2023 attrition years</w:t>
            </w:r>
          </w:p>
        </w:tc>
      </w:tr>
      <w:tr w:rsidR="008D3F6D" w:rsidRPr="00F25409" w14:paraId="6227EC6A" w14:textId="77777777" w:rsidTr="00EF69E0">
        <w:trPr>
          <w:cantSplit/>
        </w:trPr>
        <w:tc>
          <w:tcPr>
            <w:tcW w:w="0" w:type="auto"/>
            <w:vAlign w:val="center"/>
          </w:tcPr>
          <w:p w14:paraId="3055CB72" w14:textId="77777777"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By June 30, 2020</w:t>
            </w:r>
          </w:p>
        </w:tc>
        <w:tc>
          <w:tcPr>
            <w:tcW w:w="3073" w:type="dxa"/>
            <w:vAlign w:val="center"/>
          </w:tcPr>
          <w:p w14:paraId="666A972C" w14:textId="13C68459"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Files 2023</w:t>
            </w:r>
            <w:r w:rsidR="00FE5496">
              <w:rPr>
                <w:rFonts w:ascii="Arial Narrow" w:hAnsi="Arial Narrow"/>
                <w:sz w:val="20"/>
                <w:szCs w:val="20"/>
              </w:rPr>
              <w:noBreakHyphen/>
            </w:r>
            <w:r w:rsidRPr="00F25409">
              <w:rPr>
                <w:rFonts w:ascii="Arial Narrow" w:hAnsi="Arial Narrow"/>
                <w:sz w:val="20"/>
                <w:szCs w:val="20"/>
              </w:rPr>
              <w:t>2026 RAMP application</w:t>
            </w:r>
          </w:p>
        </w:tc>
        <w:tc>
          <w:tcPr>
            <w:tcW w:w="2495" w:type="dxa"/>
            <w:vAlign w:val="center"/>
          </w:tcPr>
          <w:p w14:paraId="22366D1F" w14:textId="77777777" w:rsidR="00EF69E0" w:rsidRPr="00F25409" w:rsidRDefault="00EF69E0" w:rsidP="00EF69E0">
            <w:pPr>
              <w:pStyle w:val="Standard"/>
              <w:spacing w:line="240" w:lineRule="auto"/>
              <w:ind w:firstLine="0"/>
              <w:rPr>
                <w:rFonts w:ascii="Arial Narrow" w:hAnsi="Arial Narrow"/>
                <w:sz w:val="20"/>
                <w:szCs w:val="20"/>
              </w:rPr>
            </w:pPr>
          </w:p>
        </w:tc>
        <w:tc>
          <w:tcPr>
            <w:tcW w:w="2989" w:type="dxa"/>
            <w:vAlign w:val="center"/>
          </w:tcPr>
          <w:p w14:paraId="1D04F496" w14:textId="77777777" w:rsidR="00EF69E0" w:rsidRPr="00F25409" w:rsidRDefault="00EF69E0" w:rsidP="00EF69E0">
            <w:pPr>
              <w:pStyle w:val="Standard"/>
              <w:spacing w:line="240" w:lineRule="auto"/>
              <w:ind w:firstLine="0"/>
              <w:rPr>
                <w:rFonts w:ascii="Arial Narrow" w:hAnsi="Arial Narrow"/>
                <w:sz w:val="20"/>
                <w:szCs w:val="20"/>
              </w:rPr>
            </w:pPr>
          </w:p>
        </w:tc>
      </w:tr>
      <w:tr w:rsidR="008D3F6D" w:rsidRPr="00F25409" w14:paraId="7DFDB992" w14:textId="77777777" w:rsidTr="00EF69E0">
        <w:trPr>
          <w:cantSplit/>
        </w:trPr>
        <w:tc>
          <w:tcPr>
            <w:tcW w:w="0" w:type="auto"/>
            <w:vAlign w:val="center"/>
          </w:tcPr>
          <w:p w14:paraId="30A59B1D" w14:textId="77777777"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May 15, 2021</w:t>
            </w:r>
          </w:p>
        </w:tc>
        <w:tc>
          <w:tcPr>
            <w:tcW w:w="3073" w:type="dxa"/>
            <w:vAlign w:val="center"/>
          </w:tcPr>
          <w:p w14:paraId="5C3C83FF" w14:textId="77777777" w:rsidR="00EF69E0" w:rsidRPr="00F25409" w:rsidRDefault="00EF69E0" w:rsidP="00EF69E0">
            <w:pPr>
              <w:pStyle w:val="Standard"/>
              <w:spacing w:line="240" w:lineRule="auto"/>
              <w:ind w:firstLine="0"/>
              <w:rPr>
                <w:rFonts w:ascii="Arial Narrow" w:hAnsi="Arial Narrow"/>
                <w:b/>
                <w:bCs/>
                <w:sz w:val="20"/>
                <w:szCs w:val="20"/>
                <w:u w:val="single"/>
              </w:rPr>
            </w:pPr>
          </w:p>
        </w:tc>
        <w:tc>
          <w:tcPr>
            <w:tcW w:w="2495" w:type="dxa"/>
            <w:vAlign w:val="center"/>
          </w:tcPr>
          <w:p w14:paraId="18A0AD06" w14:textId="77777777" w:rsidR="00EF69E0" w:rsidRPr="00F25409" w:rsidRDefault="00EF69E0" w:rsidP="00EF69E0">
            <w:pPr>
              <w:pStyle w:val="Standard"/>
              <w:spacing w:line="240" w:lineRule="auto"/>
              <w:ind w:firstLine="0"/>
              <w:rPr>
                <w:rFonts w:ascii="Arial Narrow" w:hAnsi="Arial Narrow"/>
                <w:sz w:val="20"/>
                <w:szCs w:val="20"/>
              </w:rPr>
            </w:pPr>
          </w:p>
        </w:tc>
        <w:tc>
          <w:tcPr>
            <w:tcW w:w="2989" w:type="dxa"/>
            <w:vAlign w:val="center"/>
          </w:tcPr>
          <w:p w14:paraId="671A7B6C" w14:textId="62712992"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 xml:space="preserve">SDG&amp;E and SoCalGas shall file </w:t>
            </w:r>
            <w:r>
              <w:rPr>
                <w:rFonts w:ascii="Arial Narrow" w:hAnsi="Arial Narrow"/>
                <w:sz w:val="20"/>
                <w:szCs w:val="20"/>
              </w:rPr>
              <w:br/>
            </w:r>
            <w:r w:rsidRPr="00F25409">
              <w:rPr>
                <w:rFonts w:ascii="Arial Narrow" w:hAnsi="Arial Narrow"/>
                <w:sz w:val="20"/>
                <w:szCs w:val="20"/>
              </w:rPr>
              <w:t>2024</w:t>
            </w:r>
            <w:r w:rsidR="00FE5496">
              <w:rPr>
                <w:rFonts w:ascii="Arial Narrow" w:hAnsi="Arial Narrow"/>
                <w:sz w:val="20"/>
                <w:szCs w:val="20"/>
              </w:rPr>
              <w:noBreakHyphen/>
            </w:r>
            <w:r w:rsidRPr="00F25409">
              <w:rPr>
                <w:rFonts w:ascii="Arial Narrow" w:hAnsi="Arial Narrow"/>
                <w:sz w:val="20"/>
                <w:szCs w:val="20"/>
              </w:rPr>
              <w:t>2027 RAMP applications</w:t>
            </w:r>
          </w:p>
        </w:tc>
      </w:tr>
      <w:tr w:rsidR="008D3F6D" w:rsidRPr="00F25409" w14:paraId="66F4E482" w14:textId="77777777" w:rsidTr="00EF69E0">
        <w:trPr>
          <w:cantSplit/>
        </w:trPr>
        <w:tc>
          <w:tcPr>
            <w:tcW w:w="0" w:type="auto"/>
            <w:vAlign w:val="center"/>
          </w:tcPr>
          <w:p w14:paraId="09C4FFFE" w14:textId="77777777"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By June 30, 2021</w:t>
            </w:r>
          </w:p>
        </w:tc>
        <w:tc>
          <w:tcPr>
            <w:tcW w:w="3073" w:type="dxa"/>
            <w:vAlign w:val="center"/>
          </w:tcPr>
          <w:p w14:paraId="659D60C1" w14:textId="77777777"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b/>
                <w:bCs/>
                <w:sz w:val="20"/>
                <w:szCs w:val="20"/>
                <w:u w:val="single"/>
              </w:rPr>
              <w:t>Files combined GRC/GT&amp;S application</w:t>
            </w:r>
            <w:r w:rsidRPr="00F25409">
              <w:rPr>
                <w:rFonts w:ascii="Arial Narrow" w:hAnsi="Arial Narrow"/>
                <w:sz w:val="20"/>
                <w:szCs w:val="20"/>
              </w:rPr>
              <w:t>:</w:t>
            </w:r>
          </w:p>
          <w:p w14:paraId="6195AFC4" w14:textId="0BC86970"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4</w:t>
            </w:r>
            <w:r w:rsidR="00FE5496">
              <w:rPr>
                <w:rFonts w:ascii="Arial Narrow" w:hAnsi="Arial Narrow"/>
                <w:sz w:val="20"/>
                <w:szCs w:val="20"/>
              </w:rPr>
              <w:noBreakHyphen/>
            </w:r>
            <w:r w:rsidRPr="00F25409">
              <w:rPr>
                <w:rFonts w:ascii="Arial Narrow" w:hAnsi="Arial Narrow"/>
                <w:sz w:val="20"/>
                <w:szCs w:val="20"/>
              </w:rPr>
              <w:t>year cycle</w:t>
            </w:r>
          </w:p>
          <w:p w14:paraId="4684E25F" w14:textId="77777777"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Test Year:  2023</w:t>
            </w:r>
          </w:p>
          <w:p w14:paraId="72ED2D20" w14:textId="650A57A8"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Attrition Years: 2024</w:t>
            </w:r>
            <w:r w:rsidR="00FE5496">
              <w:rPr>
                <w:rFonts w:ascii="Arial Narrow" w:hAnsi="Arial Narrow"/>
                <w:sz w:val="20"/>
                <w:szCs w:val="20"/>
              </w:rPr>
              <w:noBreakHyphen/>
            </w:r>
            <w:r w:rsidRPr="00F25409">
              <w:rPr>
                <w:rFonts w:ascii="Arial Narrow" w:hAnsi="Arial Narrow"/>
                <w:sz w:val="20"/>
                <w:szCs w:val="20"/>
              </w:rPr>
              <w:t>2026</w:t>
            </w:r>
          </w:p>
        </w:tc>
        <w:tc>
          <w:tcPr>
            <w:tcW w:w="2495" w:type="dxa"/>
            <w:vAlign w:val="center"/>
          </w:tcPr>
          <w:p w14:paraId="0FE923EE" w14:textId="77777777" w:rsidR="00EF69E0" w:rsidRPr="00F25409" w:rsidRDefault="00EF69E0" w:rsidP="00EF69E0">
            <w:pPr>
              <w:pStyle w:val="Standard"/>
              <w:spacing w:line="240" w:lineRule="auto"/>
              <w:ind w:firstLine="0"/>
              <w:rPr>
                <w:rFonts w:ascii="Arial Narrow" w:hAnsi="Arial Narrow"/>
                <w:sz w:val="20"/>
                <w:szCs w:val="20"/>
              </w:rPr>
            </w:pPr>
          </w:p>
        </w:tc>
        <w:tc>
          <w:tcPr>
            <w:tcW w:w="2989" w:type="dxa"/>
            <w:vAlign w:val="center"/>
          </w:tcPr>
          <w:p w14:paraId="7E142C50" w14:textId="77777777" w:rsidR="00EF69E0" w:rsidRPr="00F25409" w:rsidRDefault="00EF69E0" w:rsidP="00EF69E0">
            <w:pPr>
              <w:pStyle w:val="Standard"/>
              <w:spacing w:line="240" w:lineRule="auto"/>
              <w:ind w:firstLine="0"/>
              <w:rPr>
                <w:rFonts w:ascii="Arial Narrow" w:hAnsi="Arial Narrow"/>
                <w:sz w:val="20"/>
                <w:szCs w:val="20"/>
              </w:rPr>
            </w:pPr>
          </w:p>
        </w:tc>
      </w:tr>
      <w:tr w:rsidR="008D3F6D" w:rsidRPr="00F25409" w14:paraId="7EB15BC7" w14:textId="77777777" w:rsidTr="00EF69E0">
        <w:trPr>
          <w:cantSplit/>
        </w:trPr>
        <w:tc>
          <w:tcPr>
            <w:tcW w:w="0" w:type="auto"/>
            <w:vAlign w:val="center"/>
          </w:tcPr>
          <w:p w14:paraId="5BEF3B59" w14:textId="77777777"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May 15, 2022</w:t>
            </w:r>
          </w:p>
        </w:tc>
        <w:tc>
          <w:tcPr>
            <w:tcW w:w="3073" w:type="dxa"/>
            <w:vAlign w:val="center"/>
          </w:tcPr>
          <w:p w14:paraId="03C4A34C" w14:textId="77777777" w:rsidR="00EF69E0" w:rsidRPr="00F25409" w:rsidRDefault="00EF69E0" w:rsidP="00EF69E0">
            <w:pPr>
              <w:pStyle w:val="Standard"/>
              <w:spacing w:line="240" w:lineRule="auto"/>
              <w:ind w:firstLine="0"/>
              <w:rPr>
                <w:rFonts w:ascii="Arial Narrow" w:hAnsi="Arial Narrow"/>
                <w:sz w:val="20"/>
                <w:szCs w:val="20"/>
              </w:rPr>
            </w:pPr>
          </w:p>
        </w:tc>
        <w:tc>
          <w:tcPr>
            <w:tcW w:w="2495" w:type="dxa"/>
            <w:vAlign w:val="center"/>
          </w:tcPr>
          <w:p w14:paraId="29B9458C" w14:textId="003B3728"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Files 2025</w:t>
            </w:r>
            <w:r w:rsidR="00FE5496">
              <w:rPr>
                <w:rFonts w:ascii="Arial Narrow" w:hAnsi="Arial Narrow"/>
                <w:sz w:val="20"/>
                <w:szCs w:val="20"/>
              </w:rPr>
              <w:noBreakHyphen/>
            </w:r>
            <w:r w:rsidRPr="00F25409">
              <w:rPr>
                <w:rFonts w:ascii="Arial Narrow" w:hAnsi="Arial Narrow"/>
                <w:sz w:val="20"/>
                <w:szCs w:val="20"/>
              </w:rPr>
              <w:t>2028 RAMP application</w:t>
            </w:r>
          </w:p>
        </w:tc>
        <w:tc>
          <w:tcPr>
            <w:tcW w:w="2989" w:type="dxa"/>
            <w:vAlign w:val="center"/>
          </w:tcPr>
          <w:p w14:paraId="43ADC268" w14:textId="77777777" w:rsidR="00EF69E0" w:rsidRPr="00F25409" w:rsidRDefault="00EF69E0" w:rsidP="00EF69E0">
            <w:pPr>
              <w:pStyle w:val="Standard"/>
              <w:spacing w:line="240" w:lineRule="auto"/>
              <w:ind w:firstLine="0"/>
              <w:rPr>
                <w:rFonts w:ascii="Arial Narrow" w:hAnsi="Arial Narrow"/>
                <w:b/>
                <w:bCs/>
                <w:sz w:val="20"/>
                <w:szCs w:val="20"/>
                <w:u w:val="single"/>
              </w:rPr>
            </w:pPr>
            <w:r w:rsidRPr="00F25409">
              <w:rPr>
                <w:rFonts w:ascii="Arial Narrow" w:hAnsi="Arial Narrow"/>
                <w:b/>
                <w:bCs/>
                <w:sz w:val="20"/>
                <w:szCs w:val="20"/>
                <w:u w:val="single"/>
              </w:rPr>
              <w:t>Files next GRC application:</w:t>
            </w:r>
          </w:p>
          <w:p w14:paraId="7C07F29C" w14:textId="28204319"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4</w:t>
            </w:r>
            <w:r w:rsidR="00FE5496">
              <w:rPr>
                <w:rFonts w:ascii="Arial Narrow" w:hAnsi="Arial Narrow"/>
                <w:sz w:val="20"/>
                <w:szCs w:val="20"/>
              </w:rPr>
              <w:noBreakHyphen/>
            </w:r>
            <w:r w:rsidRPr="00F25409">
              <w:rPr>
                <w:rFonts w:ascii="Arial Narrow" w:hAnsi="Arial Narrow"/>
                <w:sz w:val="20"/>
                <w:szCs w:val="20"/>
              </w:rPr>
              <w:t>year cycle</w:t>
            </w:r>
          </w:p>
          <w:p w14:paraId="57F33AEA" w14:textId="77777777"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Test Year:  2024</w:t>
            </w:r>
          </w:p>
          <w:p w14:paraId="292800BF" w14:textId="33B32384"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Attrition Years: 2025</w:t>
            </w:r>
            <w:r w:rsidR="00FE5496">
              <w:rPr>
                <w:rFonts w:ascii="Arial Narrow" w:hAnsi="Arial Narrow"/>
                <w:sz w:val="20"/>
                <w:szCs w:val="20"/>
              </w:rPr>
              <w:noBreakHyphen/>
            </w:r>
            <w:r w:rsidRPr="00F25409">
              <w:rPr>
                <w:rFonts w:ascii="Arial Narrow" w:hAnsi="Arial Narrow"/>
                <w:sz w:val="20"/>
                <w:szCs w:val="20"/>
              </w:rPr>
              <w:t>2027</w:t>
            </w:r>
          </w:p>
        </w:tc>
      </w:tr>
      <w:tr w:rsidR="008D3F6D" w:rsidRPr="00F25409" w14:paraId="503F984E" w14:textId="77777777" w:rsidTr="00EF69E0">
        <w:trPr>
          <w:cantSplit/>
        </w:trPr>
        <w:tc>
          <w:tcPr>
            <w:tcW w:w="0" w:type="auto"/>
            <w:vAlign w:val="center"/>
          </w:tcPr>
          <w:p w14:paraId="751ACA90" w14:textId="77777777" w:rsidR="00EF69E0" w:rsidRPr="00F25409" w:rsidRDefault="00EF69E0" w:rsidP="00EF69E0">
            <w:pPr>
              <w:pStyle w:val="Standard"/>
              <w:spacing w:line="240" w:lineRule="auto"/>
              <w:ind w:firstLine="0"/>
              <w:rPr>
                <w:rFonts w:ascii="Arial Narrow" w:hAnsi="Arial Narrow"/>
                <w:sz w:val="20"/>
                <w:szCs w:val="20"/>
              </w:rPr>
            </w:pPr>
            <w:r w:rsidRPr="00F25409">
              <w:rPr>
                <w:rFonts w:ascii="Arial Narrow" w:hAnsi="Arial Narrow"/>
                <w:sz w:val="20"/>
                <w:szCs w:val="20"/>
              </w:rPr>
              <w:t>May 15, 2023</w:t>
            </w:r>
          </w:p>
        </w:tc>
        <w:tc>
          <w:tcPr>
            <w:tcW w:w="3073" w:type="dxa"/>
            <w:vAlign w:val="center"/>
          </w:tcPr>
          <w:p w14:paraId="1FD9FE76" w14:textId="77777777" w:rsidR="00EF69E0" w:rsidRPr="00F25409" w:rsidRDefault="00EF69E0" w:rsidP="00EF69E0">
            <w:pPr>
              <w:pStyle w:val="Standard"/>
              <w:spacing w:line="240" w:lineRule="auto"/>
              <w:ind w:firstLine="0"/>
              <w:rPr>
                <w:rFonts w:ascii="Arial Narrow" w:hAnsi="Arial Narrow"/>
                <w:sz w:val="20"/>
                <w:szCs w:val="20"/>
              </w:rPr>
            </w:pPr>
          </w:p>
        </w:tc>
        <w:tc>
          <w:tcPr>
            <w:tcW w:w="2495" w:type="dxa"/>
            <w:vAlign w:val="center"/>
          </w:tcPr>
          <w:p w14:paraId="0903A9FF" w14:textId="77777777" w:rsidR="00EF69E0" w:rsidRPr="00F25409" w:rsidRDefault="00EF69E0" w:rsidP="00EF69E0">
            <w:pPr>
              <w:pStyle w:val="Standard"/>
              <w:spacing w:line="240" w:lineRule="auto"/>
              <w:ind w:firstLine="0"/>
              <w:rPr>
                <w:rFonts w:ascii="Arial Narrow" w:hAnsi="Arial Narrow"/>
                <w:b/>
                <w:bCs/>
                <w:sz w:val="20"/>
                <w:szCs w:val="20"/>
                <w:u w:val="single"/>
              </w:rPr>
            </w:pPr>
            <w:r w:rsidRPr="00F25409">
              <w:rPr>
                <w:rFonts w:ascii="Arial Narrow" w:hAnsi="Arial Narrow"/>
                <w:b/>
                <w:bCs/>
                <w:sz w:val="20"/>
                <w:szCs w:val="20"/>
                <w:u w:val="single"/>
              </w:rPr>
              <w:t>Files next GRC application:</w:t>
            </w:r>
          </w:p>
          <w:p w14:paraId="6C9D46CB" w14:textId="407DD70B"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4</w:t>
            </w:r>
            <w:r w:rsidR="00FE5496">
              <w:rPr>
                <w:rFonts w:ascii="Arial Narrow" w:hAnsi="Arial Narrow"/>
                <w:sz w:val="20"/>
                <w:szCs w:val="20"/>
              </w:rPr>
              <w:noBreakHyphen/>
            </w:r>
            <w:r w:rsidRPr="00F25409">
              <w:rPr>
                <w:rFonts w:ascii="Arial Narrow" w:hAnsi="Arial Narrow"/>
                <w:sz w:val="20"/>
                <w:szCs w:val="20"/>
              </w:rPr>
              <w:t>year cycle</w:t>
            </w:r>
          </w:p>
          <w:p w14:paraId="68B1CB8F" w14:textId="77777777"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Test Year:  2025</w:t>
            </w:r>
          </w:p>
          <w:p w14:paraId="07DB29DC" w14:textId="0960DA97" w:rsidR="00EF69E0" w:rsidRPr="00F25409" w:rsidRDefault="00EF69E0" w:rsidP="00EF69E0">
            <w:pPr>
              <w:pStyle w:val="Standard"/>
              <w:numPr>
                <w:ilvl w:val="0"/>
                <w:numId w:val="56"/>
              </w:numPr>
              <w:spacing w:line="240" w:lineRule="auto"/>
              <w:ind w:left="178" w:hanging="178"/>
              <w:rPr>
                <w:rFonts w:ascii="Arial Narrow" w:hAnsi="Arial Narrow"/>
                <w:sz w:val="20"/>
                <w:szCs w:val="20"/>
              </w:rPr>
            </w:pPr>
            <w:r w:rsidRPr="00F25409">
              <w:rPr>
                <w:rFonts w:ascii="Arial Narrow" w:hAnsi="Arial Narrow"/>
                <w:sz w:val="20"/>
                <w:szCs w:val="20"/>
              </w:rPr>
              <w:t>Attrition Years: 2026</w:t>
            </w:r>
            <w:r w:rsidR="00FE5496">
              <w:rPr>
                <w:rFonts w:ascii="Arial Narrow" w:hAnsi="Arial Narrow"/>
                <w:sz w:val="20"/>
                <w:szCs w:val="20"/>
              </w:rPr>
              <w:noBreakHyphen/>
            </w:r>
            <w:r w:rsidRPr="00F25409">
              <w:rPr>
                <w:rFonts w:ascii="Arial Narrow" w:hAnsi="Arial Narrow"/>
                <w:sz w:val="20"/>
                <w:szCs w:val="20"/>
              </w:rPr>
              <w:t>2028</w:t>
            </w:r>
          </w:p>
        </w:tc>
        <w:tc>
          <w:tcPr>
            <w:tcW w:w="2989" w:type="dxa"/>
            <w:vAlign w:val="center"/>
          </w:tcPr>
          <w:p w14:paraId="7DE18887" w14:textId="77777777" w:rsidR="00EF69E0" w:rsidRPr="00F25409" w:rsidRDefault="00EF69E0" w:rsidP="00EF69E0">
            <w:pPr>
              <w:pStyle w:val="Standard"/>
              <w:spacing w:line="240" w:lineRule="auto"/>
              <w:ind w:firstLine="0"/>
              <w:rPr>
                <w:rFonts w:ascii="Arial Narrow" w:hAnsi="Arial Narrow"/>
                <w:sz w:val="20"/>
                <w:szCs w:val="20"/>
              </w:rPr>
            </w:pPr>
          </w:p>
        </w:tc>
      </w:tr>
    </w:tbl>
    <w:p w14:paraId="60AE02FB" w14:textId="1F3D79D0" w:rsidR="000F6BCA" w:rsidRDefault="000F6BCA" w:rsidP="00D14898">
      <w:pPr>
        <w:pStyle w:val="Main"/>
      </w:pPr>
    </w:p>
    <w:p w14:paraId="20A1AFCB" w14:textId="77777777" w:rsidR="00EF69E0" w:rsidRDefault="00EF69E0" w:rsidP="00C2384D">
      <w:pPr>
        <w:pStyle w:val="Main"/>
        <w:rPr>
          <w:sz w:val="24"/>
          <w:szCs w:val="52"/>
        </w:rPr>
      </w:pPr>
    </w:p>
    <w:p w14:paraId="6F707B83" w14:textId="77777777" w:rsidR="00EF69E0" w:rsidRDefault="00EF69E0" w:rsidP="00C2384D">
      <w:pPr>
        <w:pStyle w:val="Main"/>
        <w:rPr>
          <w:sz w:val="24"/>
          <w:szCs w:val="52"/>
        </w:rPr>
      </w:pPr>
    </w:p>
    <w:p w14:paraId="2D8BF6FD" w14:textId="75E1B883" w:rsidR="00C2384D" w:rsidRDefault="00C2384D" w:rsidP="00C2384D">
      <w:pPr>
        <w:pStyle w:val="Main"/>
        <w:rPr>
          <w:sz w:val="24"/>
          <w:szCs w:val="52"/>
        </w:rPr>
      </w:pPr>
      <w:r w:rsidRPr="000F411B">
        <w:rPr>
          <w:sz w:val="24"/>
          <w:szCs w:val="52"/>
        </w:rPr>
        <w:t xml:space="preserve">(End of Appendix </w:t>
      </w:r>
      <w:r>
        <w:rPr>
          <w:sz w:val="24"/>
          <w:szCs w:val="52"/>
        </w:rPr>
        <w:t>B</w:t>
      </w:r>
      <w:r w:rsidRPr="000F411B">
        <w:rPr>
          <w:sz w:val="24"/>
          <w:szCs w:val="52"/>
        </w:rPr>
        <w:t>)</w:t>
      </w:r>
    </w:p>
    <w:p w14:paraId="1476D311" w14:textId="59738C0B" w:rsidR="00C2384D" w:rsidRDefault="00C2384D" w:rsidP="007C78CD"/>
    <w:p w14:paraId="40D05AF0" w14:textId="77777777" w:rsidR="00796D10" w:rsidRPr="00C2384D" w:rsidRDefault="00796D10" w:rsidP="007C78CD"/>
    <w:sectPr w:rsidR="00796D10" w:rsidRPr="00C2384D" w:rsidSect="00D44DB6">
      <w:headerReference w:type="default" r:id="rId25"/>
      <w:footerReference w:type="default" r:id="rId26"/>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0101" w14:textId="77777777" w:rsidR="004E4106" w:rsidRDefault="004E4106" w:rsidP="0098138E">
      <w:pPr>
        <w:spacing w:line="240" w:lineRule="auto"/>
      </w:pPr>
      <w:r>
        <w:separator/>
      </w:r>
    </w:p>
  </w:endnote>
  <w:endnote w:type="continuationSeparator" w:id="0">
    <w:p w14:paraId="7BD3C601" w14:textId="77777777" w:rsidR="004E4106" w:rsidRDefault="004E4106" w:rsidP="0098138E">
      <w:pPr>
        <w:spacing w:line="240" w:lineRule="auto"/>
      </w:pPr>
      <w:r>
        <w:continuationSeparator/>
      </w:r>
    </w:p>
  </w:endnote>
  <w:endnote w:type="continuationNotice" w:id="1">
    <w:p w14:paraId="2DBA1F2B" w14:textId="77777777" w:rsidR="004E4106" w:rsidRDefault="004E41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20CB" w14:textId="77777777" w:rsidR="002A06A3" w:rsidRDefault="002A0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82F74" w14:textId="77777777" w:rsidR="002A06A3" w:rsidRDefault="002A0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A9DD" w14:textId="33D582FC" w:rsidR="004D271A" w:rsidRDefault="002A06A3" w:rsidP="00BA7BBC">
    <w:pPr>
      <w:pStyle w:val="Footer"/>
      <w:ind w:firstLine="0"/>
      <w:rPr>
        <w:noProof/>
      </w:rPr>
    </w:pPr>
    <w:r>
      <w:rPr>
        <w:rFonts w:ascii="Tahoma" w:hAnsi="Tahoma" w:cs="Tahoma"/>
        <w:sz w:val="17"/>
        <w:szCs w:val="17"/>
      </w:rPr>
      <w:t>325471063</w:t>
    </w:r>
    <w:r w:rsidR="004D271A">
      <w:tab/>
    </w:r>
    <w:r w:rsidR="004D271A">
      <w:noBreakHyphen/>
      <w:t xml:space="preserve"> </w:t>
    </w:r>
    <w:sdt>
      <w:sdtPr>
        <w:id w:val="382688180"/>
        <w:docPartObj>
          <w:docPartGallery w:val="Page Numbers (Bottom of Page)"/>
          <w:docPartUnique/>
        </w:docPartObj>
      </w:sdtPr>
      <w:sdtEndPr>
        <w:rPr>
          <w:noProof/>
        </w:rPr>
      </w:sdtEndPr>
      <w:sdtContent>
        <w:r w:rsidR="004D271A">
          <w:fldChar w:fldCharType="begin"/>
        </w:r>
        <w:r w:rsidR="004D271A">
          <w:instrText xml:space="preserve"> PAGE   \* MERGEFORMAT </w:instrText>
        </w:r>
        <w:r w:rsidR="004D271A">
          <w:fldChar w:fldCharType="separate"/>
        </w:r>
        <w:r w:rsidR="002F6A7F">
          <w:rPr>
            <w:noProof/>
          </w:rPr>
          <w:t>1</w:t>
        </w:r>
        <w:r w:rsidR="004D271A">
          <w:rPr>
            <w:noProof/>
          </w:rPr>
          <w:fldChar w:fldCharType="end"/>
        </w:r>
        <w:r w:rsidR="004D271A">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937F" w14:textId="1BE18A85" w:rsidR="004D271A" w:rsidRDefault="004D271A" w:rsidP="00F04A7F">
    <w:pPr>
      <w:tabs>
        <w:tab w:val="right" w:pos="4320"/>
      </w:tabs>
      <w:ind w:firstLine="0"/>
      <w:jc w:val="center"/>
    </w:pPr>
    <w:r>
      <w:noBreakHyphen/>
      <w:t xml:space="preserve"> </w:t>
    </w:r>
    <w:sdt>
      <w:sdtPr>
        <w:id w:val="-18701301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6A7F">
          <w:rPr>
            <w:noProof/>
          </w:rPr>
          <w:t>i</w:t>
        </w:r>
        <w:r>
          <w:rPr>
            <w:noProof/>
          </w:rPr>
          <w:fldChar w:fldCharType="end"/>
        </w:r>
        <w:r>
          <w:rPr>
            <w:noProof/>
          </w:rPr>
          <w:t xml:space="preserve"> </w:t>
        </w:r>
        <w:r>
          <w:rPr>
            <w:noProof/>
          </w:rPr>
          <w:noBreakHyphen/>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85B31" w14:textId="32BD7AD9" w:rsidR="004D271A" w:rsidRPr="00685DBD" w:rsidRDefault="004D271A" w:rsidP="007C78CD">
    <w:pPr>
      <w:tabs>
        <w:tab w:val="left" w:pos="3761"/>
      </w:tabs>
      <w:ind w:firstLine="0"/>
      <w:jc w:val="center"/>
      <w:rPr>
        <w:szCs w:val="26"/>
      </w:rPr>
    </w:pPr>
    <w:r>
      <w:rPr>
        <w:szCs w:val="26"/>
      </w:rPr>
      <w:noBreakHyphen/>
    </w:r>
    <w:r w:rsidRPr="0093254B">
      <w:rPr>
        <w:szCs w:val="26"/>
      </w:rPr>
      <w:t xml:space="preserve"> </w:t>
    </w:r>
    <w:sdt>
      <w:sdtPr>
        <w:rPr>
          <w:szCs w:val="26"/>
        </w:rPr>
        <w:id w:val="-1876918898"/>
        <w:docPartObj>
          <w:docPartGallery w:val="Page Numbers (Bottom of Page)"/>
          <w:docPartUnique/>
        </w:docPartObj>
      </w:sdtPr>
      <w:sdtEndPr>
        <w:rPr>
          <w:noProof/>
        </w:rPr>
      </w:sdtEndPr>
      <w:sdtContent>
        <w:r w:rsidRPr="00685DBD">
          <w:rPr>
            <w:szCs w:val="26"/>
          </w:rPr>
          <w:fldChar w:fldCharType="begin"/>
        </w:r>
        <w:r w:rsidRPr="00685DBD">
          <w:rPr>
            <w:szCs w:val="26"/>
          </w:rPr>
          <w:instrText xml:space="preserve"> PAGE   \* MERGEFORMAT </w:instrText>
        </w:r>
        <w:r w:rsidRPr="00685DBD">
          <w:rPr>
            <w:szCs w:val="26"/>
          </w:rPr>
          <w:fldChar w:fldCharType="separate"/>
        </w:r>
        <w:r w:rsidR="002F6A7F">
          <w:rPr>
            <w:noProof/>
            <w:szCs w:val="26"/>
          </w:rPr>
          <w:t>54</w:t>
        </w:r>
        <w:r w:rsidRPr="00685DBD">
          <w:rPr>
            <w:noProof/>
            <w:szCs w:val="26"/>
          </w:rPr>
          <w:fldChar w:fldCharType="end"/>
        </w:r>
        <w:r>
          <w:rPr>
            <w:noProof/>
            <w:szCs w:val="26"/>
          </w:rPr>
          <w:t xml:space="preserve"> </w:t>
        </w:r>
        <w:r>
          <w:rPr>
            <w:noProof/>
            <w:szCs w:val="26"/>
          </w:rPr>
          <w:noBreakHyphen/>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9F7D" w14:textId="3DB0BCB5" w:rsidR="004D271A" w:rsidRDefault="004D271A" w:rsidP="007C78CD">
    <w:pPr>
      <w:pStyle w:val="Footer"/>
      <w:tabs>
        <w:tab w:val="clear" w:pos="4680"/>
      </w:tabs>
      <w:ind w:firstLine="0"/>
      <w:jc w:val="center"/>
    </w:pPr>
    <w:r>
      <w:noBreakHyphen/>
      <w:t xml:space="preserve"> </w:t>
    </w:r>
    <w:sdt>
      <w:sdtPr>
        <w:id w:val="-411617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6A7F">
          <w:rPr>
            <w:noProof/>
          </w:rPr>
          <w:t>80</w:t>
        </w:r>
        <w:r>
          <w:rPr>
            <w:noProof/>
          </w:rPr>
          <w:fldChar w:fldCharType="end"/>
        </w:r>
        <w:r>
          <w:t xml:space="preserve"> </w:t>
        </w:r>
        <w:r>
          <w:noBreakHyphen/>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5163" w14:textId="3176B691" w:rsidR="004D271A" w:rsidRDefault="004D271A" w:rsidP="007E0FEE">
    <w:pPr>
      <w:ind w:firstLine="0"/>
      <w:jc w:val="center"/>
    </w:pPr>
    <w:r>
      <w:noBreakHyphen/>
      <w:t xml:space="preserve"> A</w:t>
    </w:r>
    <w:r>
      <w:noBreakHyphen/>
    </w:r>
    <w:sdt>
      <w:sdtPr>
        <w:id w:val="19351648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6A7F">
          <w:rPr>
            <w:noProof/>
          </w:rPr>
          <w:t>1</w:t>
        </w:r>
        <w:r>
          <w:rPr>
            <w:noProof/>
          </w:rPr>
          <w:fldChar w:fldCharType="end"/>
        </w:r>
        <w:r>
          <w:rPr>
            <w:noProof/>
          </w:rPr>
          <w:t xml:space="preserve"> </w:t>
        </w:r>
        <w:r>
          <w:rPr>
            <w:noProof/>
          </w:rPr>
          <w:noBreakHyphen/>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83DF" w14:textId="7EEBA1DD" w:rsidR="004D271A" w:rsidRDefault="004D271A" w:rsidP="007C78CD">
    <w:pPr>
      <w:ind w:firstLine="0"/>
      <w:jc w:val="center"/>
    </w:pPr>
    <w:r>
      <w:noBreakHyphen/>
      <w:t xml:space="preserve"> B</w:t>
    </w:r>
    <w:r>
      <w:noBreakHyphen/>
    </w:r>
    <w:sdt>
      <w:sdtPr>
        <w:id w:val="1860547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6A7F">
          <w:rPr>
            <w:noProof/>
          </w:rPr>
          <w:t>1</w:t>
        </w:r>
        <w:r>
          <w:rPr>
            <w:noProof/>
          </w:rPr>
          <w:fldChar w:fldCharType="end"/>
        </w:r>
        <w:r>
          <w:rPr>
            <w:noProof/>
          </w:rPr>
          <w:t xml:space="preserve"> </w:t>
        </w:r>
        <w:r>
          <w:rPr>
            <w:noProof/>
          </w:rPr>
          <w:noBreakHyphen/>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19907" w14:textId="77777777" w:rsidR="004E4106" w:rsidRDefault="004E4106" w:rsidP="00DF58E7">
      <w:pPr>
        <w:spacing w:line="240" w:lineRule="auto"/>
        <w:ind w:firstLine="0"/>
      </w:pPr>
      <w:r>
        <w:separator/>
      </w:r>
    </w:p>
  </w:footnote>
  <w:footnote w:type="continuationSeparator" w:id="0">
    <w:p w14:paraId="454D94CD" w14:textId="77777777" w:rsidR="004E4106" w:rsidRDefault="004E4106" w:rsidP="00DF58E7">
      <w:pPr>
        <w:spacing w:line="240" w:lineRule="auto"/>
        <w:ind w:firstLine="0"/>
      </w:pPr>
      <w:r>
        <w:continuationSeparator/>
      </w:r>
    </w:p>
  </w:footnote>
  <w:footnote w:type="continuationNotice" w:id="1">
    <w:p w14:paraId="0C533D6C" w14:textId="77777777" w:rsidR="004E4106" w:rsidRPr="00F65BBB" w:rsidRDefault="004E4106" w:rsidP="00DF58E7">
      <w:pPr>
        <w:spacing w:line="240" w:lineRule="auto"/>
        <w:ind w:firstLine="0"/>
        <w:jc w:val="right"/>
        <w:rPr>
          <w:i/>
          <w:sz w:val="20"/>
          <w:szCs w:val="20"/>
        </w:rPr>
      </w:pPr>
      <w:r w:rsidRPr="00F65BBB">
        <w:rPr>
          <w:i/>
          <w:sz w:val="20"/>
          <w:szCs w:val="20"/>
        </w:rPr>
        <w:t>Footnote continued on next page</w:t>
      </w:r>
    </w:p>
  </w:footnote>
  <w:footnote w:id="2">
    <w:p w14:paraId="3DF12B5F" w14:textId="08D4CA52" w:rsidR="004D271A" w:rsidRDefault="004D271A" w:rsidP="00312008">
      <w:pPr>
        <w:pStyle w:val="FootnoteText"/>
      </w:pPr>
      <w:r>
        <w:rPr>
          <w:rStyle w:val="FootnoteReference"/>
        </w:rPr>
        <w:footnoteRef/>
      </w:r>
      <w:r>
        <w:t xml:space="preserve"> The large energy utilities required to follow this schedule are </w:t>
      </w:r>
      <w:bookmarkStart w:id="6" w:name="_Hlk23854866"/>
      <w:r>
        <w:t>Pacific Gas and Electric Company</w:t>
      </w:r>
      <w:bookmarkEnd w:id="6"/>
      <w:r>
        <w:t>, Southern California Edison Company, Southern California Gas Company and San Diego Gas &amp; Electric Company.  The smaller energy utilities subject to the Commission’s jurisdiction are not required to follow the Rate Case Plan in every detail (</w:t>
      </w:r>
      <w:r w:rsidRPr="009B20DB">
        <w:t>Bear Valley Electric Service, Liberty Utilities, PacifiCorp doing business as Pacific Power, and Southwest Gas Corporation</w:t>
      </w:r>
      <w:r>
        <w:t>)</w:t>
      </w:r>
      <w:r w:rsidRPr="009B20DB">
        <w:t>.</w:t>
      </w:r>
    </w:p>
  </w:footnote>
  <w:footnote w:id="3">
    <w:p w14:paraId="6819BDF7" w14:textId="05DA6090" w:rsidR="004D271A" w:rsidRDefault="004D271A">
      <w:pPr>
        <w:pStyle w:val="FootnoteText"/>
      </w:pPr>
      <w:r>
        <w:rPr>
          <w:rStyle w:val="FootnoteReference"/>
        </w:rPr>
        <w:footnoteRef/>
      </w:r>
      <w:r>
        <w:t xml:space="preserve"> For natural gas utilities, the allocation issues are addressed in subsequent cost allocation proceedings, rather than a second phase of their GRC. </w:t>
      </w:r>
    </w:p>
  </w:footnote>
  <w:footnote w:id="4">
    <w:p w14:paraId="3E99A07F" w14:textId="649B0BD0" w:rsidR="004D271A" w:rsidRDefault="004D271A">
      <w:pPr>
        <w:pStyle w:val="FootnoteText"/>
      </w:pPr>
      <w:r>
        <w:rPr>
          <w:rStyle w:val="FootnoteReference"/>
        </w:rPr>
        <w:footnoteRef/>
      </w:r>
      <w:r>
        <w:t xml:space="preserve"> </w:t>
      </w:r>
      <w:r w:rsidRPr="00421560">
        <w:rPr>
          <w:iCs/>
          <w:szCs w:val="24"/>
        </w:rPr>
        <w:t xml:space="preserve">Rulemaking </w:t>
      </w:r>
      <w:r>
        <w:rPr>
          <w:iCs/>
          <w:szCs w:val="24"/>
        </w:rPr>
        <w:t xml:space="preserve">(R.) </w:t>
      </w:r>
      <w:r w:rsidRPr="00421560">
        <w:rPr>
          <w:iCs/>
          <w:szCs w:val="24"/>
        </w:rPr>
        <w:t>13</w:t>
      </w:r>
      <w:r>
        <w:rPr>
          <w:iCs/>
          <w:szCs w:val="24"/>
        </w:rPr>
        <w:noBreakHyphen/>
      </w:r>
      <w:r w:rsidRPr="00421560">
        <w:rPr>
          <w:iCs/>
          <w:szCs w:val="24"/>
        </w:rPr>
        <w:t>11</w:t>
      </w:r>
      <w:r>
        <w:rPr>
          <w:iCs/>
          <w:szCs w:val="24"/>
        </w:rPr>
        <w:noBreakHyphen/>
      </w:r>
      <w:r w:rsidRPr="00421560">
        <w:rPr>
          <w:iCs/>
          <w:szCs w:val="24"/>
        </w:rPr>
        <w:t xml:space="preserve">006 at </w:t>
      </w:r>
      <w:r>
        <w:rPr>
          <w:iCs/>
          <w:szCs w:val="24"/>
        </w:rPr>
        <w:t>1</w:t>
      </w:r>
      <w:r w:rsidRPr="00421560">
        <w:rPr>
          <w:iCs/>
          <w:szCs w:val="24"/>
        </w:rPr>
        <w:t>.</w:t>
      </w:r>
    </w:p>
  </w:footnote>
  <w:footnote w:id="5">
    <w:p w14:paraId="26AEF3F7" w14:textId="77777777" w:rsidR="004D271A" w:rsidRPr="008756FC" w:rsidRDefault="004D271A" w:rsidP="00B702ED">
      <w:pPr>
        <w:pStyle w:val="FootnoteText"/>
        <w:rPr>
          <w:szCs w:val="24"/>
        </w:rPr>
      </w:pPr>
      <w:r w:rsidRPr="008756FC">
        <w:rPr>
          <w:rStyle w:val="FootnoteReference"/>
          <w:szCs w:val="24"/>
        </w:rPr>
        <w:footnoteRef/>
      </w:r>
      <w:r w:rsidRPr="008756FC">
        <w:rPr>
          <w:szCs w:val="24"/>
        </w:rPr>
        <w:t xml:space="preserve"> </w:t>
      </w:r>
      <w:r w:rsidRPr="00DE78F6">
        <w:rPr>
          <w:i/>
          <w:iCs/>
          <w:szCs w:val="24"/>
        </w:rPr>
        <w:t>Id.</w:t>
      </w:r>
      <w:r w:rsidRPr="008756FC">
        <w:rPr>
          <w:szCs w:val="24"/>
        </w:rPr>
        <w:t xml:space="preserve">, </w:t>
      </w:r>
      <w:r w:rsidRPr="00421560">
        <w:rPr>
          <w:iCs/>
          <w:szCs w:val="24"/>
        </w:rPr>
        <w:t>at 6.</w:t>
      </w:r>
    </w:p>
  </w:footnote>
  <w:footnote w:id="6">
    <w:p w14:paraId="20D21DAE" w14:textId="7E7A21F5" w:rsidR="004D271A" w:rsidRDefault="004D271A">
      <w:pPr>
        <w:pStyle w:val="FootnoteText"/>
      </w:pPr>
      <w:r>
        <w:rPr>
          <w:rStyle w:val="FootnoteReference"/>
        </w:rPr>
        <w:footnoteRef/>
      </w:r>
      <w:r>
        <w:t xml:space="preserve"> </w:t>
      </w:r>
      <w:r w:rsidRPr="008756FC">
        <w:rPr>
          <w:szCs w:val="24"/>
        </w:rPr>
        <w:t>D.14</w:t>
      </w:r>
      <w:r>
        <w:rPr>
          <w:szCs w:val="24"/>
        </w:rPr>
        <w:noBreakHyphen/>
      </w:r>
      <w:r w:rsidRPr="008756FC">
        <w:rPr>
          <w:szCs w:val="24"/>
        </w:rPr>
        <w:t>12</w:t>
      </w:r>
      <w:r>
        <w:rPr>
          <w:szCs w:val="24"/>
        </w:rPr>
        <w:noBreakHyphen/>
      </w:r>
      <w:r w:rsidRPr="008756FC">
        <w:rPr>
          <w:szCs w:val="24"/>
        </w:rPr>
        <w:t>025, Ordering Paragraph 1.</w:t>
      </w:r>
    </w:p>
  </w:footnote>
  <w:footnote w:id="7">
    <w:p w14:paraId="37C9529C" w14:textId="77777777" w:rsidR="004D271A" w:rsidRPr="008756FC" w:rsidRDefault="004D271A" w:rsidP="00DE78F6">
      <w:pPr>
        <w:pStyle w:val="FootnoteText"/>
        <w:rPr>
          <w:szCs w:val="24"/>
        </w:rPr>
      </w:pPr>
      <w:r w:rsidRPr="008756FC">
        <w:rPr>
          <w:rStyle w:val="FootnoteReference"/>
          <w:szCs w:val="24"/>
        </w:rPr>
        <w:footnoteRef/>
      </w:r>
      <w:r w:rsidRPr="008756FC">
        <w:rPr>
          <w:szCs w:val="24"/>
        </w:rPr>
        <w:t xml:space="preserve"> </w:t>
      </w:r>
      <w:r w:rsidRPr="00DE78F6">
        <w:rPr>
          <w:i/>
          <w:iCs/>
          <w:szCs w:val="24"/>
        </w:rPr>
        <w:t>Id.</w:t>
      </w:r>
      <w:r w:rsidRPr="008756FC">
        <w:rPr>
          <w:szCs w:val="24"/>
        </w:rPr>
        <w:t xml:space="preserve">, Ordering Paragraph </w:t>
      </w:r>
      <w:r>
        <w:rPr>
          <w:szCs w:val="24"/>
        </w:rPr>
        <w:t>2</w:t>
      </w:r>
      <w:r w:rsidRPr="008756FC">
        <w:rPr>
          <w:szCs w:val="24"/>
        </w:rPr>
        <w:t>.</w:t>
      </w:r>
    </w:p>
  </w:footnote>
  <w:footnote w:id="8">
    <w:p w14:paraId="4172FF91" w14:textId="59512219" w:rsidR="004D271A" w:rsidRDefault="004D271A">
      <w:pPr>
        <w:pStyle w:val="FootnoteText"/>
      </w:pPr>
      <w:r>
        <w:rPr>
          <w:rStyle w:val="FootnoteReference"/>
        </w:rPr>
        <w:footnoteRef/>
      </w:r>
      <w:r>
        <w:t xml:space="preserve"> </w:t>
      </w:r>
      <w:r w:rsidRPr="000F5418">
        <w:rPr>
          <w:i/>
          <w:iCs/>
        </w:rPr>
        <w:t>Id.</w:t>
      </w:r>
      <w:r>
        <w:t>, at 40:  “</w:t>
      </w:r>
      <w:r w:rsidRPr="00C263B1">
        <w:t>On the three</w:t>
      </w:r>
      <w:r>
        <w:noBreakHyphen/>
      </w:r>
      <w:r w:rsidRPr="00C263B1">
        <w:t>or four</w:t>
      </w:r>
      <w:r>
        <w:noBreakHyphen/>
      </w:r>
      <w:r w:rsidRPr="00C263B1">
        <w:t>year GRC cycle, we will retain the three</w:t>
      </w:r>
      <w:r>
        <w:noBreakHyphen/>
      </w:r>
      <w:r w:rsidRPr="00C263B1">
        <w:t>year cycle.  The three year cycle will minimize overlapping GRCs so long as the RCP schedule is followed.  We recognize, however, that there are oftentimes other circumstances or events that interfere with the timely proceeding of GRCs.  The assigned Commissioner and ALJ shall have the discretion to alter the schedule as may be needed.  Should the S</w:t>
      </w:r>
      <w:r>
        <w:noBreakHyphen/>
      </w:r>
      <w:r w:rsidRPr="00C263B1">
        <w:t>MAP, RAMP, and GRC processes pose scheduling conflicts, we may need to revisit the need for a four</w:t>
      </w:r>
      <w:r>
        <w:noBreakHyphen/>
      </w:r>
      <w:r w:rsidRPr="00C263B1">
        <w:t>year rate cycle.</w:t>
      </w:r>
      <w:r>
        <w:t>”</w:t>
      </w:r>
    </w:p>
  </w:footnote>
  <w:footnote w:id="9">
    <w:p w14:paraId="73C32FCB" w14:textId="75D8B7C6" w:rsidR="004D271A" w:rsidRPr="008756FC" w:rsidRDefault="004D271A" w:rsidP="00B702ED">
      <w:pPr>
        <w:pStyle w:val="FootnoteText"/>
        <w:rPr>
          <w:szCs w:val="24"/>
        </w:rPr>
      </w:pPr>
      <w:r w:rsidRPr="008756FC">
        <w:rPr>
          <w:rStyle w:val="FootnoteReference"/>
          <w:szCs w:val="24"/>
        </w:rPr>
        <w:footnoteRef/>
      </w:r>
      <w:r w:rsidRPr="008756FC">
        <w:rPr>
          <w:szCs w:val="24"/>
        </w:rPr>
        <w:t xml:space="preserve"> Joint Petition of </w:t>
      </w:r>
      <w:r>
        <w:rPr>
          <w:szCs w:val="24"/>
        </w:rPr>
        <w:t>SDG&amp;E</w:t>
      </w:r>
      <w:r w:rsidRPr="008756FC">
        <w:rPr>
          <w:szCs w:val="24"/>
        </w:rPr>
        <w:t xml:space="preserve">, </w:t>
      </w:r>
      <w:r>
        <w:rPr>
          <w:szCs w:val="24"/>
        </w:rPr>
        <w:t>SoCalGas</w:t>
      </w:r>
      <w:r w:rsidRPr="008756FC">
        <w:rPr>
          <w:szCs w:val="24"/>
        </w:rPr>
        <w:t xml:space="preserve"> and Office of Ratepayer Advocates</w:t>
      </w:r>
      <w:r>
        <w:rPr>
          <w:szCs w:val="24"/>
        </w:rPr>
        <w:t xml:space="preserve"> (</w:t>
      </w:r>
      <w:r w:rsidRPr="00D6521A">
        <w:t>Public Advocates Office</w:t>
      </w:r>
      <w:r>
        <w:rPr>
          <w:szCs w:val="24"/>
        </w:rPr>
        <w:t xml:space="preserve">) </w:t>
      </w:r>
      <w:r w:rsidRPr="008756FC">
        <w:rPr>
          <w:szCs w:val="24"/>
        </w:rPr>
        <w:t>for Modification of General Rate Case Cycle Length in Decision</w:t>
      </w:r>
      <w:r>
        <w:rPr>
          <w:szCs w:val="24"/>
        </w:rPr>
        <w:t xml:space="preserve"> </w:t>
      </w:r>
      <w:r w:rsidRPr="008756FC">
        <w:rPr>
          <w:szCs w:val="24"/>
        </w:rPr>
        <w:t>14</w:t>
      </w:r>
      <w:r>
        <w:rPr>
          <w:szCs w:val="24"/>
        </w:rPr>
        <w:noBreakHyphen/>
      </w:r>
      <w:r w:rsidRPr="008756FC">
        <w:rPr>
          <w:szCs w:val="24"/>
        </w:rPr>
        <w:t>12</w:t>
      </w:r>
      <w:r>
        <w:rPr>
          <w:szCs w:val="24"/>
        </w:rPr>
        <w:noBreakHyphen/>
      </w:r>
      <w:r w:rsidRPr="008756FC">
        <w:rPr>
          <w:szCs w:val="24"/>
        </w:rPr>
        <w:t>025, at 7.</w:t>
      </w:r>
    </w:p>
  </w:footnote>
  <w:footnote w:id="10">
    <w:p w14:paraId="220D81F3" w14:textId="5FD71986" w:rsidR="004D271A" w:rsidRPr="008756FC" w:rsidRDefault="004D271A" w:rsidP="00B702ED">
      <w:pPr>
        <w:pStyle w:val="FootnoteText"/>
        <w:rPr>
          <w:szCs w:val="24"/>
        </w:rPr>
      </w:pPr>
      <w:r w:rsidRPr="008756FC">
        <w:rPr>
          <w:rStyle w:val="FootnoteReference"/>
          <w:szCs w:val="24"/>
        </w:rPr>
        <w:footnoteRef/>
      </w:r>
      <w:r w:rsidRPr="008756FC">
        <w:rPr>
          <w:szCs w:val="24"/>
        </w:rPr>
        <w:t xml:space="preserve"> </w:t>
      </w:r>
      <w:bookmarkStart w:id="12" w:name="_Hlk19111845"/>
      <w:r w:rsidRPr="008756FC">
        <w:rPr>
          <w:szCs w:val="24"/>
        </w:rPr>
        <w:t>D.16</w:t>
      </w:r>
      <w:r>
        <w:rPr>
          <w:szCs w:val="24"/>
        </w:rPr>
        <w:noBreakHyphen/>
      </w:r>
      <w:r w:rsidRPr="008756FC">
        <w:rPr>
          <w:szCs w:val="24"/>
        </w:rPr>
        <w:t>06</w:t>
      </w:r>
      <w:r>
        <w:rPr>
          <w:szCs w:val="24"/>
        </w:rPr>
        <w:noBreakHyphen/>
      </w:r>
      <w:r w:rsidRPr="008756FC">
        <w:rPr>
          <w:szCs w:val="24"/>
        </w:rPr>
        <w:t>005 at 6.</w:t>
      </w:r>
      <w:bookmarkEnd w:id="12"/>
    </w:p>
  </w:footnote>
  <w:footnote w:id="11">
    <w:p w14:paraId="7B3EFCD9" w14:textId="77777777" w:rsidR="004D271A" w:rsidRDefault="004D271A" w:rsidP="00B702ED">
      <w:pPr>
        <w:pStyle w:val="FootnoteText"/>
      </w:pPr>
      <w:r>
        <w:rPr>
          <w:rStyle w:val="FootnoteReference"/>
        </w:rPr>
        <w:footnoteRef/>
      </w:r>
      <w:r>
        <w:t xml:space="preserve"> </w:t>
      </w:r>
      <w:r w:rsidRPr="0018375D">
        <w:rPr>
          <w:i/>
          <w:iCs/>
        </w:rPr>
        <w:t>Id.</w:t>
      </w:r>
      <w:r>
        <w:t>, Ordering Paragraph 2.</w:t>
      </w:r>
    </w:p>
  </w:footnote>
  <w:footnote w:id="12">
    <w:p w14:paraId="3A770C2A" w14:textId="77777777" w:rsidR="004D271A" w:rsidRDefault="004D271A" w:rsidP="00B702ED">
      <w:pPr>
        <w:pStyle w:val="FootnoteText"/>
      </w:pPr>
      <w:r>
        <w:rPr>
          <w:rStyle w:val="FootnoteReference"/>
        </w:rPr>
        <w:footnoteRef/>
      </w:r>
      <w:r>
        <w:t xml:space="preserve"> </w:t>
      </w:r>
      <w:r w:rsidRPr="0018375D">
        <w:rPr>
          <w:i/>
          <w:iCs/>
        </w:rPr>
        <w:t>Id.</w:t>
      </w:r>
      <w:r>
        <w:t>, Ordering Paragraph 3.</w:t>
      </w:r>
    </w:p>
  </w:footnote>
  <w:footnote w:id="13">
    <w:p w14:paraId="041A8080" w14:textId="77777777" w:rsidR="004D271A" w:rsidRPr="008756FC" w:rsidRDefault="004D271A" w:rsidP="00AD565E">
      <w:pPr>
        <w:pStyle w:val="FootnoteText"/>
        <w:rPr>
          <w:szCs w:val="24"/>
        </w:rPr>
      </w:pPr>
      <w:r w:rsidRPr="008756FC">
        <w:rPr>
          <w:rStyle w:val="FootnoteReference"/>
          <w:szCs w:val="24"/>
        </w:rPr>
        <w:footnoteRef/>
      </w:r>
      <w:r w:rsidRPr="008756FC">
        <w:rPr>
          <w:szCs w:val="24"/>
        </w:rPr>
        <w:t xml:space="preserve"> </w:t>
      </w:r>
      <w:r>
        <w:rPr>
          <w:szCs w:val="24"/>
        </w:rPr>
        <w:t>In 2018 t</w:t>
      </w:r>
      <w:r w:rsidRPr="00D6521A">
        <w:rPr>
          <w:szCs w:val="24"/>
        </w:rPr>
        <w:t xml:space="preserve">he Office of Ratepayer Advocates </w:t>
      </w:r>
      <w:r>
        <w:rPr>
          <w:szCs w:val="24"/>
        </w:rPr>
        <w:t xml:space="preserve">(ORA) </w:t>
      </w:r>
      <w:r w:rsidRPr="008756FC">
        <w:rPr>
          <w:szCs w:val="24"/>
        </w:rPr>
        <w:t>was renamed the Public Advocates Office of the Public Utilities Commission pursuant to Senate Bill 854</w:t>
      </w:r>
      <w:r>
        <w:rPr>
          <w:szCs w:val="24"/>
        </w:rPr>
        <w:t xml:space="preserve"> (Stats. 2018, ch. 51)</w:t>
      </w:r>
      <w:r w:rsidRPr="008756FC">
        <w:rPr>
          <w:szCs w:val="24"/>
        </w:rPr>
        <w:t xml:space="preserve">.  </w:t>
      </w:r>
      <w:r>
        <w:rPr>
          <w:szCs w:val="24"/>
        </w:rPr>
        <w:t xml:space="preserve">Although all the pleadings in this proceeding were submitted under the name of ORA, this decision updates those references to </w:t>
      </w:r>
      <w:r w:rsidRPr="00D6521A">
        <w:rPr>
          <w:szCs w:val="24"/>
        </w:rPr>
        <w:t>the Public Advocates Office</w:t>
      </w:r>
      <w:r>
        <w:rPr>
          <w:szCs w:val="24"/>
        </w:rPr>
        <w:t xml:space="preserve"> in order to avoid confusing readers.</w:t>
      </w:r>
    </w:p>
  </w:footnote>
  <w:footnote w:id="14">
    <w:p w14:paraId="231D4C8C" w14:textId="7EDE8A9D" w:rsidR="004D271A" w:rsidRDefault="004D271A">
      <w:pPr>
        <w:pStyle w:val="FootnoteText"/>
      </w:pPr>
      <w:r>
        <w:rPr>
          <w:rStyle w:val="FootnoteReference"/>
        </w:rPr>
        <w:footnoteRef/>
      </w:r>
      <w:r>
        <w:t xml:space="preserve"> The term “attrition” is used in reference to possible effects on utility earnings in the years between rate cases.  Hypothetically, if the Commission required that the test year revenue requirement remained unchanged until the next rate case, the utility’s earnings in the post</w:t>
      </w:r>
      <w:r>
        <w:noBreakHyphen/>
        <w:t xml:space="preserve">test years would be affected in two ways.  If the utility incurred higher costs, its earnings would decrease:  earnings “attrition” would occur.  Conversely, if the utility incurred lower costs, the utility could retain more revenue for its earnings than it forecast:  earnings “accretion” would occur.  </w:t>
      </w:r>
      <w:r w:rsidRPr="00D55E3D">
        <w:rPr>
          <w:i/>
          <w:iCs/>
        </w:rPr>
        <w:t>See</w:t>
      </w:r>
      <w:r>
        <w:t>, Costello, Ken, “</w:t>
      </w:r>
      <w:r w:rsidRPr="00D55E3D">
        <w:t xml:space="preserve">Future Test Years: </w:t>
      </w:r>
      <w:r>
        <w:t xml:space="preserve"> </w:t>
      </w:r>
      <w:r w:rsidRPr="00D55E3D">
        <w:t>Challenges Posed for State Utility Commissions</w:t>
      </w:r>
      <w:r>
        <w:t xml:space="preserve">,” </w:t>
      </w:r>
      <w:r w:rsidRPr="00D55E3D">
        <w:t>National Regulatory Research Institute</w:t>
      </w:r>
      <w:r>
        <w:t xml:space="preserve"> Briefing Paper, </w:t>
      </w:r>
      <w:r w:rsidRPr="00D55E3D">
        <w:t>Report No. 13–08</w:t>
      </w:r>
      <w:r>
        <w:t>, July 2013, at 2</w:t>
      </w:r>
      <w:r>
        <w:noBreakHyphen/>
        <w:t>3 and 7.</w:t>
      </w:r>
    </w:p>
  </w:footnote>
  <w:footnote w:id="15">
    <w:p w14:paraId="3FD9E61D" w14:textId="77777777" w:rsidR="004D271A" w:rsidRDefault="004D271A" w:rsidP="00AF72E1">
      <w:pPr>
        <w:pStyle w:val="FootnoteText"/>
      </w:pPr>
      <w:r>
        <w:rPr>
          <w:rStyle w:val="FootnoteReference"/>
        </w:rPr>
        <w:footnoteRef/>
      </w:r>
      <w:r>
        <w:t xml:space="preserve"> As will be seen below, the utilities calculate the Summary of Earnings using a “Results of Operations” (RO) model; at times the two terms are used interchangeably.</w:t>
      </w:r>
    </w:p>
  </w:footnote>
  <w:footnote w:id="16">
    <w:p w14:paraId="7C670F60" w14:textId="4143A371" w:rsidR="004D271A" w:rsidRDefault="004D271A">
      <w:pPr>
        <w:pStyle w:val="FootnoteText"/>
      </w:pPr>
      <w:r w:rsidRPr="0092213A">
        <w:rPr>
          <w:rStyle w:val="FootnoteReference"/>
        </w:rPr>
        <w:footnoteRef/>
      </w:r>
      <w:r w:rsidRPr="0092213A">
        <w:t xml:space="preserve"> Edison Electric Institute, “Cost of Service Regulation in the Investor</w:t>
      </w:r>
      <w:r>
        <w:noBreakHyphen/>
      </w:r>
      <w:r w:rsidRPr="0092213A">
        <w:t>Owned Electric Utility Industry: A History of Adaptation,” prepared by Dr. Karl McDermott, at viii and 12.</w:t>
      </w:r>
    </w:p>
  </w:footnote>
  <w:footnote w:id="17">
    <w:p w14:paraId="18C5C778" w14:textId="77777777" w:rsidR="004D271A" w:rsidRDefault="004D271A">
      <w:pPr>
        <w:pStyle w:val="FootnoteText"/>
      </w:pPr>
      <w:r>
        <w:rPr>
          <w:rStyle w:val="FootnoteReference"/>
        </w:rPr>
        <w:footnoteRef/>
      </w:r>
      <w:r>
        <w:t xml:space="preserve"> </w:t>
      </w:r>
      <w:r w:rsidRPr="00536173">
        <w:rPr>
          <w:i/>
          <w:iCs/>
        </w:rPr>
        <w:t>Id.</w:t>
      </w:r>
      <w:r>
        <w:t xml:space="preserve"> at viii.</w:t>
      </w:r>
    </w:p>
  </w:footnote>
  <w:footnote w:id="18">
    <w:p w14:paraId="76820827" w14:textId="77777777" w:rsidR="004D271A" w:rsidRDefault="004D271A">
      <w:pPr>
        <w:pStyle w:val="FootnoteText"/>
      </w:pPr>
      <w:r>
        <w:rPr>
          <w:rStyle w:val="FootnoteReference"/>
        </w:rPr>
        <w:footnoteRef/>
      </w:r>
      <w:r>
        <w:t xml:space="preserve"> </w:t>
      </w:r>
      <w:r w:rsidRPr="006F0AC0">
        <w:rPr>
          <w:i/>
          <w:iCs/>
        </w:rPr>
        <w:t>I</w:t>
      </w:r>
      <w:r>
        <w:rPr>
          <w:i/>
          <w:iCs/>
        </w:rPr>
        <w:t>d.</w:t>
      </w:r>
      <w:r>
        <w:t xml:space="preserve"> at 6.</w:t>
      </w:r>
    </w:p>
  </w:footnote>
  <w:footnote w:id="19">
    <w:p w14:paraId="4D8BCB18" w14:textId="13F15658" w:rsidR="004D271A" w:rsidRDefault="004D271A">
      <w:pPr>
        <w:pStyle w:val="FootnoteText"/>
      </w:pPr>
      <w:r>
        <w:rPr>
          <w:rStyle w:val="FootnoteReference"/>
        </w:rPr>
        <w:footnoteRef/>
      </w:r>
      <w:r>
        <w:t xml:space="preserve"> </w:t>
      </w:r>
      <w:r w:rsidRPr="000F264B">
        <w:rPr>
          <w:i/>
          <w:iCs/>
        </w:rPr>
        <w:t>See</w:t>
      </w:r>
      <w:r>
        <w:t xml:space="preserve">, for example, Pub. Util. Code </w:t>
      </w:r>
      <w:r w:rsidR="00796D10">
        <w:t>§ </w:t>
      </w:r>
      <w:r>
        <w:t>8386.4(b)(1) which provides that t</w:t>
      </w:r>
      <w:r w:rsidRPr="0032557A">
        <w:t xml:space="preserve">he </w:t>
      </w:r>
      <w:r>
        <w:t>C</w:t>
      </w:r>
      <w:r w:rsidRPr="0032557A">
        <w:t xml:space="preserve">ommission shall consider whether the cost of implementing each </w:t>
      </w:r>
      <w:r>
        <w:t>utility’s wildfire mitigation</w:t>
      </w:r>
      <w:r w:rsidRPr="0032557A">
        <w:t xml:space="preserve"> plan is just and reasonable in </w:t>
      </w:r>
      <w:r>
        <w:t>that utility’s</w:t>
      </w:r>
      <w:r w:rsidRPr="0032557A">
        <w:t xml:space="preserve"> general rate case application.</w:t>
      </w:r>
    </w:p>
  </w:footnote>
  <w:footnote w:id="20">
    <w:p w14:paraId="757FBDE5" w14:textId="77777777" w:rsidR="004D271A" w:rsidRDefault="004D271A" w:rsidP="00114877">
      <w:pPr>
        <w:pStyle w:val="FootnoteText"/>
      </w:pPr>
      <w:r>
        <w:rPr>
          <w:rStyle w:val="FootnoteReference"/>
        </w:rPr>
        <w:footnoteRef/>
      </w:r>
      <w:r>
        <w:t xml:space="preserve"> </w:t>
      </w:r>
      <w:r w:rsidRPr="00EE3EA7">
        <w:rPr>
          <w:i/>
          <w:iCs/>
        </w:rPr>
        <w:t>Munn v. Illinois</w:t>
      </w:r>
      <w:r w:rsidRPr="00EE3EA7">
        <w:t>, 94 U.S. 113, 146 (1877).</w:t>
      </w:r>
    </w:p>
  </w:footnote>
  <w:footnote w:id="21">
    <w:p w14:paraId="40A4F29A" w14:textId="77777777" w:rsidR="004D271A" w:rsidRDefault="004D271A" w:rsidP="00114877">
      <w:pPr>
        <w:pStyle w:val="FootnoteText"/>
      </w:pPr>
      <w:r>
        <w:rPr>
          <w:rStyle w:val="FootnoteReference"/>
        </w:rPr>
        <w:footnoteRef/>
      </w:r>
      <w:r>
        <w:t xml:space="preserve"> </w:t>
      </w:r>
      <w:r w:rsidRPr="00EF05BE">
        <w:rPr>
          <w:i/>
          <w:iCs/>
        </w:rPr>
        <w:t>Federal Power Commission v. Hope Natural Gas Co</w:t>
      </w:r>
      <w:r w:rsidRPr="00EF05BE">
        <w:t>., 320 U.S. 591 (1944)</w:t>
      </w:r>
      <w:r>
        <w:t>, at 603.</w:t>
      </w:r>
    </w:p>
  </w:footnote>
  <w:footnote w:id="22">
    <w:p w14:paraId="12FBD3E4" w14:textId="0196695A" w:rsidR="004D271A" w:rsidRDefault="004D271A" w:rsidP="00114877">
      <w:pPr>
        <w:pStyle w:val="FootnoteText"/>
      </w:pPr>
      <w:r>
        <w:rPr>
          <w:rStyle w:val="FootnoteReference"/>
        </w:rPr>
        <w:footnoteRef/>
      </w:r>
      <w:r>
        <w:t xml:space="preserve"> </w:t>
      </w:r>
      <w:r w:rsidRPr="00130AF8">
        <w:t>Resolution A</w:t>
      </w:r>
      <w:r>
        <w:noBreakHyphen/>
      </w:r>
      <w:r w:rsidRPr="00130AF8">
        <w:t xml:space="preserve">4693, </w:t>
      </w:r>
      <w:r>
        <w:t>J</w:t>
      </w:r>
      <w:r w:rsidRPr="00130AF8">
        <w:t>uly 6</w:t>
      </w:r>
      <w:r>
        <w:t>,</w:t>
      </w:r>
      <w:r w:rsidRPr="00130AF8">
        <w:t xml:space="preserve"> 1977</w:t>
      </w:r>
      <w:r>
        <w:t xml:space="preserve">. </w:t>
      </w:r>
      <w:r w:rsidRPr="000C173B">
        <w:t xml:space="preserve"> In 1982, the Commission revised the RLP and renamed it the “Rate Case Processing Plan</w:t>
      </w:r>
      <w:r>
        <w:t>”</w:t>
      </w:r>
      <w:r w:rsidRPr="000C173B">
        <w:t xml:space="preserve"> (RCPP).</w:t>
      </w:r>
      <w:r>
        <w:t xml:space="preserve">  </w:t>
      </w:r>
      <w:r w:rsidRPr="000C173B">
        <w:rPr>
          <w:i/>
          <w:iCs/>
        </w:rPr>
        <w:t>See</w:t>
      </w:r>
      <w:r>
        <w:t>, Resolution ALJ</w:t>
      </w:r>
      <w:r>
        <w:noBreakHyphen/>
        <w:t xml:space="preserve">149, October 20, 1982.  Perhaps reasoning that its handiwork can always be further improved, the Commission declared two months later that “the name of the RCPP is too lengthy and should be changed to Rate Case Plan (RCP).”  </w:t>
      </w:r>
      <w:r w:rsidRPr="00685DBD">
        <w:rPr>
          <w:i/>
          <w:iCs/>
        </w:rPr>
        <w:t>See</w:t>
      </w:r>
      <w:r>
        <w:t>, D.82</w:t>
      </w:r>
      <w:r>
        <w:noBreakHyphen/>
        <w:t>12</w:t>
      </w:r>
      <w:r>
        <w:noBreakHyphen/>
        <w:t>072 at 2.</w:t>
      </w:r>
    </w:p>
  </w:footnote>
  <w:footnote w:id="23">
    <w:p w14:paraId="61FC926A" w14:textId="43A2D724" w:rsidR="004D271A" w:rsidRDefault="004D271A" w:rsidP="00114877">
      <w:pPr>
        <w:pStyle w:val="FootnoteText"/>
      </w:pPr>
      <w:r>
        <w:rPr>
          <w:rStyle w:val="FootnoteReference"/>
        </w:rPr>
        <w:footnoteRef/>
      </w:r>
      <w:r>
        <w:t xml:space="preserve"> R.97</w:t>
      </w:r>
      <w:r>
        <w:noBreakHyphen/>
        <w:t>06</w:t>
      </w:r>
      <w:r>
        <w:noBreakHyphen/>
        <w:t xml:space="preserve">038, “Order Instituting Rulemaking on the Commission's Own Motion into the Establishment of a Rate Case Plan for Small Local Exchange Carriers” at 2.  Emphasis added.  </w:t>
      </w:r>
    </w:p>
    <w:p w14:paraId="3189DC61" w14:textId="36A1BF4B" w:rsidR="004D271A" w:rsidRDefault="004D271A" w:rsidP="00114877">
      <w:pPr>
        <w:pStyle w:val="FootnoteText"/>
      </w:pPr>
      <w:r>
        <w:t>We note that the economic literature distinguishes between two types of “</w:t>
      </w:r>
      <w:r w:rsidRPr="002C05E6">
        <w:t>regulatory delay</w:t>
      </w:r>
      <w:r>
        <w:t xml:space="preserve">” or “lag”:  </w:t>
      </w:r>
      <w:r w:rsidRPr="005A568A">
        <w:t xml:space="preserve">(1) the lag </w:t>
      </w:r>
      <w:r w:rsidRPr="00D14898">
        <w:rPr>
          <w:u w:val="single"/>
        </w:rPr>
        <w:t>between</w:t>
      </w:r>
      <w:r w:rsidRPr="005A568A">
        <w:t xml:space="preserve"> rate cases, and (2) the lag </w:t>
      </w:r>
      <w:r w:rsidRPr="00D14898">
        <w:rPr>
          <w:u w:val="single"/>
        </w:rPr>
        <w:t>during</w:t>
      </w:r>
      <w:r w:rsidRPr="005A568A">
        <w:t xml:space="preserve"> the pendency of a rate case</w:t>
      </w:r>
      <w:r>
        <w:t xml:space="preserve">.  Over the years, the CPUC has established ratemaking mechanisms that reduce the risk that </w:t>
      </w:r>
      <w:r w:rsidRPr="005A568A">
        <w:t>the lag between rate cases</w:t>
      </w:r>
      <w:r>
        <w:t xml:space="preserve"> will result in utility revenues not matching forecast costs.  For the second type of lag, which this Commission terms “regulatory lag,” the literature notes that it “</w:t>
      </w:r>
      <w:r w:rsidRPr="007B0BB8">
        <w:t>can cause gaps in the ability of utilities to recover prudently incurred costs or, depending on the circumstances, may cause costs in the test year to be overstated.</w:t>
      </w:r>
      <w:r>
        <w:t xml:space="preserve">”  </w:t>
      </w:r>
      <w:r w:rsidRPr="00D14898">
        <w:rPr>
          <w:i/>
          <w:iCs/>
        </w:rPr>
        <w:t>See</w:t>
      </w:r>
      <w:r>
        <w:t xml:space="preserve">, </w:t>
      </w:r>
      <w:r w:rsidRPr="002C05E6">
        <w:t>Edison Electric Institute, “Cost of Service Regulation in the Investor</w:t>
      </w:r>
      <w:r>
        <w:noBreakHyphen/>
      </w:r>
      <w:r w:rsidRPr="002C05E6">
        <w:t xml:space="preserve">Owned Electric Utility Industry: A History of Adaptation,” prepared by Dr. Karl McDermott, at </w:t>
      </w:r>
      <w:r>
        <w:t>15</w:t>
      </w:r>
      <w:r>
        <w:noBreakHyphen/>
        <w:t>16</w:t>
      </w:r>
      <w:r w:rsidRPr="002C05E6">
        <w:t>.</w:t>
      </w:r>
    </w:p>
  </w:footnote>
  <w:footnote w:id="24">
    <w:p w14:paraId="10D82FFC" w14:textId="416E93CA" w:rsidR="004D271A" w:rsidRDefault="004D271A" w:rsidP="00B553C0">
      <w:pPr>
        <w:pStyle w:val="FootnoteText"/>
      </w:pPr>
      <w:r>
        <w:rPr>
          <w:rStyle w:val="FootnoteReference"/>
        </w:rPr>
        <w:footnoteRef/>
      </w:r>
      <w:r>
        <w:t xml:space="preserve"> Stats 1951, ch. 764.  In 1979 the Legislature amended </w:t>
      </w:r>
      <w:r w:rsidR="00796D10">
        <w:t>S</w:t>
      </w:r>
      <w:r>
        <w:t xml:space="preserve">ection 311 to refer to “administrative law judges” instead of “examiners.”  </w:t>
      </w:r>
    </w:p>
  </w:footnote>
  <w:footnote w:id="25">
    <w:p w14:paraId="50B5999B" w14:textId="77777777" w:rsidR="004D271A" w:rsidRDefault="004D271A" w:rsidP="00114877">
      <w:pPr>
        <w:pStyle w:val="FootnoteText"/>
      </w:pPr>
      <w:r>
        <w:rPr>
          <w:rStyle w:val="FootnoteReference"/>
        </w:rPr>
        <w:footnoteRef/>
      </w:r>
      <w:r>
        <w:t xml:space="preserve"> Stats. 1982, ch. 1542.</w:t>
      </w:r>
    </w:p>
  </w:footnote>
  <w:footnote w:id="26">
    <w:p w14:paraId="61D2BEF3" w14:textId="77777777" w:rsidR="004D271A" w:rsidRDefault="004D271A" w:rsidP="00114877">
      <w:pPr>
        <w:pStyle w:val="FootnoteText"/>
      </w:pPr>
      <w:r>
        <w:rPr>
          <w:rStyle w:val="FootnoteReference"/>
        </w:rPr>
        <w:footnoteRef/>
      </w:r>
      <w:r>
        <w:t xml:space="preserve"> </w:t>
      </w:r>
      <w:r w:rsidRPr="00A03511">
        <w:rPr>
          <w:i/>
          <w:iCs/>
        </w:rPr>
        <w:t>Ibid.</w:t>
      </w:r>
    </w:p>
  </w:footnote>
  <w:footnote w:id="27">
    <w:p w14:paraId="6CF462D7" w14:textId="77777777" w:rsidR="004D271A" w:rsidRDefault="004D271A" w:rsidP="00114877">
      <w:pPr>
        <w:pStyle w:val="FootnoteText"/>
      </w:pPr>
      <w:r>
        <w:rPr>
          <w:rStyle w:val="FootnoteReference"/>
        </w:rPr>
        <w:footnoteRef/>
      </w:r>
      <w:r>
        <w:t xml:space="preserve"> </w:t>
      </w:r>
      <w:r w:rsidRPr="00A03511">
        <w:t>Stats. 198</w:t>
      </w:r>
      <w:r>
        <w:t>6</w:t>
      </w:r>
      <w:r w:rsidRPr="00A03511">
        <w:t xml:space="preserve">, ch. </w:t>
      </w:r>
      <w:r>
        <w:t>893</w:t>
      </w:r>
      <w:r w:rsidRPr="00A03511">
        <w:t>.</w:t>
      </w:r>
    </w:p>
  </w:footnote>
  <w:footnote w:id="28">
    <w:p w14:paraId="7680C7E4" w14:textId="60212B02" w:rsidR="004D271A" w:rsidRDefault="004D271A" w:rsidP="00114877">
      <w:pPr>
        <w:pStyle w:val="FootnoteText"/>
      </w:pPr>
      <w:r>
        <w:rPr>
          <w:rStyle w:val="FootnoteReference"/>
        </w:rPr>
        <w:footnoteRef/>
      </w:r>
      <w:r>
        <w:t xml:space="preserve"> D.89</w:t>
      </w:r>
      <w:r>
        <w:noBreakHyphen/>
        <w:t>01</w:t>
      </w:r>
      <w:r>
        <w:noBreakHyphen/>
        <w:t>040 in R.87</w:t>
      </w:r>
      <w:r>
        <w:noBreakHyphen/>
        <w:t>11</w:t>
      </w:r>
      <w:r>
        <w:noBreakHyphen/>
        <w:t>012, at 2.</w:t>
      </w:r>
    </w:p>
  </w:footnote>
  <w:footnote w:id="29">
    <w:p w14:paraId="6CD1767F" w14:textId="1FA2819C" w:rsidR="004D271A" w:rsidRDefault="004D271A">
      <w:pPr>
        <w:pStyle w:val="FootnoteText"/>
      </w:pPr>
      <w:r>
        <w:rPr>
          <w:rStyle w:val="FootnoteReference"/>
        </w:rPr>
        <w:footnoteRef/>
      </w:r>
      <w:r>
        <w:t xml:space="preserve"> For PG&amp;E, SCE and SDG&amp;E that proceeding has become the Energy Resource Recovery Account (ERRA) compliance review, and is no longer an “after</w:t>
      </w:r>
      <w:r>
        <w:noBreakHyphen/>
        <w:t>the</w:t>
      </w:r>
      <w:r>
        <w:noBreakHyphen/>
        <w:t xml:space="preserve">fact” reasonableness review of utility procurement decisions.  For </w:t>
      </w:r>
      <w:r w:rsidRPr="008A0F9B">
        <w:t>PacifiCorp and Liberty Utilities</w:t>
      </w:r>
      <w:r>
        <w:t xml:space="preserve">, that proceeding is the </w:t>
      </w:r>
      <w:r w:rsidRPr="008A0F9B">
        <w:t>Energy Cost Adjustment Clause (ECAC)</w:t>
      </w:r>
      <w:r>
        <w:t>.</w:t>
      </w:r>
    </w:p>
  </w:footnote>
  <w:footnote w:id="30">
    <w:p w14:paraId="7E4FD4C9" w14:textId="396A09A4" w:rsidR="004D271A" w:rsidRDefault="004D271A">
      <w:pPr>
        <w:pStyle w:val="FootnoteText"/>
      </w:pPr>
      <w:r>
        <w:rPr>
          <w:rStyle w:val="FootnoteReference"/>
        </w:rPr>
        <w:footnoteRef/>
      </w:r>
      <w:r>
        <w:t xml:space="preserve"> Several Commission decisions in the intervening years made non</w:t>
      </w:r>
      <w:r>
        <w:noBreakHyphen/>
        <w:t>substantive changes to the RCP, such that the RCP adopted in D.14</w:t>
      </w:r>
      <w:r>
        <w:noBreakHyphen/>
        <w:t>12</w:t>
      </w:r>
      <w:r>
        <w:noBreakHyphen/>
        <w:t>025, which we modify in this decision, was itself a modification of the RCP adopted by the Commission in D.07</w:t>
      </w:r>
      <w:r>
        <w:noBreakHyphen/>
        <w:t>07</w:t>
      </w:r>
      <w:r>
        <w:noBreakHyphen/>
        <w:t xml:space="preserve">004.  That decision modified the RCP adopted in </w:t>
      </w:r>
      <w:r w:rsidRPr="003518E0">
        <w:t>D.93</w:t>
      </w:r>
      <w:r>
        <w:noBreakHyphen/>
      </w:r>
      <w:r w:rsidRPr="003518E0">
        <w:t>07</w:t>
      </w:r>
      <w:r>
        <w:noBreakHyphen/>
      </w:r>
      <w:r w:rsidRPr="003518E0">
        <w:t>030</w:t>
      </w:r>
      <w:r>
        <w:t>, which in turn had modified the RCP adopted in D.89</w:t>
      </w:r>
      <w:r>
        <w:noBreakHyphen/>
        <w:t>01</w:t>
      </w:r>
      <w:r>
        <w:noBreakHyphen/>
        <w:t>040, albeit only for SCE.</w:t>
      </w:r>
    </w:p>
  </w:footnote>
  <w:footnote w:id="31">
    <w:p w14:paraId="45816459" w14:textId="5199C41A" w:rsidR="004D271A" w:rsidRDefault="004D271A" w:rsidP="00114877">
      <w:pPr>
        <w:pStyle w:val="FootnoteText"/>
      </w:pPr>
      <w:r>
        <w:rPr>
          <w:rStyle w:val="FootnoteReference"/>
        </w:rPr>
        <w:footnoteRef/>
      </w:r>
      <w:r>
        <w:t xml:space="preserve"> R.13</w:t>
      </w:r>
      <w:r>
        <w:noBreakHyphen/>
        <w:t>11</w:t>
      </w:r>
      <w:r>
        <w:noBreakHyphen/>
        <w:t>006 at 10</w:t>
      </w:r>
      <w:r>
        <w:noBreakHyphen/>
        <w:t>16.</w:t>
      </w:r>
      <w:r w:rsidRPr="002C05E6">
        <w:t xml:space="preserve"> </w:t>
      </w:r>
      <w:r>
        <w:t xml:space="preserve"> In addition, t</w:t>
      </w:r>
      <w:r w:rsidRPr="008A573A">
        <w:t>he May 15, 2014 Scoping Memo</w:t>
      </w:r>
      <w:r>
        <w:t xml:space="preserve"> determined that a first round of comments would provide the record for a Commission decision addressing questions</w:t>
      </w:r>
      <w:r w:rsidRPr="00F217EA">
        <w:t xml:space="preserve"> </w:t>
      </w:r>
      <w:r>
        <w:t>#1 and #2 regarding the</w:t>
      </w:r>
      <w:r w:rsidRPr="00F217EA">
        <w:t xml:space="preserve"> risk</w:t>
      </w:r>
      <w:r>
        <w:noBreakHyphen/>
      </w:r>
      <w:r w:rsidRPr="00F217EA">
        <w:t>based decision</w:t>
      </w:r>
      <w:r>
        <w:noBreakHyphen/>
      </w:r>
      <w:r w:rsidRPr="00F217EA">
        <w:t>making framework</w:t>
      </w:r>
      <w:r>
        <w:t>, while a second round of comments would provide the record for a subsequent Commission decision addressing questions</w:t>
      </w:r>
      <w:r w:rsidRPr="00F217EA">
        <w:t xml:space="preserve"> </w:t>
      </w:r>
      <w:r>
        <w:t>#3 through #6 regarding possible revisions to the RCP.</w:t>
      </w:r>
    </w:p>
  </w:footnote>
  <w:footnote w:id="32">
    <w:p w14:paraId="0FF3812D" w14:textId="62E6AA17" w:rsidR="004D271A" w:rsidRDefault="004D271A" w:rsidP="00114877">
      <w:pPr>
        <w:pStyle w:val="FootnoteText"/>
      </w:pPr>
      <w:r>
        <w:rPr>
          <w:rStyle w:val="FootnoteReference"/>
        </w:rPr>
        <w:footnoteRef/>
      </w:r>
      <w:r>
        <w:t xml:space="preserve"> </w:t>
      </w:r>
      <w:r w:rsidRPr="00E75A58">
        <w:t>D.14</w:t>
      </w:r>
      <w:r>
        <w:noBreakHyphen/>
      </w:r>
      <w:r w:rsidRPr="00E75A58">
        <w:t>12</w:t>
      </w:r>
      <w:r>
        <w:noBreakHyphen/>
      </w:r>
      <w:r w:rsidRPr="00E75A58">
        <w:t>025</w:t>
      </w:r>
      <w:r>
        <w:t>, Ordering Paragraph 2.</w:t>
      </w:r>
    </w:p>
  </w:footnote>
  <w:footnote w:id="33">
    <w:p w14:paraId="0BAF62D5" w14:textId="67EB9029" w:rsidR="004D271A" w:rsidRDefault="004D271A" w:rsidP="00114877">
      <w:pPr>
        <w:pStyle w:val="FootnoteText"/>
      </w:pPr>
      <w:r>
        <w:rPr>
          <w:rStyle w:val="FootnoteReference"/>
        </w:rPr>
        <w:footnoteRef/>
      </w:r>
      <w:r>
        <w:t xml:space="preserve"> D.14</w:t>
      </w:r>
      <w:r>
        <w:noBreakHyphen/>
        <w:t>12</w:t>
      </w:r>
      <w:r>
        <w:noBreakHyphen/>
        <w:t xml:space="preserve">025 at 9, citing the </w:t>
      </w:r>
      <w:r w:rsidRPr="008A573A">
        <w:t>May 15, 2014 Scoping Memo</w:t>
      </w:r>
      <w:r>
        <w:t xml:space="preserve"> at 6.</w:t>
      </w:r>
    </w:p>
  </w:footnote>
  <w:footnote w:id="34">
    <w:p w14:paraId="626F43CB" w14:textId="4665075B" w:rsidR="004D271A" w:rsidRDefault="004D271A" w:rsidP="0046777A">
      <w:pPr>
        <w:pStyle w:val="FootnoteText"/>
      </w:pPr>
      <w:r>
        <w:rPr>
          <w:rStyle w:val="FootnoteReference"/>
        </w:rPr>
        <w:footnoteRef/>
      </w:r>
      <w:r>
        <w:t xml:space="preserve"> D.14</w:t>
      </w:r>
      <w:r>
        <w:noBreakHyphen/>
        <w:t>12</w:t>
      </w:r>
      <w:r>
        <w:noBreakHyphen/>
        <w:t>025, at 42 (</w:t>
      </w:r>
      <w:r w:rsidRPr="00B702ED">
        <w:t>Table 4</w:t>
      </w:r>
      <w:r>
        <w:t>).  For further clarity, we have added the column labeled “Day #” to indicate the time that passes between various milestones.  This information was included in earlier versions of the RCP.</w:t>
      </w:r>
    </w:p>
  </w:footnote>
  <w:footnote w:id="35">
    <w:p w14:paraId="6188A859" w14:textId="77777777" w:rsidR="004D271A" w:rsidRDefault="004D271A" w:rsidP="0046777A">
      <w:pPr>
        <w:pStyle w:val="FootnoteText"/>
      </w:pPr>
      <w:r>
        <w:rPr>
          <w:rStyle w:val="FootnoteReference"/>
        </w:rPr>
        <w:footnoteRef/>
      </w:r>
      <w:r>
        <w:t xml:space="preserve"> All references to “Rules” in this decision are to </w:t>
      </w:r>
      <w:r w:rsidRPr="00506C38">
        <w:t>the Commission’s Rules of Pr</w:t>
      </w:r>
      <w:r>
        <w:t>actice and Procedure.</w:t>
      </w:r>
    </w:p>
  </w:footnote>
  <w:footnote w:id="36">
    <w:p w14:paraId="52AF43DC" w14:textId="767A56CF" w:rsidR="004D271A" w:rsidRDefault="004D271A">
      <w:pPr>
        <w:pStyle w:val="FootnoteText"/>
      </w:pPr>
      <w:r>
        <w:rPr>
          <w:rStyle w:val="FootnoteReference"/>
        </w:rPr>
        <w:footnoteRef/>
      </w:r>
      <w:r>
        <w:t xml:space="preserve"> Section 1701.5 was amended in 2016 to modify the term </w:t>
      </w:r>
      <w:r w:rsidRPr="00BF3A76">
        <w:t xml:space="preserve">“scoping memo is issued” </w:t>
      </w:r>
      <w:r>
        <w:t>to “</w:t>
      </w:r>
      <w:r w:rsidRPr="00BF3A76">
        <w:t>proceeding is initiated</w:t>
      </w:r>
      <w:r>
        <w:t>” which had the effect of shortening the prior statutorily</w:t>
      </w:r>
      <w:r>
        <w:noBreakHyphen/>
        <w:t>allowed timeline by 2 or 3 months.</w:t>
      </w:r>
    </w:p>
  </w:footnote>
  <w:footnote w:id="37">
    <w:p w14:paraId="28CB2D7C" w14:textId="24AB7408" w:rsidR="004D271A" w:rsidRDefault="004D271A" w:rsidP="00B702ED">
      <w:pPr>
        <w:pStyle w:val="FootnoteText"/>
      </w:pPr>
      <w:r>
        <w:rPr>
          <w:rStyle w:val="FootnoteReference"/>
        </w:rPr>
        <w:footnoteRef/>
      </w:r>
      <w:r>
        <w:t xml:space="preserve"> </w:t>
      </w:r>
      <w:r w:rsidRPr="00D039CA">
        <w:t>Staff Report</w:t>
      </w:r>
      <w:r>
        <w:t xml:space="preserve"> at 6</w:t>
      </w:r>
      <w:r w:rsidRPr="007C78CD">
        <w:t>.</w:t>
      </w:r>
    </w:p>
  </w:footnote>
  <w:footnote w:id="38">
    <w:p w14:paraId="159CAA5E" w14:textId="052CCF1E" w:rsidR="004D271A" w:rsidRPr="007C78CD" w:rsidRDefault="004D271A" w:rsidP="006859BA">
      <w:pPr>
        <w:pStyle w:val="FootnoteText"/>
        <w:rPr>
          <w:i/>
        </w:rPr>
      </w:pPr>
      <w:r>
        <w:rPr>
          <w:rStyle w:val="FootnoteReference"/>
        </w:rPr>
        <w:footnoteRef/>
      </w:r>
      <w:r>
        <w:t xml:space="preserve"> </w:t>
      </w:r>
      <w:r w:rsidRPr="00D039CA">
        <w:rPr>
          <w:i/>
          <w:iCs/>
        </w:rPr>
        <w:t>Id.</w:t>
      </w:r>
      <w:r>
        <w:rPr>
          <w:i/>
          <w:iCs/>
        </w:rPr>
        <w:t>,</w:t>
      </w:r>
      <w:r w:rsidRPr="0092213A">
        <w:t xml:space="preserve"> at 6</w:t>
      </w:r>
      <w:r>
        <w:noBreakHyphen/>
      </w:r>
      <w:r w:rsidRPr="0092213A">
        <w:t>12.</w:t>
      </w:r>
      <w:r>
        <w:rPr>
          <w:i/>
          <w:iCs/>
        </w:rPr>
        <w:t xml:space="preserve"> </w:t>
      </w:r>
    </w:p>
  </w:footnote>
  <w:footnote w:id="39">
    <w:p w14:paraId="36409418" w14:textId="7A9CE41F" w:rsidR="004D271A" w:rsidRDefault="004D271A" w:rsidP="00485EA8">
      <w:pPr>
        <w:pStyle w:val="FootnoteText"/>
      </w:pPr>
      <w:r>
        <w:rPr>
          <w:rStyle w:val="FootnoteReference"/>
        </w:rPr>
        <w:footnoteRef/>
      </w:r>
      <w:r>
        <w:t xml:space="preserve"> </w:t>
      </w:r>
      <w:r w:rsidRPr="00D039CA">
        <w:t>Staff Report</w:t>
      </w:r>
      <w:r>
        <w:t xml:space="preserve"> at 21.</w:t>
      </w:r>
    </w:p>
  </w:footnote>
  <w:footnote w:id="40">
    <w:p w14:paraId="667E1C2E" w14:textId="11C55CB3" w:rsidR="004D271A" w:rsidRPr="007C78CD" w:rsidRDefault="004D271A" w:rsidP="00B702ED">
      <w:pPr>
        <w:pStyle w:val="FootnoteText"/>
        <w:rPr>
          <w:i/>
        </w:rPr>
      </w:pPr>
      <w:r>
        <w:rPr>
          <w:rStyle w:val="FootnoteReference"/>
        </w:rPr>
        <w:footnoteRef/>
      </w:r>
      <w:r>
        <w:t xml:space="preserve"> </w:t>
      </w:r>
      <w:r w:rsidRPr="00D039CA">
        <w:rPr>
          <w:i/>
          <w:iCs/>
        </w:rPr>
        <w:t>Id.</w:t>
      </w:r>
      <w:r>
        <w:rPr>
          <w:i/>
          <w:iCs/>
        </w:rPr>
        <w:t>,</w:t>
      </w:r>
      <w:r w:rsidRPr="006C7538">
        <w:t xml:space="preserve"> at </w:t>
      </w:r>
      <w:r>
        <w:t>21</w:t>
      </w:r>
      <w:r>
        <w:noBreakHyphen/>
        <w:t>23</w:t>
      </w:r>
      <w:r w:rsidRPr="006C7538">
        <w:t>.</w:t>
      </w:r>
      <w:r w:rsidRPr="0014420A">
        <w:rPr>
          <w:i/>
          <w:iCs/>
        </w:rPr>
        <w:t xml:space="preserve"> </w:t>
      </w:r>
    </w:p>
  </w:footnote>
  <w:footnote w:id="41">
    <w:p w14:paraId="0F0C0B26" w14:textId="4747AF62" w:rsidR="004D271A" w:rsidRDefault="004D271A">
      <w:pPr>
        <w:pStyle w:val="FootnoteText"/>
      </w:pPr>
      <w:r>
        <w:rPr>
          <w:rStyle w:val="FootnoteReference"/>
        </w:rPr>
        <w:footnoteRef/>
      </w:r>
      <w:r>
        <w:t xml:space="preserve"> As noted above, in D.14</w:t>
      </w:r>
      <w:r>
        <w:noBreakHyphen/>
        <w:t>12</w:t>
      </w:r>
      <w:r>
        <w:noBreakHyphen/>
        <w:t xml:space="preserve">025 the Commission </w:t>
      </w:r>
      <w:r w:rsidRPr="00211773">
        <w:t>recognize</w:t>
      </w:r>
      <w:r>
        <w:t xml:space="preserve">d </w:t>
      </w:r>
      <w:r w:rsidRPr="00211773">
        <w:t xml:space="preserve">that </w:t>
      </w:r>
      <w:r>
        <w:t>“</w:t>
      </w:r>
      <w:r w:rsidRPr="00211773">
        <w:t>there are oftentimes other circumstances or events that interfere with the timely proceeding of GRCs</w:t>
      </w:r>
      <w:r>
        <w:t xml:space="preserve">.”  </w:t>
      </w:r>
      <w:r w:rsidRPr="00211773">
        <w:t>D.14</w:t>
      </w:r>
      <w:r>
        <w:noBreakHyphen/>
      </w:r>
      <w:r w:rsidRPr="00211773">
        <w:t>12</w:t>
      </w:r>
      <w:r>
        <w:noBreakHyphen/>
      </w:r>
      <w:r w:rsidRPr="00211773">
        <w:t>025</w:t>
      </w:r>
      <w:r>
        <w:t xml:space="preserve"> at 40.  Nevertheless, our purpose in this decision is to revise the RCP plan and schedule so that, absent intervening circumstances, the Commission can predictably meet the expectations of the applicants and intervenors.</w:t>
      </w:r>
    </w:p>
  </w:footnote>
  <w:footnote w:id="42">
    <w:p w14:paraId="5C145CA3" w14:textId="0C2CDA02" w:rsidR="004D271A" w:rsidRDefault="004D271A" w:rsidP="00B702ED">
      <w:pPr>
        <w:pStyle w:val="FootnoteText"/>
      </w:pPr>
      <w:r>
        <w:rPr>
          <w:rStyle w:val="FootnoteReference"/>
        </w:rPr>
        <w:footnoteRef/>
      </w:r>
      <w:r>
        <w:t xml:space="preserve"> </w:t>
      </w:r>
      <w:r w:rsidRPr="00DE674D">
        <w:t>Pub. Util. Code</w:t>
      </w:r>
      <w:r w:rsidRPr="00DE674D" w:rsidDel="00DE674D">
        <w:t xml:space="preserve"> </w:t>
      </w:r>
      <w:r>
        <w:t>§ 1</w:t>
      </w:r>
      <w:r w:rsidRPr="00600A42">
        <w:t>701.3</w:t>
      </w:r>
      <w:r>
        <w:t xml:space="preserve"> (j).</w:t>
      </w:r>
    </w:p>
  </w:footnote>
  <w:footnote w:id="43">
    <w:p w14:paraId="1432BD06" w14:textId="5AAE3397" w:rsidR="004D271A" w:rsidRDefault="004D271A" w:rsidP="00B702ED">
      <w:pPr>
        <w:pStyle w:val="FootnoteText"/>
      </w:pPr>
      <w:r>
        <w:rPr>
          <w:rStyle w:val="FootnoteReference"/>
        </w:rPr>
        <w:footnoteRef/>
      </w:r>
      <w:r>
        <w:t xml:space="preserve"> </w:t>
      </w:r>
      <w:r w:rsidRPr="00DE674D">
        <w:t>Pub. Util. Code</w:t>
      </w:r>
      <w:r w:rsidRPr="00DE674D" w:rsidDel="00DE674D">
        <w:t xml:space="preserve"> </w:t>
      </w:r>
      <w:r>
        <w:t>§ 1</w:t>
      </w:r>
      <w:r w:rsidRPr="00600A42">
        <w:t>7</w:t>
      </w:r>
      <w:r>
        <w:t>57 (a)(3) and (a)(4).</w:t>
      </w:r>
    </w:p>
  </w:footnote>
  <w:footnote w:id="44">
    <w:p w14:paraId="798A408E" w14:textId="05CF7B68" w:rsidR="004D271A" w:rsidRDefault="004D271A" w:rsidP="00B702ED">
      <w:pPr>
        <w:pStyle w:val="FootnoteText"/>
      </w:pPr>
      <w:r>
        <w:rPr>
          <w:rStyle w:val="FootnoteReference"/>
        </w:rPr>
        <w:footnoteRef/>
      </w:r>
      <w:r>
        <w:t xml:space="preserve"> </w:t>
      </w:r>
      <w:r w:rsidRPr="00DE674D">
        <w:t>Pub. Util. Code</w:t>
      </w:r>
      <w:r w:rsidRPr="00DE674D" w:rsidDel="00DE674D">
        <w:t xml:space="preserve"> </w:t>
      </w:r>
      <w:r w:rsidR="00796D10">
        <w:t xml:space="preserve">§  </w:t>
      </w:r>
      <w:r w:rsidRPr="00966D76">
        <w:t>701.5</w:t>
      </w:r>
      <w:r>
        <w:t xml:space="preserve"> (a).  However, </w:t>
      </w:r>
      <w:r w:rsidRPr="00966D76">
        <w:t>the Commission may specify a later resolution date in the scoping memo for the proceeding</w:t>
      </w:r>
      <w:r>
        <w:t xml:space="preserve">; </w:t>
      </w:r>
      <w:r w:rsidRPr="00966D76">
        <w:rPr>
          <w:i/>
          <w:iCs/>
        </w:rPr>
        <w:t>see</w:t>
      </w:r>
      <w:r>
        <w:rPr>
          <w:i/>
          <w:iCs/>
        </w:rPr>
        <w:t>,</w:t>
      </w:r>
      <w:r w:rsidRPr="00966D76">
        <w:rPr>
          <w:i/>
          <w:iCs/>
        </w:rPr>
        <w:t xml:space="preserve"> </w:t>
      </w:r>
      <w:r w:rsidRPr="00D14898">
        <w:t>Pub. Util. Code</w:t>
      </w:r>
      <w:r w:rsidRPr="00DE674D" w:rsidDel="00DE674D">
        <w:rPr>
          <w:i/>
          <w:iCs/>
        </w:rPr>
        <w:t xml:space="preserve"> </w:t>
      </w:r>
      <w:r w:rsidR="00796D10">
        <w:t>§ 1</w:t>
      </w:r>
      <w:r w:rsidRPr="00966D76">
        <w:t>701.5</w:t>
      </w:r>
      <w:r>
        <w:t xml:space="preserve"> (b).</w:t>
      </w:r>
    </w:p>
  </w:footnote>
  <w:footnote w:id="45">
    <w:p w14:paraId="47DB7C53" w14:textId="77777777" w:rsidR="004D271A" w:rsidRDefault="004D271A" w:rsidP="00583975">
      <w:pPr>
        <w:pStyle w:val="FootnoteText"/>
      </w:pPr>
      <w:r>
        <w:rPr>
          <w:rStyle w:val="FootnoteReference"/>
        </w:rPr>
        <w:footnoteRef/>
      </w:r>
      <w:r>
        <w:t xml:space="preserve"> Pursuant to Rule 13.14 (a) (Submission and Reopening of Record), a proceeding shall stand submitted for decision by the Commission after the taking of evidence, the filing of briefs, and the presentation of oral argument as may have been prescribed.</w:t>
      </w:r>
    </w:p>
  </w:footnote>
  <w:footnote w:id="46">
    <w:p w14:paraId="4A3D55FE" w14:textId="77AEAF07" w:rsidR="004D271A" w:rsidRDefault="004D271A">
      <w:pPr>
        <w:pStyle w:val="FootnoteText"/>
      </w:pPr>
      <w:r>
        <w:rPr>
          <w:rStyle w:val="FootnoteReference"/>
        </w:rPr>
        <w:footnoteRef/>
      </w:r>
      <w:r>
        <w:t xml:space="preserve"> For the purposes of this illustration, we acknowledge but ignore the fact that the proceeding also remained open in order to address the passage in late 2017 of the Tax Cut and Jobs Act, because the proposed decision would have already been issued if the RCP had been followed.</w:t>
      </w:r>
    </w:p>
  </w:footnote>
  <w:footnote w:id="47">
    <w:p w14:paraId="06FB974F" w14:textId="0A499443" w:rsidR="004D271A" w:rsidRDefault="004D271A">
      <w:pPr>
        <w:pStyle w:val="FootnoteText"/>
      </w:pPr>
      <w:r>
        <w:rPr>
          <w:rStyle w:val="FootnoteReference"/>
        </w:rPr>
        <w:footnoteRef/>
      </w:r>
      <w:r>
        <w:t xml:space="preserve"> </w:t>
      </w:r>
      <w:r w:rsidRPr="00F2493A">
        <w:t>D.16</w:t>
      </w:r>
      <w:r>
        <w:noBreakHyphen/>
      </w:r>
      <w:r w:rsidRPr="00F2493A">
        <w:t>06</w:t>
      </w:r>
      <w:r>
        <w:noBreakHyphen/>
      </w:r>
      <w:r w:rsidRPr="00F2493A">
        <w:t>005 at 6.</w:t>
      </w:r>
    </w:p>
  </w:footnote>
  <w:footnote w:id="48">
    <w:p w14:paraId="7CE8598F" w14:textId="77777777" w:rsidR="004D271A" w:rsidRDefault="004D271A">
      <w:pPr>
        <w:pStyle w:val="FootnoteText"/>
      </w:pPr>
      <w:r>
        <w:rPr>
          <w:rStyle w:val="FootnoteReference"/>
        </w:rPr>
        <w:footnoteRef/>
      </w:r>
      <w:r>
        <w:t xml:space="preserve"> Staff Report at 28, Section 7.4.</w:t>
      </w:r>
    </w:p>
  </w:footnote>
  <w:footnote w:id="49">
    <w:p w14:paraId="78C0B510" w14:textId="77777777" w:rsidR="004D271A" w:rsidRDefault="004D271A" w:rsidP="00B702ED">
      <w:pPr>
        <w:pStyle w:val="FootnoteText"/>
      </w:pPr>
      <w:r>
        <w:rPr>
          <w:rStyle w:val="FootnoteReference"/>
        </w:rPr>
        <w:footnoteRef/>
      </w:r>
      <w:r>
        <w:t xml:space="preserve"> </w:t>
      </w:r>
      <w:r w:rsidRPr="00DE480A">
        <w:rPr>
          <w:i/>
          <w:iCs/>
        </w:rPr>
        <w:t>Ibid.</w:t>
      </w:r>
    </w:p>
  </w:footnote>
  <w:footnote w:id="50">
    <w:p w14:paraId="13EF193B" w14:textId="25B73235" w:rsidR="004D271A" w:rsidRDefault="004D271A" w:rsidP="00B702ED">
      <w:pPr>
        <w:pStyle w:val="FootnoteText"/>
      </w:pPr>
      <w:r>
        <w:rPr>
          <w:rStyle w:val="FootnoteReference"/>
        </w:rPr>
        <w:footnoteRef/>
      </w:r>
      <w:r>
        <w:t xml:space="preserve"> </w:t>
      </w:r>
      <w:r w:rsidRPr="0055527B">
        <w:rPr>
          <w:i/>
          <w:iCs/>
        </w:rPr>
        <w:t>Ibid</w:t>
      </w:r>
      <w:r w:rsidRPr="009549AA">
        <w:t>, emphasis added.</w:t>
      </w:r>
    </w:p>
  </w:footnote>
  <w:footnote w:id="51">
    <w:p w14:paraId="6AD1C447" w14:textId="4944AF4C" w:rsidR="004D271A" w:rsidRDefault="004D271A">
      <w:pPr>
        <w:pStyle w:val="FootnoteText"/>
      </w:pPr>
      <w:r>
        <w:rPr>
          <w:rStyle w:val="FootnoteReference"/>
        </w:rPr>
        <w:footnoteRef/>
      </w:r>
      <w:r>
        <w:t xml:space="preserve"> SCGC Comments at 1 and 2.</w:t>
      </w:r>
    </w:p>
  </w:footnote>
  <w:footnote w:id="52">
    <w:p w14:paraId="5EF62320" w14:textId="6CCA829D" w:rsidR="004D271A" w:rsidRDefault="004D271A">
      <w:pPr>
        <w:pStyle w:val="FootnoteText"/>
      </w:pPr>
      <w:r>
        <w:rPr>
          <w:rStyle w:val="FootnoteReference"/>
        </w:rPr>
        <w:footnoteRef/>
      </w:r>
      <w:r>
        <w:t xml:space="preserve"> TURN Comments at 2.</w:t>
      </w:r>
    </w:p>
  </w:footnote>
  <w:footnote w:id="53">
    <w:p w14:paraId="306F6506" w14:textId="084473A7" w:rsidR="004D271A" w:rsidRDefault="004D271A" w:rsidP="00D60417">
      <w:pPr>
        <w:pStyle w:val="FootnoteText"/>
      </w:pPr>
      <w:r>
        <w:rPr>
          <w:rStyle w:val="FootnoteReference"/>
        </w:rPr>
        <w:footnoteRef/>
      </w:r>
      <w:r>
        <w:t xml:space="preserve"> TURN Reply Comments at 5.  TURN clarifies that it is not offering an opinion on Staff’s premise that the risks associated with an additional attrition year could be mitigated by (in Staff’s words) “a uniform and consistent attrition year ratemaking mechanism that would factor in uncertainties during attrition years.”</w:t>
      </w:r>
    </w:p>
  </w:footnote>
  <w:footnote w:id="54">
    <w:p w14:paraId="4A8E9731" w14:textId="26210E1B" w:rsidR="004D271A" w:rsidRDefault="004D271A">
      <w:pPr>
        <w:pStyle w:val="FootnoteText"/>
      </w:pPr>
      <w:r>
        <w:rPr>
          <w:rStyle w:val="FootnoteReference"/>
        </w:rPr>
        <w:footnoteRef/>
      </w:r>
      <w:r>
        <w:t xml:space="preserve"> SCE Comments at 2</w:t>
      </w:r>
      <w:r>
        <w:noBreakHyphen/>
        <w:t>3.</w:t>
      </w:r>
    </w:p>
  </w:footnote>
  <w:footnote w:id="55">
    <w:p w14:paraId="5DEAF138" w14:textId="396BD9AE" w:rsidR="004D271A" w:rsidRDefault="004D271A">
      <w:pPr>
        <w:pStyle w:val="FootnoteText"/>
      </w:pPr>
      <w:r>
        <w:rPr>
          <w:rStyle w:val="FootnoteReference"/>
        </w:rPr>
        <w:footnoteRef/>
      </w:r>
      <w:r>
        <w:t xml:space="preserve"> PG&amp;E Comments at 4</w:t>
      </w:r>
      <w:r>
        <w:noBreakHyphen/>
        <w:t>5.</w:t>
      </w:r>
    </w:p>
  </w:footnote>
  <w:footnote w:id="56">
    <w:p w14:paraId="3834331D" w14:textId="1E0C1134" w:rsidR="004D271A" w:rsidRDefault="004D271A">
      <w:pPr>
        <w:pStyle w:val="FootnoteText"/>
      </w:pPr>
      <w:r>
        <w:rPr>
          <w:rStyle w:val="FootnoteReference"/>
        </w:rPr>
        <w:footnoteRef/>
      </w:r>
      <w:r>
        <w:t xml:space="preserve"> </w:t>
      </w:r>
      <w:bookmarkStart w:id="36" w:name="_Hlk20923280"/>
      <w:r w:rsidRPr="004D6AB1">
        <w:rPr>
          <w:i/>
          <w:iCs/>
        </w:rPr>
        <w:t>Id.</w:t>
      </w:r>
      <w:r>
        <w:t xml:space="preserve"> at 5.</w:t>
      </w:r>
      <w:bookmarkEnd w:id="36"/>
    </w:p>
  </w:footnote>
  <w:footnote w:id="57">
    <w:p w14:paraId="12522A80" w14:textId="586BFF1D" w:rsidR="004D271A" w:rsidRDefault="004D271A">
      <w:pPr>
        <w:pStyle w:val="FootnoteText"/>
      </w:pPr>
      <w:r>
        <w:rPr>
          <w:rStyle w:val="FootnoteReference"/>
        </w:rPr>
        <w:footnoteRef/>
      </w:r>
      <w:r>
        <w:t xml:space="preserve"> </w:t>
      </w:r>
      <w:r w:rsidRPr="00131FB5">
        <w:rPr>
          <w:i/>
          <w:iCs/>
        </w:rPr>
        <w:t>Id.</w:t>
      </w:r>
      <w:r w:rsidRPr="00131FB5">
        <w:t xml:space="preserve"> at 5</w:t>
      </w:r>
      <w:r>
        <w:noBreakHyphen/>
        <w:t>6</w:t>
      </w:r>
      <w:r w:rsidRPr="00131FB5">
        <w:t>.</w:t>
      </w:r>
    </w:p>
  </w:footnote>
  <w:footnote w:id="58">
    <w:p w14:paraId="6D8E2482" w14:textId="67CBCA6C" w:rsidR="004D271A" w:rsidRDefault="004D271A">
      <w:pPr>
        <w:pStyle w:val="FootnoteText"/>
      </w:pPr>
      <w:r>
        <w:rPr>
          <w:rStyle w:val="FootnoteReference"/>
        </w:rPr>
        <w:footnoteRef/>
      </w:r>
      <w:r>
        <w:t xml:space="preserve"> Public Advocates Office Comments at 5</w:t>
      </w:r>
      <w:r>
        <w:noBreakHyphen/>
        <w:t>6.</w:t>
      </w:r>
    </w:p>
  </w:footnote>
  <w:footnote w:id="59">
    <w:p w14:paraId="4C2BB2B6" w14:textId="7882CF8E" w:rsidR="004D271A" w:rsidRDefault="004D271A">
      <w:pPr>
        <w:pStyle w:val="FootnoteText"/>
      </w:pPr>
      <w:r>
        <w:rPr>
          <w:rStyle w:val="FootnoteReference"/>
        </w:rPr>
        <w:footnoteRef/>
      </w:r>
      <w:r>
        <w:t xml:space="preserve"> </w:t>
      </w:r>
      <w:r w:rsidRPr="000475AF">
        <w:rPr>
          <w:i/>
          <w:iCs/>
        </w:rPr>
        <w:t>Id.</w:t>
      </w:r>
      <w:r>
        <w:t>, at 4</w:t>
      </w:r>
      <w:r>
        <w:noBreakHyphen/>
        <w:t xml:space="preserve">5, quoting SDG&amp;E testimony in </w:t>
      </w:r>
      <w:r w:rsidRPr="00D26E3A">
        <w:t>A.17</w:t>
      </w:r>
      <w:r>
        <w:noBreakHyphen/>
      </w:r>
      <w:r w:rsidRPr="00D26E3A">
        <w:t>10</w:t>
      </w:r>
      <w:r>
        <w:noBreakHyphen/>
      </w:r>
      <w:r w:rsidRPr="00D26E3A">
        <w:t>007</w:t>
      </w:r>
      <w:r>
        <w:t>.</w:t>
      </w:r>
    </w:p>
  </w:footnote>
  <w:footnote w:id="60">
    <w:p w14:paraId="1A71094D" w14:textId="2A682F73" w:rsidR="004D271A" w:rsidRDefault="004D271A">
      <w:pPr>
        <w:pStyle w:val="FootnoteText"/>
      </w:pPr>
      <w:r>
        <w:rPr>
          <w:rStyle w:val="FootnoteReference"/>
        </w:rPr>
        <w:footnoteRef/>
      </w:r>
      <w:r>
        <w:t xml:space="preserve"> </w:t>
      </w:r>
      <w:r w:rsidRPr="000475AF">
        <w:rPr>
          <w:i/>
          <w:iCs/>
        </w:rPr>
        <w:t>Id.</w:t>
      </w:r>
      <w:r>
        <w:t>, at 5, quoting SoCalGas</w:t>
      </w:r>
      <w:r w:rsidRPr="00D26E3A">
        <w:t xml:space="preserve"> testimony in A.17</w:t>
      </w:r>
      <w:r>
        <w:noBreakHyphen/>
      </w:r>
      <w:r w:rsidRPr="00D26E3A">
        <w:t>10</w:t>
      </w:r>
      <w:r>
        <w:noBreakHyphen/>
      </w:r>
      <w:r w:rsidRPr="00D26E3A">
        <w:t>00</w:t>
      </w:r>
      <w:r>
        <w:t>8.</w:t>
      </w:r>
    </w:p>
  </w:footnote>
  <w:footnote w:id="61">
    <w:p w14:paraId="5C956B15" w14:textId="7C395F62" w:rsidR="004D271A" w:rsidRDefault="004D271A" w:rsidP="00517680">
      <w:pPr>
        <w:pStyle w:val="FootnoteText"/>
      </w:pPr>
      <w:r>
        <w:rPr>
          <w:rStyle w:val="FootnoteReference"/>
        </w:rPr>
        <w:footnoteRef/>
      </w:r>
      <w:r>
        <w:t xml:space="preserve"> D.14</w:t>
      </w:r>
      <w:r>
        <w:noBreakHyphen/>
        <w:t>12</w:t>
      </w:r>
      <w:r>
        <w:noBreakHyphen/>
        <w:t>025 at 46.</w:t>
      </w:r>
    </w:p>
  </w:footnote>
  <w:footnote w:id="62">
    <w:p w14:paraId="0B690C4B" w14:textId="58A480ED" w:rsidR="004D271A" w:rsidRDefault="004D271A">
      <w:pPr>
        <w:pStyle w:val="FootnoteText"/>
      </w:pPr>
      <w:r>
        <w:rPr>
          <w:rStyle w:val="FootnoteReference"/>
        </w:rPr>
        <w:footnoteRef/>
      </w:r>
      <w:r>
        <w:t xml:space="preserve"> </w:t>
      </w:r>
      <w:r w:rsidRPr="009549AA">
        <w:rPr>
          <w:i/>
          <w:iCs/>
        </w:rPr>
        <w:t>Id</w:t>
      </w:r>
      <w:r>
        <w:t>. at 2.</w:t>
      </w:r>
    </w:p>
  </w:footnote>
  <w:footnote w:id="63">
    <w:p w14:paraId="5708642C" w14:textId="46691D4C" w:rsidR="004D271A" w:rsidRDefault="004D271A">
      <w:pPr>
        <w:pStyle w:val="FootnoteText"/>
      </w:pPr>
      <w:r>
        <w:rPr>
          <w:rStyle w:val="FootnoteReference"/>
        </w:rPr>
        <w:footnoteRef/>
      </w:r>
      <w:r>
        <w:t xml:space="preserve"> An example from our recent decision on SCE’s test year 2018 GRC application illustrates the problematic utility approach today, which we intend to address through increased monitoring throughout the GRC cycle.  In D.19</w:t>
      </w:r>
      <w:r>
        <w:noBreakHyphen/>
        <w:t>05</w:t>
      </w:r>
      <w:r>
        <w:noBreakHyphen/>
        <w:t>020 the Commission cited TURN’s testimony regarding SCE’s Service Center Modernization program, which demonstrated “</w:t>
      </w:r>
      <w:r w:rsidRPr="00F10ECB">
        <w:t>for the past ten years, over the course of three GRC cycles, SCE has repeatedly requested and received significant funding to modernize its service centers, but has not used significant portions of those funds for that purpose.</w:t>
      </w:r>
      <w:r>
        <w:t xml:space="preserve"> </w:t>
      </w:r>
      <w:r w:rsidRPr="00F10ECB">
        <w:t xml:space="preserve"> Instead, SCE explains that the funds were </w:t>
      </w:r>
      <w:r>
        <w:t>’</w:t>
      </w:r>
      <w:r w:rsidRPr="00F10ECB">
        <w:t>reallocated at the corporate level to projects that were deemed more critical for the delivery of safe and reliable service to SCE’s customers.</w:t>
      </w:r>
      <w:r>
        <w:t>’</w:t>
      </w:r>
      <w:r w:rsidRPr="00F10ECB">
        <w:t>”</w:t>
      </w:r>
      <w:r>
        <w:t xml:space="preserve">  D.19</w:t>
      </w:r>
      <w:r>
        <w:noBreakHyphen/>
        <w:t>05</w:t>
      </w:r>
      <w:r>
        <w:noBreakHyphen/>
        <w:t>020, citing Exhibit SCE</w:t>
      </w:r>
      <w:r>
        <w:noBreakHyphen/>
        <w:t xml:space="preserve">23, Vol. 2 at 16.  The Commission noted that </w:t>
      </w:r>
      <w:r w:rsidRPr="00F10ECB">
        <w:t>SCE</w:t>
      </w:r>
      <w:r>
        <w:t>’s explanation</w:t>
      </w:r>
      <w:r w:rsidRPr="00F10ECB">
        <w:t xml:space="preserve"> provide</w:t>
      </w:r>
      <w:r>
        <w:t>d only</w:t>
      </w:r>
      <w:r w:rsidRPr="00F10ECB">
        <w:t xml:space="preserve"> </w:t>
      </w:r>
      <w:r>
        <w:t>“</w:t>
      </w:r>
      <w:r w:rsidRPr="00F10ECB">
        <w:t xml:space="preserve">one or two sentences that invoke the general principal that </w:t>
      </w:r>
      <w:r>
        <w:t>‘</w:t>
      </w:r>
      <w:r w:rsidRPr="00F10ECB">
        <w:t>utilities must retain flexibility in spending funds authorized in GRC decisions.</w:t>
      </w:r>
      <w:r>
        <w:t xml:space="preserve">’”  </w:t>
      </w:r>
      <w:r w:rsidRPr="00D53A4B">
        <w:rPr>
          <w:i/>
          <w:iCs/>
        </w:rPr>
        <w:t>Ibid.</w:t>
      </w:r>
    </w:p>
  </w:footnote>
  <w:footnote w:id="64">
    <w:p w14:paraId="68924A7F" w14:textId="78D59840" w:rsidR="004D271A" w:rsidRDefault="004D271A">
      <w:pPr>
        <w:pStyle w:val="FootnoteText"/>
      </w:pPr>
      <w:r>
        <w:rPr>
          <w:rStyle w:val="FootnoteReference"/>
        </w:rPr>
        <w:footnoteRef/>
      </w:r>
      <w:r w:rsidRPr="00C2141D">
        <w:rPr>
          <w:i/>
          <w:iCs/>
        </w:rPr>
        <w:t xml:space="preserve"> See</w:t>
      </w:r>
      <w:r>
        <w:t xml:space="preserve">, </w:t>
      </w:r>
      <w:r w:rsidRPr="006D4FE3">
        <w:t>D.14</w:t>
      </w:r>
      <w:r>
        <w:noBreakHyphen/>
      </w:r>
      <w:r w:rsidRPr="006D4FE3">
        <w:t>12</w:t>
      </w:r>
      <w:r>
        <w:noBreakHyphen/>
      </w:r>
      <w:r w:rsidRPr="006D4FE3">
        <w:t>025</w:t>
      </w:r>
      <w:r>
        <w:t>, Finding of Fact 27 and discussion at 10 and 43.</w:t>
      </w:r>
    </w:p>
  </w:footnote>
  <w:footnote w:id="65">
    <w:p w14:paraId="0A33FEBA" w14:textId="77777777" w:rsidR="004D271A" w:rsidRDefault="004D271A" w:rsidP="00364766">
      <w:pPr>
        <w:pStyle w:val="FootnoteText"/>
      </w:pPr>
      <w:r>
        <w:rPr>
          <w:rStyle w:val="FootnoteReference"/>
        </w:rPr>
        <w:footnoteRef/>
      </w:r>
      <w:r>
        <w:t xml:space="preserve"> TURN Comments on the PD at 4.</w:t>
      </w:r>
    </w:p>
  </w:footnote>
  <w:footnote w:id="66">
    <w:p w14:paraId="07BFE929" w14:textId="77777777" w:rsidR="004D271A" w:rsidRDefault="004D271A" w:rsidP="00364766">
      <w:pPr>
        <w:pStyle w:val="FootnoteText"/>
      </w:pPr>
      <w:r>
        <w:rPr>
          <w:rStyle w:val="FootnoteReference"/>
        </w:rPr>
        <w:footnoteRef/>
      </w:r>
      <w:r>
        <w:t xml:space="preserve"> </w:t>
      </w:r>
      <w:r w:rsidRPr="007643B7">
        <w:rPr>
          <w:i/>
          <w:iCs/>
        </w:rPr>
        <w:t>Ibid.</w:t>
      </w:r>
    </w:p>
  </w:footnote>
  <w:footnote w:id="67">
    <w:p w14:paraId="68607739" w14:textId="77777777" w:rsidR="004D271A" w:rsidRDefault="004D271A" w:rsidP="00364766">
      <w:pPr>
        <w:pStyle w:val="FootnoteText"/>
      </w:pPr>
      <w:r>
        <w:rPr>
          <w:rStyle w:val="FootnoteReference"/>
        </w:rPr>
        <w:footnoteRef/>
      </w:r>
      <w:r>
        <w:t xml:space="preserve"> PG&amp;E Reply Comments on the PD at 3, emphasis added.</w:t>
      </w:r>
    </w:p>
  </w:footnote>
  <w:footnote w:id="68">
    <w:p w14:paraId="57CAC1CA" w14:textId="77777777" w:rsidR="004D271A" w:rsidRDefault="004D271A" w:rsidP="00364766">
      <w:pPr>
        <w:pStyle w:val="FootnoteText"/>
      </w:pPr>
      <w:r>
        <w:rPr>
          <w:rStyle w:val="FootnoteReference"/>
        </w:rPr>
        <w:footnoteRef/>
      </w:r>
      <w:r>
        <w:t xml:space="preserve"> SCE Comments on the PD, </w:t>
      </w:r>
      <w:r w:rsidRPr="00AF4A28">
        <w:t>Summary Of Proposed Changes</w:t>
      </w:r>
      <w:r>
        <w:t>, emphasis added.</w:t>
      </w:r>
    </w:p>
  </w:footnote>
  <w:footnote w:id="69">
    <w:p w14:paraId="2B43295B" w14:textId="77777777" w:rsidR="004D271A" w:rsidRDefault="004D271A" w:rsidP="00867AA7">
      <w:pPr>
        <w:pStyle w:val="FootnoteText"/>
        <w:rPr>
          <w:rStyle w:val="Hyperlink"/>
        </w:rPr>
      </w:pPr>
      <w:r>
        <w:rPr>
          <w:rStyle w:val="FootnoteReference"/>
        </w:rPr>
        <w:footnoteRef/>
      </w:r>
      <w:r>
        <w:t xml:space="preserve"> </w:t>
      </w:r>
      <w:r w:rsidRPr="000C3AA2">
        <w:rPr>
          <w:i/>
          <w:iCs/>
        </w:rPr>
        <w:t>See</w:t>
      </w:r>
      <w:r>
        <w:t>, PG&amp;E</w:t>
      </w:r>
      <w:r w:rsidRPr="00311CD2">
        <w:t xml:space="preserve"> presentation at January 11, 2017 workshop, at 3</w:t>
      </w:r>
      <w:r>
        <w:t>.</w:t>
      </w:r>
      <w:r w:rsidRPr="00311CD2">
        <w:t xml:space="preserve">  Available at</w:t>
      </w:r>
      <w:r>
        <w:t xml:space="preserve"> </w:t>
      </w:r>
      <w:hyperlink r:id="rId1" w:history="1">
        <w:r w:rsidRPr="00D242EC">
          <w:rPr>
            <w:rStyle w:val="Hyperlink"/>
          </w:rPr>
          <w:t>https://www.cpuc.ca.gov/WorkArea/DownloadAsset.aspx?id=6442452101</w:t>
        </w:r>
      </w:hyperlink>
    </w:p>
    <w:p w14:paraId="4A963F5B" w14:textId="77777777" w:rsidR="004D271A" w:rsidRDefault="004D271A" w:rsidP="00867AA7">
      <w:pPr>
        <w:pStyle w:val="FootnoteText"/>
      </w:pPr>
      <w:r w:rsidRPr="007643B7">
        <w:t xml:space="preserve">In </w:t>
      </w:r>
      <w:r>
        <w:t xml:space="preserve">its comments on the PD, </w:t>
      </w:r>
      <w:r w:rsidRPr="00073A45">
        <w:t xml:space="preserve">PG&amp;E </w:t>
      </w:r>
      <w:r>
        <w:t>clarifies that it “</w:t>
      </w:r>
      <w:r w:rsidRPr="00073A45">
        <w:t xml:space="preserve">does not seek </w:t>
      </w:r>
      <w:r w:rsidRPr="007643B7">
        <w:rPr>
          <w:i/>
          <w:iCs/>
        </w:rPr>
        <w:t>carte blanche</w:t>
      </w:r>
      <w:r w:rsidRPr="00073A45">
        <w:t xml:space="preserve"> in making reprioritization decisions</w:t>
      </w:r>
      <w:r>
        <w:t>” and recommends deletion of this reference.  PG&amp;E Comments on the PD at 4.  We leave the reference intact because the PD addressed a statement by PG&amp;E that is part of the record in this proceeding</w:t>
      </w:r>
      <w:r w:rsidRPr="00073A45">
        <w:t xml:space="preserve">.  </w:t>
      </w:r>
      <w:r>
        <w:t xml:space="preserve">However, we note PG&amp;E’s clarification of its position, which shall be our point of reference going forward. </w:t>
      </w:r>
    </w:p>
  </w:footnote>
  <w:footnote w:id="70">
    <w:p w14:paraId="010961DA" w14:textId="77777777" w:rsidR="004D271A" w:rsidRDefault="004D271A" w:rsidP="00867AA7">
      <w:pPr>
        <w:pStyle w:val="FootnoteText"/>
      </w:pPr>
      <w:r>
        <w:rPr>
          <w:rStyle w:val="FootnoteReference"/>
        </w:rPr>
        <w:footnoteRef/>
      </w:r>
      <w:r>
        <w:t xml:space="preserve"> SCE’s </w:t>
      </w:r>
      <w:r w:rsidRPr="000475AF">
        <w:t xml:space="preserve">presentation </w:t>
      </w:r>
      <w:r>
        <w:t>noted that because “</w:t>
      </w:r>
      <w:r w:rsidRPr="000475AF">
        <w:t>the utility industry is going through significant change and there are many emergent issues, forecast error will be magnified and managing the 4th year with authorized revenue requirement may prove challenging</w:t>
      </w:r>
      <w:r>
        <w:t xml:space="preserve">.”  </w:t>
      </w:r>
      <w:r w:rsidRPr="006A4D15">
        <w:rPr>
          <w:i/>
          <w:iCs/>
        </w:rPr>
        <w:t>See</w:t>
      </w:r>
      <w:r w:rsidRPr="006A4D15">
        <w:t xml:space="preserve">, </w:t>
      </w:r>
      <w:r>
        <w:t>SCE</w:t>
      </w:r>
      <w:r w:rsidRPr="006A4D15">
        <w:t xml:space="preserve"> presentation at January 11, 2017 workshop</w:t>
      </w:r>
      <w:r>
        <w:t xml:space="preserve">.  </w:t>
      </w:r>
      <w:r w:rsidRPr="00311CD2">
        <w:t>Available at</w:t>
      </w:r>
      <w:r>
        <w:t xml:space="preserve"> </w:t>
      </w:r>
      <w:hyperlink r:id="rId2" w:history="1">
        <w:r w:rsidRPr="00D242EC">
          <w:rPr>
            <w:rStyle w:val="Hyperlink"/>
          </w:rPr>
          <w:t>https://www.cpuc.ca.gov/WorkArea/DownloadAsset.aspx?id=6442462802</w:t>
        </w:r>
      </w:hyperlink>
      <w:r>
        <w:t xml:space="preserve"> </w:t>
      </w:r>
    </w:p>
  </w:footnote>
  <w:footnote w:id="71">
    <w:p w14:paraId="7BA04DD8" w14:textId="4C78F394" w:rsidR="004D271A" w:rsidRDefault="004D271A" w:rsidP="00593CF4">
      <w:pPr>
        <w:pStyle w:val="FootnoteText"/>
      </w:pPr>
      <w:r>
        <w:rPr>
          <w:rStyle w:val="FootnoteReference"/>
        </w:rPr>
        <w:footnoteRef/>
      </w:r>
      <w:r>
        <w:t xml:space="preserve"> </w:t>
      </w:r>
      <w:bookmarkStart w:id="39" w:name="_Hlk20928491"/>
      <w:r w:rsidRPr="006A4D15">
        <w:rPr>
          <w:i/>
          <w:iCs/>
        </w:rPr>
        <w:t>See</w:t>
      </w:r>
      <w:r>
        <w:t xml:space="preserve">, </w:t>
      </w:r>
      <w:r w:rsidRPr="006C4160">
        <w:t>TURN presentation at January 11, 2017 workshop</w:t>
      </w:r>
      <w:bookmarkEnd w:id="39"/>
      <w:r w:rsidRPr="006C4160">
        <w:t xml:space="preserve">, “Summary of TURN’s Positions” at 3.  Available at </w:t>
      </w:r>
      <w:hyperlink r:id="rId3" w:history="1">
        <w:r w:rsidRPr="009F0CA9">
          <w:rPr>
            <w:rStyle w:val="Hyperlink"/>
          </w:rPr>
          <w:t>https://www.cpuc.ca.gov/WorkArea/DownloadAsset.aspx?id=6442452102</w:t>
        </w:r>
      </w:hyperlink>
      <w:r>
        <w:t>.</w:t>
      </w:r>
    </w:p>
  </w:footnote>
  <w:footnote w:id="72">
    <w:p w14:paraId="67B84D3C" w14:textId="33F52757" w:rsidR="004D271A" w:rsidRDefault="004D271A">
      <w:pPr>
        <w:pStyle w:val="FootnoteText"/>
      </w:pPr>
      <w:r>
        <w:rPr>
          <w:rStyle w:val="FootnoteReference"/>
        </w:rPr>
        <w:footnoteRef/>
      </w:r>
      <w:r>
        <w:t xml:space="preserve"> SCE Comments on the PD, </w:t>
      </w:r>
      <w:r w:rsidRPr="00AF4A28">
        <w:t>Summary Of Proposed Changes</w:t>
      </w:r>
      <w:r>
        <w:t>.</w:t>
      </w:r>
    </w:p>
  </w:footnote>
  <w:footnote w:id="73">
    <w:p w14:paraId="6F3F03EF" w14:textId="31060768" w:rsidR="004D271A" w:rsidRDefault="004D271A">
      <w:pPr>
        <w:pStyle w:val="FootnoteText"/>
      </w:pPr>
      <w:r>
        <w:rPr>
          <w:rStyle w:val="FootnoteReference"/>
        </w:rPr>
        <w:footnoteRef/>
      </w:r>
      <w:r>
        <w:t xml:space="preserve"> </w:t>
      </w:r>
      <w:r w:rsidRPr="00D53A4B">
        <w:rPr>
          <w:i/>
          <w:iCs/>
        </w:rPr>
        <w:t>Id.</w:t>
      </w:r>
      <w:r>
        <w:t>, at 4 and Appendix B, emphasis added.</w:t>
      </w:r>
    </w:p>
  </w:footnote>
  <w:footnote w:id="74">
    <w:p w14:paraId="57DC2BCB" w14:textId="4208F096" w:rsidR="004D271A" w:rsidRDefault="004D271A">
      <w:pPr>
        <w:pStyle w:val="FootnoteText"/>
      </w:pPr>
      <w:r>
        <w:rPr>
          <w:rStyle w:val="FootnoteReference"/>
        </w:rPr>
        <w:footnoteRef/>
      </w:r>
      <w:r>
        <w:t xml:space="preserve"> TURN Reply Comments on the PD at 1</w:t>
      </w:r>
      <w:r>
        <w:noBreakHyphen/>
        <w:t>2.</w:t>
      </w:r>
    </w:p>
  </w:footnote>
  <w:footnote w:id="75">
    <w:p w14:paraId="3DF0D9CA" w14:textId="36A11FF6" w:rsidR="004D271A" w:rsidRDefault="004D271A" w:rsidP="00F10ECB">
      <w:pPr>
        <w:pStyle w:val="FootnoteText"/>
      </w:pPr>
      <w:r>
        <w:rPr>
          <w:rStyle w:val="FootnoteReference"/>
        </w:rPr>
        <w:footnoteRef/>
      </w:r>
      <w:r>
        <w:t xml:space="preserve"> TURN Reply Comments on the PD at 2, quoting and citing the Commission’s decision in PG&amp;E’s test year 2014 GRC, D.14</w:t>
      </w:r>
      <w:r>
        <w:noBreakHyphen/>
        <w:t>08</w:t>
      </w:r>
      <w:r>
        <w:noBreakHyphen/>
        <w:t>032 at 652</w:t>
      </w:r>
      <w:r>
        <w:noBreakHyphen/>
        <w:t>653.</w:t>
      </w:r>
    </w:p>
  </w:footnote>
  <w:footnote w:id="76">
    <w:p w14:paraId="6C94C4BB" w14:textId="04267E91" w:rsidR="004D271A" w:rsidRDefault="004D271A">
      <w:pPr>
        <w:pStyle w:val="FootnoteText"/>
      </w:pPr>
      <w:r>
        <w:rPr>
          <w:rStyle w:val="FootnoteReference"/>
        </w:rPr>
        <w:footnoteRef/>
      </w:r>
      <w:r>
        <w:t xml:space="preserve"> D.97</w:t>
      </w:r>
      <w:r>
        <w:noBreakHyphen/>
        <w:t>08</w:t>
      </w:r>
      <w:r>
        <w:noBreakHyphen/>
        <w:t xml:space="preserve">055, 73 CPUC 2d, 754. </w:t>
      </w:r>
    </w:p>
  </w:footnote>
  <w:footnote w:id="77">
    <w:p w14:paraId="21774959" w14:textId="77777777" w:rsidR="004D271A" w:rsidRDefault="004D271A">
      <w:pPr>
        <w:pStyle w:val="FootnoteText"/>
      </w:pPr>
      <w:r>
        <w:rPr>
          <w:rStyle w:val="FootnoteReference"/>
        </w:rPr>
        <w:footnoteRef/>
      </w:r>
      <w:r>
        <w:t xml:space="preserve"> Staff Report at 29, Section 7.5.</w:t>
      </w:r>
    </w:p>
  </w:footnote>
  <w:footnote w:id="78">
    <w:p w14:paraId="7845A43C" w14:textId="77777777" w:rsidR="004D271A" w:rsidRDefault="004D271A">
      <w:pPr>
        <w:pStyle w:val="FootnoteText"/>
      </w:pPr>
      <w:r>
        <w:rPr>
          <w:rStyle w:val="FootnoteReference"/>
        </w:rPr>
        <w:footnoteRef/>
      </w:r>
      <w:r>
        <w:t xml:space="preserve"> TURN Comments at 2.</w:t>
      </w:r>
    </w:p>
  </w:footnote>
  <w:footnote w:id="79">
    <w:p w14:paraId="22BA87E3" w14:textId="385C6416" w:rsidR="004D271A" w:rsidRDefault="004D271A" w:rsidP="003A7A62">
      <w:pPr>
        <w:pStyle w:val="FootnoteText"/>
      </w:pPr>
      <w:r>
        <w:rPr>
          <w:rStyle w:val="FootnoteReference"/>
        </w:rPr>
        <w:footnoteRef/>
      </w:r>
      <w:r>
        <w:t xml:space="preserve"> </w:t>
      </w:r>
      <w:r w:rsidRPr="00D14898">
        <w:t>D.19</w:t>
      </w:r>
      <w:r>
        <w:noBreakHyphen/>
      </w:r>
      <w:r w:rsidRPr="00D14898">
        <w:t>09</w:t>
      </w:r>
      <w:r>
        <w:noBreakHyphen/>
        <w:t>025, Ordering Paragraphs 2 and 101.</w:t>
      </w:r>
    </w:p>
  </w:footnote>
  <w:footnote w:id="80">
    <w:p w14:paraId="5A60A4B8" w14:textId="6BA6AC41" w:rsidR="004D271A" w:rsidRDefault="004D271A">
      <w:pPr>
        <w:pStyle w:val="FootnoteText"/>
      </w:pPr>
      <w:r>
        <w:rPr>
          <w:rStyle w:val="FootnoteReference"/>
        </w:rPr>
        <w:footnoteRef/>
      </w:r>
      <w:r>
        <w:t xml:space="preserve"> PG&amp;E comments on the PD at 2, citing </w:t>
      </w:r>
      <w:r w:rsidRPr="001717C8">
        <w:t>D.07</w:t>
      </w:r>
      <w:r>
        <w:noBreakHyphen/>
      </w:r>
      <w:r w:rsidRPr="001717C8">
        <w:t>07</w:t>
      </w:r>
      <w:r>
        <w:noBreakHyphen/>
      </w:r>
      <w:r w:rsidRPr="001717C8">
        <w:t xml:space="preserve">004, Appendix A, </w:t>
      </w:r>
      <w:r w:rsidR="00796D10">
        <w:t xml:space="preserve">at </w:t>
      </w:r>
      <w:r w:rsidRPr="001717C8">
        <w:t>A</w:t>
      </w:r>
      <w:r>
        <w:noBreakHyphen/>
      </w:r>
      <w:r w:rsidRPr="001717C8">
        <w:t xml:space="preserve">22. </w:t>
      </w:r>
    </w:p>
  </w:footnote>
  <w:footnote w:id="81">
    <w:p w14:paraId="3584CBD2" w14:textId="1A0A0E57" w:rsidR="004D271A" w:rsidRDefault="004D271A">
      <w:pPr>
        <w:pStyle w:val="FootnoteText"/>
      </w:pPr>
      <w:r>
        <w:rPr>
          <w:rStyle w:val="FootnoteReference"/>
        </w:rPr>
        <w:footnoteRef/>
      </w:r>
      <w:r>
        <w:t xml:space="preserve"> Our direction here is consistent with SCE’s comments on the PD (at 7</w:t>
      </w:r>
      <w:r>
        <w:noBreakHyphen/>
        <w:t>8), w</w:t>
      </w:r>
      <w:r w:rsidRPr="007456E6">
        <w:t xml:space="preserve">hich </w:t>
      </w:r>
      <w:r>
        <w:t>assume</w:t>
      </w:r>
      <w:r w:rsidRPr="007456E6">
        <w:t xml:space="preserve"> the timing for the filing of the Phase 2 application </w:t>
      </w:r>
      <w:r>
        <w:t>remains</w:t>
      </w:r>
      <w:r w:rsidRPr="007456E6">
        <w:t xml:space="preserve"> 90 days after the GRC Phase 1 application is filed.</w:t>
      </w:r>
    </w:p>
  </w:footnote>
  <w:footnote w:id="82">
    <w:p w14:paraId="68FBCD21" w14:textId="77777777" w:rsidR="004D271A" w:rsidRDefault="004D271A">
      <w:pPr>
        <w:pStyle w:val="FootnoteText"/>
      </w:pPr>
      <w:r>
        <w:rPr>
          <w:rStyle w:val="FootnoteReference"/>
        </w:rPr>
        <w:footnoteRef/>
      </w:r>
      <w:r>
        <w:t xml:space="preserve"> Staff Report at 24, Section 7.1.</w:t>
      </w:r>
    </w:p>
  </w:footnote>
  <w:footnote w:id="83">
    <w:p w14:paraId="1EF957A3" w14:textId="18F6470D" w:rsidR="004D271A" w:rsidRDefault="004D271A" w:rsidP="00B702ED">
      <w:pPr>
        <w:pStyle w:val="FootnoteText"/>
      </w:pPr>
      <w:r>
        <w:rPr>
          <w:rStyle w:val="FootnoteReference"/>
        </w:rPr>
        <w:footnoteRef/>
      </w:r>
      <w:r>
        <w:t xml:space="preserve"> </w:t>
      </w:r>
      <w:r w:rsidRPr="00F0251C">
        <w:t xml:space="preserve">In its comments on the Staff Report, the Public Advocates Office notes that it </w:t>
      </w:r>
      <w:r>
        <w:t>actually</w:t>
      </w:r>
      <w:r w:rsidRPr="00F0251C">
        <w:t xml:space="preserve"> requested a later due date in April, approximately mid</w:t>
      </w:r>
      <w:r>
        <w:noBreakHyphen/>
      </w:r>
      <w:r w:rsidRPr="00F0251C">
        <w:t>month, not the first of the month as Staff recommends.</w:t>
      </w:r>
      <w:r>
        <w:t xml:space="preserve">  Public Advocates Office Comments at 3</w:t>
      </w:r>
      <w:r>
        <w:noBreakHyphen/>
        <w:t>4.</w:t>
      </w:r>
    </w:p>
  </w:footnote>
  <w:footnote w:id="84">
    <w:p w14:paraId="5EA3CA3A" w14:textId="011B5FF8" w:rsidR="004D271A" w:rsidRDefault="004D271A" w:rsidP="00B702ED">
      <w:pPr>
        <w:pStyle w:val="FootnoteText"/>
      </w:pPr>
      <w:r>
        <w:rPr>
          <w:rStyle w:val="FootnoteReference"/>
        </w:rPr>
        <w:footnoteRef/>
      </w:r>
      <w:r>
        <w:t xml:space="preserve"> PG&amp;E Comments at 6.</w:t>
      </w:r>
      <w:r w:rsidRPr="000B637E">
        <w:t xml:space="preserve"> </w:t>
      </w:r>
      <w:r>
        <w:t xml:space="preserve"> Under current Commission practice, the utility must formally request this authorization, and the Commission addresses the request in a stand</w:t>
      </w:r>
      <w:r>
        <w:noBreakHyphen/>
        <w:t>alone decision early in the proceeding.</w:t>
      </w:r>
    </w:p>
  </w:footnote>
  <w:footnote w:id="85">
    <w:p w14:paraId="4C91EDE2" w14:textId="77777777" w:rsidR="004D271A" w:rsidRDefault="004D271A" w:rsidP="00B702ED">
      <w:pPr>
        <w:pStyle w:val="FootnoteText"/>
      </w:pPr>
      <w:r>
        <w:rPr>
          <w:rStyle w:val="FootnoteReference"/>
        </w:rPr>
        <w:footnoteRef/>
      </w:r>
      <w:r>
        <w:t xml:space="preserve"> SCE Comments at 3.</w:t>
      </w:r>
    </w:p>
  </w:footnote>
  <w:footnote w:id="86">
    <w:p w14:paraId="155FD6A3" w14:textId="77777777" w:rsidR="004D271A" w:rsidRDefault="004D271A" w:rsidP="00B702ED">
      <w:pPr>
        <w:pStyle w:val="FootnoteText"/>
      </w:pPr>
      <w:r>
        <w:rPr>
          <w:rStyle w:val="FootnoteReference"/>
        </w:rPr>
        <w:footnoteRef/>
      </w:r>
      <w:r>
        <w:t xml:space="preserve"> </w:t>
      </w:r>
      <w:r w:rsidRPr="00803B48">
        <w:t>SDG&amp;E and SoCalGas</w:t>
      </w:r>
      <w:r>
        <w:t xml:space="preserve"> Comments at 1.</w:t>
      </w:r>
    </w:p>
  </w:footnote>
  <w:footnote w:id="87">
    <w:p w14:paraId="1A162A23" w14:textId="596C1EAA" w:rsidR="004D271A" w:rsidRDefault="004D271A">
      <w:pPr>
        <w:pStyle w:val="FootnoteText"/>
      </w:pPr>
      <w:r>
        <w:rPr>
          <w:rStyle w:val="FootnoteReference"/>
        </w:rPr>
        <w:footnoteRef/>
      </w:r>
      <w:r>
        <w:t xml:space="preserve"> TURN Comments on the PD at 6</w:t>
      </w:r>
      <w:r>
        <w:noBreakHyphen/>
        <w:t>7, PG&amp;E Reply Comments on the PD at 3, SCE Reply Comments on the PD at 3.</w:t>
      </w:r>
    </w:p>
  </w:footnote>
  <w:footnote w:id="88">
    <w:p w14:paraId="322C0E81" w14:textId="1615F9FF" w:rsidR="004D271A" w:rsidRDefault="004D271A">
      <w:pPr>
        <w:pStyle w:val="FootnoteText"/>
      </w:pPr>
      <w:r>
        <w:rPr>
          <w:rStyle w:val="FootnoteReference"/>
        </w:rPr>
        <w:footnoteRef/>
      </w:r>
      <w:r>
        <w:t xml:space="preserve"> TURN Reply Comments on the PD at 3</w:t>
      </w:r>
      <w:r>
        <w:noBreakHyphen/>
        <w:t>4.</w:t>
      </w:r>
    </w:p>
  </w:footnote>
  <w:footnote w:id="89">
    <w:p w14:paraId="3AD80A5C" w14:textId="615EF8D8" w:rsidR="004D271A" w:rsidRDefault="004D271A">
      <w:pPr>
        <w:pStyle w:val="FootnoteText"/>
      </w:pPr>
      <w:r>
        <w:rPr>
          <w:rStyle w:val="FootnoteReference"/>
        </w:rPr>
        <w:footnoteRef/>
      </w:r>
      <w:r>
        <w:t xml:space="preserve"> SCE Comments on the PD at 8</w:t>
      </w:r>
      <w:r>
        <w:noBreakHyphen/>
        <w:t>9.</w:t>
      </w:r>
    </w:p>
  </w:footnote>
  <w:footnote w:id="90">
    <w:p w14:paraId="2308D3A8" w14:textId="5A9B50BF" w:rsidR="004D271A" w:rsidRDefault="004D271A">
      <w:pPr>
        <w:pStyle w:val="FootnoteText"/>
      </w:pPr>
      <w:r>
        <w:rPr>
          <w:rStyle w:val="FootnoteReference"/>
        </w:rPr>
        <w:footnoteRef/>
      </w:r>
      <w:r>
        <w:t xml:space="preserve"> In their comments on the PD (at 11</w:t>
      </w:r>
      <w:r>
        <w:noBreakHyphen/>
        <w:t xml:space="preserve">12), SDG&amp;E and SoCalGas raise concerns about the status conference and the application of Rule 13.14.  The PD anticipated and addressed the issues they raise regarding use of this milestone for anything other than facilitating preparation of the PD.  In addition, Rule 13.14(a) in its entirety provides that “[a] </w:t>
      </w:r>
      <w:r w:rsidRPr="00841FA3">
        <w:t xml:space="preserve">proceeding shall stand submitted for decision by the Commission after the taking of evidence, the filing of briefs, and the presentation of oral argument </w:t>
      </w:r>
      <w:r w:rsidRPr="00C00539">
        <w:rPr>
          <w:u w:val="single"/>
        </w:rPr>
        <w:t>as may have been prescribed</w:t>
      </w:r>
      <w:r>
        <w:rPr>
          <w:u w:val="single"/>
        </w:rPr>
        <w:t>”</w:t>
      </w:r>
      <w:r>
        <w:t xml:space="preserve"> (emphasis added).  SDG&amp;E and SoCalGas omit the underlined qualifier, incorrectly suggesting that the PD could lead to an </w:t>
      </w:r>
      <w:r w:rsidRPr="00841FA3">
        <w:t>outcome inconsistent with Rule 13.14 and other due process concerns</w:t>
      </w:r>
      <w:r>
        <w:t>.</w:t>
      </w:r>
    </w:p>
  </w:footnote>
  <w:footnote w:id="91">
    <w:p w14:paraId="4A955A7C" w14:textId="57A3C946" w:rsidR="004D271A" w:rsidRDefault="004D271A">
      <w:pPr>
        <w:pStyle w:val="FootnoteText"/>
      </w:pPr>
      <w:r>
        <w:rPr>
          <w:rStyle w:val="FootnoteReference"/>
        </w:rPr>
        <w:footnoteRef/>
      </w:r>
      <w:r>
        <w:t xml:space="preserve"> PG&amp;E Comments on the PD at 5</w:t>
      </w:r>
      <w:r>
        <w:noBreakHyphen/>
        <w:t>6.</w:t>
      </w:r>
    </w:p>
  </w:footnote>
  <w:footnote w:id="92">
    <w:p w14:paraId="1FF8A8F7" w14:textId="6C5F3373" w:rsidR="004D271A" w:rsidRDefault="004D271A">
      <w:pPr>
        <w:pStyle w:val="FootnoteText"/>
      </w:pPr>
      <w:r>
        <w:rPr>
          <w:rStyle w:val="FootnoteReference"/>
        </w:rPr>
        <w:footnoteRef/>
      </w:r>
      <w:r>
        <w:t xml:space="preserve"> </w:t>
      </w:r>
      <w:r w:rsidRPr="00393D4E">
        <w:rPr>
          <w:i/>
          <w:iCs/>
        </w:rPr>
        <w:t>Id.</w:t>
      </w:r>
      <w:r>
        <w:t xml:space="preserve"> at 6.</w:t>
      </w:r>
    </w:p>
  </w:footnote>
  <w:footnote w:id="93">
    <w:p w14:paraId="05001CDA" w14:textId="1A4322B5" w:rsidR="004D271A" w:rsidRDefault="004D271A">
      <w:pPr>
        <w:pStyle w:val="FootnoteText"/>
      </w:pPr>
      <w:r>
        <w:rPr>
          <w:rStyle w:val="FootnoteReference"/>
        </w:rPr>
        <w:footnoteRef/>
      </w:r>
      <w:r>
        <w:t xml:space="preserve"> </w:t>
      </w:r>
      <w:r w:rsidRPr="00D533BA">
        <w:rPr>
          <w:i/>
          <w:iCs/>
        </w:rPr>
        <w:t>Id.</w:t>
      </w:r>
      <w:r>
        <w:t xml:space="preserve"> at 8</w:t>
      </w:r>
      <w:r>
        <w:noBreakHyphen/>
        <w:t>9.</w:t>
      </w:r>
    </w:p>
  </w:footnote>
  <w:footnote w:id="94">
    <w:p w14:paraId="3C727DE4" w14:textId="77C9E1CC" w:rsidR="004D271A" w:rsidRDefault="004D271A" w:rsidP="009844A2">
      <w:pPr>
        <w:pStyle w:val="FootnoteText"/>
      </w:pPr>
      <w:r>
        <w:rPr>
          <w:rStyle w:val="FootnoteReference"/>
        </w:rPr>
        <w:footnoteRef/>
      </w:r>
      <w:r>
        <w:t xml:space="preserve"> In their respective GRC applications filed in 2017 </w:t>
      </w:r>
      <w:r w:rsidRPr="00744D80">
        <w:t>SoCalGas and SDG&amp;E</w:t>
      </w:r>
      <w:r>
        <w:t xml:space="preserve"> each</w:t>
      </w:r>
      <w:r w:rsidRPr="00744D80">
        <w:t xml:space="preserve"> </w:t>
      </w:r>
      <w:r>
        <w:t>requested authorization for a third attrition year.  The Commission addressed these applications in D.</w:t>
      </w:r>
      <w:r w:rsidRPr="00744D80">
        <w:t>19</w:t>
      </w:r>
      <w:r>
        <w:noBreakHyphen/>
      </w:r>
      <w:r w:rsidRPr="00744D80">
        <w:t>09</w:t>
      </w:r>
      <w:r>
        <w:noBreakHyphen/>
      </w:r>
      <w:r w:rsidRPr="00744D80">
        <w:t>051</w:t>
      </w:r>
      <w:r>
        <w:t>.  In Ordering Paragraph 33 of D.</w:t>
      </w:r>
      <w:r w:rsidRPr="00744D80">
        <w:t>19</w:t>
      </w:r>
      <w:r>
        <w:noBreakHyphen/>
      </w:r>
      <w:r w:rsidRPr="00744D80">
        <w:t>09</w:t>
      </w:r>
      <w:r>
        <w:noBreakHyphen/>
      </w:r>
      <w:r w:rsidRPr="00744D80">
        <w:t>051</w:t>
      </w:r>
      <w:r>
        <w:t xml:space="preserve"> the Commission directed that if</w:t>
      </w:r>
      <w:r w:rsidRPr="00744D80">
        <w:t xml:space="preserve"> a decision adopting a four</w:t>
      </w:r>
      <w:r>
        <w:noBreakHyphen/>
      </w:r>
      <w:r w:rsidRPr="00744D80">
        <w:t xml:space="preserve">year </w:t>
      </w:r>
      <w:r>
        <w:t>GRC</w:t>
      </w:r>
      <w:r w:rsidRPr="00744D80">
        <w:t xml:space="preserve"> cycle is </w:t>
      </w:r>
      <w:r>
        <w:t xml:space="preserve">adopted in this </w:t>
      </w:r>
      <w:r w:rsidRPr="00744D80">
        <w:t>Rulemaking</w:t>
      </w:r>
      <w:r>
        <w:t xml:space="preserve">, </w:t>
      </w:r>
      <w:r w:rsidRPr="00744D80">
        <w:t xml:space="preserve">SoCalGas and SDG&amp;E </w:t>
      </w:r>
      <w:r>
        <w:t>“</w:t>
      </w:r>
      <w:r w:rsidRPr="00744D80">
        <w:t>shall file a petition for modification of this decision</w:t>
      </w:r>
      <w:r>
        <w:t>”</w:t>
      </w:r>
      <w:r w:rsidRPr="00744D80">
        <w:t xml:space="preserve"> to request review and implementation</w:t>
      </w:r>
      <w:r>
        <w:t xml:space="preserve"> of</w:t>
      </w:r>
      <w:r w:rsidRPr="00744D80">
        <w:t xml:space="preserve"> </w:t>
      </w:r>
      <w:r>
        <w:t xml:space="preserve">their </w:t>
      </w:r>
      <w:r w:rsidRPr="00744D80">
        <w:t>post</w:t>
      </w:r>
      <w:r>
        <w:noBreakHyphen/>
      </w:r>
      <w:r w:rsidRPr="00744D80">
        <w:t>test year proposals for 2022.</w:t>
      </w:r>
    </w:p>
  </w:footnote>
  <w:footnote w:id="95">
    <w:p w14:paraId="18B9F566" w14:textId="77777777" w:rsidR="004D271A" w:rsidRDefault="004D271A">
      <w:pPr>
        <w:pStyle w:val="FootnoteText"/>
      </w:pPr>
      <w:r>
        <w:rPr>
          <w:rStyle w:val="FootnoteReference"/>
        </w:rPr>
        <w:footnoteRef/>
      </w:r>
      <w:r>
        <w:t xml:space="preserve"> Staff Report at 25, Section 7.2.</w:t>
      </w:r>
    </w:p>
  </w:footnote>
  <w:footnote w:id="96">
    <w:p w14:paraId="3107F6CA" w14:textId="77777777" w:rsidR="004D271A" w:rsidRDefault="004D271A">
      <w:pPr>
        <w:pStyle w:val="FootnoteText"/>
      </w:pPr>
      <w:r>
        <w:rPr>
          <w:rStyle w:val="FootnoteReference"/>
        </w:rPr>
        <w:footnoteRef/>
      </w:r>
      <w:r>
        <w:t xml:space="preserve"> PG&amp;E Comments at 9; SCE Reply Comments at 2;</w:t>
      </w:r>
      <w:r w:rsidRPr="00FF36D4">
        <w:t xml:space="preserve"> </w:t>
      </w:r>
      <w:r w:rsidRPr="00FB15B6">
        <w:t xml:space="preserve">SDG&amp;E and SoCalGas </w:t>
      </w:r>
      <w:r>
        <w:t>Comments at 1;</w:t>
      </w:r>
      <w:r w:rsidRPr="00FF36D4">
        <w:t xml:space="preserve"> </w:t>
      </w:r>
      <w:r>
        <w:t>TURN Comments at 2.</w:t>
      </w:r>
    </w:p>
  </w:footnote>
  <w:footnote w:id="97">
    <w:p w14:paraId="199367B8" w14:textId="77777777" w:rsidR="004D271A" w:rsidRDefault="004D271A">
      <w:pPr>
        <w:pStyle w:val="FootnoteText"/>
      </w:pPr>
      <w:r>
        <w:rPr>
          <w:rStyle w:val="FootnoteReference"/>
        </w:rPr>
        <w:footnoteRef/>
      </w:r>
      <w:r>
        <w:t xml:space="preserve"> </w:t>
      </w:r>
      <w:r w:rsidRPr="002A0E81">
        <w:t xml:space="preserve">SCE </w:t>
      </w:r>
      <w:r>
        <w:t xml:space="preserve">Reply </w:t>
      </w:r>
      <w:r w:rsidRPr="002A0E81">
        <w:t xml:space="preserve">Comments at </w:t>
      </w:r>
      <w:r>
        <w:t>2.</w:t>
      </w:r>
    </w:p>
  </w:footnote>
  <w:footnote w:id="98">
    <w:p w14:paraId="46FECA7F" w14:textId="67CA7228" w:rsidR="004D271A" w:rsidRDefault="004D271A" w:rsidP="00740217">
      <w:pPr>
        <w:pStyle w:val="FootnoteText"/>
      </w:pPr>
      <w:r>
        <w:rPr>
          <w:rStyle w:val="FootnoteReference"/>
        </w:rPr>
        <w:footnoteRef/>
      </w:r>
      <w:r>
        <w:t xml:space="preserve"> The Staff Report explains at 10 (footnote 15):  “[w]hen a utility files a GRC, the utility needs to include recorded spending data from the most recent year in its filing to justify the forecasted costs in the test year.  This year of recorded spending data is called the base year.”  With a three</w:t>
      </w:r>
      <w:r>
        <w:noBreakHyphen/>
        <w:t>year GRC cycle, the base year of recorded data for a future GRC filing is the test year of the last GRC filing.</w:t>
      </w:r>
    </w:p>
  </w:footnote>
  <w:footnote w:id="99">
    <w:p w14:paraId="37AB3D02" w14:textId="77777777" w:rsidR="004D271A" w:rsidRDefault="004D271A">
      <w:pPr>
        <w:pStyle w:val="FootnoteText"/>
      </w:pPr>
      <w:r>
        <w:rPr>
          <w:rStyle w:val="FootnoteReference"/>
        </w:rPr>
        <w:footnoteRef/>
      </w:r>
      <w:r>
        <w:t xml:space="preserve"> SCE Comments at 9.</w:t>
      </w:r>
    </w:p>
  </w:footnote>
  <w:footnote w:id="100">
    <w:p w14:paraId="3F504B85" w14:textId="77777777" w:rsidR="004D271A" w:rsidRDefault="004D271A">
      <w:pPr>
        <w:pStyle w:val="FootnoteText"/>
      </w:pPr>
      <w:r>
        <w:rPr>
          <w:rStyle w:val="FootnoteReference"/>
        </w:rPr>
        <w:footnoteRef/>
      </w:r>
      <w:r>
        <w:t xml:space="preserve"> </w:t>
      </w:r>
      <w:r w:rsidRPr="002A0E81">
        <w:t>SDG&amp;E and SoCalGas</w:t>
      </w:r>
      <w:r>
        <w:t xml:space="preserve"> Comments at 2.</w:t>
      </w:r>
    </w:p>
  </w:footnote>
  <w:footnote w:id="101">
    <w:p w14:paraId="066E0656" w14:textId="77777777" w:rsidR="004D271A" w:rsidRDefault="004D271A">
      <w:pPr>
        <w:pStyle w:val="FootnoteText"/>
      </w:pPr>
      <w:r>
        <w:rPr>
          <w:rStyle w:val="FootnoteReference"/>
        </w:rPr>
        <w:footnoteRef/>
      </w:r>
      <w:r>
        <w:t xml:space="preserve"> SCE Comments at 9.</w:t>
      </w:r>
    </w:p>
  </w:footnote>
  <w:footnote w:id="102">
    <w:p w14:paraId="45F5BCA0" w14:textId="77777777" w:rsidR="004D271A" w:rsidRDefault="004D271A">
      <w:pPr>
        <w:pStyle w:val="FootnoteText"/>
      </w:pPr>
      <w:r>
        <w:rPr>
          <w:rStyle w:val="FootnoteReference"/>
        </w:rPr>
        <w:footnoteRef/>
      </w:r>
      <w:r>
        <w:t xml:space="preserve"> </w:t>
      </w:r>
      <w:r w:rsidRPr="005C4F44">
        <w:t>SDG&amp;E and SoCalGas Comments at 2.</w:t>
      </w:r>
    </w:p>
  </w:footnote>
  <w:footnote w:id="103">
    <w:p w14:paraId="7F52267B" w14:textId="77777777" w:rsidR="004D271A" w:rsidRDefault="004D271A">
      <w:pPr>
        <w:pStyle w:val="FootnoteText"/>
      </w:pPr>
      <w:r>
        <w:rPr>
          <w:rStyle w:val="FootnoteReference"/>
        </w:rPr>
        <w:footnoteRef/>
      </w:r>
      <w:r>
        <w:t xml:space="preserve"> </w:t>
      </w:r>
      <w:r w:rsidRPr="005C4F44">
        <w:rPr>
          <w:i/>
          <w:iCs/>
        </w:rPr>
        <w:t>Ibid.</w:t>
      </w:r>
    </w:p>
  </w:footnote>
  <w:footnote w:id="104">
    <w:p w14:paraId="0D9B2D28" w14:textId="77777777" w:rsidR="004D271A" w:rsidRDefault="004D271A">
      <w:pPr>
        <w:pStyle w:val="FootnoteText"/>
      </w:pPr>
      <w:r>
        <w:rPr>
          <w:rStyle w:val="FootnoteReference"/>
        </w:rPr>
        <w:footnoteRef/>
      </w:r>
      <w:r>
        <w:t xml:space="preserve"> Staff Report at 19.  To ensure parties have a common understanding of this proposal, we provide the following definition of a </w:t>
      </w:r>
      <w:r w:rsidRPr="001E4F5C">
        <w:t>rebuttable presumption</w:t>
      </w:r>
      <w:r>
        <w:t>:  “a</w:t>
      </w:r>
      <w:r w:rsidRPr="001E4F5C">
        <w:t xml:space="preserve"> presumption which is not conclusive but may be overcome by opposing evidence.</w:t>
      </w:r>
      <w:r>
        <w:t>”  Accessed online at Ballentine's Law Dictionary, LexisNexis, July 11, 2019.</w:t>
      </w:r>
    </w:p>
  </w:footnote>
  <w:footnote w:id="105">
    <w:p w14:paraId="151FFD5F" w14:textId="77777777" w:rsidR="004D271A" w:rsidRDefault="004D271A">
      <w:pPr>
        <w:pStyle w:val="FootnoteText"/>
      </w:pPr>
      <w:r>
        <w:rPr>
          <w:rStyle w:val="FootnoteReference"/>
        </w:rPr>
        <w:footnoteRef/>
      </w:r>
      <w:r>
        <w:t xml:space="preserve"> Staff Report at 20 and 26.</w:t>
      </w:r>
    </w:p>
  </w:footnote>
  <w:footnote w:id="106">
    <w:p w14:paraId="0747F4F1" w14:textId="77777777" w:rsidR="004D271A" w:rsidRDefault="004D271A">
      <w:pPr>
        <w:pStyle w:val="FootnoteText"/>
      </w:pPr>
      <w:r>
        <w:rPr>
          <w:rStyle w:val="FootnoteReference"/>
        </w:rPr>
        <w:footnoteRef/>
      </w:r>
      <w:r>
        <w:t xml:space="preserve"> SCE Comments at 7.</w:t>
      </w:r>
    </w:p>
  </w:footnote>
  <w:footnote w:id="107">
    <w:p w14:paraId="6E8C6357" w14:textId="77777777" w:rsidR="004D271A" w:rsidRDefault="004D271A">
      <w:pPr>
        <w:pStyle w:val="FootnoteText"/>
      </w:pPr>
      <w:r>
        <w:rPr>
          <w:rStyle w:val="FootnoteReference"/>
        </w:rPr>
        <w:footnoteRef/>
      </w:r>
      <w:r>
        <w:t xml:space="preserve"> </w:t>
      </w:r>
      <w:r w:rsidRPr="002A0E81">
        <w:t>SDG&amp;E and SoCalGas</w:t>
      </w:r>
      <w:r>
        <w:t xml:space="preserve"> Comments at 2.</w:t>
      </w:r>
    </w:p>
  </w:footnote>
  <w:footnote w:id="108">
    <w:p w14:paraId="1ACBFDBD" w14:textId="77777777" w:rsidR="004D271A" w:rsidRDefault="004D271A">
      <w:pPr>
        <w:pStyle w:val="FootnoteText"/>
      </w:pPr>
      <w:r>
        <w:rPr>
          <w:rStyle w:val="FootnoteReference"/>
        </w:rPr>
        <w:footnoteRef/>
      </w:r>
      <w:r>
        <w:t xml:space="preserve"> </w:t>
      </w:r>
      <w:r w:rsidRPr="001E4F5C">
        <w:rPr>
          <w:i/>
          <w:iCs/>
        </w:rPr>
        <w:t>Ibid.</w:t>
      </w:r>
    </w:p>
  </w:footnote>
  <w:footnote w:id="109">
    <w:p w14:paraId="5B036F28" w14:textId="3BD1E205" w:rsidR="004D271A" w:rsidRDefault="004D271A">
      <w:pPr>
        <w:pStyle w:val="FootnoteText"/>
      </w:pPr>
      <w:r>
        <w:rPr>
          <w:rStyle w:val="FootnoteReference"/>
        </w:rPr>
        <w:footnoteRef/>
      </w:r>
      <w:r>
        <w:t xml:space="preserve"> TURN Comments at 3.</w:t>
      </w:r>
    </w:p>
  </w:footnote>
  <w:footnote w:id="110">
    <w:p w14:paraId="1ED1FC53" w14:textId="77777777" w:rsidR="004D271A" w:rsidRDefault="004D271A">
      <w:pPr>
        <w:pStyle w:val="FootnoteText"/>
      </w:pPr>
      <w:r>
        <w:rPr>
          <w:rStyle w:val="FootnoteReference"/>
        </w:rPr>
        <w:footnoteRef/>
      </w:r>
      <w:r>
        <w:t xml:space="preserve"> PG&amp;E Comments at 9.</w:t>
      </w:r>
    </w:p>
  </w:footnote>
  <w:footnote w:id="111">
    <w:p w14:paraId="78C9CC9F" w14:textId="26B195E3" w:rsidR="004D271A" w:rsidRDefault="004D271A" w:rsidP="00006DC0">
      <w:pPr>
        <w:pStyle w:val="FootnoteText"/>
      </w:pPr>
      <w:r>
        <w:rPr>
          <w:rStyle w:val="FootnoteReference"/>
        </w:rPr>
        <w:footnoteRef/>
      </w:r>
      <w:r>
        <w:t xml:space="preserve"> </w:t>
      </w:r>
      <w:r w:rsidRPr="00F65BBB">
        <w:rPr>
          <w:i/>
          <w:iCs/>
        </w:rPr>
        <w:t>See</w:t>
      </w:r>
      <w:r>
        <w:t>, for example, A.18</w:t>
      </w:r>
      <w:r>
        <w:noBreakHyphen/>
        <w:t>12</w:t>
      </w:r>
      <w:r>
        <w:noBreakHyphen/>
        <w:t>009, PG&amp;E’s application for authority to increase rates and charges for electric and gas service effective on January 1, 2020, at 5, Table 2, “</w:t>
      </w:r>
      <w:r w:rsidRPr="00006DC0">
        <w:t>Impact on Non</w:t>
      </w:r>
      <w:r>
        <w:noBreakHyphen/>
      </w:r>
      <w:r w:rsidRPr="00006DC0">
        <w:t>CARE Residential Typical Customer Bills</w:t>
      </w:r>
      <w:r>
        <w:t>.”</w:t>
      </w:r>
    </w:p>
  </w:footnote>
  <w:footnote w:id="112">
    <w:p w14:paraId="70BBF31C" w14:textId="1396F225" w:rsidR="004D271A" w:rsidRDefault="004D271A">
      <w:pPr>
        <w:pStyle w:val="FootnoteText"/>
      </w:pPr>
      <w:r>
        <w:rPr>
          <w:rStyle w:val="FootnoteReference"/>
        </w:rPr>
        <w:footnoteRef/>
      </w:r>
      <w:r>
        <w:t xml:space="preserve"> As the FERC explains on its website, it </w:t>
      </w:r>
      <w:r w:rsidRPr="00BA6157">
        <w:t xml:space="preserve">is </w:t>
      </w:r>
      <w:r>
        <w:t>“</w:t>
      </w:r>
      <w:r w:rsidRPr="00BA6157">
        <w:t>responsible for the accounting</w:t>
      </w:r>
      <w:r>
        <w:t xml:space="preserve"> </w:t>
      </w:r>
      <w:r w:rsidRPr="00BA6157">
        <w:t xml:space="preserve">and financial reporting of its jurisdictional companies. </w:t>
      </w:r>
      <w:r>
        <w:t xml:space="preserve"> </w:t>
      </w:r>
      <w:r w:rsidRPr="00BA6157">
        <w:t>This is accomplished through the development and maintenance of the Commission's Uniform System of</w:t>
      </w:r>
      <w:r>
        <w:t xml:space="preserve"> </w:t>
      </w:r>
      <w:r w:rsidRPr="00BA6157">
        <w:t>Accounts</w:t>
      </w:r>
      <w:r>
        <w:t>” which “</w:t>
      </w:r>
      <w:r w:rsidRPr="00FF12A2">
        <w:t>provides basic account descriptions, instructions, and accounting definitions</w:t>
      </w:r>
      <w:r>
        <w:t>”</w:t>
      </w:r>
      <w:r w:rsidRPr="00FF12A2">
        <w:t xml:space="preserve"> that </w:t>
      </w:r>
      <w:r>
        <w:t xml:space="preserve">the FERC describes as </w:t>
      </w:r>
      <w:r w:rsidRPr="00FF12A2">
        <w:t xml:space="preserve">useful in understanding the information reported in </w:t>
      </w:r>
      <w:r>
        <w:t xml:space="preserve">electric utilities’ annual reports to the FERC, which are commonly known at the “FERC Form 1.”  </w:t>
      </w:r>
      <w:hyperlink r:id="rId4" w:history="1">
        <w:r w:rsidRPr="009F0CA9">
          <w:rPr>
            <w:rStyle w:val="Hyperlink"/>
          </w:rPr>
          <w:t>https://www.ferc.gov/enforcement/acct</w:t>
        </w:r>
        <w:r>
          <w:rPr>
            <w:rStyle w:val="Hyperlink"/>
          </w:rPr>
          <w:noBreakHyphen/>
        </w:r>
        <w:r w:rsidRPr="009F0CA9">
          <w:rPr>
            <w:rStyle w:val="Hyperlink"/>
          </w:rPr>
          <w:t>matts/usofa.asp</w:t>
        </w:r>
      </w:hyperlink>
      <w:r>
        <w:t xml:space="preserve"> </w:t>
      </w:r>
      <w:r w:rsidRPr="00711D1C">
        <w:t xml:space="preserve"> </w:t>
      </w:r>
    </w:p>
    <w:p w14:paraId="756A630B" w14:textId="546A72A4" w:rsidR="004D271A" w:rsidRDefault="004D271A">
      <w:pPr>
        <w:pStyle w:val="FootnoteText"/>
      </w:pPr>
      <w:r>
        <w:t>In turn, the FERC describes its Form 1 as “</w:t>
      </w:r>
      <w:r w:rsidRPr="00FF12A2">
        <w:t xml:space="preserve">a comprehensive financial and operating report submitted annually for electric rate regulation, market oversight analysis, and financial audits by </w:t>
      </w:r>
      <w:r>
        <w:t>m</w:t>
      </w:r>
      <w:r w:rsidRPr="00FF12A2">
        <w:t>ajor electric utilities</w:t>
      </w:r>
      <w:r>
        <w:t xml:space="preserve">.” </w:t>
      </w:r>
      <w:hyperlink r:id="rId5" w:anchor="1" w:history="1">
        <w:r w:rsidRPr="00BE04C8">
          <w:rPr>
            <w:rStyle w:val="Hyperlink"/>
          </w:rPr>
          <w:t>https://www.ferc.gov/docs</w:t>
        </w:r>
        <w:r>
          <w:rPr>
            <w:rStyle w:val="Hyperlink"/>
          </w:rPr>
          <w:noBreakHyphen/>
        </w:r>
        <w:r w:rsidRPr="00BE04C8">
          <w:rPr>
            <w:rStyle w:val="Hyperlink"/>
          </w:rPr>
          <w:t>filing/forms.asp?new=sc1#1</w:t>
        </w:r>
      </w:hyperlink>
    </w:p>
    <w:p w14:paraId="0D66902A" w14:textId="77777777" w:rsidR="004D271A" w:rsidRDefault="004D271A">
      <w:pPr>
        <w:pStyle w:val="FootnoteText"/>
      </w:pPr>
      <w:r>
        <w:t>Our record is unclear regarding whether the FERC requires similar standardized accounting by natural gas distribution companies.</w:t>
      </w:r>
    </w:p>
  </w:footnote>
  <w:footnote w:id="113">
    <w:p w14:paraId="32B555C7" w14:textId="44B587E6" w:rsidR="004D271A" w:rsidRDefault="004D271A">
      <w:pPr>
        <w:pStyle w:val="FootnoteText"/>
      </w:pPr>
      <w:r>
        <w:rPr>
          <w:rStyle w:val="FootnoteReference"/>
        </w:rPr>
        <w:footnoteRef/>
      </w:r>
      <w:r>
        <w:t xml:space="preserve"> SDG&amp;E and SoCalGas joint Comments at 3.  </w:t>
      </w:r>
      <w:r w:rsidRPr="00BA6157">
        <w:rPr>
          <w:i/>
          <w:iCs/>
        </w:rPr>
        <w:t>See also</w:t>
      </w:r>
      <w:r>
        <w:t xml:space="preserve"> PG&amp;E Comments at 9</w:t>
      </w:r>
      <w:r>
        <w:noBreakHyphen/>
        <w:t>10 and SCE Comments at 6</w:t>
      </w:r>
      <w:r>
        <w:noBreakHyphen/>
        <w:t>7.</w:t>
      </w:r>
    </w:p>
  </w:footnote>
  <w:footnote w:id="114">
    <w:p w14:paraId="1DB2055D" w14:textId="3011910C" w:rsidR="004D271A" w:rsidRDefault="004D271A">
      <w:pPr>
        <w:pStyle w:val="FootnoteText"/>
      </w:pPr>
      <w:r>
        <w:rPr>
          <w:rStyle w:val="FootnoteReference"/>
        </w:rPr>
        <w:footnoteRef/>
      </w:r>
      <w:r>
        <w:t xml:space="preserve"> </w:t>
      </w:r>
      <w:r w:rsidRPr="0045716D">
        <w:rPr>
          <w:i/>
          <w:iCs/>
        </w:rPr>
        <w:t>See</w:t>
      </w:r>
      <w:r>
        <w:t>, TURN Comments on the PD at 3</w:t>
      </w:r>
      <w:r>
        <w:noBreakHyphen/>
        <w:t>4.</w:t>
      </w:r>
    </w:p>
  </w:footnote>
  <w:footnote w:id="115">
    <w:p w14:paraId="5DA471D9" w14:textId="7FFF9E6A" w:rsidR="004D271A" w:rsidRDefault="004D271A">
      <w:pPr>
        <w:pStyle w:val="FootnoteText"/>
      </w:pPr>
      <w:r>
        <w:rPr>
          <w:rStyle w:val="FootnoteReference"/>
        </w:rPr>
        <w:footnoteRef/>
      </w:r>
      <w:r>
        <w:t xml:space="preserve"> </w:t>
      </w:r>
      <w:r w:rsidRPr="0045716D">
        <w:rPr>
          <w:i/>
          <w:iCs/>
        </w:rPr>
        <w:t>See</w:t>
      </w:r>
      <w:r>
        <w:t>, SCE Comments on the PD at 2</w:t>
      </w:r>
      <w:r>
        <w:noBreakHyphen/>
        <w:t>4.</w:t>
      </w:r>
    </w:p>
  </w:footnote>
  <w:footnote w:id="116">
    <w:p w14:paraId="71A887CF" w14:textId="77777777" w:rsidR="004D271A" w:rsidRDefault="004D271A">
      <w:pPr>
        <w:pStyle w:val="FootnoteText"/>
      </w:pPr>
      <w:r>
        <w:rPr>
          <w:rStyle w:val="FootnoteReference"/>
        </w:rPr>
        <w:footnoteRef/>
      </w:r>
      <w:r>
        <w:t xml:space="preserve"> Staff Report at 27, Section 7.3.</w:t>
      </w:r>
    </w:p>
  </w:footnote>
  <w:footnote w:id="117">
    <w:p w14:paraId="696F0C34" w14:textId="77777777" w:rsidR="004D271A" w:rsidRDefault="004D271A" w:rsidP="00FB15B6">
      <w:pPr>
        <w:pStyle w:val="FootnoteText"/>
      </w:pPr>
      <w:r>
        <w:rPr>
          <w:rStyle w:val="FootnoteReference"/>
        </w:rPr>
        <w:footnoteRef/>
      </w:r>
      <w:r>
        <w:t xml:space="preserve"> </w:t>
      </w:r>
      <w:r w:rsidRPr="002A0E81">
        <w:t>SDG&amp;E and SoCalGas</w:t>
      </w:r>
      <w:r>
        <w:t xml:space="preserve"> Comments at 3.</w:t>
      </w:r>
    </w:p>
  </w:footnote>
  <w:footnote w:id="118">
    <w:p w14:paraId="64341868" w14:textId="77777777" w:rsidR="004D271A" w:rsidRDefault="004D271A" w:rsidP="00FB15B6">
      <w:pPr>
        <w:pStyle w:val="FootnoteText"/>
      </w:pPr>
      <w:r>
        <w:rPr>
          <w:rStyle w:val="FootnoteReference"/>
        </w:rPr>
        <w:footnoteRef/>
      </w:r>
      <w:r>
        <w:t xml:space="preserve"> TURN Comments at 3.</w:t>
      </w:r>
    </w:p>
  </w:footnote>
  <w:footnote w:id="119">
    <w:p w14:paraId="3D992EBD" w14:textId="77777777" w:rsidR="004D271A" w:rsidRDefault="004D271A" w:rsidP="00FB15B6">
      <w:pPr>
        <w:pStyle w:val="FootnoteText"/>
      </w:pPr>
      <w:r>
        <w:rPr>
          <w:rStyle w:val="FootnoteReference"/>
        </w:rPr>
        <w:footnoteRef/>
      </w:r>
      <w:r>
        <w:t xml:space="preserve"> SCE Comments at 5.</w:t>
      </w:r>
    </w:p>
  </w:footnote>
  <w:footnote w:id="120">
    <w:p w14:paraId="38A2E426" w14:textId="58E9F016" w:rsidR="004D271A" w:rsidRDefault="004D271A" w:rsidP="00FB15B6">
      <w:pPr>
        <w:pStyle w:val="FootnoteText"/>
      </w:pPr>
      <w:r>
        <w:rPr>
          <w:rStyle w:val="FootnoteReference"/>
        </w:rPr>
        <w:footnoteRef/>
      </w:r>
      <w:r>
        <w:t xml:space="preserve"> PG&amp;E Comments at 2 and 8</w:t>
      </w:r>
      <w:r>
        <w:noBreakHyphen/>
        <w:t>9.</w:t>
      </w:r>
    </w:p>
  </w:footnote>
  <w:footnote w:id="121">
    <w:p w14:paraId="5C175753" w14:textId="73A473EF" w:rsidR="004D271A" w:rsidRDefault="004D271A" w:rsidP="00FB15B6">
      <w:pPr>
        <w:pStyle w:val="FootnoteText"/>
      </w:pPr>
      <w:r>
        <w:rPr>
          <w:rStyle w:val="FootnoteReference"/>
        </w:rPr>
        <w:footnoteRef/>
      </w:r>
      <w:r w:rsidRPr="00DE480A">
        <w:rPr>
          <w:i/>
          <w:iCs/>
        </w:rPr>
        <w:t xml:space="preserve"> See</w:t>
      </w:r>
      <w:r>
        <w:t xml:space="preserve">, for </w:t>
      </w:r>
      <w:r w:rsidRPr="002A0E81">
        <w:t>SDG&amp;E and SoCalGas</w:t>
      </w:r>
      <w:r>
        <w:t xml:space="preserve">, </w:t>
      </w:r>
      <w:r w:rsidRPr="00DE480A">
        <w:t>D.16</w:t>
      </w:r>
      <w:r>
        <w:noBreakHyphen/>
      </w:r>
      <w:r w:rsidRPr="00DE480A">
        <w:t>06</w:t>
      </w:r>
      <w:r>
        <w:noBreakHyphen/>
      </w:r>
      <w:r w:rsidRPr="00DE480A">
        <w:t>054</w:t>
      </w:r>
      <w:r>
        <w:t>, Ordering Paragraph (OP) 4; for PG&amp;E, D.17</w:t>
      </w:r>
      <w:r>
        <w:noBreakHyphen/>
        <w:t>05</w:t>
      </w:r>
      <w:r>
        <w:noBreakHyphen/>
        <w:t>013, OP 11; and for SCE, D.19</w:t>
      </w:r>
      <w:r>
        <w:noBreakHyphen/>
        <w:t>05</w:t>
      </w:r>
      <w:r>
        <w:noBreakHyphen/>
        <w:t>020, OP 5.</w:t>
      </w:r>
    </w:p>
  </w:footnote>
  <w:footnote w:id="122">
    <w:p w14:paraId="0F38016B" w14:textId="3772312B" w:rsidR="004D271A" w:rsidRDefault="004D271A">
      <w:pPr>
        <w:pStyle w:val="FootnoteText"/>
      </w:pPr>
      <w:r>
        <w:rPr>
          <w:rStyle w:val="FootnoteReference"/>
        </w:rPr>
        <w:footnoteRef/>
      </w:r>
      <w:r>
        <w:t xml:space="preserve"> TURN states that it </w:t>
      </w:r>
      <w:r w:rsidRPr="00BF6802">
        <w:t>continues to believe that a three</w:t>
      </w:r>
      <w:r>
        <w:noBreakHyphen/>
      </w:r>
      <w:r w:rsidRPr="00BF6802">
        <w:t>year GRC cycle is preferable</w:t>
      </w:r>
      <w:r>
        <w:t>.  Rather than re</w:t>
      </w:r>
      <w:r>
        <w:noBreakHyphen/>
        <w:t>argue its case in its comments, TURN addresses what it perceives as misguided assumptions and analytical errors in the 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E1651" w14:textId="77777777" w:rsidR="002A06A3" w:rsidRDefault="002A0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C79F" w14:textId="77777777" w:rsidR="002A06A3" w:rsidRDefault="002A0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1D07" w14:textId="77777777" w:rsidR="002A06A3" w:rsidRDefault="002A0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04F8A" w14:textId="177E1447" w:rsidR="004D271A" w:rsidRDefault="004D271A" w:rsidP="00F46B43">
    <w:pPr>
      <w:pStyle w:val="Header"/>
      <w:tabs>
        <w:tab w:val="clear" w:pos="4680"/>
      </w:tabs>
      <w:ind w:firstLine="0"/>
      <w:rPr>
        <w:b/>
      </w:rPr>
    </w:pPr>
    <w:r>
      <w:t>R.13</w:t>
    </w:r>
    <w:r>
      <w:noBreakHyphen/>
      <w:t>11</w:t>
    </w:r>
    <w:r>
      <w:noBreakHyphen/>
      <w:t>006  COM/CR6/avs/jt2</w:t>
    </w:r>
  </w:p>
  <w:p w14:paraId="387CB9D2" w14:textId="77777777" w:rsidR="004D271A" w:rsidRDefault="004D271A" w:rsidP="00F46B43">
    <w:pPr>
      <w:pStyle w:val="Header"/>
      <w:ind w:firstLine="0"/>
    </w:pPr>
  </w:p>
  <w:p w14:paraId="56F8AB2A" w14:textId="77777777" w:rsidR="004D271A" w:rsidRPr="00F46B43" w:rsidRDefault="004D271A" w:rsidP="00F46B43">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59D6" w14:textId="73266A5B" w:rsidR="004D271A" w:rsidRDefault="004D271A" w:rsidP="002C7573">
    <w:pPr>
      <w:pStyle w:val="Header"/>
      <w:tabs>
        <w:tab w:val="clear" w:pos="4680"/>
      </w:tabs>
      <w:ind w:firstLine="0"/>
      <w:rPr>
        <w:b/>
      </w:rPr>
    </w:pPr>
    <w:r>
      <w:t>R.13</w:t>
    </w:r>
    <w:r>
      <w:noBreakHyphen/>
      <w:t>11</w:t>
    </w:r>
    <w:r>
      <w:noBreakHyphen/>
      <w:t>006  COM/CR6/avs/jt2</w:t>
    </w:r>
  </w:p>
  <w:p w14:paraId="5F26C2D8" w14:textId="173B4BAC" w:rsidR="004D271A" w:rsidRDefault="004D271A" w:rsidP="00F46B43">
    <w:pPr>
      <w:pStyle w:val="Header"/>
      <w:ind w:firstLine="0"/>
    </w:pPr>
  </w:p>
  <w:p w14:paraId="58D2D2A9" w14:textId="77777777" w:rsidR="004D271A" w:rsidRPr="00F46B43" w:rsidRDefault="004D271A" w:rsidP="00F46B43">
    <w:pPr>
      <w:pStyle w:val="Header"/>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D876F" w14:textId="2DCADAA7" w:rsidR="004D271A" w:rsidRDefault="004D271A" w:rsidP="002C7573">
    <w:pPr>
      <w:pStyle w:val="Header"/>
      <w:tabs>
        <w:tab w:val="clear" w:pos="4680"/>
      </w:tabs>
      <w:ind w:firstLine="0"/>
      <w:rPr>
        <w:b/>
      </w:rPr>
    </w:pPr>
    <w:r>
      <w:t>R.13</w:t>
    </w:r>
    <w:r>
      <w:noBreakHyphen/>
      <w:t>11</w:t>
    </w:r>
    <w:r>
      <w:noBreakHyphen/>
      <w:t>006  COM/CR6/avs/jt2</w:t>
    </w:r>
  </w:p>
  <w:p w14:paraId="6037CFC8" w14:textId="77777777" w:rsidR="004D271A" w:rsidRDefault="004D271A" w:rsidP="007C78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0B7C" w14:textId="0832EB9A" w:rsidR="004D271A" w:rsidRDefault="004D271A" w:rsidP="002C7573">
    <w:pPr>
      <w:pStyle w:val="Header"/>
      <w:tabs>
        <w:tab w:val="clear" w:pos="4680"/>
      </w:tabs>
      <w:ind w:firstLine="0"/>
      <w:rPr>
        <w:b/>
      </w:rPr>
    </w:pPr>
    <w:r>
      <w:t>R.13</w:t>
    </w:r>
    <w:r>
      <w:noBreakHyphen/>
      <w:t>11</w:t>
    </w:r>
    <w:r>
      <w:noBreakHyphen/>
      <w:t>006  COM/CR6/avs/jt2</w:t>
    </w:r>
  </w:p>
  <w:p w14:paraId="3BB077FD" w14:textId="77777777" w:rsidR="004D271A" w:rsidRDefault="004D271A" w:rsidP="007C7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9EBC05C4"/>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35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012A6103"/>
    <w:multiLevelType w:val="hybridMultilevel"/>
    <w:tmpl w:val="DD4C37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236F60"/>
    <w:multiLevelType w:val="hybridMultilevel"/>
    <w:tmpl w:val="88628D58"/>
    <w:lvl w:ilvl="0" w:tplc="16D06EC2">
      <w:start w:val="15"/>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152069"/>
    <w:multiLevelType w:val="hybridMultilevel"/>
    <w:tmpl w:val="15582E0E"/>
    <w:lvl w:ilvl="0" w:tplc="0409000F">
      <w:start w:val="1"/>
      <w:numFmt w:val="decimal"/>
      <w:lvlText w:val="%1."/>
      <w:lvlJc w:val="left"/>
      <w:pPr>
        <w:ind w:left="1440" w:hanging="360"/>
      </w:pPr>
    </w:lvl>
    <w:lvl w:ilvl="1" w:tplc="0409000F">
      <w:start w:val="1"/>
      <w:numFmt w:val="decimal"/>
      <w:lvlText w:val="%2."/>
      <w:lvlJc w:val="left"/>
      <w:pPr>
        <w:ind w:left="2520" w:hanging="720"/>
      </w:pPr>
      <w:rPr>
        <w:rFonts w:hint="default"/>
      </w:rPr>
    </w:lvl>
    <w:lvl w:ilvl="2" w:tplc="D31ED2C8">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2D0FC8"/>
    <w:multiLevelType w:val="hybridMultilevel"/>
    <w:tmpl w:val="4A7A9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081292"/>
    <w:multiLevelType w:val="hybridMultilevel"/>
    <w:tmpl w:val="39FCFB9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71065E"/>
    <w:multiLevelType w:val="hybridMultilevel"/>
    <w:tmpl w:val="CAF82F7E"/>
    <w:lvl w:ilvl="0" w:tplc="0409000F">
      <w:start w:val="1"/>
      <w:numFmt w:val="decimal"/>
      <w:lvlText w:val="%1."/>
      <w:lvlJc w:val="left"/>
      <w:pPr>
        <w:ind w:left="1080" w:hanging="360"/>
      </w:pPr>
    </w:lvl>
    <w:lvl w:ilvl="1" w:tplc="6B40DB8A">
      <w:start w:val="1"/>
      <w:numFmt w:val="decimal"/>
      <w:lvlText w:val="(%2)"/>
      <w:lvlJc w:val="left"/>
      <w:pPr>
        <w:ind w:left="1812" w:hanging="37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C1C14"/>
    <w:multiLevelType w:val="multilevel"/>
    <w:tmpl w:val="18F4A5AC"/>
    <w:styleLink w:val="FoFCoLOP"/>
    <w:lvl w:ilvl="0">
      <w:start w:val="1"/>
      <w:numFmt w:val="decimal"/>
      <w:pStyle w:val="FoF"/>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9">
    <w:nsid w:val="15F056CB"/>
    <w:multiLevelType w:val="multilevel"/>
    <w:tmpl w:val="18F4A5AC"/>
    <w:numStyleLink w:val="FoFCoLOP"/>
  </w:abstractNum>
  <w:abstractNum w:abstractNumId="10">
    <w:nsid w:val="17A00975"/>
    <w:multiLevelType w:val="hybridMultilevel"/>
    <w:tmpl w:val="0256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193E0D"/>
    <w:multiLevelType w:val="hybridMultilevel"/>
    <w:tmpl w:val="698A5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2242C9"/>
    <w:multiLevelType w:val="multilevel"/>
    <w:tmpl w:val="4E00EF1A"/>
    <w:numStyleLink w:val="Headings"/>
  </w:abstractNum>
  <w:abstractNum w:abstractNumId="13">
    <w:nsid w:val="1E5569FB"/>
    <w:multiLevelType w:val="hybridMultilevel"/>
    <w:tmpl w:val="3DEAB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2F10A3"/>
    <w:multiLevelType w:val="hybridMultilevel"/>
    <w:tmpl w:val="62FE1582"/>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0F">
      <w:start w:val="1"/>
      <w:numFmt w:val="decimal"/>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1E632EF"/>
    <w:multiLevelType w:val="hybridMultilevel"/>
    <w:tmpl w:val="88220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9C62D9"/>
    <w:multiLevelType w:val="hybridMultilevel"/>
    <w:tmpl w:val="2B84AB9A"/>
    <w:lvl w:ilvl="0" w:tplc="0409000F">
      <w:start w:val="1"/>
      <w:numFmt w:val="decimal"/>
      <w:lvlText w:val="%1."/>
      <w:lvlJc w:val="left"/>
      <w:pPr>
        <w:ind w:left="1440" w:hanging="360"/>
      </w:pPr>
    </w:lvl>
    <w:lvl w:ilvl="1" w:tplc="660073F4">
      <w:start w:val="1"/>
      <w:numFmt w:val="decimal"/>
      <w:lvlText w:val="%2)"/>
      <w:lvlJc w:val="left"/>
      <w:pPr>
        <w:ind w:left="2520" w:hanging="720"/>
      </w:pPr>
      <w:rPr>
        <w:rFonts w:hint="default"/>
      </w:rPr>
    </w:lvl>
    <w:lvl w:ilvl="2" w:tplc="D31ED2C8">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5758D2"/>
    <w:multiLevelType w:val="hybridMultilevel"/>
    <w:tmpl w:val="1902A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451DEF"/>
    <w:multiLevelType w:val="hybridMultilevel"/>
    <w:tmpl w:val="0B843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DE4848"/>
    <w:multiLevelType w:val="hybridMultilevel"/>
    <w:tmpl w:val="779E6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1F6D42"/>
    <w:multiLevelType w:val="multilevel"/>
    <w:tmpl w:val="4E00EF1A"/>
    <w:styleLink w:val="Headings"/>
    <w:lvl w:ilvl="0">
      <w:start w:val="1"/>
      <w:numFmt w:val="decimal"/>
      <w:pStyle w:val="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pStyle w:val="Heading2"/>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rPr>
    </w:lvl>
    <w:lvl w:ilvl="2">
      <w:start w:val="1"/>
      <w:numFmt w:val="decimal"/>
      <w:pStyle w:val="Heading3"/>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rPr>
    </w:lvl>
    <w:lvl w:ilvl="3">
      <w:start w:val="1"/>
      <w:numFmt w:val="decimal"/>
      <w:pStyle w:val="Heading4"/>
      <w:lvlText w:val="%1.%2.%3.%4."/>
      <w:lvlJc w:val="left"/>
      <w:pPr>
        <w:tabs>
          <w:tab w:val="num" w:pos="2160"/>
        </w:tabs>
        <w:ind w:left="3240" w:hanging="1080"/>
      </w:pPr>
      <w:rPr>
        <w:rFonts w:ascii="Arial" w:hAnsi="Arial" w:hint="default"/>
        <w:b/>
        <w:i w:val="0"/>
        <w:caps w:val="0"/>
        <w:strike w:val="0"/>
        <w:dstrike w:val="0"/>
        <w:vanish w:val="0"/>
        <w:kern w:val="0"/>
        <w:sz w:val="26"/>
        <w:vertAlign w:val="baseline"/>
      </w:rPr>
    </w:lvl>
    <w:lvl w:ilvl="4">
      <w:start w:val="1"/>
      <w:numFmt w:val="decimal"/>
      <w:pStyle w:val="Heading5"/>
      <w:lvlText w:val="%1.%2.%3.%4.%5."/>
      <w:lvlJc w:val="left"/>
      <w:pPr>
        <w:tabs>
          <w:tab w:val="num" w:pos="2880"/>
        </w:tabs>
        <w:ind w:left="4176" w:hanging="1296"/>
      </w:pPr>
      <w:rPr>
        <w:rFonts w:ascii="Arial" w:hAnsi="Arial" w:hint="default"/>
        <w:b/>
        <w:i w:val="0"/>
        <w:sz w:val="26"/>
      </w:rPr>
    </w:lvl>
    <w:lvl w:ilvl="5">
      <w:start w:val="1"/>
      <w:numFmt w:val="decimal"/>
      <w:pStyle w:val="Heading6"/>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nsid w:val="3CA377D9"/>
    <w:multiLevelType w:val="hybridMultilevel"/>
    <w:tmpl w:val="05EA3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E5632E"/>
    <w:multiLevelType w:val="hybridMultilevel"/>
    <w:tmpl w:val="5AE69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DE0CFB"/>
    <w:multiLevelType w:val="hybridMultilevel"/>
    <w:tmpl w:val="7114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B0186"/>
    <w:multiLevelType w:val="hybridMultilevel"/>
    <w:tmpl w:val="089A7692"/>
    <w:lvl w:ilvl="0" w:tplc="4AE6DDFE">
      <w:start w:val="1"/>
      <w:numFmt w:val="decimal"/>
      <w:lvlText w:val="%1."/>
      <w:lvlJc w:val="left"/>
      <w:pPr>
        <w:ind w:left="1308" w:hanging="5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180A71"/>
    <w:multiLevelType w:val="hybridMultilevel"/>
    <w:tmpl w:val="AA5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352A9"/>
    <w:multiLevelType w:val="hybridMultilevel"/>
    <w:tmpl w:val="DF8459C0"/>
    <w:lvl w:ilvl="0" w:tplc="0409000F">
      <w:start w:val="1"/>
      <w:numFmt w:val="decimal"/>
      <w:lvlText w:val="%1."/>
      <w:lvlJc w:val="left"/>
      <w:pPr>
        <w:ind w:left="1080" w:hanging="360"/>
      </w:pPr>
    </w:lvl>
    <w:lvl w:ilvl="1" w:tplc="0409000F">
      <w:start w:val="1"/>
      <w:numFmt w:val="decimal"/>
      <w:lvlText w:val="%2."/>
      <w:lvlJc w:val="left"/>
      <w:pPr>
        <w:ind w:left="1812" w:hanging="37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C32DF3"/>
    <w:multiLevelType w:val="hybridMultilevel"/>
    <w:tmpl w:val="1902A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D042D7"/>
    <w:multiLevelType w:val="multilevel"/>
    <w:tmpl w:val="18F4A5AC"/>
    <w:numStyleLink w:val="FoFCoLOP"/>
  </w:abstractNum>
  <w:abstractNum w:abstractNumId="29">
    <w:nsid w:val="5A9E2171"/>
    <w:multiLevelType w:val="multilevel"/>
    <w:tmpl w:val="BD4C7B80"/>
    <w:lvl w:ilvl="0">
      <w:start w:val="1"/>
      <w:numFmt w:val="decimal"/>
      <w:pStyle w:val="ALJHeading1"/>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pStyle w:val="ALJHeading2"/>
      <w:lvlText w:val="%1.%2."/>
      <w:lvlJc w:val="left"/>
      <w:pPr>
        <w:ind w:left="1440" w:hanging="720"/>
      </w:pPr>
      <w:rPr>
        <w:rFonts w:ascii="Arial" w:hAnsi="Arial" w:hint="default"/>
        <w:b/>
        <w:i w:val="0"/>
        <w:caps w:val="0"/>
        <w:strike w:val="0"/>
        <w:dstrike w:val="0"/>
        <w:vanish w:val="0"/>
        <w:color w:val="auto"/>
        <w:kern w:val="0"/>
        <w:sz w:val="26"/>
        <w:u w:val="none"/>
        <w:vertAlign w:val="baseline"/>
      </w:rPr>
    </w:lvl>
    <w:lvl w:ilvl="2">
      <w:start w:val="1"/>
      <w:numFmt w:val="decimal"/>
      <w:pStyle w:val="ALJHeading3"/>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B7272B1"/>
    <w:multiLevelType w:val="multilevel"/>
    <w:tmpl w:val="A00EDE12"/>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pPr>
        <w:tabs>
          <w:tab w:val="num" w:pos="720"/>
        </w:tabs>
        <w:ind w:left="1368" w:hanging="648"/>
      </w:pPr>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pPr>
        <w:tabs>
          <w:tab w:val="num" w:pos="1440"/>
        </w:tabs>
        <w:ind w:left="2304" w:hanging="864"/>
      </w:pPr>
      <w:rPr>
        <w:rFonts w:ascii="Arial" w:hAnsi="Arial" w:hint="default"/>
        <w:b/>
        <w:i w:val="0"/>
        <w:caps w:val="0"/>
        <w:strike w:val="0"/>
        <w:dstrike w:val="0"/>
        <w:vanish w:val="0"/>
        <w:color w:val="auto"/>
        <w:kern w:val="0"/>
        <w:sz w:val="26"/>
        <w:u w:val="none"/>
        <w:vertAlign w:val="baseline"/>
      </w:rPr>
    </w:lvl>
    <w:lvl w:ilvl="3">
      <w:start w:val="1"/>
      <w:numFmt w:val="decimal"/>
      <w:lvlText w:val="%1.%2.%3.%4."/>
      <w:lvlJc w:val="left"/>
      <w:pPr>
        <w:tabs>
          <w:tab w:val="num" w:pos="2160"/>
        </w:tabs>
        <w:ind w:left="3240" w:hanging="1080"/>
      </w:pPr>
      <w:rPr>
        <w:rFonts w:ascii="Arial" w:hAnsi="Arial" w:hint="default"/>
        <w:b/>
        <w:i w:val="0"/>
        <w:caps w:val="0"/>
        <w:strike w:val="0"/>
        <w:dstrike w:val="0"/>
        <w:vanish w:val="0"/>
        <w:kern w:val="0"/>
        <w:sz w:val="26"/>
        <w:vertAlign w:val="baseline"/>
      </w:rPr>
    </w:lvl>
    <w:lvl w:ilvl="4">
      <w:start w:val="1"/>
      <w:numFmt w:val="decimal"/>
      <w:lvlText w:val="%1.%2.%3.%4.%5."/>
      <w:lvlJc w:val="left"/>
      <w:pPr>
        <w:tabs>
          <w:tab w:val="num" w:pos="2880"/>
        </w:tabs>
        <w:ind w:left="4176" w:hanging="1296"/>
      </w:pPr>
      <w:rPr>
        <w:rFonts w:ascii="Arial" w:hAnsi="Arial" w:hint="default"/>
        <w:b/>
        <w:i w:val="0"/>
        <w:sz w:val="26"/>
      </w:rPr>
    </w:lvl>
    <w:lvl w:ilvl="5">
      <w:start w:val="1"/>
      <w:numFmt w:val="decimal"/>
      <w:lvlText w:val="%1.%2.%3.%4.%5.%6."/>
      <w:lvlJc w:val="left"/>
      <w:pPr>
        <w:tabs>
          <w:tab w:val="num" w:pos="3600"/>
        </w:tabs>
        <w:ind w:left="51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decimal"/>
      <w:lvlText w:val="%8."/>
      <w:lvlJc w:val="left"/>
      <w:pPr>
        <w:ind w:left="1080" w:hanging="360"/>
      </w:pPr>
      <w:rPr>
        <w:rFonts w:hint="default"/>
        <w:sz w:val="26"/>
      </w:rPr>
    </w:lvl>
    <w:lvl w:ilvl="8">
      <w:start w:val="1"/>
      <w:numFmt w:val="none"/>
      <w:lvlText w:val=""/>
      <w:lvlJc w:val="left"/>
      <w:pPr>
        <w:ind w:left="3240" w:hanging="360"/>
      </w:pPr>
      <w:rPr>
        <w:rFonts w:hint="default"/>
      </w:rPr>
    </w:lvl>
  </w:abstractNum>
  <w:abstractNum w:abstractNumId="31">
    <w:nsid w:val="5E552B3A"/>
    <w:multiLevelType w:val="hybridMultilevel"/>
    <w:tmpl w:val="085C3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B87E7F"/>
    <w:multiLevelType w:val="hybridMultilevel"/>
    <w:tmpl w:val="41E438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A432AB"/>
    <w:multiLevelType w:val="hybridMultilevel"/>
    <w:tmpl w:val="27402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067711"/>
    <w:multiLevelType w:val="hybridMultilevel"/>
    <w:tmpl w:val="29CE48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9A0AFE"/>
    <w:multiLevelType w:val="multilevel"/>
    <w:tmpl w:val="18F4A5AC"/>
    <w:numStyleLink w:val="FoFCoLOP"/>
  </w:abstractNum>
  <w:abstractNum w:abstractNumId="37">
    <w:nsid w:val="7BA2460F"/>
    <w:multiLevelType w:val="multilevel"/>
    <w:tmpl w:val="C52476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096BF9"/>
    <w:multiLevelType w:val="hybridMultilevel"/>
    <w:tmpl w:val="F1B2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D743BE"/>
    <w:multiLevelType w:val="hybridMultilevel"/>
    <w:tmpl w:val="07B8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num>
  <w:num w:numId="4">
    <w:abstractNumId w:val="9"/>
  </w:num>
  <w:num w:numId="5">
    <w:abstractNumId w:val="36"/>
  </w:num>
  <w:num w:numId="6">
    <w:abstractNumId w:val="20"/>
  </w:num>
  <w:num w:numId="7">
    <w:abstractNumId w:val="12"/>
  </w:num>
  <w:num w:numId="8">
    <w:abstractNumId w:val="34"/>
  </w:num>
  <w:num w:numId="9">
    <w:abstractNumId w:val="0"/>
  </w:num>
  <w:num w:numId="10">
    <w:abstractNumId w:val="2"/>
  </w:num>
  <w:num w:numId="11">
    <w:abstractNumId w:val="38"/>
  </w:num>
  <w:num w:numId="12">
    <w:abstractNumId w:val="1"/>
  </w:num>
  <w:num w:numId="13">
    <w:abstractNumId w:val="37"/>
  </w:num>
  <w:num w:numId="14">
    <w:abstractNumId w:val="21"/>
  </w:num>
  <w:num w:numId="15">
    <w:abstractNumId w:val="16"/>
  </w:num>
  <w:num w:numId="16">
    <w:abstractNumId w:val="31"/>
  </w:num>
  <w:num w:numId="17">
    <w:abstractNumId w:val="19"/>
  </w:num>
  <w:num w:numId="18">
    <w:abstractNumId w:val="14"/>
  </w:num>
  <w:num w:numId="19">
    <w:abstractNumId w:val="32"/>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35"/>
  </w:num>
  <w:num w:numId="29">
    <w:abstractNumId w:val="30"/>
  </w:num>
  <w:num w:numId="30">
    <w:abstractNumId w:val="20"/>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1"/>
  </w:num>
  <w:num w:numId="38">
    <w:abstractNumId w:val="22"/>
  </w:num>
  <w:num w:numId="39">
    <w:abstractNumId w:val="15"/>
  </w:num>
  <w:num w:numId="40">
    <w:abstractNumId w:val="0"/>
  </w:num>
  <w:num w:numId="41">
    <w:abstractNumId w:val="0"/>
  </w:num>
  <w:num w:numId="42">
    <w:abstractNumId w:val="25"/>
  </w:num>
  <w:num w:numId="43">
    <w:abstractNumId w:val="23"/>
  </w:num>
  <w:num w:numId="44">
    <w:abstractNumId w:val="13"/>
  </w:num>
  <w:num w:numId="45">
    <w:abstractNumId w:val="33"/>
  </w:num>
  <w:num w:numId="46">
    <w:abstractNumId w:val="27"/>
  </w:num>
  <w:num w:numId="47">
    <w:abstractNumId w:val="17"/>
  </w:num>
  <w:num w:numId="48">
    <w:abstractNumId w:val="7"/>
  </w:num>
  <w:num w:numId="49">
    <w:abstractNumId w:val="26"/>
  </w:num>
  <w:num w:numId="50">
    <w:abstractNumId w:val="6"/>
  </w:num>
  <w:num w:numId="51">
    <w:abstractNumId w:val="28"/>
  </w:num>
  <w:num w:numId="52">
    <w:abstractNumId w:val="3"/>
  </w:num>
  <w:num w:numId="53">
    <w:abstractNumId w:val="18"/>
  </w:num>
  <w:num w:numId="54">
    <w:abstractNumId w:val="24"/>
  </w:num>
  <w:num w:numId="55">
    <w:abstractNumId w:val="5"/>
  </w:num>
  <w:num w:numId="5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F0"/>
    <w:rsid w:val="00000816"/>
    <w:rsid w:val="00000F6A"/>
    <w:rsid w:val="00001F69"/>
    <w:rsid w:val="0000255A"/>
    <w:rsid w:val="000030FB"/>
    <w:rsid w:val="00004360"/>
    <w:rsid w:val="00004DB5"/>
    <w:rsid w:val="000058A6"/>
    <w:rsid w:val="00006DC0"/>
    <w:rsid w:val="0001222E"/>
    <w:rsid w:val="00014B5D"/>
    <w:rsid w:val="00015DAB"/>
    <w:rsid w:val="00016E33"/>
    <w:rsid w:val="0002234E"/>
    <w:rsid w:val="0002310D"/>
    <w:rsid w:val="00023781"/>
    <w:rsid w:val="00023C5D"/>
    <w:rsid w:val="00024613"/>
    <w:rsid w:val="00025172"/>
    <w:rsid w:val="00026D93"/>
    <w:rsid w:val="00030485"/>
    <w:rsid w:val="00031090"/>
    <w:rsid w:val="00031F09"/>
    <w:rsid w:val="00032852"/>
    <w:rsid w:val="00033BAE"/>
    <w:rsid w:val="000353D5"/>
    <w:rsid w:val="0003611F"/>
    <w:rsid w:val="000376F8"/>
    <w:rsid w:val="000408AC"/>
    <w:rsid w:val="000432A0"/>
    <w:rsid w:val="00043E32"/>
    <w:rsid w:val="00045D2A"/>
    <w:rsid w:val="000475AF"/>
    <w:rsid w:val="00051F39"/>
    <w:rsid w:val="000521BE"/>
    <w:rsid w:val="00060492"/>
    <w:rsid w:val="000611F9"/>
    <w:rsid w:val="000616A0"/>
    <w:rsid w:val="00062A86"/>
    <w:rsid w:val="00063336"/>
    <w:rsid w:val="00066D93"/>
    <w:rsid w:val="00070DB8"/>
    <w:rsid w:val="00070EBE"/>
    <w:rsid w:val="00071080"/>
    <w:rsid w:val="0007115A"/>
    <w:rsid w:val="0007204E"/>
    <w:rsid w:val="0007365D"/>
    <w:rsid w:val="00073A45"/>
    <w:rsid w:val="000743CD"/>
    <w:rsid w:val="000803C4"/>
    <w:rsid w:val="00081734"/>
    <w:rsid w:val="0008343E"/>
    <w:rsid w:val="00083E1A"/>
    <w:rsid w:val="000867AF"/>
    <w:rsid w:val="00087CF1"/>
    <w:rsid w:val="00087D01"/>
    <w:rsid w:val="00092C50"/>
    <w:rsid w:val="00094251"/>
    <w:rsid w:val="0009493D"/>
    <w:rsid w:val="0009653E"/>
    <w:rsid w:val="00096FB4"/>
    <w:rsid w:val="000973C8"/>
    <w:rsid w:val="000A10C9"/>
    <w:rsid w:val="000A1399"/>
    <w:rsid w:val="000A2AA9"/>
    <w:rsid w:val="000A4151"/>
    <w:rsid w:val="000A4F0E"/>
    <w:rsid w:val="000A56F2"/>
    <w:rsid w:val="000A61F8"/>
    <w:rsid w:val="000A671A"/>
    <w:rsid w:val="000A6E05"/>
    <w:rsid w:val="000B076B"/>
    <w:rsid w:val="000B0E09"/>
    <w:rsid w:val="000B12FA"/>
    <w:rsid w:val="000B3E89"/>
    <w:rsid w:val="000B41D4"/>
    <w:rsid w:val="000B637E"/>
    <w:rsid w:val="000B6470"/>
    <w:rsid w:val="000C08BF"/>
    <w:rsid w:val="000C247C"/>
    <w:rsid w:val="000C2ABA"/>
    <w:rsid w:val="000C3AA2"/>
    <w:rsid w:val="000C3B9A"/>
    <w:rsid w:val="000C3DD8"/>
    <w:rsid w:val="000C514D"/>
    <w:rsid w:val="000C54F6"/>
    <w:rsid w:val="000D20C4"/>
    <w:rsid w:val="000D25A8"/>
    <w:rsid w:val="000D2BB0"/>
    <w:rsid w:val="000D64F8"/>
    <w:rsid w:val="000D6852"/>
    <w:rsid w:val="000E17E5"/>
    <w:rsid w:val="000E1858"/>
    <w:rsid w:val="000E19D4"/>
    <w:rsid w:val="000E4C53"/>
    <w:rsid w:val="000E58A5"/>
    <w:rsid w:val="000F23C1"/>
    <w:rsid w:val="000F264B"/>
    <w:rsid w:val="000F411B"/>
    <w:rsid w:val="000F5418"/>
    <w:rsid w:val="000F6BCA"/>
    <w:rsid w:val="000F7254"/>
    <w:rsid w:val="000F76D5"/>
    <w:rsid w:val="00102F2B"/>
    <w:rsid w:val="001040E4"/>
    <w:rsid w:val="00106D35"/>
    <w:rsid w:val="0010717A"/>
    <w:rsid w:val="001073DB"/>
    <w:rsid w:val="00107CCD"/>
    <w:rsid w:val="00113443"/>
    <w:rsid w:val="00113A2E"/>
    <w:rsid w:val="00114877"/>
    <w:rsid w:val="001168EF"/>
    <w:rsid w:val="00116C11"/>
    <w:rsid w:val="00120DFA"/>
    <w:rsid w:val="00121089"/>
    <w:rsid w:val="00124D7C"/>
    <w:rsid w:val="00125DF0"/>
    <w:rsid w:val="00125F49"/>
    <w:rsid w:val="0012603F"/>
    <w:rsid w:val="00127D91"/>
    <w:rsid w:val="00130158"/>
    <w:rsid w:val="001304DD"/>
    <w:rsid w:val="00131FB5"/>
    <w:rsid w:val="00132560"/>
    <w:rsid w:val="001358D7"/>
    <w:rsid w:val="00136828"/>
    <w:rsid w:val="001401F0"/>
    <w:rsid w:val="00142BC1"/>
    <w:rsid w:val="0014420A"/>
    <w:rsid w:val="001455E7"/>
    <w:rsid w:val="001502AD"/>
    <w:rsid w:val="001502D0"/>
    <w:rsid w:val="001505F7"/>
    <w:rsid w:val="00152AA6"/>
    <w:rsid w:val="001539C3"/>
    <w:rsid w:val="00153AB4"/>
    <w:rsid w:val="001542ED"/>
    <w:rsid w:val="00154F75"/>
    <w:rsid w:val="00160293"/>
    <w:rsid w:val="00162255"/>
    <w:rsid w:val="00163E64"/>
    <w:rsid w:val="0016519C"/>
    <w:rsid w:val="00170CC5"/>
    <w:rsid w:val="001717C8"/>
    <w:rsid w:val="00171F3F"/>
    <w:rsid w:val="001722DC"/>
    <w:rsid w:val="001730FA"/>
    <w:rsid w:val="0017668F"/>
    <w:rsid w:val="001802F9"/>
    <w:rsid w:val="00181B66"/>
    <w:rsid w:val="00181FFE"/>
    <w:rsid w:val="00187379"/>
    <w:rsid w:val="001903D6"/>
    <w:rsid w:val="00192230"/>
    <w:rsid w:val="001927A4"/>
    <w:rsid w:val="00196CCB"/>
    <w:rsid w:val="0019709F"/>
    <w:rsid w:val="001A0C73"/>
    <w:rsid w:val="001A1D12"/>
    <w:rsid w:val="001A6694"/>
    <w:rsid w:val="001A6E32"/>
    <w:rsid w:val="001B1AE4"/>
    <w:rsid w:val="001B373F"/>
    <w:rsid w:val="001B4915"/>
    <w:rsid w:val="001B5835"/>
    <w:rsid w:val="001B754C"/>
    <w:rsid w:val="001B7E48"/>
    <w:rsid w:val="001C23E1"/>
    <w:rsid w:val="001C363F"/>
    <w:rsid w:val="001C39E6"/>
    <w:rsid w:val="001C3BA5"/>
    <w:rsid w:val="001C5DCB"/>
    <w:rsid w:val="001D042B"/>
    <w:rsid w:val="001D2D82"/>
    <w:rsid w:val="001D3046"/>
    <w:rsid w:val="001D4CDB"/>
    <w:rsid w:val="001D51BC"/>
    <w:rsid w:val="001D7758"/>
    <w:rsid w:val="001E04FB"/>
    <w:rsid w:val="001E1159"/>
    <w:rsid w:val="001E1383"/>
    <w:rsid w:val="001E210B"/>
    <w:rsid w:val="001E2A62"/>
    <w:rsid w:val="001E323B"/>
    <w:rsid w:val="001E452D"/>
    <w:rsid w:val="001E4F5C"/>
    <w:rsid w:val="001F2819"/>
    <w:rsid w:val="001F2DB3"/>
    <w:rsid w:val="001F2DD3"/>
    <w:rsid w:val="001F2F4B"/>
    <w:rsid w:val="001F3EE4"/>
    <w:rsid w:val="001F6BE2"/>
    <w:rsid w:val="001F6FED"/>
    <w:rsid w:val="001F7A25"/>
    <w:rsid w:val="00201543"/>
    <w:rsid w:val="002043EC"/>
    <w:rsid w:val="0021113E"/>
    <w:rsid w:val="00211773"/>
    <w:rsid w:val="00220391"/>
    <w:rsid w:val="00223BD5"/>
    <w:rsid w:val="0022508B"/>
    <w:rsid w:val="00225FC5"/>
    <w:rsid w:val="002268F9"/>
    <w:rsid w:val="00230D89"/>
    <w:rsid w:val="00232159"/>
    <w:rsid w:val="00233390"/>
    <w:rsid w:val="0023451B"/>
    <w:rsid w:val="002378DC"/>
    <w:rsid w:val="002402EF"/>
    <w:rsid w:val="00243253"/>
    <w:rsid w:val="00243DC0"/>
    <w:rsid w:val="002442FB"/>
    <w:rsid w:val="0024561C"/>
    <w:rsid w:val="00247477"/>
    <w:rsid w:val="00250DC2"/>
    <w:rsid w:val="00250E76"/>
    <w:rsid w:val="00251E7F"/>
    <w:rsid w:val="00253111"/>
    <w:rsid w:val="002545B6"/>
    <w:rsid w:val="00254993"/>
    <w:rsid w:val="00261BFC"/>
    <w:rsid w:val="00262F67"/>
    <w:rsid w:val="00263E07"/>
    <w:rsid w:val="00264557"/>
    <w:rsid w:val="002654EF"/>
    <w:rsid w:val="00267B78"/>
    <w:rsid w:val="00270440"/>
    <w:rsid w:val="00270464"/>
    <w:rsid w:val="0027057D"/>
    <w:rsid w:val="0027433A"/>
    <w:rsid w:val="00276049"/>
    <w:rsid w:val="0027683C"/>
    <w:rsid w:val="00276E14"/>
    <w:rsid w:val="00280F2C"/>
    <w:rsid w:val="00281FA4"/>
    <w:rsid w:val="00282192"/>
    <w:rsid w:val="00282635"/>
    <w:rsid w:val="002834EC"/>
    <w:rsid w:val="00285E65"/>
    <w:rsid w:val="00286C3C"/>
    <w:rsid w:val="0028739E"/>
    <w:rsid w:val="002910AF"/>
    <w:rsid w:val="00292FCD"/>
    <w:rsid w:val="00293DEE"/>
    <w:rsid w:val="0029413C"/>
    <w:rsid w:val="00295005"/>
    <w:rsid w:val="00295C00"/>
    <w:rsid w:val="00297C3E"/>
    <w:rsid w:val="002A06A3"/>
    <w:rsid w:val="002A0795"/>
    <w:rsid w:val="002A0B50"/>
    <w:rsid w:val="002A0B5D"/>
    <w:rsid w:val="002A0E81"/>
    <w:rsid w:val="002A1154"/>
    <w:rsid w:val="002A219D"/>
    <w:rsid w:val="002A26BD"/>
    <w:rsid w:val="002A26C7"/>
    <w:rsid w:val="002A2B0C"/>
    <w:rsid w:val="002A2E0E"/>
    <w:rsid w:val="002A4F51"/>
    <w:rsid w:val="002A7373"/>
    <w:rsid w:val="002B0CF9"/>
    <w:rsid w:val="002B36E2"/>
    <w:rsid w:val="002B378F"/>
    <w:rsid w:val="002B45C3"/>
    <w:rsid w:val="002C0224"/>
    <w:rsid w:val="002C05E6"/>
    <w:rsid w:val="002C07EA"/>
    <w:rsid w:val="002C12FD"/>
    <w:rsid w:val="002C2F3E"/>
    <w:rsid w:val="002C4273"/>
    <w:rsid w:val="002C4A4A"/>
    <w:rsid w:val="002C7573"/>
    <w:rsid w:val="002C7FE9"/>
    <w:rsid w:val="002D412B"/>
    <w:rsid w:val="002D4AFB"/>
    <w:rsid w:val="002D4EFD"/>
    <w:rsid w:val="002E045F"/>
    <w:rsid w:val="002E0FB3"/>
    <w:rsid w:val="002E1167"/>
    <w:rsid w:val="002E2051"/>
    <w:rsid w:val="002F10C5"/>
    <w:rsid w:val="002F127E"/>
    <w:rsid w:val="002F2739"/>
    <w:rsid w:val="002F33D3"/>
    <w:rsid w:val="002F3CA5"/>
    <w:rsid w:val="002F6A7F"/>
    <w:rsid w:val="002F6E53"/>
    <w:rsid w:val="003007D6"/>
    <w:rsid w:val="003025A9"/>
    <w:rsid w:val="003029AA"/>
    <w:rsid w:val="00303418"/>
    <w:rsid w:val="00303CFE"/>
    <w:rsid w:val="003064F6"/>
    <w:rsid w:val="00311CD2"/>
    <w:rsid w:val="00312008"/>
    <w:rsid w:val="0031296C"/>
    <w:rsid w:val="003145C6"/>
    <w:rsid w:val="00314B50"/>
    <w:rsid w:val="00315035"/>
    <w:rsid w:val="00316071"/>
    <w:rsid w:val="0031766E"/>
    <w:rsid w:val="00323945"/>
    <w:rsid w:val="00324D14"/>
    <w:rsid w:val="0032557A"/>
    <w:rsid w:val="00326D0E"/>
    <w:rsid w:val="00327611"/>
    <w:rsid w:val="003278B0"/>
    <w:rsid w:val="00331253"/>
    <w:rsid w:val="0033216D"/>
    <w:rsid w:val="003326B4"/>
    <w:rsid w:val="00332A9F"/>
    <w:rsid w:val="003345EE"/>
    <w:rsid w:val="00335DDD"/>
    <w:rsid w:val="003363A9"/>
    <w:rsid w:val="00343152"/>
    <w:rsid w:val="00343E5C"/>
    <w:rsid w:val="00344F5F"/>
    <w:rsid w:val="003467CF"/>
    <w:rsid w:val="0034703C"/>
    <w:rsid w:val="00347F1E"/>
    <w:rsid w:val="003518E0"/>
    <w:rsid w:val="00352A12"/>
    <w:rsid w:val="00353675"/>
    <w:rsid w:val="00354074"/>
    <w:rsid w:val="00356CAB"/>
    <w:rsid w:val="0036017B"/>
    <w:rsid w:val="003604C3"/>
    <w:rsid w:val="00360B47"/>
    <w:rsid w:val="00362755"/>
    <w:rsid w:val="00362AE2"/>
    <w:rsid w:val="00363D1D"/>
    <w:rsid w:val="003640F5"/>
    <w:rsid w:val="00364766"/>
    <w:rsid w:val="00365107"/>
    <w:rsid w:val="003704EE"/>
    <w:rsid w:val="003711C3"/>
    <w:rsid w:val="0037354A"/>
    <w:rsid w:val="00373B93"/>
    <w:rsid w:val="003740D8"/>
    <w:rsid w:val="00374112"/>
    <w:rsid w:val="00374447"/>
    <w:rsid w:val="00376AAB"/>
    <w:rsid w:val="00380591"/>
    <w:rsid w:val="00380A2A"/>
    <w:rsid w:val="00385E01"/>
    <w:rsid w:val="003933C4"/>
    <w:rsid w:val="00393D4E"/>
    <w:rsid w:val="003969A3"/>
    <w:rsid w:val="00396EE1"/>
    <w:rsid w:val="003A0CD6"/>
    <w:rsid w:val="003A23F5"/>
    <w:rsid w:val="003A27D4"/>
    <w:rsid w:val="003A38F0"/>
    <w:rsid w:val="003A5350"/>
    <w:rsid w:val="003A5C88"/>
    <w:rsid w:val="003A7A62"/>
    <w:rsid w:val="003B3F4B"/>
    <w:rsid w:val="003C0471"/>
    <w:rsid w:val="003C0A1B"/>
    <w:rsid w:val="003C3196"/>
    <w:rsid w:val="003C4C7D"/>
    <w:rsid w:val="003C4E8C"/>
    <w:rsid w:val="003C58B6"/>
    <w:rsid w:val="003C78EC"/>
    <w:rsid w:val="003D0FC9"/>
    <w:rsid w:val="003D5A8B"/>
    <w:rsid w:val="003D70C8"/>
    <w:rsid w:val="003E02ED"/>
    <w:rsid w:val="003E1C4E"/>
    <w:rsid w:val="003E242E"/>
    <w:rsid w:val="003E330F"/>
    <w:rsid w:val="003E3708"/>
    <w:rsid w:val="003E5462"/>
    <w:rsid w:val="003E59D4"/>
    <w:rsid w:val="003E6098"/>
    <w:rsid w:val="003E6469"/>
    <w:rsid w:val="003F3669"/>
    <w:rsid w:val="003F4171"/>
    <w:rsid w:val="003F4329"/>
    <w:rsid w:val="003F5E43"/>
    <w:rsid w:val="00400DD2"/>
    <w:rsid w:val="004036CC"/>
    <w:rsid w:val="00404110"/>
    <w:rsid w:val="00406B55"/>
    <w:rsid w:val="00407C66"/>
    <w:rsid w:val="00410E75"/>
    <w:rsid w:val="00412534"/>
    <w:rsid w:val="004129A5"/>
    <w:rsid w:val="00412C83"/>
    <w:rsid w:val="00414E5E"/>
    <w:rsid w:val="004174A7"/>
    <w:rsid w:val="00421560"/>
    <w:rsid w:val="004233BB"/>
    <w:rsid w:val="004240D7"/>
    <w:rsid w:val="00426014"/>
    <w:rsid w:val="0042651B"/>
    <w:rsid w:val="004278FD"/>
    <w:rsid w:val="00427DBE"/>
    <w:rsid w:val="004303B4"/>
    <w:rsid w:val="00436B06"/>
    <w:rsid w:val="00440109"/>
    <w:rsid w:val="00440B33"/>
    <w:rsid w:val="00440FE8"/>
    <w:rsid w:val="004423A8"/>
    <w:rsid w:val="00442951"/>
    <w:rsid w:val="00447F8A"/>
    <w:rsid w:val="00451692"/>
    <w:rsid w:val="004546A7"/>
    <w:rsid w:val="004564F2"/>
    <w:rsid w:val="0045716D"/>
    <w:rsid w:val="00460B7D"/>
    <w:rsid w:val="00460B9C"/>
    <w:rsid w:val="00460CAD"/>
    <w:rsid w:val="00461392"/>
    <w:rsid w:val="00461E5B"/>
    <w:rsid w:val="00462B84"/>
    <w:rsid w:val="00462BD7"/>
    <w:rsid w:val="00463BD5"/>
    <w:rsid w:val="00464333"/>
    <w:rsid w:val="004664FC"/>
    <w:rsid w:val="0046777A"/>
    <w:rsid w:val="00472323"/>
    <w:rsid w:val="0047438B"/>
    <w:rsid w:val="00474AAC"/>
    <w:rsid w:val="00474CD8"/>
    <w:rsid w:val="004762AA"/>
    <w:rsid w:val="00476A07"/>
    <w:rsid w:val="00477010"/>
    <w:rsid w:val="00480777"/>
    <w:rsid w:val="00480CB0"/>
    <w:rsid w:val="00480F95"/>
    <w:rsid w:val="0048140A"/>
    <w:rsid w:val="004824E0"/>
    <w:rsid w:val="00484F14"/>
    <w:rsid w:val="0048501E"/>
    <w:rsid w:val="00485EA8"/>
    <w:rsid w:val="00491397"/>
    <w:rsid w:val="00491A8B"/>
    <w:rsid w:val="00492EE4"/>
    <w:rsid w:val="00493C91"/>
    <w:rsid w:val="00493E16"/>
    <w:rsid w:val="004943A9"/>
    <w:rsid w:val="00496212"/>
    <w:rsid w:val="00496215"/>
    <w:rsid w:val="00496C42"/>
    <w:rsid w:val="004974A2"/>
    <w:rsid w:val="004A30EE"/>
    <w:rsid w:val="004A393D"/>
    <w:rsid w:val="004A3B23"/>
    <w:rsid w:val="004A3E09"/>
    <w:rsid w:val="004A66C1"/>
    <w:rsid w:val="004A7DE4"/>
    <w:rsid w:val="004B289D"/>
    <w:rsid w:val="004B2C2B"/>
    <w:rsid w:val="004B34EA"/>
    <w:rsid w:val="004B5494"/>
    <w:rsid w:val="004B5523"/>
    <w:rsid w:val="004B653C"/>
    <w:rsid w:val="004B72CE"/>
    <w:rsid w:val="004B7EB0"/>
    <w:rsid w:val="004C0962"/>
    <w:rsid w:val="004C0A5B"/>
    <w:rsid w:val="004C0AC6"/>
    <w:rsid w:val="004C5766"/>
    <w:rsid w:val="004C6D4B"/>
    <w:rsid w:val="004C7D3A"/>
    <w:rsid w:val="004D271A"/>
    <w:rsid w:val="004D6638"/>
    <w:rsid w:val="004D6AB1"/>
    <w:rsid w:val="004D724F"/>
    <w:rsid w:val="004D7546"/>
    <w:rsid w:val="004E4106"/>
    <w:rsid w:val="004E7601"/>
    <w:rsid w:val="004F00C7"/>
    <w:rsid w:val="004F06A6"/>
    <w:rsid w:val="004F1E15"/>
    <w:rsid w:val="004F3077"/>
    <w:rsid w:val="004F3BB7"/>
    <w:rsid w:val="004F4626"/>
    <w:rsid w:val="004F6E8B"/>
    <w:rsid w:val="004F7294"/>
    <w:rsid w:val="00500F12"/>
    <w:rsid w:val="005018A8"/>
    <w:rsid w:val="00502C5D"/>
    <w:rsid w:val="00504A12"/>
    <w:rsid w:val="00505A39"/>
    <w:rsid w:val="00506038"/>
    <w:rsid w:val="00506AA3"/>
    <w:rsid w:val="00506C38"/>
    <w:rsid w:val="005127F8"/>
    <w:rsid w:val="00513061"/>
    <w:rsid w:val="00514FAC"/>
    <w:rsid w:val="005162A9"/>
    <w:rsid w:val="00517029"/>
    <w:rsid w:val="00517680"/>
    <w:rsid w:val="005202D6"/>
    <w:rsid w:val="00520A8A"/>
    <w:rsid w:val="00521F09"/>
    <w:rsid w:val="005240BF"/>
    <w:rsid w:val="00530B2D"/>
    <w:rsid w:val="00531ADA"/>
    <w:rsid w:val="005379E0"/>
    <w:rsid w:val="00540D18"/>
    <w:rsid w:val="005410A8"/>
    <w:rsid w:val="0054121A"/>
    <w:rsid w:val="0054579D"/>
    <w:rsid w:val="0054604F"/>
    <w:rsid w:val="00546994"/>
    <w:rsid w:val="00546ACC"/>
    <w:rsid w:val="00551247"/>
    <w:rsid w:val="00551271"/>
    <w:rsid w:val="00551C8A"/>
    <w:rsid w:val="00552645"/>
    <w:rsid w:val="005570A3"/>
    <w:rsid w:val="005573C8"/>
    <w:rsid w:val="00562065"/>
    <w:rsid w:val="00565F22"/>
    <w:rsid w:val="005672D8"/>
    <w:rsid w:val="00574F79"/>
    <w:rsid w:val="00576C15"/>
    <w:rsid w:val="005806BE"/>
    <w:rsid w:val="00581245"/>
    <w:rsid w:val="00581CAB"/>
    <w:rsid w:val="00583975"/>
    <w:rsid w:val="00584575"/>
    <w:rsid w:val="0058478F"/>
    <w:rsid w:val="00585390"/>
    <w:rsid w:val="00586F3F"/>
    <w:rsid w:val="00590FE8"/>
    <w:rsid w:val="00591665"/>
    <w:rsid w:val="00592ECA"/>
    <w:rsid w:val="005939A5"/>
    <w:rsid w:val="00593B82"/>
    <w:rsid w:val="00593CF4"/>
    <w:rsid w:val="005951F2"/>
    <w:rsid w:val="0059553E"/>
    <w:rsid w:val="0059764F"/>
    <w:rsid w:val="005A041D"/>
    <w:rsid w:val="005A148C"/>
    <w:rsid w:val="005A568A"/>
    <w:rsid w:val="005A6010"/>
    <w:rsid w:val="005B0037"/>
    <w:rsid w:val="005B05AC"/>
    <w:rsid w:val="005B3737"/>
    <w:rsid w:val="005B3DDC"/>
    <w:rsid w:val="005B3F70"/>
    <w:rsid w:val="005B50D0"/>
    <w:rsid w:val="005B6468"/>
    <w:rsid w:val="005B7CD4"/>
    <w:rsid w:val="005C072C"/>
    <w:rsid w:val="005C2708"/>
    <w:rsid w:val="005C3647"/>
    <w:rsid w:val="005C3C7E"/>
    <w:rsid w:val="005C4F44"/>
    <w:rsid w:val="005C526A"/>
    <w:rsid w:val="005C6549"/>
    <w:rsid w:val="005C680D"/>
    <w:rsid w:val="005D27E3"/>
    <w:rsid w:val="005D4ABB"/>
    <w:rsid w:val="005E0AD3"/>
    <w:rsid w:val="005E46D4"/>
    <w:rsid w:val="005E5492"/>
    <w:rsid w:val="005E6653"/>
    <w:rsid w:val="005E7C15"/>
    <w:rsid w:val="005F28D5"/>
    <w:rsid w:val="005F46CE"/>
    <w:rsid w:val="005F4B8A"/>
    <w:rsid w:val="005F5156"/>
    <w:rsid w:val="005F5CC5"/>
    <w:rsid w:val="005F7879"/>
    <w:rsid w:val="00601446"/>
    <w:rsid w:val="006021DB"/>
    <w:rsid w:val="00605F90"/>
    <w:rsid w:val="006067FF"/>
    <w:rsid w:val="006069A3"/>
    <w:rsid w:val="006074B6"/>
    <w:rsid w:val="00607BBA"/>
    <w:rsid w:val="00607F10"/>
    <w:rsid w:val="006102DB"/>
    <w:rsid w:val="0061115C"/>
    <w:rsid w:val="00611288"/>
    <w:rsid w:val="006124E3"/>
    <w:rsid w:val="00612E06"/>
    <w:rsid w:val="00613AAF"/>
    <w:rsid w:val="00615E47"/>
    <w:rsid w:val="00616374"/>
    <w:rsid w:val="00622B9C"/>
    <w:rsid w:val="00622F00"/>
    <w:rsid w:val="00630BA0"/>
    <w:rsid w:val="00632207"/>
    <w:rsid w:val="00632EAC"/>
    <w:rsid w:val="0063491C"/>
    <w:rsid w:val="00641795"/>
    <w:rsid w:val="006446A5"/>
    <w:rsid w:val="006447EF"/>
    <w:rsid w:val="006469CC"/>
    <w:rsid w:val="00650B87"/>
    <w:rsid w:val="00650F54"/>
    <w:rsid w:val="00652D84"/>
    <w:rsid w:val="00655B38"/>
    <w:rsid w:val="006608CD"/>
    <w:rsid w:val="00660C1B"/>
    <w:rsid w:val="00660D11"/>
    <w:rsid w:val="006610C4"/>
    <w:rsid w:val="006620BA"/>
    <w:rsid w:val="00662673"/>
    <w:rsid w:val="006643EE"/>
    <w:rsid w:val="006649B0"/>
    <w:rsid w:val="00664AED"/>
    <w:rsid w:val="00664F86"/>
    <w:rsid w:val="00665A99"/>
    <w:rsid w:val="00666250"/>
    <w:rsid w:val="00666938"/>
    <w:rsid w:val="006700E7"/>
    <w:rsid w:val="0067096B"/>
    <w:rsid w:val="00671666"/>
    <w:rsid w:val="00671A74"/>
    <w:rsid w:val="00673774"/>
    <w:rsid w:val="0067498D"/>
    <w:rsid w:val="00676A02"/>
    <w:rsid w:val="00676C75"/>
    <w:rsid w:val="00680C6F"/>
    <w:rsid w:val="00683500"/>
    <w:rsid w:val="00684E84"/>
    <w:rsid w:val="006859BA"/>
    <w:rsid w:val="00685DBD"/>
    <w:rsid w:val="00685DEB"/>
    <w:rsid w:val="006871A2"/>
    <w:rsid w:val="00687D74"/>
    <w:rsid w:val="006914CD"/>
    <w:rsid w:val="00694319"/>
    <w:rsid w:val="006A0DA1"/>
    <w:rsid w:val="006A26EF"/>
    <w:rsid w:val="006A30A7"/>
    <w:rsid w:val="006A4D15"/>
    <w:rsid w:val="006A6867"/>
    <w:rsid w:val="006B163E"/>
    <w:rsid w:val="006B3935"/>
    <w:rsid w:val="006B3FB7"/>
    <w:rsid w:val="006B7545"/>
    <w:rsid w:val="006C1773"/>
    <w:rsid w:val="006C1824"/>
    <w:rsid w:val="006C1C58"/>
    <w:rsid w:val="006C1C7F"/>
    <w:rsid w:val="006C4160"/>
    <w:rsid w:val="006C5A41"/>
    <w:rsid w:val="006C6FD9"/>
    <w:rsid w:val="006C70C1"/>
    <w:rsid w:val="006D1C56"/>
    <w:rsid w:val="006D389B"/>
    <w:rsid w:val="006D3C6D"/>
    <w:rsid w:val="006D41EA"/>
    <w:rsid w:val="006D4FE3"/>
    <w:rsid w:val="006D5307"/>
    <w:rsid w:val="006D64DC"/>
    <w:rsid w:val="006E03D1"/>
    <w:rsid w:val="006E1C33"/>
    <w:rsid w:val="006E1CE1"/>
    <w:rsid w:val="006E27A0"/>
    <w:rsid w:val="006E3C36"/>
    <w:rsid w:val="006E434F"/>
    <w:rsid w:val="006E5AB4"/>
    <w:rsid w:val="006E5E28"/>
    <w:rsid w:val="006E6574"/>
    <w:rsid w:val="006E7ED2"/>
    <w:rsid w:val="006F009E"/>
    <w:rsid w:val="006F0AC0"/>
    <w:rsid w:val="006F31BB"/>
    <w:rsid w:val="006F3DF3"/>
    <w:rsid w:val="006F430A"/>
    <w:rsid w:val="006F551D"/>
    <w:rsid w:val="006F76EF"/>
    <w:rsid w:val="006F7904"/>
    <w:rsid w:val="006F7CF6"/>
    <w:rsid w:val="007011DD"/>
    <w:rsid w:val="007025C3"/>
    <w:rsid w:val="00702E9A"/>
    <w:rsid w:val="00705174"/>
    <w:rsid w:val="00706607"/>
    <w:rsid w:val="00706B1F"/>
    <w:rsid w:val="00711D1C"/>
    <w:rsid w:val="00712A37"/>
    <w:rsid w:val="00714CF2"/>
    <w:rsid w:val="00714F93"/>
    <w:rsid w:val="00715299"/>
    <w:rsid w:val="007156B9"/>
    <w:rsid w:val="00720817"/>
    <w:rsid w:val="00720980"/>
    <w:rsid w:val="00720F24"/>
    <w:rsid w:val="0072275B"/>
    <w:rsid w:val="00722850"/>
    <w:rsid w:val="00724258"/>
    <w:rsid w:val="00726A38"/>
    <w:rsid w:val="0073155B"/>
    <w:rsid w:val="00731B34"/>
    <w:rsid w:val="00732B6E"/>
    <w:rsid w:val="0073353F"/>
    <w:rsid w:val="007336CC"/>
    <w:rsid w:val="00733DCF"/>
    <w:rsid w:val="007344D8"/>
    <w:rsid w:val="0073664A"/>
    <w:rsid w:val="00737BE9"/>
    <w:rsid w:val="00740217"/>
    <w:rsid w:val="00742E45"/>
    <w:rsid w:val="00743A5A"/>
    <w:rsid w:val="007447AF"/>
    <w:rsid w:val="00744D80"/>
    <w:rsid w:val="007456E6"/>
    <w:rsid w:val="00746392"/>
    <w:rsid w:val="00746B52"/>
    <w:rsid w:val="00750816"/>
    <w:rsid w:val="007517F0"/>
    <w:rsid w:val="0075473E"/>
    <w:rsid w:val="00755B8B"/>
    <w:rsid w:val="00760081"/>
    <w:rsid w:val="00760654"/>
    <w:rsid w:val="0076327F"/>
    <w:rsid w:val="007643B7"/>
    <w:rsid w:val="007657C1"/>
    <w:rsid w:val="00771B3E"/>
    <w:rsid w:val="00771D3D"/>
    <w:rsid w:val="007728DA"/>
    <w:rsid w:val="00773108"/>
    <w:rsid w:val="0077614C"/>
    <w:rsid w:val="00776F43"/>
    <w:rsid w:val="007800AE"/>
    <w:rsid w:val="00781F22"/>
    <w:rsid w:val="007839BE"/>
    <w:rsid w:val="0078773D"/>
    <w:rsid w:val="00787E43"/>
    <w:rsid w:val="00790F8D"/>
    <w:rsid w:val="00791383"/>
    <w:rsid w:val="00793AFE"/>
    <w:rsid w:val="007954E7"/>
    <w:rsid w:val="00796D10"/>
    <w:rsid w:val="007A23D7"/>
    <w:rsid w:val="007A3073"/>
    <w:rsid w:val="007A4023"/>
    <w:rsid w:val="007A406D"/>
    <w:rsid w:val="007A4F30"/>
    <w:rsid w:val="007A5884"/>
    <w:rsid w:val="007A62B0"/>
    <w:rsid w:val="007B0134"/>
    <w:rsid w:val="007B045A"/>
    <w:rsid w:val="007B0849"/>
    <w:rsid w:val="007B0BB8"/>
    <w:rsid w:val="007B26BA"/>
    <w:rsid w:val="007B2C8F"/>
    <w:rsid w:val="007B3DB3"/>
    <w:rsid w:val="007B53C7"/>
    <w:rsid w:val="007B587A"/>
    <w:rsid w:val="007B5AF7"/>
    <w:rsid w:val="007C03EC"/>
    <w:rsid w:val="007C093B"/>
    <w:rsid w:val="007C15D8"/>
    <w:rsid w:val="007C1FB1"/>
    <w:rsid w:val="007C2E03"/>
    <w:rsid w:val="007C30F7"/>
    <w:rsid w:val="007C503D"/>
    <w:rsid w:val="007C5A0C"/>
    <w:rsid w:val="007C6970"/>
    <w:rsid w:val="007C6BF3"/>
    <w:rsid w:val="007C78CD"/>
    <w:rsid w:val="007D1D99"/>
    <w:rsid w:val="007D2E1E"/>
    <w:rsid w:val="007D613E"/>
    <w:rsid w:val="007E0FEE"/>
    <w:rsid w:val="007E134F"/>
    <w:rsid w:val="007F0C25"/>
    <w:rsid w:val="007F105C"/>
    <w:rsid w:val="007F2017"/>
    <w:rsid w:val="007F2854"/>
    <w:rsid w:val="007F2F67"/>
    <w:rsid w:val="007F4694"/>
    <w:rsid w:val="007F52C3"/>
    <w:rsid w:val="007F5532"/>
    <w:rsid w:val="007F577C"/>
    <w:rsid w:val="007F79B6"/>
    <w:rsid w:val="00801275"/>
    <w:rsid w:val="00802028"/>
    <w:rsid w:val="00805FF2"/>
    <w:rsid w:val="008111FC"/>
    <w:rsid w:val="008145F5"/>
    <w:rsid w:val="0082009A"/>
    <w:rsid w:val="00821B7A"/>
    <w:rsid w:val="00822893"/>
    <w:rsid w:val="00823765"/>
    <w:rsid w:val="00823B0E"/>
    <w:rsid w:val="0082763A"/>
    <w:rsid w:val="00827D9A"/>
    <w:rsid w:val="008321C7"/>
    <w:rsid w:val="00832DAB"/>
    <w:rsid w:val="008339BB"/>
    <w:rsid w:val="00834AFA"/>
    <w:rsid w:val="008356D3"/>
    <w:rsid w:val="00840463"/>
    <w:rsid w:val="00840EC2"/>
    <w:rsid w:val="00841FA3"/>
    <w:rsid w:val="008443BF"/>
    <w:rsid w:val="00846B5F"/>
    <w:rsid w:val="00850E5F"/>
    <w:rsid w:val="008514F5"/>
    <w:rsid w:val="00852978"/>
    <w:rsid w:val="00853653"/>
    <w:rsid w:val="00855CEB"/>
    <w:rsid w:val="00856D42"/>
    <w:rsid w:val="0086419A"/>
    <w:rsid w:val="0086433B"/>
    <w:rsid w:val="0086631B"/>
    <w:rsid w:val="008663CC"/>
    <w:rsid w:val="00867AA7"/>
    <w:rsid w:val="0087003B"/>
    <w:rsid w:val="0087023B"/>
    <w:rsid w:val="00873014"/>
    <w:rsid w:val="00873BF5"/>
    <w:rsid w:val="00873E31"/>
    <w:rsid w:val="008775CD"/>
    <w:rsid w:val="0088007C"/>
    <w:rsid w:val="00880E8B"/>
    <w:rsid w:val="0088207E"/>
    <w:rsid w:val="0088356D"/>
    <w:rsid w:val="00885108"/>
    <w:rsid w:val="00885660"/>
    <w:rsid w:val="00887250"/>
    <w:rsid w:val="00887FF1"/>
    <w:rsid w:val="00890390"/>
    <w:rsid w:val="00891A96"/>
    <w:rsid w:val="00892F69"/>
    <w:rsid w:val="008931FD"/>
    <w:rsid w:val="00893A8C"/>
    <w:rsid w:val="00896E4E"/>
    <w:rsid w:val="008978A2"/>
    <w:rsid w:val="008A0F9B"/>
    <w:rsid w:val="008A179F"/>
    <w:rsid w:val="008A3477"/>
    <w:rsid w:val="008A43DB"/>
    <w:rsid w:val="008A4CA9"/>
    <w:rsid w:val="008A6A89"/>
    <w:rsid w:val="008A6F64"/>
    <w:rsid w:val="008B0864"/>
    <w:rsid w:val="008B0E15"/>
    <w:rsid w:val="008B0E25"/>
    <w:rsid w:val="008B1D03"/>
    <w:rsid w:val="008B33BD"/>
    <w:rsid w:val="008B35EF"/>
    <w:rsid w:val="008B675C"/>
    <w:rsid w:val="008B6D2F"/>
    <w:rsid w:val="008C0414"/>
    <w:rsid w:val="008C388B"/>
    <w:rsid w:val="008C483E"/>
    <w:rsid w:val="008C5608"/>
    <w:rsid w:val="008C5631"/>
    <w:rsid w:val="008C5C1D"/>
    <w:rsid w:val="008C7413"/>
    <w:rsid w:val="008D0090"/>
    <w:rsid w:val="008D00D2"/>
    <w:rsid w:val="008D16B7"/>
    <w:rsid w:val="008D2325"/>
    <w:rsid w:val="008D3F6D"/>
    <w:rsid w:val="008D446B"/>
    <w:rsid w:val="008E060B"/>
    <w:rsid w:val="008E102C"/>
    <w:rsid w:val="008E524B"/>
    <w:rsid w:val="008E6404"/>
    <w:rsid w:val="008E66FC"/>
    <w:rsid w:val="008E6AE6"/>
    <w:rsid w:val="008E7A52"/>
    <w:rsid w:val="008F0116"/>
    <w:rsid w:val="008F143D"/>
    <w:rsid w:val="008F1F11"/>
    <w:rsid w:val="008F30F4"/>
    <w:rsid w:val="008F4493"/>
    <w:rsid w:val="008F4A3A"/>
    <w:rsid w:val="0090238F"/>
    <w:rsid w:val="009027E2"/>
    <w:rsid w:val="00904081"/>
    <w:rsid w:val="0090478A"/>
    <w:rsid w:val="00904C0C"/>
    <w:rsid w:val="00906567"/>
    <w:rsid w:val="009070CE"/>
    <w:rsid w:val="00912700"/>
    <w:rsid w:val="00915CBC"/>
    <w:rsid w:val="009168D1"/>
    <w:rsid w:val="00920AFC"/>
    <w:rsid w:val="00920F8D"/>
    <w:rsid w:val="0092195B"/>
    <w:rsid w:val="0092213A"/>
    <w:rsid w:val="009238DD"/>
    <w:rsid w:val="00924A86"/>
    <w:rsid w:val="00927EDD"/>
    <w:rsid w:val="0093254B"/>
    <w:rsid w:val="00932865"/>
    <w:rsid w:val="00933ACA"/>
    <w:rsid w:val="00934D39"/>
    <w:rsid w:val="00940885"/>
    <w:rsid w:val="00940B30"/>
    <w:rsid w:val="0094352D"/>
    <w:rsid w:val="0095451F"/>
    <w:rsid w:val="009549AA"/>
    <w:rsid w:val="00956DAD"/>
    <w:rsid w:val="00957030"/>
    <w:rsid w:val="0095770B"/>
    <w:rsid w:val="00957D84"/>
    <w:rsid w:val="00960CD4"/>
    <w:rsid w:val="00960DF9"/>
    <w:rsid w:val="0096283A"/>
    <w:rsid w:val="009667E3"/>
    <w:rsid w:val="0097055D"/>
    <w:rsid w:val="009764D7"/>
    <w:rsid w:val="00977090"/>
    <w:rsid w:val="00977E59"/>
    <w:rsid w:val="00981177"/>
    <w:rsid w:val="0098138E"/>
    <w:rsid w:val="009831FE"/>
    <w:rsid w:val="00983C16"/>
    <w:rsid w:val="009844A2"/>
    <w:rsid w:val="00985D4E"/>
    <w:rsid w:val="0098618F"/>
    <w:rsid w:val="0098655A"/>
    <w:rsid w:val="0098753A"/>
    <w:rsid w:val="00987D95"/>
    <w:rsid w:val="009901F8"/>
    <w:rsid w:val="009919E6"/>
    <w:rsid w:val="00993FBB"/>
    <w:rsid w:val="009946D4"/>
    <w:rsid w:val="009972FD"/>
    <w:rsid w:val="009A1037"/>
    <w:rsid w:val="009A1CEA"/>
    <w:rsid w:val="009A22CF"/>
    <w:rsid w:val="009A2403"/>
    <w:rsid w:val="009A6C91"/>
    <w:rsid w:val="009B0390"/>
    <w:rsid w:val="009B11ED"/>
    <w:rsid w:val="009B20DB"/>
    <w:rsid w:val="009B3DD2"/>
    <w:rsid w:val="009C0C1E"/>
    <w:rsid w:val="009C48B1"/>
    <w:rsid w:val="009C728A"/>
    <w:rsid w:val="009C77A1"/>
    <w:rsid w:val="009C7AF2"/>
    <w:rsid w:val="009D0FB8"/>
    <w:rsid w:val="009D47DA"/>
    <w:rsid w:val="009D5A43"/>
    <w:rsid w:val="009D5FFE"/>
    <w:rsid w:val="009E008C"/>
    <w:rsid w:val="009E2F4D"/>
    <w:rsid w:val="009E35EA"/>
    <w:rsid w:val="009E3E65"/>
    <w:rsid w:val="009E5864"/>
    <w:rsid w:val="009E602D"/>
    <w:rsid w:val="009E7C7F"/>
    <w:rsid w:val="009F08AB"/>
    <w:rsid w:val="009F101A"/>
    <w:rsid w:val="009F1063"/>
    <w:rsid w:val="009F585B"/>
    <w:rsid w:val="009F77CF"/>
    <w:rsid w:val="00A0087C"/>
    <w:rsid w:val="00A0126F"/>
    <w:rsid w:val="00A02AD1"/>
    <w:rsid w:val="00A02E87"/>
    <w:rsid w:val="00A05DE8"/>
    <w:rsid w:val="00A06AC9"/>
    <w:rsid w:val="00A06B23"/>
    <w:rsid w:val="00A1073D"/>
    <w:rsid w:val="00A110A3"/>
    <w:rsid w:val="00A112E2"/>
    <w:rsid w:val="00A114B6"/>
    <w:rsid w:val="00A11B44"/>
    <w:rsid w:val="00A1294C"/>
    <w:rsid w:val="00A12A69"/>
    <w:rsid w:val="00A13377"/>
    <w:rsid w:val="00A146D9"/>
    <w:rsid w:val="00A15CE8"/>
    <w:rsid w:val="00A17CE0"/>
    <w:rsid w:val="00A224C8"/>
    <w:rsid w:val="00A264DF"/>
    <w:rsid w:val="00A27A66"/>
    <w:rsid w:val="00A3214E"/>
    <w:rsid w:val="00A32AC8"/>
    <w:rsid w:val="00A32FBF"/>
    <w:rsid w:val="00A354DF"/>
    <w:rsid w:val="00A366E7"/>
    <w:rsid w:val="00A40BDE"/>
    <w:rsid w:val="00A40D8C"/>
    <w:rsid w:val="00A42306"/>
    <w:rsid w:val="00A42B45"/>
    <w:rsid w:val="00A43CC9"/>
    <w:rsid w:val="00A445F8"/>
    <w:rsid w:val="00A44CFC"/>
    <w:rsid w:val="00A454D8"/>
    <w:rsid w:val="00A47817"/>
    <w:rsid w:val="00A47D82"/>
    <w:rsid w:val="00A50775"/>
    <w:rsid w:val="00A51B53"/>
    <w:rsid w:val="00A5275E"/>
    <w:rsid w:val="00A55ACD"/>
    <w:rsid w:val="00A57125"/>
    <w:rsid w:val="00A6069F"/>
    <w:rsid w:val="00A642F8"/>
    <w:rsid w:val="00A6492E"/>
    <w:rsid w:val="00A65202"/>
    <w:rsid w:val="00A65F64"/>
    <w:rsid w:val="00A71FF7"/>
    <w:rsid w:val="00A738EC"/>
    <w:rsid w:val="00A73B11"/>
    <w:rsid w:val="00A74AFE"/>
    <w:rsid w:val="00A76961"/>
    <w:rsid w:val="00A769EB"/>
    <w:rsid w:val="00A80EEC"/>
    <w:rsid w:val="00A81FD0"/>
    <w:rsid w:val="00A83396"/>
    <w:rsid w:val="00A85BE5"/>
    <w:rsid w:val="00A86421"/>
    <w:rsid w:val="00A86DB3"/>
    <w:rsid w:val="00A87443"/>
    <w:rsid w:val="00A90B85"/>
    <w:rsid w:val="00A90BC7"/>
    <w:rsid w:val="00A91747"/>
    <w:rsid w:val="00A93280"/>
    <w:rsid w:val="00A96AEF"/>
    <w:rsid w:val="00A97164"/>
    <w:rsid w:val="00A9780B"/>
    <w:rsid w:val="00AA0A4E"/>
    <w:rsid w:val="00AA2199"/>
    <w:rsid w:val="00AA7457"/>
    <w:rsid w:val="00AA7526"/>
    <w:rsid w:val="00AB2DFE"/>
    <w:rsid w:val="00AB3BB6"/>
    <w:rsid w:val="00AB3BCD"/>
    <w:rsid w:val="00AB5F90"/>
    <w:rsid w:val="00AC4058"/>
    <w:rsid w:val="00AC43AB"/>
    <w:rsid w:val="00AC5A0A"/>
    <w:rsid w:val="00AC7514"/>
    <w:rsid w:val="00AD030D"/>
    <w:rsid w:val="00AD0E21"/>
    <w:rsid w:val="00AD4348"/>
    <w:rsid w:val="00AD44CF"/>
    <w:rsid w:val="00AD49B3"/>
    <w:rsid w:val="00AD565E"/>
    <w:rsid w:val="00AE1D6D"/>
    <w:rsid w:val="00AE24E9"/>
    <w:rsid w:val="00AE663D"/>
    <w:rsid w:val="00AF37A6"/>
    <w:rsid w:val="00AF48BB"/>
    <w:rsid w:val="00AF4A28"/>
    <w:rsid w:val="00AF72E1"/>
    <w:rsid w:val="00B00154"/>
    <w:rsid w:val="00B00D73"/>
    <w:rsid w:val="00B01F7E"/>
    <w:rsid w:val="00B033A0"/>
    <w:rsid w:val="00B03DEA"/>
    <w:rsid w:val="00B04CA9"/>
    <w:rsid w:val="00B04DA8"/>
    <w:rsid w:val="00B07AF9"/>
    <w:rsid w:val="00B10C9C"/>
    <w:rsid w:val="00B1692C"/>
    <w:rsid w:val="00B22CD8"/>
    <w:rsid w:val="00B23BD2"/>
    <w:rsid w:val="00B24A88"/>
    <w:rsid w:val="00B25EF9"/>
    <w:rsid w:val="00B27C67"/>
    <w:rsid w:val="00B3087D"/>
    <w:rsid w:val="00B310FE"/>
    <w:rsid w:val="00B34178"/>
    <w:rsid w:val="00B34794"/>
    <w:rsid w:val="00B34C23"/>
    <w:rsid w:val="00B36644"/>
    <w:rsid w:val="00B40A98"/>
    <w:rsid w:val="00B40D29"/>
    <w:rsid w:val="00B40FF4"/>
    <w:rsid w:val="00B41FCF"/>
    <w:rsid w:val="00B42FF3"/>
    <w:rsid w:val="00B46195"/>
    <w:rsid w:val="00B462D1"/>
    <w:rsid w:val="00B53359"/>
    <w:rsid w:val="00B533E1"/>
    <w:rsid w:val="00B53943"/>
    <w:rsid w:val="00B53A87"/>
    <w:rsid w:val="00B553C0"/>
    <w:rsid w:val="00B57094"/>
    <w:rsid w:val="00B60421"/>
    <w:rsid w:val="00B63EF8"/>
    <w:rsid w:val="00B702ED"/>
    <w:rsid w:val="00B71477"/>
    <w:rsid w:val="00B72473"/>
    <w:rsid w:val="00B74EB8"/>
    <w:rsid w:val="00B7521B"/>
    <w:rsid w:val="00B760C4"/>
    <w:rsid w:val="00B81839"/>
    <w:rsid w:val="00B8504B"/>
    <w:rsid w:val="00B85248"/>
    <w:rsid w:val="00B85427"/>
    <w:rsid w:val="00B87460"/>
    <w:rsid w:val="00B91954"/>
    <w:rsid w:val="00B94B28"/>
    <w:rsid w:val="00B96678"/>
    <w:rsid w:val="00BA49AA"/>
    <w:rsid w:val="00BA6157"/>
    <w:rsid w:val="00BA651D"/>
    <w:rsid w:val="00BA7BBC"/>
    <w:rsid w:val="00BA7E19"/>
    <w:rsid w:val="00BB0243"/>
    <w:rsid w:val="00BB0910"/>
    <w:rsid w:val="00BB174A"/>
    <w:rsid w:val="00BB1BAC"/>
    <w:rsid w:val="00BB3D75"/>
    <w:rsid w:val="00BB474A"/>
    <w:rsid w:val="00BC2CDF"/>
    <w:rsid w:val="00BC4641"/>
    <w:rsid w:val="00BC4969"/>
    <w:rsid w:val="00BC4C31"/>
    <w:rsid w:val="00BC598D"/>
    <w:rsid w:val="00BC61E5"/>
    <w:rsid w:val="00BD03C0"/>
    <w:rsid w:val="00BD18D3"/>
    <w:rsid w:val="00BD2E84"/>
    <w:rsid w:val="00BD5B74"/>
    <w:rsid w:val="00BD643E"/>
    <w:rsid w:val="00BE2A66"/>
    <w:rsid w:val="00BE4F8E"/>
    <w:rsid w:val="00BF047C"/>
    <w:rsid w:val="00BF3889"/>
    <w:rsid w:val="00BF3A76"/>
    <w:rsid w:val="00BF447B"/>
    <w:rsid w:val="00BF482F"/>
    <w:rsid w:val="00BF49B5"/>
    <w:rsid w:val="00BF6802"/>
    <w:rsid w:val="00C00033"/>
    <w:rsid w:val="00C00539"/>
    <w:rsid w:val="00C0146B"/>
    <w:rsid w:val="00C015EB"/>
    <w:rsid w:val="00C01C12"/>
    <w:rsid w:val="00C04AD7"/>
    <w:rsid w:val="00C10B5F"/>
    <w:rsid w:val="00C10B84"/>
    <w:rsid w:val="00C10F9F"/>
    <w:rsid w:val="00C1126C"/>
    <w:rsid w:val="00C12261"/>
    <w:rsid w:val="00C1284A"/>
    <w:rsid w:val="00C139B0"/>
    <w:rsid w:val="00C13D64"/>
    <w:rsid w:val="00C1573C"/>
    <w:rsid w:val="00C16BFC"/>
    <w:rsid w:val="00C17B0B"/>
    <w:rsid w:val="00C2141D"/>
    <w:rsid w:val="00C21475"/>
    <w:rsid w:val="00C223AA"/>
    <w:rsid w:val="00C22873"/>
    <w:rsid w:val="00C23331"/>
    <w:rsid w:val="00C23391"/>
    <w:rsid w:val="00C2384D"/>
    <w:rsid w:val="00C251A2"/>
    <w:rsid w:val="00C25E82"/>
    <w:rsid w:val="00C263B1"/>
    <w:rsid w:val="00C27893"/>
    <w:rsid w:val="00C27999"/>
    <w:rsid w:val="00C27DB2"/>
    <w:rsid w:val="00C30FA7"/>
    <w:rsid w:val="00C33734"/>
    <w:rsid w:val="00C33E1E"/>
    <w:rsid w:val="00C34269"/>
    <w:rsid w:val="00C343A8"/>
    <w:rsid w:val="00C35ADA"/>
    <w:rsid w:val="00C360FC"/>
    <w:rsid w:val="00C36670"/>
    <w:rsid w:val="00C3739D"/>
    <w:rsid w:val="00C40489"/>
    <w:rsid w:val="00C40610"/>
    <w:rsid w:val="00C42F2B"/>
    <w:rsid w:val="00C51C4B"/>
    <w:rsid w:val="00C526E5"/>
    <w:rsid w:val="00C52D21"/>
    <w:rsid w:val="00C54880"/>
    <w:rsid w:val="00C548B4"/>
    <w:rsid w:val="00C57418"/>
    <w:rsid w:val="00C579E1"/>
    <w:rsid w:val="00C62BC7"/>
    <w:rsid w:val="00C62CFA"/>
    <w:rsid w:val="00C649B6"/>
    <w:rsid w:val="00C668EB"/>
    <w:rsid w:val="00C66B80"/>
    <w:rsid w:val="00C67AAD"/>
    <w:rsid w:val="00C71396"/>
    <w:rsid w:val="00C71A27"/>
    <w:rsid w:val="00C746AB"/>
    <w:rsid w:val="00C77EB8"/>
    <w:rsid w:val="00C82C5D"/>
    <w:rsid w:val="00C854D3"/>
    <w:rsid w:val="00C85776"/>
    <w:rsid w:val="00C870CF"/>
    <w:rsid w:val="00C87982"/>
    <w:rsid w:val="00C913A1"/>
    <w:rsid w:val="00C92733"/>
    <w:rsid w:val="00C9350B"/>
    <w:rsid w:val="00C93AE5"/>
    <w:rsid w:val="00C9431C"/>
    <w:rsid w:val="00C95A7D"/>
    <w:rsid w:val="00C97199"/>
    <w:rsid w:val="00C974B2"/>
    <w:rsid w:val="00C97EF8"/>
    <w:rsid w:val="00CA025E"/>
    <w:rsid w:val="00CA4DDE"/>
    <w:rsid w:val="00CA542C"/>
    <w:rsid w:val="00CA63BA"/>
    <w:rsid w:val="00CA6924"/>
    <w:rsid w:val="00CB4805"/>
    <w:rsid w:val="00CB4BFF"/>
    <w:rsid w:val="00CB55AD"/>
    <w:rsid w:val="00CB5807"/>
    <w:rsid w:val="00CB6D6A"/>
    <w:rsid w:val="00CC0F81"/>
    <w:rsid w:val="00CC25EC"/>
    <w:rsid w:val="00CC2FCB"/>
    <w:rsid w:val="00CC46E7"/>
    <w:rsid w:val="00CC6A99"/>
    <w:rsid w:val="00CD0005"/>
    <w:rsid w:val="00CD1328"/>
    <w:rsid w:val="00CD1501"/>
    <w:rsid w:val="00CD3826"/>
    <w:rsid w:val="00CD3F3C"/>
    <w:rsid w:val="00CD5FFF"/>
    <w:rsid w:val="00CD7243"/>
    <w:rsid w:val="00CE1245"/>
    <w:rsid w:val="00CE14F2"/>
    <w:rsid w:val="00CE4BF2"/>
    <w:rsid w:val="00CE5DE2"/>
    <w:rsid w:val="00CE6098"/>
    <w:rsid w:val="00CE63EF"/>
    <w:rsid w:val="00CE7182"/>
    <w:rsid w:val="00CF0202"/>
    <w:rsid w:val="00CF0C89"/>
    <w:rsid w:val="00CF1203"/>
    <w:rsid w:val="00CF168F"/>
    <w:rsid w:val="00CF2D75"/>
    <w:rsid w:val="00CF60F9"/>
    <w:rsid w:val="00CF780D"/>
    <w:rsid w:val="00CF78F1"/>
    <w:rsid w:val="00D00AA3"/>
    <w:rsid w:val="00D0255E"/>
    <w:rsid w:val="00D02EBA"/>
    <w:rsid w:val="00D03439"/>
    <w:rsid w:val="00D039CA"/>
    <w:rsid w:val="00D057AA"/>
    <w:rsid w:val="00D07680"/>
    <w:rsid w:val="00D07E93"/>
    <w:rsid w:val="00D07F73"/>
    <w:rsid w:val="00D1113D"/>
    <w:rsid w:val="00D11E81"/>
    <w:rsid w:val="00D138D0"/>
    <w:rsid w:val="00D14898"/>
    <w:rsid w:val="00D1490F"/>
    <w:rsid w:val="00D151AE"/>
    <w:rsid w:val="00D17F56"/>
    <w:rsid w:val="00D2041C"/>
    <w:rsid w:val="00D208D2"/>
    <w:rsid w:val="00D22182"/>
    <w:rsid w:val="00D224D8"/>
    <w:rsid w:val="00D24892"/>
    <w:rsid w:val="00D2559F"/>
    <w:rsid w:val="00D25ADE"/>
    <w:rsid w:val="00D2604E"/>
    <w:rsid w:val="00D26E3A"/>
    <w:rsid w:val="00D3031B"/>
    <w:rsid w:val="00D303F7"/>
    <w:rsid w:val="00D30E05"/>
    <w:rsid w:val="00D31F67"/>
    <w:rsid w:val="00D34024"/>
    <w:rsid w:val="00D34D43"/>
    <w:rsid w:val="00D37591"/>
    <w:rsid w:val="00D41E82"/>
    <w:rsid w:val="00D42DF8"/>
    <w:rsid w:val="00D42E91"/>
    <w:rsid w:val="00D43297"/>
    <w:rsid w:val="00D44DB6"/>
    <w:rsid w:val="00D47222"/>
    <w:rsid w:val="00D50119"/>
    <w:rsid w:val="00D53A4B"/>
    <w:rsid w:val="00D55901"/>
    <w:rsid w:val="00D55E3D"/>
    <w:rsid w:val="00D5658C"/>
    <w:rsid w:val="00D5702D"/>
    <w:rsid w:val="00D600AF"/>
    <w:rsid w:val="00D60417"/>
    <w:rsid w:val="00D6485B"/>
    <w:rsid w:val="00D657C5"/>
    <w:rsid w:val="00D7218F"/>
    <w:rsid w:val="00D75093"/>
    <w:rsid w:val="00D7674D"/>
    <w:rsid w:val="00D816C2"/>
    <w:rsid w:val="00D82A43"/>
    <w:rsid w:val="00D8314C"/>
    <w:rsid w:val="00D837E9"/>
    <w:rsid w:val="00D84F10"/>
    <w:rsid w:val="00D85756"/>
    <w:rsid w:val="00D85FC9"/>
    <w:rsid w:val="00D86459"/>
    <w:rsid w:val="00D87541"/>
    <w:rsid w:val="00D90839"/>
    <w:rsid w:val="00D90C88"/>
    <w:rsid w:val="00D9464A"/>
    <w:rsid w:val="00D96197"/>
    <w:rsid w:val="00DA1B0D"/>
    <w:rsid w:val="00DA1F33"/>
    <w:rsid w:val="00DA2292"/>
    <w:rsid w:val="00DA39E9"/>
    <w:rsid w:val="00DA60CD"/>
    <w:rsid w:val="00DA6403"/>
    <w:rsid w:val="00DA6C76"/>
    <w:rsid w:val="00DA6E84"/>
    <w:rsid w:val="00DA74FB"/>
    <w:rsid w:val="00DA7B5D"/>
    <w:rsid w:val="00DB1D28"/>
    <w:rsid w:val="00DB22A9"/>
    <w:rsid w:val="00DB3EA4"/>
    <w:rsid w:val="00DB6082"/>
    <w:rsid w:val="00DC323F"/>
    <w:rsid w:val="00DC44E6"/>
    <w:rsid w:val="00DC44F3"/>
    <w:rsid w:val="00DC4DB6"/>
    <w:rsid w:val="00DC7E51"/>
    <w:rsid w:val="00DD3D17"/>
    <w:rsid w:val="00DD6F81"/>
    <w:rsid w:val="00DE1231"/>
    <w:rsid w:val="00DE1345"/>
    <w:rsid w:val="00DE2DE5"/>
    <w:rsid w:val="00DE480A"/>
    <w:rsid w:val="00DE674D"/>
    <w:rsid w:val="00DE78F6"/>
    <w:rsid w:val="00DF2673"/>
    <w:rsid w:val="00DF4DAB"/>
    <w:rsid w:val="00DF58E7"/>
    <w:rsid w:val="00DF6D0C"/>
    <w:rsid w:val="00E00246"/>
    <w:rsid w:val="00E023E8"/>
    <w:rsid w:val="00E06F12"/>
    <w:rsid w:val="00E10BA9"/>
    <w:rsid w:val="00E11876"/>
    <w:rsid w:val="00E14E4E"/>
    <w:rsid w:val="00E15705"/>
    <w:rsid w:val="00E16E84"/>
    <w:rsid w:val="00E20256"/>
    <w:rsid w:val="00E2174D"/>
    <w:rsid w:val="00E21826"/>
    <w:rsid w:val="00E23C38"/>
    <w:rsid w:val="00E23CBB"/>
    <w:rsid w:val="00E245F0"/>
    <w:rsid w:val="00E2465C"/>
    <w:rsid w:val="00E27193"/>
    <w:rsid w:val="00E30280"/>
    <w:rsid w:val="00E3123A"/>
    <w:rsid w:val="00E316FF"/>
    <w:rsid w:val="00E32289"/>
    <w:rsid w:val="00E36B85"/>
    <w:rsid w:val="00E37B59"/>
    <w:rsid w:val="00E37E34"/>
    <w:rsid w:val="00E40101"/>
    <w:rsid w:val="00E51FC9"/>
    <w:rsid w:val="00E521F4"/>
    <w:rsid w:val="00E54C5A"/>
    <w:rsid w:val="00E54F74"/>
    <w:rsid w:val="00E6067E"/>
    <w:rsid w:val="00E62A3C"/>
    <w:rsid w:val="00E66B9D"/>
    <w:rsid w:val="00E66CA7"/>
    <w:rsid w:val="00E67CFB"/>
    <w:rsid w:val="00E734BC"/>
    <w:rsid w:val="00E74299"/>
    <w:rsid w:val="00E75B88"/>
    <w:rsid w:val="00E75BF7"/>
    <w:rsid w:val="00E817F4"/>
    <w:rsid w:val="00E81BDB"/>
    <w:rsid w:val="00E85DE4"/>
    <w:rsid w:val="00E87FE6"/>
    <w:rsid w:val="00E90165"/>
    <w:rsid w:val="00E90657"/>
    <w:rsid w:val="00E92ADA"/>
    <w:rsid w:val="00E94B14"/>
    <w:rsid w:val="00E94DCF"/>
    <w:rsid w:val="00EA2F62"/>
    <w:rsid w:val="00EA30ED"/>
    <w:rsid w:val="00EA3312"/>
    <w:rsid w:val="00EA36C6"/>
    <w:rsid w:val="00EA3933"/>
    <w:rsid w:val="00EB22E4"/>
    <w:rsid w:val="00EB77D8"/>
    <w:rsid w:val="00EC0D91"/>
    <w:rsid w:val="00EC0EA8"/>
    <w:rsid w:val="00EC4AC4"/>
    <w:rsid w:val="00EC6DC7"/>
    <w:rsid w:val="00EC71F5"/>
    <w:rsid w:val="00EC7C54"/>
    <w:rsid w:val="00ED0FF1"/>
    <w:rsid w:val="00ED2C5E"/>
    <w:rsid w:val="00ED5725"/>
    <w:rsid w:val="00ED7031"/>
    <w:rsid w:val="00ED7BED"/>
    <w:rsid w:val="00EE12E9"/>
    <w:rsid w:val="00EE26A2"/>
    <w:rsid w:val="00EE3060"/>
    <w:rsid w:val="00EE408C"/>
    <w:rsid w:val="00EE4315"/>
    <w:rsid w:val="00EE7D5A"/>
    <w:rsid w:val="00EF1499"/>
    <w:rsid w:val="00EF1984"/>
    <w:rsid w:val="00EF54F5"/>
    <w:rsid w:val="00EF54F7"/>
    <w:rsid w:val="00EF69E0"/>
    <w:rsid w:val="00EF6A5D"/>
    <w:rsid w:val="00F01B35"/>
    <w:rsid w:val="00F01D67"/>
    <w:rsid w:val="00F0251C"/>
    <w:rsid w:val="00F04A7F"/>
    <w:rsid w:val="00F04D1F"/>
    <w:rsid w:val="00F071B3"/>
    <w:rsid w:val="00F10ECB"/>
    <w:rsid w:val="00F151A1"/>
    <w:rsid w:val="00F15EF1"/>
    <w:rsid w:val="00F1715B"/>
    <w:rsid w:val="00F17BAC"/>
    <w:rsid w:val="00F226D8"/>
    <w:rsid w:val="00F23F78"/>
    <w:rsid w:val="00F2493A"/>
    <w:rsid w:val="00F26819"/>
    <w:rsid w:val="00F26ED3"/>
    <w:rsid w:val="00F26FDE"/>
    <w:rsid w:val="00F31381"/>
    <w:rsid w:val="00F31494"/>
    <w:rsid w:val="00F32733"/>
    <w:rsid w:val="00F347FF"/>
    <w:rsid w:val="00F34DF6"/>
    <w:rsid w:val="00F34F67"/>
    <w:rsid w:val="00F357ED"/>
    <w:rsid w:val="00F36537"/>
    <w:rsid w:val="00F36829"/>
    <w:rsid w:val="00F36EB7"/>
    <w:rsid w:val="00F37165"/>
    <w:rsid w:val="00F37A27"/>
    <w:rsid w:val="00F40615"/>
    <w:rsid w:val="00F41CE5"/>
    <w:rsid w:val="00F4379E"/>
    <w:rsid w:val="00F46B43"/>
    <w:rsid w:val="00F47056"/>
    <w:rsid w:val="00F47633"/>
    <w:rsid w:val="00F5373C"/>
    <w:rsid w:val="00F546DB"/>
    <w:rsid w:val="00F56E42"/>
    <w:rsid w:val="00F61686"/>
    <w:rsid w:val="00F62B7A"/>
    <w:rsid w:val="00F6397D"/>
    <w:rsid w:val="00F64F31"/>
    <w:rsid w:val="00F65BBB"/>
    <w:rsid w:val="00F65E3B"/>
    <w:rsid w:val="00F668FB"/>
    <w:rsid w:val="00F670A8"/>
    <w:rsid w:val="00F6747C"/>
    <w:rsid w:val="00F67603"/>
    <w:rsid w:val="00F705E6"/>
    <w:rsid w:val="00F716A7"/>
    <w:rsid w:val="00F724D4"/>
    <w:rsid w:val="00F7293E"/>
    <w:rsid w:val="00F72A75"/>
    <w:rsid w:val="00F74FB4"/>
    <w:rsid w:val="00F75D09"/>
    <w:rsid w:val="00F75F8C"/>
    <w:rsid w:val="00F764D8"/>
    <w:rsid w:val="00F76650"/>
    <w:rsid w:val="00F77E09"/>
    <w:rsid w:val="00F816FE"/>
    <w:rsid w:val="00F81780"/>
    <w:rsid w:val="00F90A66"/>
    <w:rsid w:val="00F90E23"/>
    <w:rsid w:val="00F90E63"/>
    <w:rsid w:val="00F9187B"/>
    <w:rsid w:val="00F92385"/>
    <w:rsid w:val="00F940B7"/>
    <w:rsid w:val="00F94948"/>
    <w:rsid w:val="00F95B1E"/>
    <w:rsid w:val="00F95F2A"/>
    <w:rsid w:val="00F960B2"/>
    <w:rsid w:val="00F96E67"/>
    <w:rsid w:val="00F96F53"/>
    <w:rsid w:val="00F976C3"/>
    <w:rsid w:val="00F97E0D"/>
    <w:rsid w:val="00FA0627"/>
    <w:rsid w:val="00FA1B4F"/>
    <w:rsid w:val="00FA26F2"/>
    <w:rsid w:val="00FA356B"/>
    <w:rsid w:val="00FA60DF"/>
    <w:rsid w:val="00FA73C7"/>
    <w:rsid w:val="00FB15B6"/>
    <w:rsid w:val="00FB4787"/>
    <w:rsid w:val="00FB4F7A"/>
    <w:rsid w:val="00FB4FC7"/>
    <w:rsid w:val="00FB5C08"/>
    <w:rsid w:val="00FB6C82"/>
    <w:rsid w:val="00FC2665"/>
    <w:rsid w:val="00FC39CD"/>
    <w:rsid w:val="00FC47F9"/>
    <w:rsid w:val="00FC4C6A"/>
    <w:rsid w:val="00FC63DA"/>
    <w:rsid w:val="00FC6F59"/>
    <w:rsid w:val="00FC74E1"/>
    <w:rsid w:val="00FC75E8"/>
    <w:rsid w:val="00FD00E7"/>
    <w:rsid w:val="00FD0BF5"/>
    <w:rsid w:val="00FD4969"/>
    <w:rsid w:val="00FD54BE"/>
    <w:rsid w:val="00FD5941"/>
    <w:rsid w:val="00FD5FB1"/>
    <w:rsid w:val="00FD6453"/>
    <w:rsid w:val="00FE0C84"/>
    <w:rsid w:val="00FE0D5B"/>
    <w:rsid w:val="00FE1E32"/>
    <w:rsid w:val="00FE2DAE"/>
    <w:rsid w:val="00FE3CC2"/>
    <w:rsid w:val="00FE5496"/>
    <w:rsid w:val="00FE5580"/>
    <w:rsid w:val="00FE7F72"/>
    <w:rsid w:val="00FF110C"/>
    <w:rsid w:val="00FF12A2"/>
    <w:rsid w:val="00FF1353"/>
    <w:rsid w:val="00FF319D"/>
    <w:rsid w:val="00FF36D4"/>
    <w:rsid w:val="00FF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3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F36EB7"/>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4B5523"/>
    <w:pPr>
      <w:numPr>
        <w:numId w:val="6"/>
      </w:numPr>
      <w:ind w:right="2160"/>
    </w:pPr>
    <w:rPr>
      <w:rFonts w:eastAsiaTheme="majorEastAsia" w:cstheme="majorBidi"/>
      <w:szCs w:val="32"/>
    </w:rPr>
  </w:style>
  <w:style w:type="paragraph" w:styleId="Heading2">
    <w:name w:val="heading 2"/>
    <w:basedOn w:val="Dummy"/>
    <w:next w:val="Standard"/>
    <w:link w:val="Heading2Char"/>
    <w:qFormat/>
    <w:rsid w:val="00FE5496"/>
    <w:pPr>
      <w:numPr>
        <w:ilvl w:val="1"/>
        <w:numId w:val="6"/>
      </w:numPr>
      <w:ind w:right="2160"/>
      <w:outlineLvl w:val="1"/>
    </w:pPr>
  </w:style>
  <w:style w:type="paragraph" w:styleId="Heading3">
    <w:name w:val="heading 3"/>
    <w:basedOn w:val="Dummy"/>
    <w:next w:val="Standard"/>
    <w:link w:val="Heading3Char"/>
    <w:qFormat/>
    <w:rsid w:val="004B5523"/>
    <w:pPr>
      <w:numPr>
        <w:ilvl w:val="2"/>
        <w:numId w:val="6"/>
      </w:numPr>
      <w:ind w:right="2160"/>
      <w:outlineLvl w:val="2"/>
    </w:pPr>
    <w:rPr>
      <w:rFonts w:eastAsiaTheme="majorEastAsia" w:cstheme="majorBidi"/>
      <w:szCs w:val="24"/>
    </w:rPr>
  </w:style>
  <w:style w:type="paragraph" w:styleId="Heading4">
    <w:name w:val="heading 4"/>
    <w:basedOn w:val="Dummy"/>
    <w:next w:val="Standard"/>
    <w:link w:val="Heading4Char"/>
    <w:qFormat/>
    <w:rsid w:val="004B5523"/>
    <w:pPr>
      <w:numPr>
        <w:ilvl w:val="3"/>
        <w:numId w:val="6"/>
      </w:numPr>
      <w:ind w:right="2160"/>
      <w:outlineLvl w:val="3"/>
    </w:pPr>
    <w:rPr>
      <w:rFonts w:eastAsiaTheme="majorEastAsia" w:cstheme="majorBidi"/>
      <w:iCs/>
    </w:rPr>
  </w:style>
  <w:style w:type="paragraph" w:styleId="Heading5">
    <w:name w:val="heading 5"/>
    <w:basedOn w:val="Dummy"/>
    <w:next w:val="Standard"/>
    <w:link w:val="Heading5Char"/>
    <w:qFormat/>
    <w:rsid w:val="000A56F2"/>
    <w:pPr>
      <w:numPr>
        <w:ilvl w:val="4"/>
        <w:numId w:val="6"/>
      </w:numPr>
      <w:outlineLvl w:val="4"/>
    </w:pPr>
    <w:rPr>
      <w:rFonts w:eastAsiaTheme="majorEastAsia" w:cstheme="majorBidi"/>
    </w:rPr>
  </w:style>
  <w:style w:type="paragraph" w:styleId="Heading6">
    <w:name w:val="heading 6"/>
    <w:basedOn w:val="Dummy"/>
    <w:next w:val="Standard"/>
    <w:link w:val="Heading6Char"/>
    <w:qFormat/>
    <w:rsid w:val="000A56F2"/>
    <w:pPr>
      <w:numPr>
        <w:ilvl w:val="5"/>
        <w:numId w:val="6"/>
      </w:numPr>
      <w:spacing w:before="40"/>
      <w:outlineLvl w:val="5"/>
    </w:pPr>
    <w:rPr>
      <w:rFonts w:eastAsiaTheme="majorEastAsia" w:cstheme="majorBidi"/>
    </w:rPr>
  </w:style>
  <w:style w:type="paragraph" w:styleId="Heading7">
    <w:name w:val="heading 7"/>
    <w:basedOn w:val="Normal"/>
    <w:next w:val="standard0"/>
    <w:link w:val="Heading7Char"/>
    <w:qFormat/>
    <w:rsid w:val="00B702ED"/>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9">
    <w:name w:val="heading 9"/>
    <w:basedOn w:val="Normal"/>
    <w:next w:val="standard0"/>
    <w:link w:val="Heading9Char"/>
    <w:autoRedefine/>
    <w:qFormat/>
    <w:rsid w:val="00B702ED"/>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5523"/>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FE5496"/>
    <w:rPr>
      <w:rFonts w:ascii="Arial" w:hAnsi="Arial" w:cs="Arial"/>
      <w:b/>
      <w:sz w:val="26"/>
      <w:szCs w:val="26"/>
    </w:rPr>
  </w:style>
  <w:style w:type="character" w:customStyle="1" w:styleId="Heading3Char">
    <w:name w:val="Heading 3 Char"/>
    <w:basedOn w:val="DefaultParagraphFont"/>
    <w:link w:val="Heading3"/>
    <w:rsid w:val="004B5523"/>
    <w:rPr>
      <w:rFonts w:ascii="Arial" w:eastAsiaTheme="majorEastAsia" w:hAnsi="Arial" w:cstheme="majorBidi"/>
      <w:b/>
      <w:sz w:val="26"/>
      <w:szCs w:val="24"/>
    </w:rPr>
  </w:style>
  <w:style w:type="character" w:customStyle="1" w:styleId="Heading4Char">
    <w:name w:val="Heading 4 Char"/>
    <w:basedOn w:val="DefaultParagraphFont"/>
    <w:link w:val="Heading4"/>
    <w:rsid w:val="004B5523"/>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spacing w:after="120" w:line="240" w:lineRule="auto"/>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standard0">
    <w:name w:val="standard"/>
    <w:basedOn w:val="Normal"/>
    <w:link w:val="standardChar"/>
    <w:rsid w:val="00B702ED"/>
    <w:rPr>
      <w:rFonts w:ascii="Palatino" w:eastAsia="Times New Roman" w:hAnsi="Palatino" w:cs="Times New Roman"/>
      <w:szCs w:val="20"/>
    </w:rPr>
  </w:style>
  <w:style w:type="character" w:customStyle="1" w:styleId="standardChar">
    <w:name w:val="standard Char"/>
    <w:link w:val="standard0"/>
    <w:rsid w:val="00B702ED"/>
    <w:rPr>
      <w:rFonts w:ascii="Palatino" w:eastAsia="Times New Roman" w:hAnsi="Palatino" w:cs="Times New Roman"/>
      <w:sz w:val="26"/>
      <w:szCs w:val="20"/>
    </w:rPr>
  </w:style>
  <w:style w:type="paragraph" w:styleId="ListParagraph">
    <w:name w:val="List Paragraph"/>
    <w:basedOn w:val="Normal"/>
    <w:uiPriority w:val="34"/>
    <w:qFormat/>
    <w:rsid w:val="00B702ED"/>
    <w:pPr>
      <w:spacing w:line="240" w:lineRule="auto"/>
      <w:ind w:left="720" w:firstLine="0"/>
      <w:contextualSpacing/>
    </w:pPr>
    <w:rPr>
      <w:rFonts w:ascii="Palatino" w:eastAsia="Times New Roman" w:hAnsi="Palatino" w:cs="Times New Roman"/>
      <w:szCs w:val="20"/>
    </w:rPr>
  </w:style>
  <w:style w:type="paragraph" w:customStyle="1" w:styleId="xl27">
    <w:name w:val="xl27"/>
    <w:basedOn w:val="Normal"/>
    <w:rsid w:val="00B702ED"/>
    <w:pPr>
      <w:spacing w:before="100" w:beforeAutospacing="1" w:after="100" w:afterAutospacing="1" w:line="240" w:lineRule="auto"/>
      <w:ind w:firstLine="0"/>
      <w:jc w:val="center"/>
    </w:pPr>
    <w:rPr>
      <w:rFonts w:ascii="Arial" w:eastAsia="Arial Unicode MS" w:hAnsi="Arial" w:cs="Arial"/>
      <w:b/>
      <w:bCs/>
      <w:sz w:val="24"/>
      <w:szCs w:val="24"/>
    </w:rPr>
  </w:style>
  <w:style w:type="character" w:customStyle="1" w:styleId="Heading7Char">
    <w:name w:val="Heading 7 Char"/>
    <w:basedOn w:val="DefaultParagraphFont"/>
    <w:link w:val="Heading7"/>
    <w:rsid w:val="00B702ED"/>
    <w:rPr>
      <w:rFonts w:ascii="Helvetica" w:eastAsia="Times New Roman" w:hAnsi="Helvetica" w:cs="Times New Roman"/>
      <w:b/>
      <w:sz w:val="26"/>
      <w:szCs w:val="20"/>
    </w:rPr>
  </w:style>
  <w:style w:type="character" w:customStyle="1" w:styleId="Heading9Char">
    <w:name w:val="Heading 9 Char"/>
    <w:basedOn w:val="DefaultParagraphFont"/>
    <w:link w:val="Heading9"/>
    <w:rsid w:val="00B702ED"/>
    <w:rPr>
      <w:rFonts w:ascii="Helvetica" w:eastAsia="Times New Roman" w:hAnsi="Helvetica" w:cs="Times New Roman"/>
      <w:b/>
      <w:sz w:val="26"/>
      <w:szCs w:val="24"/>
    </w:rPr>
  </w:style>
  <w:style w:type="paragraph" w:customStyle="1" w:styleId="ALJHeading2">
    <w:name w:val="ALJ Heading 2"/>
    <w:basedOn w:val="Normal"/>
    <w:next w:val="Normal"/>
    <w:link w:val="ALJHeading2Char"/>
    <w:rsid w:val="00FD54BE"/>
    <w:pPr>
      <w:keepNext/>
      <w:numPr>
        <w:ilvl w:val="1"/>
        <w:numId w:val="1"/>
      </w:numPr>
      <w:tabs>
        <w:tab w:val="left" w:pos="1080"/>
      </w:tabs>
      <w:spacing w:before="120" w:after="120" w:line="240" w:lineRule="auto"/>
    </w:pPr>
    <w:rPr>
      <w:rFonts w:ascii="Arial" w:hAnsi="Arial" w:cs="Arial"/>
      <w:b/>
      <w:szCs w:val="20"/>
    </w:rPr>
  </w:style>
  <w:style w:type="character" w:customStyle="1" w:styleId="ALJHeading2Char">
    <w:name w:val="ALJ Heading 2 Char"/>
    <w:basedOn w:val="DefaultParagraphFont"/>
    <w:link w:val="ALJHeading2"/>
    <w:rsid w:val="00FD54BE"/>
    <w:rPr>
      <w:rFonts w:ascii="Arial" w:hAnsi="Arial" w:cs="Arial"/>
      <w:b/>
      <w:sz w:val="26"/>
      <w:szCs w:val="20"/>
    </w:rPr>
  </w:style>
  <w:style w:type="paragraph" w:customStyle="1" w:styleId="ALJHeading1">
    <w:name w:val="ALJ Heading 1"/>
    <w:basedOn w:val="Normal"/>
    <w:next w:val="Normal"/>
    <w:link w:val="ALJHeading1Char"/>
    <w:rsid w:val="00FD54BE"/>
    <w:pPr>
      <w:keepNext/>
      <w:numPr>
        <w:numId w:val="1"/>
      </w:numPr>
      <w:spacing w:before="120" w:after="120" w:line="240" w:lineRule="auto"/>
      <w:ind w:right="720"/>
    </w:pPr>
    <w:rPr>
      <w:rFonts w:ascii="Arial" w:hAnsi="Arial" w:cs="Arial"/>
      <w:b/>
      <w:szCs w:val="20"/>
    </w:rPr>
  </w:style>
  <w:style w:type="character" w:customStyle="1" w:styleId="ALJHeading1Char">
    <w:name w:val="ALJ Heading 1 Char"/>
    <w:basedOn w:val="DefaultParagraphFont"/>
    <w:link w:val="ALJHeading1"/>
    <w:rsid w:val="00FD54BE"/>
    <w:rPr>
      <w:rFonts w:ascii="Arial" w:hAnsi="Arial" w:cs="Arial"/>
      <w:b/>
      <w:sz w:val="26"/>
      <w:szCs w:val="20"/>
    </w:rPr>
  </w:style>
  <w:style w:type="paragraph" w:customStyle="1" w:styleId="ALJHeading3">
    <w:name w:val="ALJ Heading 3"/>
    <w:basedOn w:val="Normal"/>
    <w:next w:val="Normal"/>
    <w:link w:val="ALJHeading3Char"/>
    <w:rsid w:val="00FD54BE"/>
    <w:pPr>
      <w:keepNext/>
      <w:numPr>
        <w:ilvl w:val="2"/>
        <w:numId w:val="1"/>
      </w:numPr>
      <w:tabs>
        <w:tab w:val="clear" w:pos="792"/>
      </w:tabs>
      <w:spacing w:before="120" w:after="120" w:line="240" w:lineRule="auto"/>
      <w:ind w:left="1224" w:hanging="504"/>
    </w:pPr>
    <w:rPr>
      <w:rFonts w:ascii="Arial" w:hAnsi="Arial" w:cs="Arial"/>
      <w:b/>
      <w:szCs w:val="20"/>
    </w:rPr>
  </w:style>
  <w:style w:type="character" w:customStyle="1" w:styleId="ALJHeading3Char">
    <w:name w:val="ALJ Heading 3 Char"/>
    <w:basedOn w:val="DefaultParagraphFont"/>
    <w:link w:val="ALJHeading3"/>
    <w:rsid w:val="00FD54BE"/>
    <w:rPr>
      <w:rFonts w:ascii="Arial" w:hAnsi="Arial" w:cs="Arial"/>
      <w:b/>
      <w:sz w:val="26"/>
      <w:szCs w:val="20"/>
    </w:rPr>
  </w:style>
  <w:style w:type="character" w:customStyle="1" w:styleId="UnresolvedMention1">
    <w:name w:val="Unresolved Mention1"/>
    <w:basedOn w:val="DefaultParagraphFont"/>
    <w:uiPriority w:val="99"/>
    <w:semiHidden/>
    <w:unhideWhenUsed/>
    <w:rsid w:val="000F76D5"/>
    <w:rPr>
      <w:color w:val="605E5C"/>
      <w:shd w:val="clear" w:color="auto" w:fill="E1DFDD"/>
    </w:rPr>
  </w:style>
  <w:style w:type="character" w:styleId="FollowedHyperlink">
    <w:name w:val="FollowedHyperlink"/>
    <w:basedOn w:val="DefaultParagraphFont"/>
    <w:uiPriority w:val="99"/>
    <w:semiHidden/>
    <w:unhideWhenUsed/>
    <w:rsid w:val="00311CD2"/>
    <w:rPr>
      <w:color w:val="954F72" w:themeColor="followedHyperlink"/>
      <w:u w:val="single"/>
    </w:rPr>
  </w:style>
  <w:style w:type="character" w:styleId="CommentReference">
    <w:name w:val="annotation reference"/>
    <w:basedOn w:val="DefaultParagraphFont"/>
    <w:uiPriority w:val="99"/>
    <w:semiHidden/>
    <w:unhideWhenUsed/>
    <w:rsid w:val="00630BA0"/>
    <w:rPr>
      <w:sz w:val="16"/>
      <w:szCs w:val="16"/>
    </w:rPr>
  </w:style>
  <w:style w:type="paragraph" w:styleId="CommentText">
    <w:name w:val="annotation text"/>
    <w:basedOn w:val="Normal"/>
    <w:link w:val="CommentTextChar"/>
    <w:uiPriority w:val="99"/>
    <w:unhideWhenUsed/>
    <w:rsid w:val="00630BA0"/>
    <w:pPr>
      <w:spacing w:line="240" w:lineRule="auto"/>
    </w:pPr>
    <w:rPr>
      <w:sz w:val="20"/>
      <w:szCs w:val="20"/>
    </w:rPr>
  </w:style>
  <w:style w:type="character" w:customStyle="1" w:styleId="CommentTextChar">
    <w:name w:val="Comment Text Char"/>
    <w:basedOn w:val="DefaultParagraphFont"/>
    <w:link w:val="CommentText"/>
    <w:uiPriority w:val="99"/>
    <w:rsid w:val="00630BA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630BA0"/>
    <w:rPr>
      <w:b/>
      <w:bCs/>
    </w:rPr>
  </w:style>
  <w:style w:type="character" w:customStyle="1" w:styleId="CommentSubjectChar">
    <w:name w:val="Comment Subject Char"/>
    <w:basedOn w:val="CommentTextChar"/>
    <w:link w:val="CommentSubject"/>
    <w:uiPriority w:val="99"/>
    <w:semiHidden/>
    <w:rsid w:val="00630BA0"/>
    <w:rPr>
      <w:rFonts w:ascii="Book Antiqua" w:hAnsi="Book Antiqua"/>
      <w:b/>
      <w:bCs/>
      <w:sz w:val="20"/>
      <w:szCs w:val="20"/>
    </w:rPr>
  </w:style>
  <w:style w:type="character" w:customStyle="1" w:styleId="UnresolvedMention2">
    <w:name w:val="Unresolved Mention2"/>
    <w:basedOn w:val="DefaultParagraphFont"/>
    <w:uiPriority w:val="99"/>
    <w:semiHidden/>
    <w:unhideWhenUsed/>
    <w:rsid w:val="004036CC"/>
    <w:rPr>
      <w:color w:val="605E5C"/>
      <w:shd w:val="clear" w:color="auto" w:fill="E1DFDD"/>
    </w:rPr>
  </w:style>
  <w:style w:type="character" w:customStyle="1" w:styleId="UnresolvedMention">
    <w:name w:val="Unresolved Mention"/>
    <w:basedOn w:val="DefaultParagraphFont"/>
    <w:uiPriority w:val="99"/>
    <w:semiHidden/>
    <w:unhideWhenUsed/>
    <w:rsid w:val="00FC75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unhideWhenUsed="0" w:qFormat="1"/>
    <w:lsdException w:name="heading 8" w:uiPriority="9" w:unhideWhenUsed="0" w:qFormat="1"/>
    <w:lsdException w:name="heading 9"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4"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F36EB7"/>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4B5523"/>
    <w:pPr>
      <w:numPr>
        <w:numId w:val="6"/>
      </w:numPr>
      <w:ind w:right="2160"/>
    </w:pPr>
    <w:rPr>
      <w:rFonts w:eastAsiaTheme="majorEastAsia" w:cstheme="majorBidi"/>
      <w:szCs w:val="32"/>
    </w:rPr>
  </w:style>
  <w:style w:type="paragraph" w:styleId="Heading2">
    <w:name w:val="heading 2"/>
    <w:basedOn w:val="Dummy"/>
    <w:next w:val="Standard"/>
    <w:link w:val="Heading2Char"/>
    <w:qFormat/>
    <w:rsid w:val="00FE5496"/>
    <w:pPr>
      <w:numPr>
        <w:ilvl w:val="1"/>
        <w:numId w:val="6"/>
      </w:numPr>
      <w:ind w:right="2160"/>
      <w:outlineLvl w:val="1"/>
    </w:pPr>
  </w:style>
  <w:style w:type="paragraph" w:styleId="Heading3">
    <w:name w:val="heading 3"/>
    <w:basedOn w:val="Dummy"/>
    <w:next w:val="Standard"/>
    <w:link w:val="Heading3Char"/>
    <w:qFormat/>
    <w:rsid w:val="004B5523"/>
    <w:pPr>
      <w:numPr>
        <w:ilvl w:val="2"/>
        <w:numId w:val="6"/>
      </w:numPr>
      <w:ind w:right="2160"/>
      <w:outlineLvl w:val="2"/>
    </w:pPr>
    <w:rPr>
      <w:rFonts w:eastAsiaTheme="majorEastAsia" w:cstheme="majorBidi"/>
      <w:szCs w:val="24"/>
    </w:rPr>
  </w:style>
  <w:style w:type="paragraph" w:styleId="Heading4">
    <w:name w:val="heading 4"/>
    <w:basedOn w:val="Dummy"/>
    <w:next w:val="Standard"/>
    <w:link w:val="Heading4Char"/>
    <w:qFormat/>
    <w:rsid w:val="004B5523"/>
    <w:pPr>
      <w:numPr>
        <w:ilvl w:val="3"/>
        <w:numId w:val="6"/>
      </w:numPr>
      <w:ind w:right="2160"/>
      <w:outlineLvl w:val="3"/>
    </w:pPr>
    <w:rPr>
      <w:rFonts w:eastAsiaTheme="majorEastAsia" w:cstheme="majorBidi"/>
      <w:iCs/>
    </w:rPr>
  </w:style>
  <w:style w:type="paragraph" w:styleId="Heading5">
    <w:name w:val="heading 5"/>
    <w:basedOn w:val="Dummy"/>
    <w:next w:val="Standard"/>
    <w:link w:val="Heading5Char"/>
    <w:qFormat/>
    <w:rsid w:val="000A56F2"/>
    <w:pPr>
      <w:numPr>
        <w:ilvl w:val="4"/>
        <w:numId w:val="6"/>
      </w:numPr>
      <w:outlineLvl w:val="4"/>
    </w:pPr>
    <w:rPr>
      <w:rFonts w:eastAsiaTheme="majorEastAsia" w:cstheme="majorBidi"/>
    </w:rPr>
  </w:style>
  <w:style w:type="paragraph" w:styleId="Heading6">
    <w:name w:val="heading 6"/>
    <w:basedOn w:val="Dummy"/>
    <w:next w:val="Standard"/>
    <w:link w:val="Heading6Char"/>
    <w:qFormat/>
    <w:rsid w:val="000A56F2"/>
    <w:pPr>
      <w:numPr>
        <w:ilvl w:val="5"/>
        <w:numId w:val="6"/>
      </w:numPr>
      <w:spacing w:before="40"/>
      <w:outlineLvl w:val="5"/>
    </w:pPr>
    <w:rPr>
      <w:rFonts w:eastAsiaTheme="majorEastAsia" w:cstheme="majorBidi"/>
    </w:rPr>
  </w:style>
  <w:style w:type="paragraph" w:styleId="Heading7">
    <w:name w:val="heading 7"/>
    <w:basedOn w:val="Normal"/>
    <w:next w:val="standard0"/>
    <w:link w:val="Heading7Char"/>
    <w:qFormat/>
    <w:rsid w:val="00B702ED"/>
    <w:pPr>
      <w:tabs>
        <w:tab w:val="left" w:pos="2520"/>
      </w:tabs>
      <w:spacing w:before="120" w:after="120" w:line="240" w:lineRule="auto"/>
      <w:ind w:left="2520" w:hanging="1800"/>
      <w:outlineLvl w:val="6"/>
    </w:pPr>
    <w:rPr>
      <w:rFonts w:ascii="Helvetica" w:eastAsia="Times New Roman" w:hAnsi="Helvetica" w:cs="Times New Roman"/>
      <w:b/>
      <w:szCs w:val="20"/>
    </w:rPr>
  </w:style>
  <w:style w:type="paragraph" w:styleId="Heading9">
    <w:name w:val="heading 9"/>
    <w:basedOn w:val="Normal"/>
    <w:next w:val="standard0"/>
    <w:link w:val="Heading9Char"/>
    <w:autoRedefine/>
    <w:qFormat/>
    <w:rsid w:val="00B702ED"/>
    <w:pPr>
      <w:tabs>
        <w:tab w:val="left" w:pos="2880"/>
      </w:tabs>
      <w:spacing w:before="120" w:after="120" w:line="240" w:lineRule="auto"/>
      <w:ind w:left="2880" w:hanging="2160"/>
      <w:outlineLvl w:val="8"/>
    </w:pPr>
    <w:rPr>
      <w:rFonts w:ascii="Helvetica" w:eastAsia="Times New Roman" w:hAnsi="Helvetic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5523"/>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FE5496"/>
    <w:rPr>
      <w:rFonts w:ascii="Arial" w:hAnsi="Arial" w:cs="Arial"/>
      <w:b/>
      <w:sz w:val="26"/>
      <w:szCs w:val="26"/>
    </w:rPr>
  </w:style>
  <w:style w:type="character" w:customStyle="1" w:styleId="Heading3Char">
    <w:name w:val="Heading 3 Char"/>
    <w:basedOn w:val="DefaultParagraphFont"/>
    <w:link w:val="Heading3"/>
    <w:rsid w:val="004B5523"/>
    <w:rPr>
      <w:rFonts w:ascii="Arial" w:eastAsiaTheme="majorEastAsia" w:hAnsi="Arial" w:cstheme="majorBidi"/>
      <w:b/>
      <w:sz w:val="26"/>
      <w:szCs w:val="24"/>
    </w:rPr>
  </w:style>
  <w:style w:type="character" w:customStyle="1" w:styleId="Heading4Char">
    <w:name w:val="Heading 4 Char"/>
    <w:basedOn w:val="DefaultParagraphFont"/>
    <w:link w:val="Heading4"/>
    <w:rsid w:val="004B5523"/>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A56F2"/>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A56F2"/>
    <w:pPr>
      <w:numPr>
        <w:ilvl w:val="7"/>
        <w:numId w:val="6"/>
      </w:numPr>
      <w:spacing w:after="120" w:line="240" w:lineRule="auto"/>
    </w:pPr>
  </w:style>
  <w:style w:type="paragraph" w:styleId="ListBullet">
    <w:name w:val="List Bullet"/>
    <w:basedOn w:val="Standard"/>
    <w:uiPriority w:val="4"/>
    <w:qFormat/>
    <w:rsid w:val="001F2819"/>
    <w:pPr>
      <w:numPr>
        <w:numId w:val="9"/>
      </w:numPr>
      <w:spacing w:after="120" w:line="240" w:lineRule="auto"/>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standard0">
    <w:name w:val="standard"/>
    <w:basedOn w:val="Normal"/>
    <w:link w:val="standardChar"/>
    <w:rsid w:val="00B702ED"/>
    <w:rPr>
      <w:rFonts w:ascii="Palatino" w:eastAsia="Times New Roman" w:hAnsi="Palatino" w:cs="Times New Roman"/>
      <w:szCs w:val="20"/>
    </w:rPr>
  </w:style>
  <w:style w:type="character" w:customStyle="1" w:styleId="standardChar">
    <w:name w:val="standard Char"/>
    <w:link w:val="standard0"/>
    <w:rsid w:val="00B702ED"/>
    <w:rPr>
      <w:rFonts w:ascii="Palatino" w:eastAsia="Times New Roman" w:hAnsi="Palatino" w:cs="Times New Roman"/>
      <w:sz w:val="26"/>
      <w:szCs w:val="20"/>
    </w:rPr>
  </w:style>
  <w:style w:type="paragraph" w:styleId="ListParagraph">
    <w:name w:val="List Paragraph"/>
    <w:basedOn w:val="Normal"/>
    <w:uiPriority w:val="34"/>
    <w:qFormat/>
    <w:rsid w:val="00B702ED"/>
    <w:pPr>
      <w:spacing w:line="240" w:lineRule="auto"/>
      <w:ind w:left="720" w:firstLine="0"/>
      <w:contextualSpacing/>
    </w:pPr>
    <w:rPr>
      <w:rFonts w:ascii="Palatino" w:eastAsia="Times New Roman" w:hAnsi="Palatino" w:cs="Times New Roman"/>
      <w:szCs w:val="20"/>
    </w:rPr>
  </w:style>
  <w:style w:type="paragraph" w:customStyle="1" w:styleId="xl27">
    <w:name w:val="xl27"/>
    <w:basedOn w:val="Normal"/>
    <w:rsid w:val="00B702ED"/>
    <w:pPr>
      <w:spacing w:before="100" w:beforeAutospacing="1" w:after="100" w:afterAutospacing="1" w:line="240" w:lineRule="auto"/>
      <w:ind w:firstLine="0"/>
      <w:jc w:val="center"/>
    </w:pPr>
    <w:rPr>
      <w:rFonts w:ascii="Arial" w:eastAsia="Arial Unicode MS" w:hAnsi="Arial" w:cs="Arial"/>
      <w:b/>
      <w:bCs/>
      <w:sz w:val="24"/>
      <w:szCs w:val="24"/>
    </w:rPr>
  </w:style>
  <w:style w:type="character" w:customStyle="1" w:styleId="Heading7Char">
    <w:name w:val="Heading 7 Char"/>
    <w:basedOn w:val="DefaultParagraphFont"/>
    <w:link w:val="Heading7"/>
    <w:rsid w:val="00B702ED"/>
    <w:rPr>
      <w:rFonts w:ascii="Helvetica" w:eastAsia="Times New Roman" w:hAnsi="Helvetica" w:cs="Times New Roman"/>
      <w:b/>
      <w:sz w:val="26"/>
      <w:szCs w:val="20"/>
    </w:rPr>
  </w:style>
  <w:style w:type="character" w:customStyle="1" w:styleId="Heading9Char">
    <w:name w:val="Heading 9 Char"/>
    <w:basedOn w:val="DefaultParagraphFont"/>
    <w:link w:val="Heading9"/>
    <w:rsid w:val="00B702ED"/>
    <w:rPr>
      <w:rFonts w:ascii="Helvetica" w:eastAsia="Times New Roman" w:hAnsi="Helvetica" w:cs="Times New Roman"/>
      <w:b/>
      <w:sz w:val="26"/>
      <w:szCs w:val="24"/>
    </w:rPr>
  </w:style>
  <w:style w:type="paragraph" w:customStyle="1" w:styleId="ALJHeading2">
    <w:name w:val="ALJ Heading 2"/>
    <w:basedOn w:val="Normal"/>
    <w:next w:val="Normal"/>
    <w:link w:val="ALJHeading2Char"/>
    <w:rsid w:val="00FD54BE"/>
    <w:pPr>
      <w:keepNext/>
      <w:numPr>
        <w:ilvl w:val="1"/>
        <w:numId w:val="1"/>
      </w:numPr>
      <w:tabs>
        <w:tab w:val="left" w:pos="1080"/>
      </w:tabs>
      <w:spacing w:before="120" w:after="120" w:line="240" w:lineRule="auto"/>
    </w:pPr>
    <w:rPr>
      <w:rFonts w:ascii="Arial" w:hAnsi="Arial" w:cs="Arial"/>
      <w:b/>
      <w:szCs w:val="20"/>
    </w:rPr>
  </w:style>
  <w:style w:type="character" w:customStyle="1" w:styleId="ALJHeading2Char">
    <w:name w:val="ALJ Heading 2 Char"/>
    <w:basedOn w:val="DefaultParagraphFont"/>
    <w:link w:val="ALJHeading2"/>
    <w:rsid w:val="00FD54BE"/>
    <w:rPr>
      <w:rFonts w:ascii="Arial" w:hAnsi="Arial" w:cs="Arial"/>
      <w:b/>
      <w:sz w:val="26"/>
      <w:szCs w:val="20"/>
    </w:rPr>
  </w:style>
  <w:style w:type="paragraph" w:customStyle="1" w:styleId="ALJHeading1">
    <w:name w:val="ALJ Heading 1"/>
    <w:basedOn w:val="Normal"/>
    <w:next w:val="Normal"/>
    <w:link w:val="ALJHeading1Char"/>
    <w:rsid w:val="00FD54BE"/>
    <w:pPr>
      <w:keepNext/>
      <w:numPr>
        <w:numId w:val="1"/>
      </w:numPr>
      <w:spacing w:before="120" w:after="120" w:line="240" w:lineRule="auto"/>
      <w:ind w:right="720"/>
    </w:pPr>
    <w:rPr>
      <w:rFonts w:ascii="Arial" w:hAnsi="Arial" w:cs="Arial"/>
      <w:b/>
      <w:szCs w:val="20"/>
    </w:rPr>
  </w:style>
  <w:style w:type="character" w:customStyle="1" w:styleId="ALJHeading1Char">
    <w:name w:val="ALJ Heading 1 Char"/>
    <w:basedOn w:val="DefaultParagraphFont"/>
    <w:link w:val="ALJHeading1"/>
    <w:rsid w:val="00FD54BE"/>
    <w:rPr>
      <w:rFonts w:ascii="Arial" w:hAnsi="Arial" w:cs="Arial"/>
      <w:b/>
      <w:sz w:val="26"/>
      <w:szCs w:val="20"/>
    </w:rPr>
  </w:style>
  <w:style w:type="paragraph" w:customStyle="1" w:styleId="ALJHeading3">
    <w:name w:val="ALJ Heading 3"/>
    <w:basedOn w:val="Normal"/>
    <w:next w:val="Normal"/>
    <w:link w:val="ALJHeading3Char"/>
    <w:rsid w:val="00FD54BE"/>
    <w:pPr>
      <w:keepNext/>
      <w:numPr>
        <w:ilvl w:val="2"/>
        <w:numId w:val="1"/>
      </w:numPr>
      <w:tabs>
        <w:tab w:val="clear" w:pos="792"/>
      </w:tabs>
      <w:spacing w:before="120" w:after="120" w:line="240" w:lineRule="auto"/>
      <w:ind w:left="1224" w:hanging="504"/>
    </w:pPr>
    <w:rPr>
      <w:rFonts w:ascii="Arial" w:hAnsi="Arial" w:cs="Arial"/>
      <w:b/>
      <w:szCs w:val="20"/>
    </w:rPr>
  </w:style>
  <w:style w:type="character" w:customStyle="1" w:styleId="ALJHeading3Char">
    <w:name w:val="ALJ Heading 3 Char"/>
    <w:basedOn w:val="DefaultParagraphFont"/>
    <w:link w:val="ALJHeading3"/>
    <w:rsid w:val="00FD54BE"/>
    <w:rPr>
      <w:rFonts w:ascii="Arial" w:hAnsi="Arial" w:cs="Arial"/>
      <w:b/>
      <w:sz w:val="26"/>
      <w:szCs w:val="20"/>
    </w:rPr>
  </w:style>
  <w:style w:type="character" w:customStyle="1" w:styleId="UnresolvedMention1">
    <w:name w:val="Unresolved Mention1"/>
    <w:basedOn w:val="DefaultParagraphFont"/>
    <w:uiPriority w:val="99"/>
    <w:semiHidden/>
    <w:unhideWhenUsed/>
    <w:rsid w:val="000F76D5"/>
    <w:rPr>
      <w:color w:val="605E5C"/>
      <w:shd w:val="clear" w:color="auto" w:fill="E1DFDD"/>
    </w:rPr>
  </w:style>
  <w:style w:type="character" w:styleId="FollowedHyperlink">
    <w:name w:val="FollowedHyperlink"/>
    <w:basedOn w:val="DefaultParagraphFont"/>
    <w:uiPriority w:val="99"/>
    <w:semiHidden/>
    <w:unhideWhenUsed/>
    <w:rsid w:val="00311CD2"/>
    <w:rPr>
      <w:color w:val="954F72" w:themeColor="followedHyperlink"/>
      <w:u w:val="single"/>
    </w:rPr>
  </w:style>
  <w:style w:type="character" w:styleId="CommentReference">
    <w:name w:val="annotation reference"/>
    <w:basedOn w:val="DefaultParagraphFont"/>
    <w:uiPriority w:val="99"/>
    <w:semiHidden/>
    <w:unhideWhenUsed/>
    <w:rsid w:val="00630BA0"/>
    <w:rPr>
      <w:sz w:val="16"/>
      <w:szCs w:val="16"/>
    </w:rPr>
  </w:style>
  <w:style w:type="paragraph" w:styleId="CommentText">
    <w:name w:val="annotation text"/>
    <w:basedOn w:val="Normal"/>
    <w:link w:val="CommentTextChar"/>
    <w:uiPriority w:val="99"/>
    <w:unhideWhenUsed/>
    <w:rsid w:val="00630BA0"/>
    <w:pPr>
      <w:spacing w:line="240" w:lineRule="auto"/>
    </w:pPr>
    <w:rPr>
      <w:sz w:val="20"/>
      <w:szCs w:val="20"/>
    </w:rPr>
  </w:style>
  <w:style w:type="character" w:customStyle="1" w:styleId="CommentTextChar">
    <w:name w:val="Comment Text Char"/>
    <w:basedOn w:val="DefaultParagraphFont"/>
    <w:link w:val="CommentText"/>
    <w:uiPriority w:val="99"/>
    <w:rsid w:val="00630BA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630BA0"/>
    <w:rPr>
      <w:b/>
      <w:bCs/>
    </w:rPr>
  </w:style>
  <w:style w:type="character" w:customStyle="1" w:styleId="CommentSubjectChar">
    <w:name w:val="Comment Subject Char"/>
    <w:basedOn w:val="CommentTextChar"/>
    <w:link w:val="CommentSubject"/>
    <w:uiPriority w:val="99"/>
    <w:semiHidden/>
    <w:rsid w:val="00630BA0"/>
    <w:rPr>
      <w:rFonts w:ascii="Book Antiqua" w:hAnsi="Book Antiqua"/>
      <w:b/>
      <w:bCs/>
      <w:sz w:val="20"/>
      <w:szCs w:val="20"/>
    </w:rPr>
  </w:style>
  <w:style w:type="character" w:customStyle="1" w:styleId="UnresolvedMention2">
    <w:name w:val="Unresolved Mention2"/>
    <w:basedOn w:val="DefaultParagraphFont"/>
    <w:uiPriority w:val="99"/>
    <w:semiHidden/>
    <w:unhideWhenUsed/>
    <w:rsid w:val="004036CC"/>
    <w:rPr>
      <w:color w:val="605E5C"/>
      <w:shd w:val="clear" w:color="auto" w:fill="E1DFDD"/>
    </w:rPr>
  </w:style>
  <w:style w:type="character" w:customStyle="1" w:styleId="UnresolvedMention">
    <w:name w:val="Unresolved Mention"/>
    <w:basedOn w:val="DefaultParagraphFont"/>
    <w:uiPriority w:val="99"/>
    <w:semiHidden/>
    <w:unhideWhenUsed/>
    <w:rsid w:val="00FC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7978">
      <w:bodyDiv w:val="1"/>
      <w:marLeft w:val="0"/>
      <w:marRight w:val="0"/>
      <w:marTop w:val="0"/>
      <w:marBottom w:val="0"/>
      <w:divBdr>
        <w:top w:val="none" w:sz="0" w:space="0" w:color="auto"/>
        <w:left w:val="none" w:sz="0" w:space="0" w:color="auto"/>
        <w:bottom w:val="none" w:sz="0" w:space="0" w:color="auto"/>
        <w:right w:val="none" w:sz="0" w:space="0" w:color="auto"/>
      </w:divBdr>
    </w:div>
    <w:div w:id="17557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WorkArea/DownloadAsset.aspx?id=6442452102" TargetMode="External"/><Relationship Id="rId2" Type="http://schemas.openxmlformats.org/officeDocument/2006/relationships/hyperlink" Target="https://www.cpuc.ca.gov/WorkArea/DownloadAsset.aspx?id=6442462802" TargetMode="External"/><Relationship Id="rId1" Type="http://schemas.openxmlformats.org/officeDocument/2006/relationships/hyperlink" Target="https://www.cpuc.ca.gov/WorkArea/DownloadAsset.aspx?id=6442452101" TargetMode="External"/><Relationship Id="rId5" Type="http://schemas.openxmlformats.org/officeDocument/2006/relationships/hyperlink" Target="https://www.ferc.gov/docs-filing/forms.asp?new=sc1" TargetMode="External"/><Relationship Id="rId4" Type="http://schemas.openxmlformats.org/officeDocument/2006/relationships/hyperlink" Target="https://www.ferc.gov/enforcement/acctmatts/usof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18f29f9e293b039196fc57b2a9091156">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f2f08476a7385e6827bd1d32feec3399"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EFDE-6EB1-4009-9740-6D9907156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D922A-565E-4B34-A775-4A87CD3D0E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D556C3-9A41-4B19-ADB6-DCDDD8D8681E}">
  <ds:schemaRefs>
    <ds:schemaRef ds:uri="http://schemas.microsoft.com/sharepoint/v3/contenttype/forms"/>
  </ds:schemaRefs>
</ds:datastoreItem>
</file>

<file path=customXml/itemProps4.xml><?xml version="1.0" encoding="utf-8"?>
<ds:datastoreItem xmlns:ds="http://schemas.openxmlformats.org/officeDocument/2006/customXml" ds:itemID="{8903C7B2-D55A-458F-A221-20A34E4C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19243</Words>
  <Characters>109689</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2020-01-14T15:06:00Z</cp:lastPrinted>
  <dcterms:created xsi:type="dcterms:W3CDTF">2020-01-22T11:30:00Z</dcterms:created>
  <dcterms:modified xsi:type="dcterms:W3CDTF">2020-01-22T19:30:00Z</dcterms:modified>
</cp:coreProperties>
</file>