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21D1" w14:textId="47DCCAC7" w:rsidR="00B60421" w:rsidRDefault="00732E37" w:rsidP="00204AC6">
      <w:pPr>
        <w:tabs>
          <w:tab w:val="center" w:pos="3960"/>
          <w:tab w:val="right" w:pos="9360"/>
        </w:tabs>
        <w:spacing w:line="240" w:lineRule="auto"/>
        <w:ind w:firstLine="0"/>
      </w:pPr>
      <w:bookmarkStart w:id="0" w:name="_GoBack"/>
      <w:bookmarkEnd w:id="0"/>
      <w:r>
        <w:t>ALJ</w:t>
      </w:r>
      <w:r w:rsidR="00DA7B5D">
        <w:t>/</w:t>
      </w:r>
      <w:r w:rsidR="00DA351C">
        <w:t>CTP</w:t>
      </w:r>
      <w:r w:rsidR="00DA7B5D">
        <w:t>/</w:t>
      </w:r>
      <w:r>
        <w:t>jt2</w:t>
      </w:r>
      <w:r w:rsidR="007E0FEE">
        <w:tab/>
      </w:r>
      <w:r w:rsidR="004754F3">
        <w:tab/>
      </w:r>
      <w:r w:rsidR="00204AC6" w:rsidRPr="004754F3">
        <w:rPr>
          <w:b/>
          <w:bCs/>
          <w:sz w:val="30"/>
          <w:szCs w:val="26"/>
        </w:rPr>
        <w:t>D</w:t>
      </w:r>
      <w:r w:rsidR="004754F3" w:rsidRPr="004754F3">
        <w:rPr>
          <w:b/>
          <w:bCs/>
          <w:sz w:val="30"/>
          <w:szCs w:val="26"/>
        </w:rPr>
        <w:t>ate of Issuance  1/</w:t>
      </w:r>
      <w:r w:rsidR="00DA351C">
        <w:rPr>
          <w:b/>
          <w:bCs/>
          <w:sz w:val="30"/>
          <w:szCs w:val="26"/>
        </w:rPr>
        <w:t>27</w:t>
      </w:r>
      <w:r w:rsidR="004754F3" w:rsidRPr="004754F3">
        <w:rPr>
          <w:b/>
          <w:bCs/>
          <w:sz w:val="30"/>
          <w:szCs w:val="26"/>
        </w:rPr>
        <w:t>/2020</w:t>
      </w:r>
    </w:p>
    <w:p w14:paraId="3C956E45" w14:textId="2EE4DC42" w:rsidR="00DA7B5D" w:rsidRDefault="00DA7B5D" w:rsidP="00204AC6">
      <w:pPr>
        <w:tabs>
          <w:tab w:val="center" w:pos="4680"/>
          <w:tab w:val="right" w:pos="9360"/>
        </w:tabs>
        <w:spacing w:line="240" w:lineRule="auto"/>
        <w:ind w:firstLine="0"/>
      </w:pPr>
    </w:p>
    <w:p w14:paraId="2F4A2D08" w14:textId="6D54E44B" w:rsidR="005B6D42" w:rsidRDefault="005B6D42" w:rsidP="008F0116">
      <w:pPr>
        <w:ind w:firstLine="0"/>
      </w:pPr>
    </w:p>
    <w:p w14:paraId="4BB42DCC" w14:textId="77777777" w:rsidR="00DA7B5D" w:rsidRDefault="00DA7B5D" w:rsidP="00BB0243">
      <w:pPr>
        <w:spacing w:line="240" w:lineRule="auto"/>
        <w:jc w:val="center"/>
        <w:rPr>
          <w:u w:val="single"/>
        </w:rPr>
      </w:pPr>
    </w:p>
    <w:p w14:paraId="5A4DD80E"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77666EF8"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14:paraId="1E26652E" w14:textId="77777777" w:rsidTr="004754F3">
        <w:tc>
          <w:tcPr>
            <w:tcW w:w="4675" w:type="dxa"/>
            <w:tcBorders>
              <w:top w:val="nil"/>
              <w:left w:val="nil"/>
              <w:bottom w:val="single" w:sz="4" w:space="0" w:color="auto"/>
              <w:right w:val="single" w:sz="4" w:space="0" w:color="auto"/>
            </w:tcBorders>
          </w:tcPr>
          <w:p w14:paraId="2FBC10CA" w14:textId="44D5F950" w:rsidR="00DA7B5D" w:rsidRPr="00DA7B5D" w:rsidRDefault="004832D5" w:rsidP="00C10B5F">
            <w:pPr>
              <w:spacing w:line="240" w:lineRule="auto"/>
              <w:ind w:firstLine="0"/>
              <w:rPr>
                <w:rFonts w:cs="Arial"/>
                <w:szCs w:val="26"/>
              </w:rPr>
            </w:pPr>
            <w:r>
              <w:rPr>
                <w:rFonts w:cs="Arial"/>
                <w:szCs w:val="26"/>
              </w:rPr>
              <w:t>Order Instituting Rulemaking to Establish Policies</w:t>
            </w:r>
            <w:r w:rsidR="00DA4FE0">
              <w:rPr>
                <w:rFonts w:cs="Arial"/>
                <w:szCs w:val="26"/>
              </w:rPr>
              <w:t>, Processes,</w:t>
            </w:r>
            <w:r>
              <w:rPr>
                <w:rFonts w:cs="Arial"/>
                <w:szCs w:val="26"/>
              </w:rPr>
              <w:t xml:space="preserve"> and Rules to </w:t>
            </w:r>
            <w:r w:rsidR="00616BF6">
              <w:rPr>
                <w:rFonts w:cs="Arial"/>
                <w:szCs w:val="26"/>
              </w:rPr>
              <w:t>E</w:t>
            </w:r>
            <w:r>
              <w:rPr>
                <w:rFonts w:cs="Arial"/>
                <w:szCs w:val="26"/>
              </w:rPr>
              <w:t xml:space="preserve">nsure </w:t>
            </w:r>
            <w:r w:rsidR="00F3780F">
              <w:rPr>
                <w:rFonts w:cs="Arial"/>
                <w:szCs w:val="26"/>
              </w:rPr>
              <w:t xml:space="preserve">Safe and </w:t>
            </w:r>
            <w:r w:rsidR="00616BF6">
              <w:rPr>
                <w:rFonts w:cs="Arial"/>
                <w:szCs w:val="26"/>
              </w:rPr>
              <w:t>Reliable</w:t>
            </w:r>
            <w:r>
              <w:rPr>
                <w:rFonts w:cs="Arial"/>
                <w:szCs w:val="26"/>
              </w:rPr>
              <w:t xml:space="preserve"> Gas </w:t>
            </w:r>
            <w:r w:rsidR="00616BF6">
              <w:rPr>
                <w:rFonts w:cs="Arial"/>
                <w:szCs w:val="26"/>
              </w:rPr>
              <w:t>S</w:t>
            </w:r>
            <w:r>
              <w:rPr>
                <w:rFonts w:cs="Arial"/>
                <w:szCs w:val="26"/>
              </w:rPr>
              <w:t>ystems</w:t>
            </w:r>
            <w:r w:rsidR="00616BF6">
              <w:rPr>
                <w:rFonts w:cs="Arial"/>
                <w:szCs w:val="26"/>
              </w:rPr>
              <w:t xml:space="preserve"> </w:t>
            </w:r>
            <w:r w:rsidR="000926BF">
              <w:rPr>
                <w:rFonts w:cs="Arial"/>
                <w:szCs w:val="26"/>
              </w:rPr>
              <w:t xml:space="preserve">in California </w:t>
            </w:r>
            <w:r w:rsidR="00616BF6">
              <w:rPr>
                <w:rFonts w:cs="Arial"/>
                <w:szCs w:val="26"/>
              </w:rPr>
              <w:t xml:space="preserve">and </w:t>
            </w:r>
            <w:r w:rsidR="00F108C9">
              <w:rPr>
                <w:rFonts w:cs="Arial"/>
                <w:szCs w:val="26"/>
              </w:rPr>
              <w:t>P</w:t>
            </w:r>
            <w:r w:rsidR="00616BF6">
              <w:rPr>
                <w:rFonts w:cs="Arial"/>
                <w:szCs w:val="26"/>
              </w:rPr>
              <w:t xml:space="preserve">erform </w:t>
            </w:r>
            <w:r w:rsidR="00F108C9">
              <w:rPr>
                <w:rFonts w:cs="Arial"/>
                <w:szCs w:val="26"/>
              </w:rPr>
              <w:t>L</w:t>
            </w:r>
            <w:r w:rsidR="00616BF6">
              <w:rPr>
                <w:rFonts w:cs="Arial"/>
                <w:szCs w:val="26"/>
              </w:rPr>
              <w:t>ong-</w:t>
            </w:r>
            <w:r w:rsidR="00F108C9">
              <w:rPr>
                <w:rFonts w:cs="Arial"/>
                <w:szCs w:val="26"/>
              </w:rPr>
              <w:t>T</w:t>
            </w:r>
            <w:r w:rsidR="00616BF6">
              <w:rPr>
                <w:rFonts w:cs="Arial"/>
                <w:szCs w:val="26"/>
              </w:rPr>
              <w:t>erm Gas System Planning</w:t>
            </w:r>
            <w:r w:rsidR="00732E37">
              <w:rPr>
                <w:rFonts w:cs="Arial"/>
                <w:szCs w:val="26"/>
              </w:rPr>
              <w:t>.</w:t>
            </w:r>
            <w:r w:rsidR="00DA7B5D" w:rsidRPr="00DA7B5D">
              <w:rPr>
                <w:rFonts w:cs="Arial"/>
                <w:szCs w:val="26"/>
              </w:rPr>
              <w:br/>
            </w:r>
          </w:p>
        </w:tc>
        <w:tc>
          <w:tcPr>
            <w:tcW w:w="4675" w:type="dxa"/>
            <w:tcBorders>
              <w:top w:val="nil"/>
              <w:left w:val="single" w:sz="4" w:space="0" w:color="auto"/>
              <w:bottom w:val="nil"/>
              <w:right w:val="nil"/>
            </w:tcBorders>
          </w:tcPr>
          <w:p w14:paraId="6F8E60F4" w14:textId="77777777" w:rsidR="00DA7B5D" w:rsidRDefault="004754F3" w:rsidP="004754F3">
            <w:pPr>
              <w:spacing w:line="240" w:lineRule="auto"/>
              <w:ind w:firstLine="0"/>
              <w:jc w:val="center"/>
              <w:rPr>
                <w:rFonts w:cs="Arial"/>
                <w:szCs w:val="26"/>
              </w:rPr>
            </w:pPr>
            <w:r>
              <w:rPr>
                <w:rFonts w:cs="Arial"/>
                <w:szCs w:val="26"/>
              </w:rPr>
              <w:t>FILED</w:t>
            </w:r>
          </w:p>
          <w:p w14:paraId="71D6E4F2" w14:textId="77777777" w:rsidR="004754F3" w:rsidRDefault="004754F3" w:rsidP="004754F3">
            <w:pPr>
              <w:spacing w:line="240" w:lineRule="auto"/>
              <w:ind w:firstLine="0"/>
              <w:jc w:val="center"/>
              <w:rPr>
                <w:rFonts w:cs="Arial"/>
                <w:szCs w:val="26"/>
              </w:rPr>
            </w:pPr>
            <w:r>
              <w:rPr>
                <w:rFonts w:cs="Arial"/>
                <w:szCs w:val="26"/>
              </w:rPr>
              <w:t>PUBLIC UTILITIES COMMISSION</w:t>
            </w:r>
          </w:p>
          <w:p w14:paraId="5837235B" w14:textId="77777777" w:rsidR="004754F3" w:rsidRDefault="004754F3" w:rsidP="004754F3">
            <w:pPr>
              <w:spacing w:line="240" w:lineRule="auto"/>
              <w:ind w:firstLine="0"/>
              <w:jc w:val="center"/>
              <w:rPr>
                <w:rFonts w:cs="Arial"/>
                <w:szCs w:val="26"/>
              </w:rPr>
            </w:pPr>
            <w:r>
              <w:rPr>
                <w:rFonts w:cs="Arial"/>
                <w:szCs w:val="26"/>
              </w:rPr>
              <w:t>JANUARY 16, 2020</w:t>
            </w:r>
          </w:p>
          <w:p w14:paraId="28446B61" w14:textId="77777777" w:rsidR="004754F3" w:rsidRDefault="004754F3" w:rsidP="004754F3">
            <w:pPr>
              <w:spacing w:line="240" w:lineRule="auto"/>
              <w:ind w:firstLine="0"/>
              <w:jc w:val="center"/>
              <w:rPr>
                <w:rFonts w:cs="Arial"/>
                <w:szCs w:val="26"/>
              </w:rPr>
            </w:pPr>
            <w:r>
              <w:rPr>
                <w:rFonts w:cs="Arial"/>
                <w:szCs w:val="26"/>
              </w:rPr>
              <w:t>SAN FRANCISCO, CALIFORNIA</w:t>
            </w:r>
          </w:p>
          <w:p w14:paraId="5CDCD00D" w14:textId="4DC66B8D" w:rsidR="004754F3" w:rsidRPr="00DA7B5D" w:rsidRDefault="004754F3" w:rsidP="004754F3">
            <w:pPr>
              <w:spacing w:line="240" w:lineRule="auto"/>
              <w:ind w:firstLine="0"/>
              <w:jc w:val="center"/>
              <w:rPr>
                <w:rFonts w:cs="Arial"/>
                <w:szCs w:val="26"/>
              </w:rPr>
            </w:pPr>
            <w:r>
              <w:rPr>
                <w:rFonts w:cs="Arial"/>
                <w:szCs w:val="26"/>
              </w:rPr>
              <w:t>RULEMAKING 20</w:t>
            </w:r>
            <w:r w:rsidRPr="004754F3">
              <w:rPr>
                <w:rFonts w:cs="Arial"/>
                <w:szCs w:val="26"/>
              </w:rPr>
              <w:noBreakHyphen/>
            </w:r>
            <w:r>
              <w:rPr>
                <w:rFonts w:cs="Arial"/>
                <w:szCs w:val="26"/>
              </w:rPr>
              <w:t>01</w:t>
            </w:r>
            <w:r w:rsidRPr="004754F3">
              <w:rPr>
                <w:rFonts w:cs="Arial"/>
                <w:szCs w:val="26"/>
              </w:rPr>
              <w:noBreakHyphen/>
            </w:r>
            <w:r>
              <w:rPr>
                <w:rFonts w:cs="Arial"/>
                <w:szCs w:val="26"/>
              </w:rPr>
              <w:t>007</w:t>
            </w:r>
          </w:p>
        </w:tc>
      </w:tr>
    </w:tbl>
    <w:p w14:paraId="4204631D" w14:textId="77777777" w:rsidR="00DA7B5D" w:rsidRDefault="00DA7B5D" w:rsidP="008F0116">
      <w:pPr>
        <w:spacing w:line="240" w:lineRule="auto"/>
        <w:ind w:firstLine="0"/>
        <w:rPr>
          <w:rFonts w:ascii="Arial" w:hAnsi="Arial" w:cs="Arial"/>
          <w:sz w:val="24"/>
          <w:szCs w:val="24"/>
        </w:rPr>
      </w:pPr>
    </w:p>
    <w:p w14:paraId="3D5B1B5D" w14:textId="77777777" w:rsidR="00DA7B5D" w:rsidRDefault="00DA7B5D" w:rsidP="008F0116">
      <w:pPr>
        <w:spacing w:line="240" w:lineRule="auto"/>
        <w:ind w:firstLine="0"/>
        <w:rPr>
          <w:rFonts w:ascii="Arial" w:hAnsi="Arial" w:cs="Arial"/>
          <w:sz w:val="24"/>
          <w:szCs w:val="24"/>
        </w:rPr>
      </w:pPr>
    </w:p>
    <w:p w14:paraId="6B3591BA" w14:textId="6C678A43" w:rsidR="00F92385" w:rsidRPr="00F92385" w:rsidRDefault="00F108C9" w:rsidP="00B3087D">
      <w:pPr>
        <w:pStyle w:val="Dummy"/>
        <w:jc w:val="center"/>
        <w:sectPr w:rsidR="00F92385" w:rsidRPr="00F92385" w:rsidSect="00D44DB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bookmarkStart w:id="1" w:name="_Toc28605922"/>
      <w:r>
        <w:t>ORDER INSTITUTING RULEMAKING TO ESTABLISH POLICIES</w:t>
      </w:r>
      <w:r w:rsidR="000926D5">
        <w:t>,</w:t>
      </w:r>
      <w:r>
        <w:t xml:space="preserve"> </w:t>
      </w:r>
      <w:r w:rsidR="00DA4FE0">
        <w:t>PROCESSES</w:t>
      </w:r>
      <w:r w:rsidR="00FE36AE">
        <w:t>,</w:t>
      </w:r>
      <w:r w:rsidR="00DA4FE0">
        <w:t xml:space="preserve"> </w:t>
      </w:r>
      <w:r>
        <w:t xml:space="preserve">AND RULES TO ENSURE </w:t>
      </w:r>
      <w:r w:rsidR="00F3780F">
        <w:t xml:space="preserve">SAFE AND </w:t>
      </w:r>
      <w:r>
        <w:t>REL</w:t>
      </w:r>
      <w:r w:rsidR="000926BF">
        <w:t>IA</w:t>
      </w:r>
      <w:r>
        <w:t xml:space="preserve">BLE GAS SYSTEMS </w:t>
      </w:r>
      <w:r w:rsidR="000926BF">
        <w:t xml:space="preserve">IN CALIFORNIA </w:t>
      </w:r>
      <w:r>
        <w:t>AND PERFORM LONG-TERM GAS SYSTEM PLANNING</w:t>
      </w:r>
      <w:bookmarkEnd w:id="1"/>
    </w:p>
    <w:p w14:paraId="01248FB3" w14:textId="77777777" w:rsidR="00D50119" w:rsidRPr="001E2A62" w:rsidRDefault="00D50119" w:rsidP="00F76650">
      <w:pPr>
        <w:pStyle w:val="Main"/>
        <w:rPr>
          <w:rFonts w:ascii="Book Antiqua" w:hAnsi="Book Antiqua"/>
        </w:rPr>
      </w:pPr>
      <w:r w:rsidRPr="001E2A62">
        <w:rPr>
          <w:rFonts w:ascii="Book Antiqua" w:hAnsi="Book Antiqua"/>
        </w:rPr>
        <w:lastRenderedPageBreak/>
        <w:t>TABLE OF CONTENTS</w:t>
      </w:r>
    </w:p>
    <w:p w14:paraId="72A974B4" w14:textId="77777777" w:rsidR="00D50119" w:rsidRPr="00D50119" w:rsidRDefault="00D50119" w:rsidP="007E0FEE">
      <w:pPr>
        <w:tabs>
          <w:tab w:val="right" w:pos="9360"/>
        </w:tabs>
        <w:ind w:firstLine="0"/>
      </w:pPr>
      <w:r w:rsidRPr="00D50119">
        <w:rPr>
          <w:b/>
        </w:rPr>
        <w:t>Title</w:t>
      </w:r>
      <w:r>
        <w:tab/>
      </w:r>
      <w:r w:rsidRPr="00D50119">
        <w:rPr>
          <w:b/>
        </w:rPr>
        <w:t>Page</w:t>
      </w:r>
    </w:p>
    <w:sdt>
      <w:sdtPr>
        <w:rPr>
          <w:rFonts w:eastAsiaTheme="minorHAnsi" w:cstheme="minorBidi"/>
        </w:rPr>
        <w:id w:val="-1224440197"/>
        <w:docPartObj>
          <w:docPartGallery w:val="Table of Contents"/>
          <w:docPartUnique/>
        </w:docPartObj>
      </w:sdtPr>
      <w:sdtEndPr>
        <w:rPr>
          <w:b/>
          <w:bCs/>
          <w:noProof/>
        </w:rPr>
      </w:sdtEndPr>
      <w:sdtContent>
        <w:p w14:paraId="2C0D86A9" w14:textId="40FCEAF3" w:rsidR="002327E3" w:rsidRDefault="008C7413" w:rsidP="00492D01">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anchor="_Toc28605922" w:history="1">
            <w:r w:rsidR="002327E3" w:rsidRPr="006525C7">
              <w:rPr>
                <w:rStyle w:val="Hyperlink"/>
                <w:noProof/>
              </w:rPr>
              <w:t>ORDER INSTITUTING RULEMAKING TO ESTABLISH POLICIES, PROCESSES, AND RULES TO ENSURE SAFE AND RELIABLE GAS SYSTEMS</w:t>
            </w:r>
            <w:r w:rsidR="002327E3">
              <w:rPr>
                <w:rStyle w:val="Hyperlink"/>
                <w:noProof/>
              </w:rPr>
              <w:t> </w:t>
            </w:r>
            <w:r w:rsidR="002327E3" w:rsidRPr="006525C7">
              <w:rPr>
                <w:rStyle w:val="Hyperlink"/>
                <w:noProof/>
              </w:rPr>
              <w:t>IN CALIFORNIA AND PERFORM LONG-TERM GAS SYSTEM PLANNING</w:t>
            </w:r>
            <w:r w:rsidR="002327E3">
              <w:rPr>
                <w:noProof/>
                <w:webHidden/>
              </w:rPr>
              <w:tab/>
            </w:r>
            <w:r w:rsidR="002327E3">
              <w:rPr>
                <w:noProof/>
                <w:webHidden/>
              </w:rPr>
              <w:fldChar w:fldCharType="begin"/>
            </w:r>
            <w:r w:rsidR="002327E3">
              <w:rPr>
                <w:noProof/>
                <w:webHidden/>
              </w:rPr>
              <w:instrText xml:space="preserve"> PAGEREF _Toc28605922 \h </w:instrText>
            </w:r>
            <w:r w:rsidR="002327E3">
              <w:rPr>
                <w:noProof/>
                <w:webHidden/>
              </w:rPr>
            </w:r>
            <w:r w:rsidR="002327E3">
              <w:rPr>
                <w:noProof/>
                <w:webHidden/>
              </w:rPr>
              <w:fldChar w:fldCharType="separate"/>
            </w:r>
            <w:r w:rsidR="00374255">
              <w:rPr>
                <w:noProof/>
                <w:webHidden/>
              </w:rPr>
              <w:t>1</w:t>
            </w:r>
            <w:r w:rsidR="002327E3">
              <w:rPr>
                <w:noProof/>
                <w:webHidden/>
              </w:rPr>
              <w:fldChar w:fldCharType="end"/>
            </w:r>
          </w:hyperlink>
        </w:p>
        <w:p w14:paraId="1DF3BDDD" w14:textId="32F5C19A" w:rsidR="002327E3" w:rsidRDefault="00374255">
          <w:pPr>
            <w:pStyle w:val="TOC1"/>
            <w:tabs>
              <w:tab w:val="right" w:leader="dot" w:pos="9350"/>
            </w:tabs>
            <w:rPr>
              <w:rFonts w:asciiTheme="minorHAnsi" w:hAnsiTheme="minorHAnsi" w:cstheme="minorBidi"/>
              <w:noProof/>
              <w:sz w:val="22"/>
            </w:rPr>
          </w:pPr>
          <w:hyperlink w:anchor="_Toc28605923" w:history="1">
            <w:r w:rsidR="002327E3" w:rsidRPr="006525C7">
              <w:rPr>
                <w:rStyle w:val="Hyperlink"/>
                <w:noProof/>
              </w:rPr>
              <w:t>Summary</w:t>
            </w:r>
            <w:r w:rsidR="002327E3">
              <w:rPr>
                <w:noProof/>
                <w:webHidden/>
              </w:rPr>
              <w:tab/>
            </w:r>
            <w:r w:rsidR="002327E3">
              <w:rPr>
                <w:noProof/>
                <w:webHidden/>
              </w:rPr>
              <w:fldChar w:fldCharType="begin"/>
            </w:r>
            <w:r w:rsidR="002327E3">
              <w:rPr>
                <w:noProof/>
                <w:webHidden/>
              </w:rPr>
              <w:instrText xml:space="preserve"> PAGEREF _Toc28605923 \h </w:instrText>
            </w:r>
            <w:r w:rsidR="002327E3">
              <w:rPr>
                <w:noProof/>
                <w:webHidden/>
              </w:rPr>
            </w:r>
            <w:r w:rsidR="002327E3">
              <w:rPr>
                <w:noProof/>
                <w:webHidden/>
              </w:rPr>
              <w:fldChar w:fldCharType="separate"/>
            </w:r>
            <w:r>
              <w:rPr>
                <w:noProof/>
                <w:webHidden/>
              </w:rPr>
              <w:t>2</w:t>
            </w:r>
            <w:r w:rsidR="002327E3">
              <w:rPr>
                <w:noProof/>
                <w:webHidden/>
              </w:rPr>
              <w:fldChar w:fldCharType="end"/>
            </w:r>
          </w:hyperlink>
        </w:p>
        <w:p w14:paraId="2AC7912B" w14:textId="579F527D" w:rsidR="002327E3" w:rsidRDefault="00374255">
          <w:pPr>
            <w:pStyle w:val="TOC1"/>
            <w:tabs>
              <w:tab w:val="right" w:leader="dot" w:pos="9350"/>
            </w:tabs>
            <w:rPr>
              <w:rFonts w:asciiTheme="minorHAnsi" w:hAnsiTheme="minorHAnsi" w:cstheme="minorBidi"/>
              <w:noProof/>
              <w:sz w:val="22"/>
            </w:rPr>
          </w:pPr>
          <w:hyperlink w:anchor="_Toc28605924" w:history="1">
            <w:r w:rsidR="002327E3" w:rsidRPr="006525C7">
              <w:rPr>
                <w:rStyle w:val="Hyperlink"/>
                <w:noProof/>
              </w:rPr>
              <w:t>1.</w:t>
            </w:r>
            <w:r w:rsidR="002327E3">
              <w:rPr>
                <w:rFonts w:asciiTheme="minorHAnsi" w:hAnsiTheme="minorHAnsi" w:cstheme="minorBidi"/>
                <w:noProof/>
                <w:sz w:val="22"/>
              </w:rPr>
              <w:tab/>
            </w:r>
            <w:r w:rsidR="002327E3" w:rsidRPr="006525C7">
              <w:rPr>
                <w:rStyle w:val="Hyperlink"/>
                <w:noProof/>
              </w:rPr>
              <w:t>Background</w:t>
            </w:r>
            <w:r w:rsidR="002327E3">
              <w:rPr>
                <w:noProof/>
                <w:webHidden/>
              </w:rPr>
              <w:tab/>
            </w:r>
            <w:r w:rsidR="002327E3">
              <w:rPr>
                <w:noProof/>
                <w:webHidden/>
              </w:rPr>
              <w:fldChar w:fldCharType="begin"/>
            </w:r>
            <w:r w:rsidR="002327E3">
              <w:rPr>
                <w:noProof/>
                <w:webHidden/>
              </w:rPr>
              <w:instrText xml:space="preserve"> PAGEREF _Toc28605924 \h </w:instrText>
            </w:r>
            <w:r w:rsidR="002327E3">
              <w:rPr>
                <w:noProof/>
                <w:webHidden/>
              </w:rPr>
            </w:r>
            <w:r w:rsidR="002327E3">
              <w:rPr>
                <w:noProof/>
                <w:webHidden/>
              </w:rPr>
              <w:fldChar w:fldCharType="separate"/>
            </w:r>
            <w:r>
              <w:rPr>
                <w:noProof/>
                <w:webHidden/>
              </w:rPr>
              <w:t>3</w:t>
            </w:r>
            <w:r w:rsidR="002327E3">
              <w:rPr>
                <w:noProof/>
                <w:webHidden/>
              </w:rPr>
              <w:fldChar w:fldCharType="end"/>
            </w:r>
          </w:hyperlink>
        </w:p>
        <w:p w14:paraId="4518D5D8" w14:textId="1BD62528" w:rsidR="002327E3" w:rsidRDefault="00374255">
          <w:pPr>
            <w:pStyle w:val="TOC2"/>
            <w:tabs>
              <w:tab w:val="right" w:leader="dot" w:pos="9350"/>
            </w:tabs>
            <w:rPr>
              <w:rFonts w:asciiTheme="minorHAnsi" w:hAnsiTheme="minorHAnsi" w:cstheme="minorBidi"/>
              <w:noProof/>
              <w:sz w:val="22"/>
            </w:rPr>
          </w:pPr>
          <w:hyperlink w:anchor="_Toc28605925" w:history="1">
            <w:r w:rsidR="002327E3" w:rsidRPr="006525C7">
              <w:rPr>
                <w:rStyle w:val="Hyperlink"/>
                <w:noProof/>
              </w:rPr>
              <w:t>1.1.</w:t>
            </w:r>
            <w:r w:rsidR="002327E3">
              <w:rPr>
                <w:rFonts w:asciiTheme="minorHAnsi" w:hAnsiTheme="minorHAnsi" w:cstheme="minorBidi"/>
                <w:noProof/>
                <w:sz w:val="22"/>
              </w:rPr>
              <w:tab/>
            </w:r>
            <w:r w:rsidR="002327E3" w:rsidRPr="006525C7">
              <w:rPr>
                <w:rStyle w:val="Hyperlink"/>
                <w:noProof/>
              </w:rPr>
              <w:t>Gas Pipeline and Storage Safety-Related Incidents</w:t>
            </w:r>
            <w:r w:rsidR="002327E3">
              <w:rPr>
                <w:noProof/>
                <w:webHidden/>
              </w:rPr>
              <w:tab/>
            </w:r>
            <w:r w:rsidR="002327E3">
              <w:rPr>
                <w:noProof/>
                <w:webHidden/>
              </w:rPr>
              <w:fldChar w:fldCharType="begin"/>
            </w:r>
            <w:r w:rsidR="002327E3">
              <w:rPr>
                <w:noProof/>
                <w:webHidden/>
              </w:rPr>
              <w:instrText xml:space="preserve"> PAGEREF _Toc28605925 \h </w:instrText>
            </w:r>
            <w:r w:rsidR="002327E3">
              <w:rPr>
                <w:noProof/>
                <w:webHidden/>
              </w:rPr>
            </w:r>
            <w:r w:rsidR="002327E3">
              <w:rPr>
                <w:noProof/>
                <w:webHidden/>
              </w:rPr>
              <w:fldChar w:fldCharType="separate"/>
            </w:r>
            <w:r>
              <w:rPr>
                <w:noProof/>
                <w:webHidden/>
              </w:rPr>
              <w:t>4</w:t>
            </w:r>
            <w:r w:rsidR="002327E3">
              <w:rPr>
                <w:noProof/>
                <w:webHidden/>
              </w:rPr>
              <w:fldChar w:fldCharType="end"/>
            </w:r>
          </w:hyperlink>
        </w:p>
        <w:p w14:paraId="64D09449" w14:textId="1CDFD97D" w:rsidR="002327E3" w:rsidRDefault="00374255">
          <w:pPr>
            <w:pStyle w:val="TOC2"/>
            <w:tabs>
              <w:tab w:val="right" w:leader="dot" w:pos="9350"/>
            </w:tabs>
            <w:rPr>
              <w:rFonts w:asciiTheme="minorHAnsi" w:hAnsiTheme="minorHAnsi" w:cstheme="minorBidi"/>
              <w:noProof/>
              <w:sz w:val="22"/>
            </w:rPr>
          </w:pPr>
          <w:hyperlink w:anchor="_Toc28605926" w:history="1">
            <w:r w:rsidR="002327E3" w:rsidRPr="006525C7">
              <w:rPr>
                <w:rStyle w:val="Hyperlink"/>
                <w:noProof/>
              </w:rPr>
              <w:t>1.2.</w:t>
            </w:r>
            <w:r w:rsidR="002327E3">
              <w:rPr>
                <w:rFonts w:asciiTheme="minorHAnsi" w:hAnsiTheme="minorHAnsi" w:cstheme="minorBidi"/>
                <w:noProof/>
                <w:sz w:val="22"/>
              </w:rPr>
              <w:tab/>
            </w:r>
            <w:r w:rsidR="002327E3" w:rsidRPr="006525C7">
              <w:rPr>
                <w:rStyle w:val="Hyperlink"/>
                <w:noProof/>
              </w:rPr>
              <w:t>Operational Issues and Constraints</w:t>
            </w:r>
            <w:r w:rsidR="002327E3">
              <w:rPr>
                <w:noProof/>
                <w:webHidden/>
              </w:rPr>
              <w:tab/>
            </w:r>
            <w:r w:rsidR="002327E3">
              <w:rPr>
                <w:noProof/>
                <w:webHidden/>
              </w:rPr>
              <w:fldChar w:fldCharType="begin"/>
            </w:r>
            <w:r w:rsidR="002327E3">
              <w:rPr>
                <w:noProof/>
                <w:webHidden/>
              </w:rPr>
              <w:instrText xml:space="preserve"> PAGEREF _Toc28605926 \h </w:instrText>
            </w:r>
            <w:r w:rsidR="002327E3">
              <w:rPr>
                <w:noProof/>
                <w:webHidden/>
              </w:rPr>
            </w:r>
            <w:r w:rsidR="002327E3">
              <w:rPr>
                <w:noProof/>
                <w:webHidden/>
              </w:rPr>
              <w:fldChar w:fldCharType="separate"/>
            </w:r>
            <w:r>
              <w:rPr>
                <w:noProof/>
                <w:webHidden/>
              </w:rPr>
              <w:t>7</w:t>
            </w:r>
            <w:r w:rsidR="002327E3">
              <w:rPr>
                <w:noProof/>
                <w:webHidden/>
              </w:rPr>
              <w:fldChar w:fldCharType="end"/>
            </w:r>
          </w:hyperlink>
        </w:p>
        <w:p w14:paraId="30D5A60A" w14:textId="7C42BB7D" w:rsidR="002327E3" w:rsidRDefault="00374255">
          <w:pPr>
            <w:pStyle w:val="TOC2"/>
            <w:tabs>
              <w:tab w:val="right" w:leader="dot" w:pos="9350"/>
            </w:tabs>
            <w:rPr>
              <w:rFonts w:asciiTheme="minorHAnsi" w:hAnsiTheme="minorHAnsi" w:cstheme="minorBidi"/>
              <w:noProof/>
              <w:sz w:val="22"/>
            </w:rPr>
          </w:pPr>
          <w:hyperlink w:anchor="_Toc28605927" w:history="1">
            <w:r w:rsidR="002327E3" w:rsidRPr="006525C7">
              <w:rPr>
                <w:rStyle w:val="Hyperlink"/>
                <w:noProof/>
              </w:rPr>
              <w:t>1.3.</w:t>
            </w:r>
            <w:r w:rsidR="002327E3">
              <w:rPr>
                <w:rFonts w:asciiTheme="minorHAnsi" w:hAnsiTheme="minorHAnsi" w:cstheme="minorBidi"/>
                <w:noProof/>
                <w:sz w:val="22"/>
              </w:rPr>
              <w:tab/>
            </w:r>
            <w:r w:rsidR="002327E3" w:rsidRPr="006525C7">
              <w:rPr>
                <w:rStyle w:val="Hyperlink"/>
                <w:noProof/>
              </w:rPr>
              <w:t>Greenhouse Gas Legislation</w:t>
            </w:r>
            <w:r w:rsidR="002327E3">
              <w:rPr>
                <w:noProof/>
                <w:webHidden/>
              </w:rPr>
              <w:tab/>
            </w:r>
            <w:r w:rsidR="002327E3">
              <w:rPr>
                <w:noProof/>
                <w:webHidden/>
              </w:rPr>
              <w:fldChar w:fldCharType="begin"/>
            </w:r>
            <w:r w:rsidR="002327E3">
              <w:rPr>
                <w:noProof/>
                <w:webHidden/>
              </w:rPr>
              <w:instrText xml:space="preserve"> PAGEREF _Toc28605927 \h </w:instrText>
            </w:r>
            <w:r w:rsidR="002327E3">
              <w:rPr>
                <w:noProof/>
                <w:webHidden/>
              </w:rPr>
            </w:r>
            <w:r w:rsidR="002327E3">
              <w:rPr>
                <w:noProof/>
                <w:webHidden/>
              </w:rPr>
              <w:fldChar w:fldCharType="separate"/>
            </w:r>
            <w:r>
              <w:rPr>
                <w:noProof/>
                <w:webHidden/>
              </w:rPr>
              <w:t>10</w:t>
            </w:r>
            <w:r w:rsidR="002327E3">
              <w:rPr>
                <w:noProof/>
                <w:webHidden/>
              </w:rPr>
              <w:fldChar w:fldCharType="end"/>
            </w:r>
          </w:hyperlink>
        </w:p>
        <w:p w14:paraId="0F4F883B" w14:textId="370DB3BC" w:rsidR="002327E3" w:rsidRDefault="00374255">
          <w:pPr>
            <w:pStyle w:val="TOC1"/>
            <w:tabs>
              <w:tab w:val="right" w:leader="dot" w:pos="9350"/>
            </w:tabs>
            <w:rPr>
              <w:rFonts w:asciiTheme="minorHAnsi" w:hAnsiTheme="minorHAnsi" w:cstheme="minorBidi"/>
              <w:noProof/>
              <w:sz w:val="22"/>
            </w:rPr>
          </w:pPr>
          <w:hyperlink w:anchor="_Toc28605928" w:history="1">
            <w:r w:rsidR="002327E3" w:rsidRPr="006525C7">
              <w:rPr>
                <w:rStyle w:val="Hyperlink"/>
                <w:noProof/>
              </w:rPr>
              <w:t>2.</w:t>
            </w:r>
            <w:r w:rsidR="002327E3">
              <w:rPr>
                <w:rFonts w:asciiTheme="minorHAnsi" w:hAnsiTheme="minorHAnsi" w:cstheme="minorBidi"/>
                <w:noProof/>
                <w:sz w:val="22"/>
              </w:rPr>
              <w:tab/>
            </w:r>
            <w:r w:rsidR="002327E3" w:rsidRPr="006525C7">
              <w:rPr>
                <w:rStyle w:val="Hyperlink"/>
                <w:noProof/>
              </w:rPr>
              <w:t>Rulemaking Objectives</w:t>
            </w:r>
            <w:r w:rsidR="002327E3">
              <w:rPr>
                <w:noProof/>
                <w:webHidden/>
              </w:rPr>
              <w:tab/>
            </w:r>
            <w:r w:rsidR="002327E3">
              <w:rPr>
                <w:noProof/>
                <w:webHidden/>
              </w:rPr>
              <w:fldChar w:fldCharType="begin"/>
            </w:r>
            <w:r w:rsidR="002327E3">
              <w:rPr>
                <w:noProof/>
                <w:webHidden/>
              </w:rPr>
              <w:instrText xml:space="preserve"> PAGEREF _Toc28605928 \h </w:instrText>
            </w:r>
            <w:r w:rsidR="002327E3">
              <w:rPr>
                <w:noProof/>
                <w:webHidden/>
              </w:rPr>
            </w:r>
            <w:r w:rsidR="002327E3">
              <w:rPr>
                <w:noProof/>
                <w:webHidden/>
              </w:rPr>
              <w:fldChar w:fldCharType="separate"/>
            </w:r>
            <w:r>
              <w:rPr>
                <w:noProof/>
                <w:webHidden/>
              </w:rPr>
              <w:t>13</w:t>
            </w:r>
            <w:r w:rsidR="002327E3">
              <w:rPr>
                <w:noProof/>
                <w:webHidden/>
              </w:rPr>
              <w:fldChar w:fldCharType="end"/>
            </w:r>
          </w:hyperlink>
        </w:p>
        <w:p w14:paraId="7929F48E" w14:textId="2D4AE2EA" w:rsidR="002327E3" w:rsidRDefault="00374255">
          <w:pPr>
            <w:pStyle w:val="TOC2"/>
            <w:tabs>
              <w:tab w:val="right" w:leader="dot" w:pos="9350"/>
            </w:tabs>
            <w:rPr>
              <w:rFonts w:asciiTheme="minorHAnsi" w:hAnsiTheme="minorHAnsi" w:cstheme="minorBidi"/>
              <w:noProof/>
              <w:sz w:val="22"/>
            </w:rPr>
          </w:pPr>
          <w:hyperlink w:anchor="_Toc28605929" w:history="1">
            <w:r w:rsidR="002327E3" w:rsidRPr="006525C7">
              <w:rPr>
                <w:rStyle w:val="Hyperlink"/>
                <w:noProof/>
              </w:rPr>
              <w:t>2.1.</w:t>
            </w:r>
            <w:r w:rsidR="002327E3">
              <w:rPr>
                <w:rFonts w:asciiTheme="minorHAnsi" w:hAnsiTheme="minorHAnsi" w:cstheme="minorBidi"/>
                <w:noProof/>
                <w:sz w:val="22"/>
              </w:rPr>
              <w:tab/>
            </w:r>
            <w:r w:rsidR="002327E3" w:rsidRPr="006525C7">
              <w:rPr>
                <w:rStyle w:val="Hyperlink"/>
                <w:noProof/>
              </w:rPr>
              <w:t>Track 1A – System Reliability Standards</w:t>
            </w:r>
            <w:r w:rsidR="002327E3">
              <w:rPr>
                <w:noProof/>
                <w:webHidden/>
              </w:rPr>
              <w:tab/>
            </w:r>
            <w:r w:rsidR="002327E3">
              <w:rPr>
                <w:noProof/>
                <w:webHidden/>
              </w:rPr>
              <w:fldChar w:fldCharType="begin"/>
            </w:r>
            <w:r w:rsidR="002327E3">
              <w:rPr>
                <w:noProof/>
                <w:webHidden/>
              </w:rPr>
              <w:instrText xml:space="preserve"> PAGEREF _Toc28605929 \h </w:instrText>
            </w:r>
            <w:r w:rsidR="002327E3">
              <w:rPr>
                <w:noProof/>
                <w:webHidden/>
              </w:rPr>
            </w:r>
            <w:r w:rsidR="002327E3">
              <w:rPr>
                <w:noProof/>
                <w:webHidden/>
              </w:rPr>
              <w:fldChar w:fldCharType="separate"/>
            </w:r>
            <w:r>
              <w:rPr>
                <w:noProof/>
                <w:webHidden/>
              </w:rPr>
              <w:t>14</w:t>
            </w:r>
            <w:r w:rsidR="002327E3">
              <w:rPr>
                <w:noProof/>
                <w:webHidden/>
              </w:rPr>
              <w:fldChar w:fldCharType="end"/>
            </w:r>
          </w:hyperlink>
        </w:p>
        <w:p w14:paraId="5997E378" w14:textId="28B78DEA" w:rsidR="002327E3" w:rsidRDefault="00374255">
          <w:pPr>
            <w:pStyle w:val="TOC2"/>
            <w:tabs>
              <w:tab w:val="right" w:leader="dot" w:pos="9350"/>
            </w:tabs>
            <w:rPr>
              <w:rFonts w:asciiTheme="minorHAnsi" w:hAnsiTheme="minorHAnsi" w:cstheme="minorBidi"/>
              <w:noProof/>
              <w:sz w:val="22"/>
            </w:rPr>
          </w:pPr>
          <w:hyperlink w:anchor="_Toc28605930" w:history="1">
            <w:r w:rsidR="002327E3" w:rsidRPr="006525C7">
              <w:rPr>
                <w:rStyle w:val="Hyperlink"/>
                <w:noProof/>
              </w:rPr>
              <w:t>2.2.</w:t>
            </w:r>
            <w:r w:rsidR="002327E3">
              <w:rPr>
                <w:rFonts w:asciiTheme="minorHAnsi" w:hAnsiTheme="minorHAnsi" w:cstheme="minorBidi"/>
                <w:noProof/>
                <w:sz w:val="22"/>
              </w:rPr>
              <w:tab/>
            </w:r>
            <w:r w:rsidR="002327E3" w:rsidRPr="006525C7">
              <w:rPr>
                <w:rStyle w:val="Hyperlink"/>
                <w:noProof/>
              </w:rPr>
              <w:t>Track 1B: Market Structure and Regulations</w:t>
            </w:r>
            <w:r w:rsidR="002327E3">
              <w:rPr>
                <w:noProof/>
                <w:webHidden/>
              </w:rPr>
              <w:tab/>
            </w:r>
            <w:r w:rsidR="002327E3">
              <w:rPr>
                <w:noProof/>
                <w:webHidden/>
              </w:rPr>
              <w:fldChar w:fldCharType="begin"/>
            </w:r>
            <w:r w:rsidR="002327E3">
              <w:rPr>
                <w:noProof/>
                <w:webHidden/>
              </w:rPr>
              <w:instrText xml:space="preserve"> PAGEREF _Toc28605930 \h </w:instrText>
            </w:r>
            <w:r w:rsidR="002327E3">
              <w:rPr>
                <w:noProof/>
                <w:webHidden/>
              </w:rPr>
            </w:r>
            <w:r w:rsidR="002327E3">
              <w:rPr>
                <w:noProof/>
                <w:webHidden/>
              </w:rPr>
              <w:fldChar w:fldCharType="separate"/>
            </w:r>
            <w:r>
              <w:rPr>
                <w:noProof/>
                <w:webHidden/>
              </w:rPr>
              <w:t>15</w:t>
            </w:r>
            <w:r w:rsidR="002327E3">
              <w:rPr>
                <w:noProof/>
                <w:webHidden/>
              </w:rPr>
              <w:fldChar w:fldCharType="end"/>
            </w:r>
          </w:hyperlink>
        </w:p>
        <w:p w14:paraId="32FE6469" w14:textId="06C8F67A" w:rsidR="002327E3" w:rsidRDefault="00374255">
          <w:pPr>
            <w:pStyle w:val="TOC2"/>
            <w:tabs>
              <w:tab w:val="right" w:leader="dot" w:pos="9350"/>
            </w:tabs>
            <w:rPr>
              <w:rFonts w:asciiTheme="minorHAnsi" w:hAnsiTheme="minorHAnsi" w:cstheme="minorBidi"/>
              <w:noProof/>
              <w:sz w:val="22"/>
            </w:rPr>
          </w:pPr>
          <w:hyperlink w:anchor="_Toc28605931" w:history="1">
            <w:r w:rsidR="002327E3" w:rsidRPr="006525C7">
              <w:rPr>
                <w:rStyle w:val="Hyperlink"/>
                <w:noProof/>
              </w:rPr>
              <w:t>2.3.</w:t>
            </w:r>
            <w:r w:rsidR="002327E3">
              <w:rPr>
                <w:rFonts w:asciiTheme="minorHAnsi" w:hAnsiTheme="minorHAnsi" w:cstheme="minorBidi"/>
                <w:noProof/>
                <w:sz w:val="22"/>
              </w:rPr>
              <w:tab/>
            </w:r>
            <w:r w:rsidR="002327E3" w:rsidRPr="006525C7">
              <w:rPr>
                <w:rStyle w:val="Hyperlink"/>
                <w:noProof/>
              </w:rPr>
              <w:t>Track 2: Long-Term Natural Gas Policy and Planning</w:t>
            </w:r>
            <w:r w:rsidR="002327E3">
              <w:rPr>
                <w:noProof/>
                <w:webHidden/>
              </w:rPr>
              <w:tab/>
            </w:r>
            <w:r w:rsidR="002327E3">
              <w:rPr>
                <w:noProof/>
                <w:webHidden/>
              </w:rPr>
              <w:fldChar w:fldCharType="begin"/>
            </w:r>
            <w:r w:rsidR="002327E3">
              <w:rPr>
                <w:noProof/>
                <w:webHidden/>
              </w:rPr>
              <w:instrText xml:space="preserve"> PAGEREF _Toc28605931 \h </w:instrText>
            </w:r>
            <w:r w:rsidR="002327E3">
              <w:rPr>
                <w:noProof/>
                <w:webHidden/>
              </w:rPr>
            </w:r>
            <w:r w:rsidR="002327E3">
              <w:rPr>
                <w:noProof/>
                <w:webHidden/>
              </w:rPr>
              <w:fldChar w:fldCharType="separate"/>
            </w:r>
            <w:r>
              <w:rPr>
                <w:noProof/>
                <w:webHidden/>
              </w:rPr>
              <w:t>16</w:t>
            </w:r>
            <w:r w:rsidR="002327E3">
              <w:rPr>
                <w:noProof/>
                <w:webHidden/>
              </w:rPr>
              <w:fldChar w:fldCharType="end"/>
            </w:r>
          </w:hyperlink>
        </w:p>
        <w:p w14:paraId="645EE69C" w14:textId="3091F92C" w:rsidR="002327E3" w:rsidRDefault="00374255">
          <w:pPr>
            <w:pStyle w:val="TOC1"/>
            <w:tabs>
              <w:tab w:val="right" w:leader="dot" w:pos="9350"/>
            </w:tabs>
            <w:rPr>
              <w:rFonts w:asciiTheme="minorHAnsi" w:hAnsiTheme="minorHAnsi" w:cstheme="minorBidi"/>
              <w:noProof/>
              <w:sz w:val="22"/>
            </w:rPr>
          </w:pPr>
          <w:hyperlink w:anchor="_Toc28605932" w:history="1">
            <w:r w:rsidR="002327E3" w:rsidRPr="006525C7">
              <w:rPr>
                <w:rStyle w:val="Hyperlink"/>
                <w:noProof/>
              </w:rPr>
              <w:t>3.</w:t>
            </w:r>
            <w:r w:rsidR="002327E3">
              <w:rPr>
                <w:rFonts w:asciiTheme="minorHAnsi" w:hAnsiTheme="minorHAnsi" w:cstheme="minorBidi"/>
                <w:noProof/>
                <w:sz w:val="22"/>
              </w:rPr>
              <w:tab/>
            </w:r>
            <w:r w:rsidR="002327E3" w:rsidRPr="006525C7">
              <w:rPr>
                <w:rStyle w:val="Hyperlink"/>
                <w:noProof/>
              </w:rPr>
              <w:t>Preliminary Scoping Memo</w:t>
            </w:r>
            <w:r w:rsidR="002327E3">
              <w:rPr>
                <w:noProof/>
                <w:webHidden/>
              </w:rPr>
              <w:tab/>
            </w:r>
            <w:r w:rsidR="002327E3">
              <w:rPr>
                <w:noProof/>
                <w:webHidden/>
              </w:rPr>
              <w:fldChar w:fldCharType="begin"/>
            </w:r>
            <w:r w:rsidR="002327E3">
              <w:rPr>
                <w:noProof/>
                <w:webHidden/>
              </w:rPr>
              <w:instrText xml:space="preserve"> PAGEREF _Toc28605932 \h </w:instrText>
            </w:r>
            <w:r w:rsidR="002327E3">
              <w:rPr>
                <w:noProof/>
                <w:webHidden/>
              </w:rPr>
            </w:r>
            <w:r w:rsidR="002327E3">
              <w:rPr>
                <w:noProof/>
                <w:webHidden/>
              </w:rPr>
              <w:fldChar w:fldCharType="separate"/>
            </w:r>
            <w:r>
              <w:rPr>
                <w:noProof/>
                <w:webHidden/>
              </w:rPr>
              <w:t>17</w:t>
            </w:r>
            <w:r w:rsidR="002327E3">
              <w:rPr>
                <w:noProof/>
                <w:webHidden/>
              </w:rPr>
              <w:fldChar w:fldCharType="end"/>
            </w:r>
          </w:hyperlink>
        </w:p>
        <w:p w14:paraId="27C1E00A" w14:textId="2D4EFE31" w:rsidR="002327E3" w:rsidRDefault="00374255">
          <w:pPr>
            <w:pStyle w:val="TOC2"/>
            <w:tabs>
              <w:tab w:val="right" w:leader="dot" w:pos="9350"/>
            </w:tabs>
            <w:rPr>
              <w:rFonts w:asciiTheme="minorHAnsi" w:hAnsiTheme="minorHAnsi" w:cstheme="minorBidi"/>
              <w:noProof/>
              <w:sz w:val="22"/>
            </w:rPr>
          </w:pPr>
          <w:hyperlink w:anchor="_Toc28605933" w:history="1">
            <w:r w:rsidR="002327E3" w:rsidRPr="006525C7">
              <w:rPr>
                <w:rStyle w:val="Hyperlink"/>
                <w:noProof/>
              </w:rPr>
              <w:t>3.1.</w:t>
            </w:r>
            <w:r w:rsidR="002327E3">
              <w:rPr>
                <w:rFonts w:asciiTheme="minorHAnsi" w:hAnsiTheme="minorHAnsi" w:cstheme="minorBidi"/>
                <w:noProof/>
                <w:sz w:val="22"/>
              </w:rPr>
              <w:tab/>
            </w:r>
            <w:r w:rsidR="002327E3" w:rsidRPr="006525C7">
              <w:rPr>
                <w:rStyle w:val="Hyperlink"/>
                <w:noProof/>
              </w:rPr>
              <w:t>Issues</w:t>
            </w:r>
            <w:r w:rsidR="002327E3">
              <w:rPr>
                <w:noProof/>
                <w:webHidden/>
              </w:rPr>
              <w:tab/>
            </w:r>
            <w:r w:rsidR="002327E3">
              <w:rPr>
                <w:noProof/>
                <w:webHidden/>
              </w:rPr>
              <w:fldChar w:fldCharType="begin"/>
            </w:r>
            <w:r w:rsidR="002327E3">
              <w:rPr>
                <w:noProof/>
                <w:webHidden/>
              </w:rPr>
              <w:instrText xml:space="preserve"> PAGEREF _Toc28605933 \h </w:instrText>
            </w:r>
            <w:r w:rsidR="002327E3">
              <w:rPr>
                <w:noProof/>
                <w:webHidden/>
              </w:rPr>
            </w:r>
            <w:r w:rsidR="002327E3">
              <w:rPr>
                <w:noProof/>
                <w:webHidden/>
              </w:rPr>
              <w:fldChar w:fldCharType="separate"/>
            </w:r>
            <w:r>
              <w:rPr>
                <w:noProof/>
                <w:webHidden/>
              </w:rPr>
              <w:t>18</w:t>
            </w:r>
            <w:r w:rsidR="002327E3">
              <w:rPr>
                <w:noProof/>
                <w:webHidden/>
              </w:rPr>
              <w:fldChar w:fldCharType="end"/>
            </w:r>
          </w:hyperlink>
        </w:p>
        <w:p w14:paraId="53BCB2A7" w14:textId="5B04187E" w:rsidR="002327E3" w:rsidRDefault="00374255">
          <w:pPr>
            <w:pStyle w:val="TOC3"/>
            <w:tabs>
              <w:tab w:val="left" w:pos="1296"/>
              <w:tab w:val="right" w:leader="dot" w:pos="9350"/>
            </w:tabs>
            <w:rPr>
              <w:rFonts w:asciiTheme="minorHAnsi" w:hAnsiTheme="minorHAnsi" w:cstheme="minorBidi"/>
              <w:noProof/>
              <w:sz w:val="22"/>
            </w:rPr>
          </w:pPr>
          <w:hyperlink w:anchor="_Toc28605934" w:history="1">
            <w:r w:rsidR="002327E3" w:rsidRPr="006525C7">
              <w:rPr>
                <w:rStyle w:val="Hyperlink"/>
                <w:noProof/>
              </w:rPr>
              <w:t>3.1.1.</w:t>
            </w:r>
            <w:r w:rsidR="002327E3">
              <w:rPr>
                <w:rFonts w:asciiTheme="minorHAnsi" w:hAnsiTheme="minorHAnsi" w:cstheme="minorBidi"/>
                <w:noProof/>
                <w:sz w:val="22"/>
              </w:rPr>
              <w:tab/>
            </w:r>
            <w:r w:rsidR="002327E3" w:rsidRPr="006525C7">
              <w:rPr>
                <w:rStyle w:val="Hyperlink"/>
                <w:noProof/>
              </w:rPr>
              <w:t>Track 1A: Reliability Standards</w:t>
            </w:r>
            <w:r w:rsidR="002327E3">
              <w:rPr>
                <w:noProof/>
                <w:webHidden/>
              </w:rPr>
              <w:tab/>
            </w:r>
            <w:r w:rsidR="002327E3">
              <w:rPr>
                <w:noProof/>
                <w:webHidden/>
              </w:rPr>
              <w:fldChar w:fldCharType="begin"/>
            </w:r>
            <w:r w:rsidR="002327E3">
              <w:rPr>
                <w:noProof/>
                <w:webHidden/>
              </w:rPr>
              <w:instrText xml:space="preserve"> PAGEREF _Toc28605934 \h </w:instrText>
            </w:r>
            <w:r w:rsidR="002327E3">
              <w:rPr>
                <w:noProof/>
                <w:webHidden/>
              </w:rPr>
            </w:r>
            <w:r w:rsidR="002327E3">
              <w:rPr>
                <w:noProof/>
                <w:webHidden/>
              </w:rPr>
              <w:fldChar w:fldCharType="separate"/>
            </w:r>
            <w:r>
              <w:rPr>
                <w:noProof/>
                <w:webHidden/>
              </w:rPr>
              <w:t>18</w:t>
            </w:r>
            <w:r w:rsidR="002327E3">
              <w:rPr>
                <w:noProof/>
                <w:webHidden/>
              </w:rPr>
              <w:fldChar w:fldCharType="end"/>
            </w:r>
          </w:hyperlink>
        </w:p>
        <w:p w14:paraId="091E9467" w14:textId="1739C7C6" w:rsidR="002327E3" w:rsidRDefault="00374255">
          <w:pPr>
            <w:pStyle w:val="TOC3"/>
            <w:tabs>
              <w:tab w:val="left" w:pos="1296"/>
              <w:tab w:val="right" w:leader="dot" w:pos="9350"/>
            </w:tabs>
            <w:rPr>
              <w:rFonts w:asciiTheme="minorHAnsi" w:hAnsiTheme="minorHAnsi" w:cstheme="minorBidi"/>
              <w:noProof/>
              <w:sz w:val="22"/>
            </w:rPr>
          </w:pPr>
          <w:hyperlink w:anchor="_Toc28605936" w:history="1">
            <w:r w:rsidR="002327E3" w:rsidRPr="006525C7">
              <w:rPr>
                <w:rStyle w:val="Hyperlink"/>
                <w:noProof/>
              </w:rPr>
              <w:t>3.1.2.</w:t>
            </w:r>
            <w:r w:rsidR="002327E3">
              <w:rPr>
                <w:rFonts w:asciiTheme="minorHAnsi" w:hAnsiTheme="minorHAnsi" w:cstheme="minorBidi"/>
                <w:noProof/>
                <w:sz w:val="22"/>
              </w:rPr>
              <w:tab/>
            </w:r>
            <w:r w:rsidR="002327E3" w:rsidRPr="006525C7">
              <w:rPr>
                <w:rStyle w:val="Hyperlink"/>
                <w:noProof/>
              </w:rPr>
              <w:t>Track 1B: Market Structure and Regulations</w:t>
            </w:r>
            <w:r w:rsidR="002327E3">
              <w:rPr>
                <w:noProof/>
                <w:webHidden/>
              </w:rPr>
              <w:tab/>
            </w:r>
            <w:r w:rsidR="002327E3">
              <w:rPr>
                <w:noProof/>
                <w:webHidden/>
              </w:rPr>
              <w:fldChar w:fldCharType="begin"/>
            </w:r>
            <w:r w:rsidR="002327E3">
              <w:rPr>
                <w:noProof/>
                <w:webHidden/>
              </w:rPr>
              <w:instrText xml:space="preserve"> PAGEREF _Toc28605936 \h </w:instrText>
            </w:r>
            <w:r w:rsidR="002327E3">
              <w:rPr>
                <w:noProof/>
                <w:webHidden/>
              </w:rPr>
            </w:r>
            <w:r w:rsidR="002327E3">
              <w:rPr>
                <w:noProof/>
                <w:webHidden/>
              </w:rPr>
              <w:fldChar w:fldCharType="separate"/>
            </w:r>
            <w:r>
              <w:rPr>
                <w:noProof/>
                <w:webHidden/>
              </w:rPr>
              <w:t>19</w:t>
            </w:r>
            <w:r w:rsidR="002327E3">
              <w:rPr>
                <w:noProof/>
                <w:webHidden/>
              </w:rPr>
              <w:fldChar w:fldCharType="end"/>
            </w:r>
          </w:hyperlink>
        </w:p>
        <w:p w14:paraId="752FDDD3" w14:textId="281ABD9D" w:rsidR="002327E3" w:rsidRDefault="00374255">
          <w:pPr>
            <w:pStyle w:val="TOC3"/>
            <w:tabs>
              <w:tab w:val="left" w:pos="1296"/>
              <w:tab w:val="right" w:leader="dot" w:pos="9350"/>
            </w:tabs>
            <w:rPr>
              <w:rFonts w:asciiTheme="minorHAnsi" w:hAnsiTheme="minorHAnsi" w:cstheme="minorBidi"/>
              <w:noProof/>
              <w:sz w:val="22"/>
            </w:rPr>
          </w:pPr>
          <w:hyperlink w:anchor="_Toc28605937" w:history="1">
            <w:r w:rsidR="002327E3" w:rsidRPr="006525C7">
              <w:rPr>
                <w:rStyle w:val="Hyperlink"/>
                <w:noProof/>
              </w:rPr>
              <w:t>3.1.3.</w:t>
            </w:r>
            <w:r w:rsidR="002327E3">
              <w:rPr>
                <w:rFonts w:asciiTheme="minorHAnsi" w:hAnsiTheme="minorHAnsi" w:cstheme="minorBidi"/>
                <w:noProof/>
                <w:sz w:val="22"/>
              </w:rPr>
              <w:tab/>
            </w:r>
            <w:r w:rsidR="002327E3" w:rsidRPr="006525C7">
              <w:rPr>
                <w:rStyle w:val="Hyperlink"/>
                <w:noProof/>
              </w:rPr>
              <w:t>Track 2: Long-Term Natural Gas Policy and Planning</w:t>
            </w:r>
            <w:r w:rsidR="002327E3">
              <w:rPr>
                <w:noProof/>
                <w:webHidden/>
              </w:rPr>
              <w:tab/>
            </w:r>
            <w:r w:rsidR="002327E3">
              <w:rPr>
                <w:noProof/>
                <w:webHidden/>
              </w:rPr>
              <w:fldChar w:fldCharType="begin"/>
            </w:r>
            <w:r w:rsidR="002327E3">
              <w:rPr>
                <w:noProof/>
                <w:webHidden/>
              </w:rPr>
              <w:instrText xml:space="preserve"> PAGEREF _Toc28605937 \h </w:instrText>
            </w:r>
            <w:r w:rsidR="002327E3">
              <w:rPr>
                <w:noProof/>
                <w:webHidden/>
              </w:rPr>
            </w:r>
            <w:r w:rsidR="002327E3">
              <w:rPr>
                <w:noProof/>
                <w:webHidden/>
              </w:rPr>
              <w:fldChar w:fldCharType="separate"/>
            </w:r>
            <w:r>
              <w:rPr>
                <w:noProof/>
                <w:webHidden/>
              </w:rPr>
              <w:t>19</w:t>
            </w:r>
            <w:r w:rsidR="002327E3">
              <w:rPr>
                <w:noProof/>
                <w:webHidden/>
              </w:rPr>
              <w:fldChar w:fldCharType="end"/>
            </w:r>
          </w:hyperlink>
        </w:p>
        <w:p w14:paraId="485DE083" w14:textId="35A4DA14" w:rsidR="002327E3" w:rsidRDefault="00374255">
          <w:pPr>
            <w:pStyle w:val="TOC2"/>
            <w:tabs>
              <w:tab w:val="right" w:leader="dot" w:pos="9350"/>
            </w:tabs>
            <w:rPr>
              <w:rFonts w:asciiTheme="minorHAnsi" w:hAnsiTheme="minorHAnsi" w:cstheme="minorBidi"/>
              <w:noProof/>
              <w:sz w:val="22"/>
            </w:rPr>
          </w:pPr>
          <w:hyperlink w:anchor="_Toc28605938" w:history="1">
            <w:r w:rsidR="002327E3" w:rsidRPr="006525C7">
              <w:rPr>
                <w:rStyle w:val="Hyperlink"/>
                <w:noProof/>
              </w:rPr>
              <w:t>3.2.</w:t>
            </w:r>
            <w:r w:rsidR="002327E3">
              <w:rPr>
                <w:rFonts w:asciiTheme="minorHAnsi" w:hAnsiTheme="minorHAnsi" w:cstheme="minorBidi"/>
                <w:noProof/>
                <w:sz w:val="22"/>
              </w:rPr>
              <w:tab/>
            </w:r>
            <w:r w:rsidR="002327E3" w:rsidRPr="006525C7">
              <w:rPr>
                <w:rStyle w:val="Hyperlink"/>
                <w:noProof/>
              </w:rPr>
              <w:t>Preliminary Schedules for Tracks 1A, 1B, and 2</w:t>
            </w:r>
            <w:r w:rsidR="002327E3">
              <w:rPr>
                <w:noProof/>
                <w:webHidden/>
              </w:rPr>
              <w:tab/>
            </w:r>
            <w:r w:rsidR="002327E3">
              <w:rPr>
                <w:noProof/>
                <w:webHidden/>
              </w:rPr>
              <w:fldChar w:fldCharType="begin"/>
            </w:r>
            <w:r w:rsidR="002327E3">
              <w:rPr>
                <w:noProof/>
                <w:webHidden/>
              </w:rPr>
              <w:instrText xml:space="preserve"> PAGEREF _Toc28605938 \h </w:instrText>
            </w:r>
            <w:r w:rsidR="002327E3">
              <w:rPr>
                <w:noProof/>
                <w:webHidden/>
              </w:rPr>
            </w:r>
            <w:r w:rsidR="002327E3">
              <w:rPr>
                <w:noProof/>
                <w:webHidden/>
              </w:rPr>
              <w:fldChar w:fldCharType="separate"/>
            </w:r>
            <w:r>
              <w:rPr>
                <w:noProof/>
                <w:webHidden/>
              </w:rPr>
              <w:t>20</w:t>
            </w:r>
            <w:r w:rsidR="002327E3">
              <w:rPr>
                <w:noProof/>
                <w:webHidden/>
              </w:rPr>
              <w:fldChar w:fldCharType="end"/>
            </w:r>
          </w:hyperlink>
        </w:p>
        <w:p w14:paraId="547ADAFA" w14:textId="420B14BC" w:rsidR="002327E3" w:rsidRDefault="00374255">
          <w:pPr>
            <w:pStyle w:val="TOC3"/>
            <w:tabs>
              <w:tab w:val="left" w:pos="1296"/>
              <w:tab w:val="right" w:leader="dot" w:pos="9350"/>
            </w:tabs>
            <w:rPr>
              <w:rFonts w:asciiTheme="minorHAnsi" w:hAnsiTheme="minorHAnsi" w:cstheme="minorBidi"/>
              <w:noProof/>
              <w:sz w:val="22"/>
            </w:rPr>
          </w:pPr>
          <w:hyperlink w:anchor="_Toc28605939" w:history="1">
            <w:r w:rsidR="002327E3" w:rsidRPr="006525C7">
              <w:rPr>
                <w:rStyle w:val="Hyperlink"/>
                <w:noProof/>
              </w:rPr>
              <w:t>3.2.1.</w:t>
            </w:r>
            <w:r w:rsidR="002327E3">
              <w:rPr>
                <w:rFonts w:asciiTheme="minorHAnsi" w:hAnsiTheme="minorHAnsi" w:cstheme="minorBidi"/>
                <w:noProof/>
                <w:sz w:val="22"/>
              </w:rPr>
              <w:tab/>
            </w:r>
            <w:r w:rsidR="002327E3" w:rsidRPr="006525C7">
              <w:rPr>
                <w:rStyle w:val="Hyperlink"/>
                <w:noProof/>
              </w:rPr>
              <w:t>Tracks 1A: Reliability Standards, 1B: Market Structure and Regulations</w:t>
            </w:r>
            <w:r w:rsidR="002327E3">
              <w:rPr>
                <w:noProof/>
                <w:webHidden/>
              </w:rPr>
              <w:tab/>
            </w:r>
            <w:r w:rsidR="002327E3">
              <w:rPr>
                <w:noProof/>
                <w:webHidden/>
              </w:rPr>
              <w:fldChar w:fldCharType="begin"/>
            </w:r>
            <w:r w:rsidR="002327E3">
              <w:rPr>
                <w:noProof/>
                <w:webHidden/>
              </w:rPr>
              <w:instrText xml:space="preserve"> PAGEREF _Toc28605939 \h </w:instrText>
            </w:r>
            <w:r w:rsidR="002327E3">
              <w:rPr>
                <w:noProof/>
                <w:webHidden/>
              </w:rPr>
            </w:r>
            <w:r w:rsidR="002327E3">
              <w:rPr>
                <w:noProof/>
                <w:webHidden/>
              </w:rPr>
              <w:fldChar w:fldCharType="separate"/>
            </w:r>
            <w:r>
              <w:rPr>
                <w:noProof/>
                <w:webHidden/>
              </w:rPr>
              <w:t>21</w:t>
            </w:r>
            <w:r w:rsidR="002327E3">
              <w:rPr>
                <w:noProof/>
                <w:webHidden/>
              </w:rPr>
              <w:fldChar w:fldCharType="end"/>
            </w:r>
          </w:hyperlink>
        </w:p>
        <w:p w14:paraId="082F9D6A" w14:textId="436A37A9" w:rsidR="002327E3" w:rsidRDefault="00374255">
          <w:pPr>
            <w:pStyle w:val="TOC3"/>
            <w:tabs>
              <w:tab w:val="left" w:pos="1296"/>
              <w:tab w:val="right" w:leader="dot" w:pos="9350"/>
            </w:tabs>
            <w:rPr>
              <w:rFonts w:asciiTheme="minorHAnsi" w:hAnsiTheme="minorHAnsi" w:cstheme="minorBidi"/>
              <w:noProof/>
              <w:sz w:val="22"/>
            </w:rPr>
          </w:pPr>
          <w:hyperlink w:anchor="_Toc28605940" w:history="1">
            <w:r w:rsidR="002327E3" w:rsidRPr="006525C7">
              <w:rPr>
                <w:rStyle w:val="Hyperlink"/>
                <w:noProof/>
              </w:rPr>
              <w:t>3.2.2.</w:t>
            </w:r>
            <w:r w:rsidR="002327E3">
              <w:rPr>
                <w:rFonts w:asciiTheme="minorHAnsi" w:hAnsiTheme="minorHAnsi" w:cstheme="minorBidi"/>
                <w:noProof/>
                <w:sz w:val="22"/>
              </w:rPr>
              <w:tab/>
            </w:r>
            <w:r w:rsidR="002327E3" w:rsidRPr="006525C7">
              <w:rPr>
                <w:rStyle w:val="Hyperlink"/>
                <w:noProof/>
              </w:rPr>
              <w:t>Track 2: Long-Term Natural Gas Policy and Planning</w:t>
            </w:r>
            <w:r w:rsidR="002327E3">
              <w:rPr>
                <w:noProof/>
                <w:webHidden/>
              </w:rPr>
              <w:tab/>
            </w:r>
            <w:r w:rsidR="002327E3">
              <w:rPr>
                <w:noProof/>
                <w:webHidden/>
              </w:rPr>
              <w:fldChar w:fldCharType="begin"/>
            </w:r>
            <w:r w:rsidR="002327E3">
              <w:rPr>
                <w:noProof/>
                <w:webHidden/>
              </w:rPr>
              <w:instrText xml:space="preserve"> PAGEREF _Toc28605940 \h </w:instrText>
            </w:r>
            <w:r w:rsidR="002327E3">
              <w:rPr>
                <w:noProof/>
                <w:webHidden/>
              </w:rPr>
            </w:r>
            <w:r w:rsidR="002327E3">
              <w:rPr>
                <w:noProof/>
                <w:webHidden/>
              </w:rPr>
              <w:fldChar w:fldCharType="separate"/>
            </w:r>
            <w:r>
              <w:rPr>
                <w:noProof/>
                <w:webHidden/>
              </w:rPr>
              <w:t>21</w:t>
            </w:r>
            <w:r w:rsidR="002327E3">
              <w:rPr>
                <w:noProof/>
                <w:webHidden/>
              </w:rPr>
              <w:fldChar w:fldCharType="end"/>
            </w:r>
          </w:hyperlink>
        </w:p>
        <w:p w14:paraId="25B690E6" w14:textId="5AEC72CA" w:rsidR="002327E3" w:rsidRDefault="00374255">
          <w:pPr>
            <w:pStyle w:val="TOC1"/>
            <w:tabs>
              <w:tab w:val="right" w:leader="dot" w:pos="9350"/>
            </w:tabs>
            <w:rPr>
              <w:rFonts w:asciiTheme="minorHAnsi" w:hAnsiTheme="minorHAnsi" w:cstheme="minorBidi"/>
              <w:noProof/>
              <w:sz w:val="22"/>
            </w:rPr>
          </w:pPr>
          <w:hyperlink w:anchor="_Toc28605941" w:history="1">
            <w:r w:rsidR="002327E3" w:rsidRPr="006525C7">
              <w:rPr>
                <w:rStyle w:val="Hyperlink"/>
                <w:noProof/>
              </w:rPr>
              <w:t>4.</w:t>
            </w:r>
            <w:r w:rsidR="002327E3">
              <w:rPr>
                <w:rFonts w:asciiTheme="minorHAnsi" w:hAnsiTheme="minorHAnsi" w:cstheme="minorBidi"/>
                <w:noProof/>
                <w:sz w:val="22"/>
              </w:rPr>
              <w:tab/>
            </w:r>
            <w:r w:rsidR="002327E3" w:rsidRPr="006525C7">
              <w:rPr>
                <w:rStyle w:val="Hyperlink"/>
                <w:noProof/>
              </w:rPr>
              <w:t>Proceeding Category and Need for Hearing</w:t>
            </w:r>
            <w:r w:rsidR="002327E3">
              <w:rPr>
                <w:noProof/>
                <w:webHidden/>
              </w:rPr>
              <w:tab/>
            </w:r>
            <w:r w:rsidR="002327E3">
              <w:rPr>
                <w:noProof/>
                <w:webHidden/>
              </w:rPr>
              <w:fldChar w:fldCharType="begin"/>
            </w:r>
            <w:r w:rsidR="002327E3">
              <w:rPr>
                <w:noProof/>
                <w:webHidden/>
              </w:rPr>
              <w:instrText xml:space="preserve"> PAGEREF _Toc28605941 \h </w:instrText>
            </w:r>
            <w:r w:rsidR="002327E3">
              <w:rPr>
                <w:noProof/>
                <w:webHidden/>
              </w:rPr>
            </w:r>
            <w:r w:rsidR="002327E3">
              <w:rPr>
                <w:noProof/>
                <w:webHidden/>
              </w:rPr>
              <w:fldChar w:fldCharType="separate"/>
            </w:r>
            <w:r>
              <w:rPr>
                <w:noProof/>
                <w:webHidden/>
              </w:rPr>
              <w:t>22</w:t>
            </w:r>
            <w:r w:rsidR="002327E3">
              <w:rPr>
                <w:noProof/>
                <w:webHidden/>
              </w:rPr>
              <w:fldChar w:fldCharType="end"/>
            </w:r>
          </w:hyperlink>
        </w:p>
        <w:p w14:paraId="67E19388" w14:textId="3AC68C42" w:rsidR="002327E3" w:rsidRDefault="00374255">
          <w:pPr>
            <w:pStyle w:val="TOC1"/>
            <w:tabs>
              <w:tab w:val="right" w:leader="dot" w:pos="9350"/>
            </w:tabs>
            <w:rPr>
              <w:rFonts w:asciiTheme="minorHAnsi" w:hAnsiTheme="minorHAnsi" w:cstheme="minorBidi"/>
              <w:noProof/>
              <w:sz w:val="22"/>
            </w:rPr>
          </w:pPr>
          <w:hyperlink w:anchor="_Toc28605942" w:history="1">
            <w:r w:rsidR="002327E3" w:rsidRPr="006525C7">
              <w:rPr>
                <w:rStyle w:val="Hyperlink"/>
                <w:noProof/>
              </w:rPr>
              <w:t>5.</w:t>
            </w:r>
            <w:r w:rsidR="002327E3">
              <w:rPr>
                <w:rFonts w:asciiTheme="minorHAnsi" w:hAnsiTheme="minorHAnsi" w:cstheme="minorBidi"/>
                <w:noProof/>
                <w:sz w:val="22"/>
              </w:rPr>
              <w:tab/>
            </w:r>
            <w:r w:rsidR="002327E3" w:rsidRPr="006525C7">
              <w:rPr>
                <w:rStyle w:val="Hyperlink"/>
                <w:noProof/>
              </w:rPr>
              <w:t>Ex Parte Communications</w:t>
            </w:r>
            <w:r w:rsidR="002327E3">
              <w:rPr>
                <w:noProof/>
                <w:webHidden/>
              </w:rPr>
              <w:tab/>
            </w:r>
            <w:r w:rsidR="002327E3">
              <w:rPr>
                <w:noProof/>
                <w:webHidden/>
              </w:rPr>
              <w:fldChar w:fldCharType="begin"/>
            </w:r>
            <w:r w:rsidR="002327E3">
              <w:rPr>
                <w:noProof/>
                <w:webHidden/>
              </w:rPr>
              <w:instrText xml:space="preserve"> PAGEREF _Toc28605942 \h </w:instrText>
            </w:r>
            <w:r w:rsidR="002327E3">
              <w:rPr>
                <w:noProof/>
                <w:webHidden/>
              </w:rPr>
            </w:r>
            <w:r w:rsidR="002327E3">
              <w:rPr>
                <w:noProof/>
                <w:webHidden/>
              </w:rPr>
              <w:fldChar w:fldCharType="separate"/>
            </w:r>
            <w:r>
              <w:rPr>
                <w:noProof/>
                <w:webHidden/>
              </w:rPr>
              <w:t>22</w:t>
            </w:r>
            <w:r w:rsidR="002327E3">
              <w:rPr>
                <w:noProof/>
                <w:webHidden/>
              </w:rPr>
              <w:fldChar w:fldCharType="end"/>
            </w:r>
          </w:hyperlink>
        </w:p>
        <w:p w14:paraId="53E5A94A" w14:textId="657BCC6F" w:rsidR="002327E3" w:rsidRDefault="00374255">
          <w:pPr>
            <w:pStyle w:val="TOC1"/>
            <w:tabs>
              <w:tab w:val="right" w:leader="dot" w:pos="9350"/>
            </w:tabs>
            <w:rPr>
              <w:rFonts w:asciiTheme="minorHAnsi" w:hAnsiTheme="minorHAnsi" w:cstheme="minorBidi"/>
              <w:noProof/>
              <w:sz w:val="22"/>
            </w:rPr>
          </w:pPr>
          <w:hyperlink w:anchor="_Toc28605943" w:history="1">
            <w:r w:rsidR="002327E3" w:rsidRPr="006525C7">
              <w:rPr>
                <w:rStyle w:val="Hyperlink"/>
                <w:noProof/>
              </w:rPr>
              <w:t>6.</w:t>
            </w:r>
            <w:r w:rsidR="002327E3">
              <w:rPr>
                <w:rFonts w:asciiTheme="minorHAnsi" w:hAnsiTheme="minorHAnsi" w:cstheme="minorBidi"/>
                <w:noProof/>
                <w:sz w:val="22"/>
              </w:rPr>
              <w:tab/>
            </w:r>
            <w:r w:rsidR="002327E3" w:rsidRPr="006525C7">
              <w:rPr>
                <w:rStyle w:val="Hyperlink"/>
                <w:noProof/>
              </w:rPr>
              <w:t>Respondents</w:t>
            </w:r>
            <w:r w:rsidR="002327E3">
              <w:rPr>
                <w:noProof/>
                <w:webHidden/>
              </w:rPr>
              <w:tab/>
            </w:r>
            <w:r w:rsidR="002327E3">
              <w:rPr>
                <w:noProof/>
                <w:webHidden/>
              </w:rPr>
              <w:fldChar w:fldCharType="begin"/>
            </w:r>
            <w:r w:rsidR="002327E3">
              <w:rPr>
                <w:noProof/>
                <w:webHidden/>
              </w:rPr>
              <w:instrText xml:space="preserve"> PAGEREF _Toc28605943 \h </w:instrText>
            </w:r>
            <w:r w:rsidR="002327E3">
              <w:rPr>
                <w:noProof/>
                <w:webHidden/>
              </w:rPr>
            </w:r>
            <w:r w:rsidR="002327E3">
              <w:rPr>
                <w:noProof/>
                <w:webHidden/>
              </w:rPr>
              <w:fldChar w:fldCharType="separate"/>
            </w:r>
            <w:r>
              <w:rPr>
                <w:noProof/>
                <w:webHidden/>
              </w:rPr>
              <w:t>22</w:t>
            </w:r>
            <w:r w:rsidR="002327E3">
              <w:rPr>
                <w:noProof/>
                <w:webHidden/>
              </w:rPr>
              <w:fldChar w:fldCharType="end"/>
            </w:r>
          </w:hyperlink>
        </w:p>
        <w:p w14:paraId="2C9C5067" w14:textId="45A2D9CF" w:rsidR="002327E3" w:rsidRDefault="00374255">
          <w:pPr>
            <w:pStyle w:val="TOC1"/>
            <w:tabs>
              <w:tab w:val="right" w:leader="dot" w:pos="9350"/>
            </w:tabs>
            <w:rPr>
              <w:rFonts w:asciiTheme="minorHAnsi" w:hAnsiTheme="minorHAnsi" w:cstheme="minorBidi"/>
              <w:noProof/>
              <w:sz w:val="22"/>
            </w:rPr>
          </w:pPr>
          <w:hyperlink w:anchor="_Toc28605944" w:history="1">
            <w:r w:rsidR="002327E3" w:rsidRPr="006525C7">
              <w:rPr>
                <w:rStyle w:val="Hyperlink"/>
                <w:noProof/>
              </w:rPr>
              <w:t>7.</w:t>
            </w:r>
            <w:r w:rsidR="002327E3">
              <w:rPr>
                <w:rFonts w:asciiTheme="minorHAnsi" w:hAnsiTheme="minorHAnsi" w:cstheme="minorBidi"/>
                <w:noProof/>
                <w:sz w:val="22"/>
              </w:rPr>
              <w:tab/>
            </w:r>
            <w:r w:rsidR="002327E3" w:rsidRPr="006525C7">
              <w:rPr>
                <w:rStyle w:val="Hyperlink"/>
                <w:noProof/>
              </w:rPr>
              <w:t>Service List or Subscription Service</w:t>
            </w:r>
            <w:r w:rsidR="002327E3">
              <w:rPr>
                <w:noProof/>
                <w:webHidden/>
              </w:rPr>
              <w:tab/>
            </w:r>
            <w:r w:rsidR="002327E3">
              <w:rPr>
                <w:noProof/>
                <w:webHidden/>
              </w:rPr>
              <w:fldChar w:fldCharType="begin"/>
            </w:r>
            <w:r w:rsidR="002327E3">
              <w:rPr>
                <w:noProof/>
                <w:webHidden/>
              </w:rPr>
              <w:instrText xml:space="preserve"> PAGEREF _Toc28605944 \h </w:instrText>
            </w:r>
            <w:r w:rsidR="002327E3">
              <w:rPr>
                <w:noProof/>
                <w:webHidden/>
              </w:rPr>
            </w:r>
            <w:r w:rsidR="002327E3">
              <w:rPr>
                <w:noProof/>
                <w:webHidden/>
              </w:rPr>
              <w:fldChar w:fldCharType="separate"/>
            </w:r>
            <w:r>
              <w:rPr>
                <w:noProof/>
                <w:webHidden/>
              </w:rPr>
              <w:t>23</w:t>
            </w:r>
            <w:r w:rsidR="002327E3">
              <w:rPr>
                <w:noProof/>
                <w:webHidden/>
              </w:rPr>
              <w:fldChar w:fldCharType="end"/>
            </w:r>
          </w:hyperlink>
        </w:p>
        <w:p w14:paraId="03C55511" w14:textId="0C317CBF" w:rsidR="002327E3" w:rsidRDefault="00374255">
          <w:pPr>
            <w:pStyle w:val="TOC1"/>
            <w:tabs>
              <w:tab w:val="right" w:leader="dot" w:pos="9350"/>
            </w:tabs>
            <w:rPr>
              <w:rFonts w:asciiTheme="minorHAnsi" w:hAnsiTheme="minorHAnsi" w:cstheme="minorBidi"/>
              <w:noProof/>
              <w:sz w:val="22"/>
            </w:rPr>
          </w:pPr>
          <w:hyperlink w:anchor="_Toc28605945" w:history="1">
            <w:r w:rsidR="002327E3" w:rsidRPr="006525C7">
              <w:rPr>
                <w:rStyle w:val="Hyperlink"/>
                <w:noProof/>
              </w:rPr>
              <w:t>8.</w:t>
            </w:r>
            <w:r w:rsidR="002327E3">
              <w:rPr>
                <w:rFonts w:asciiTheme="minorHAnsi" w:hAnsiTheme="minorHAnsi" w:cstheme="minorBidi"/>
                <w:noProof/>
                <w:sz w:val="22"/>
              </w:rPr>
              <w:tab/>
            </w:r>
            <w:r w:rsidR="002327E3" w:rsidRPr="006525C7">
              <w:rPr>
                <w:rStyle w:val="Hyperlink"/>
                <w:noProof/>
              </w:rPr>
              <w:t>Public Advisor</w:t>
            </w:r>
            <w:r w:rsidR="002327E3">
              <w:rPr>
                <w:noProof/>
                <w:webHidden/>
              </w:rPr>
              <w:tab/>
            </w:r>
            <w:r w:rsidR="002327E3">
              <w:rPr>
                <w:noProof/>
                <w:webHidden/>
              </w:rPr>
              <w:fldChar w:fldCharType="begin"/>
            </w:r>
            <w:r w:rsidR="002327E3">
              <w:rPr>
                <w:noProof/>
                <w:webHidden/>
              </w:rPr>
              <w:instrText xml:space="preserve"> PAGEREF _Toc28605945 \h </w:instrText>
            </w:r>
            <w:r w:rsidR="002327E3">
              <w:rPr>
                <w:noProof/>
                <w:webHidden/>
              </w:rPr>
            </w:r>
            <w:r w:rsidR="002327E3">
              <w:rPr>
                <w:noProof/>
                <w:webHidden/>
              </w:rPr>
              <w:fldChar w:fldCharType="separate"/>
            </w:r>
            <w:r>
              <w:rPr>
                <w:noProof/>
                <w:webHidden/>
              </w:rPr>
              <w:t>24</w:t>
            </w:r>
            <w:r w:rsidR="002327E3">
              <w:rPr>
                <w:noProof/>
                <w:webHidden/>
              </w:rPr>
              <w:fldChar w:fldCharType="end"/>
            </w:r>
          </w:hyperlink>
        </w:p>
        <w:p w14:paraId="445D11E4" w14:textId="5EF10E6E" w:rsidR="002327E3" w:rsidRDefault="00374255">
          <w:pPr>
            <w:pStyle w:val="TOC1"/>
            <w:tabs>
              <w:tab w:val="right" w:leader="dot" w:pos="9350"/>
            </w:tabs>
            <w:rPr>
              <w:rFonts w:asciiTheme="minorHAnsi" w:hAnsiTheme="minorHAnsi" w:cstheme="minorBidi"/>
              <w:noProof/>
              <w:sz w:val="22"/>
            </w:rPr>
          </w:pPr>
          <w:hyperlink w:anchor="_Toc28605946" w:history="1">
            <w:r w:rsidR="002327E3" w:rsidRPr="006525C7">
              <w:rPr>
                <w:rStyle w:val="Hyperlink"/>
                <w:noProof/>
              </w:rPr>
              <w:t>9.</w:t>
            </w:r>
            <w:r w:rsidR="002327E3">
              <w:rPr>
                <w:rFonts w:asciiTheme="minorHAnsi" w:hAnsiTheme="minorHAnsi" w:cstheme="minorBidi"/>
                <w:noProof/>
                <w:sz w:val="22"/>
              </w:rPr>
              <w:tab/>
            </w:r>
            <w:r w:rsidR="002327E3" w:rsidRPr="006525C7">
              <w:rPr>
                <w:rStyle w:val="Hyperlink"/>
                <w:noProof/>
              </w:rPr>
              <w:t>Intervenor Compensation</w:t>
            </w:r>
            <w:r w:rsidR="002327E3">
              <w:rPr>
                <w:noProof/>
                <w:webHidden/>
              </w:rPr>
              <w:tab/>
            </w:r>
            <w:r w:rsidR="002327E3">
              <w:rPr>
                <w:noProof/>
                <w:webHidden/>
              </w:rPr>
              <w:fldChar w:fldCharType="begin"/>
            </w:r>
            <w:r w:rsidR="002327E3">
              <w:rPr>
                <w:noProof/>
                <w:webHidden/>
              </w:rPr>
              <w:instrText xml:space="preserve"> PAGEREF _Toc28605946 \h </w:instrText>
            </w:r>
            <w:r w:rsidR="002327E3">
              <w:rPr>
                <w:noProof/>
                <w:webHidden/>
              </w:rPr>
            </w:r>
            <w:r w:rsidR="002327E3">
              <w:rPr>
                <w:noProof/>
                <w:webHidden/>
              </w:rPr>
              <w:fldChar w:fldCharType="separate"/>
            </w:r>
            <w:r>
              <w:rPr>
                <w:noProof/>
                <w:webHidden/>
              </w:rPr>
              <w:t>25</w:t>
            </w:r>
            <w:r w:rsidR="002327E3">
              <w:rPr>
                <w:noProof/>
                <w:webHidden/>
              </w:rPr>
              <w:fldChar w:fldCharType="end"/>
            </w:r>
          </w:hyperlink>
        </w:p>
        <w:p w14:paraId="418431D1" w14:textId="00204EF1" w:rsidR="002327E3" w:rsidRDefault="002327E3">
          <w:pPr>
            <w:pStyle w:val="TOC1"/>
            <w:tabs>
              <w:tab w:val="right" w:leader="dot" w:pos="9350"/>
            </w:tabs>
            <w:rPr>
              <w:rFonts w:asciiTheme="minorHAnsi" w:hAnsiTheme="minorHAnsi" w:cstheme="minorBidi"/>
              <w:noProof/>
              <w:sz w:val="22"/>
            </w:rPr>
          </w:pPr>
        </w:p>
        <w:p w14:paraId="34086E92" w14:textId="77777777" w:rsidR="002327E3" w:rsidRDefault="008C7413" w:rsidP="008C7413">
          <w:pPr>
            <w:pStyle w:val="TOC1"/>
            <w:tabs>
              <w:tab w:val="right" w:leader="dot" w:pos="9350"/>
            </w:tabs>
            <w:rPr>
              <w:rFonts w:asciiTheme="minorHAnsi" w:hAnsiTheme="minorHAnsi"/>
              <w:sz w:val="22"/>
            </w:rPr>
          </w:pPr>
          <w:r>
            <w:rPr>
              <w:rFonts w:asciiTheme="minorHAnsi" w:hAnsiTheme="minorHAnsi"/>
              <w:sz w:val="22"/>
            </w:rPr>
            <w:fldChar w:fldCharType="end"/>
          </w:r>
        </w:p>
        <w:p w14:paraId="4073C4FE" w14:textId="0B666BD6" w:rsidR="002327E3" w:rsidRDefault="002327E3" w:rsidP="00492D01">
          <w:pPr>
            <w:ind w:firstLine="0"/>
          </w:pPr>
          <w:r>
            <w:t>Appendix A – Core Transport Agents</w:t>
          </w:r>
        </w:p>
        <w:p w14:paraId="7BF04AFD" w14:textId="428697A1" w:rsidR="00D82A43" w:rsidRPr="00492D01" w:rsidRDefault="00374255" w:rsidP="00492D01">
          <w:pPr>
            <w:jc w:val="both"/>
          </w:pPr>
        </w:p>
      </w:sdtContent>
    </w:sdt>
    <w:p w14:paraId="1BEF8941" w14:textId="77777777" w:rsidR="00732E37" w:rsidRDefault="00732E37" w:rsidP="00D82A43">
      <w:pPr>
        <w:pStyle w:val="Main"/>
        <w:spacing w:after="240"/>
        <w:sectPr w:rsidR="00732E37" w:rsidSect="001B392D">
          <w:footerReference w:type="default" r:id="rId13"/>
          <w:pgSz w:w="12240" w:h="15840"/>
          <w:pgMar w:top="1728" w:right="1440" w:bottom="1440" w:left="1440" w:header="720" w:footer="720" w:gutter="0"/>
          <w:pgNumType w:fmt="lowerRoman" w:start="1"/>
          <w:cols w:space="720"/>
          <w:docGrid w:linePitch="360"/>
        </w:sectPr>
      </w:pPr>
    </w:p>
    <w:p w14:paraId="7362E226" w14:textId="38F07D6A" w:rsidR="0098655A" w:rsidRDefault="0040014C" w:rsidP="00D82A43">
      <w:pPr>
        <w:pStyle w:val="Main"/>
        <w:spacing w:after="240"/>
      </w:pPr>
      <w:r>
        <w:lastRenderedPageBreak/>
        <w:t>ORDER INSTIUTING RULEMAKING TO ESTABLISH POLICIES</w:t>
      </w:r>
      <w:r w:rsidR="000926D5">
        <w:t>,</w:t>
      </w:r>
      <w:r>
        <w:t xml:space="preserve"> PROCESSES</w:t>
      </w:r>
      <w:r w:rsidR="00FE36AE">
        <w:t>,</w:t>
      </w:r>
      <w:r>
        <w:t xml:space="preserve"> AND RULES TO ENSURE </w:t>
      </w:r>
      <w:r w:rsidR="00F3780F">
        <w:t xml:space="preserve">SAFE AND </w:t>
      </w:r>
      <w:r>
        <w:t>REL</w:t>
      </w:r>
      <w:r w:rsidR="000926D5">
        <w:t>IABLE</w:t>
      </w:r>
      <w:r>
        <w:t xml:space="preserve"> GAS </w:t>
      </w:r>
      <w:r w:rsidR="000926D5">
        <w:t xml:space="preserve">SYSTEMS </w:t>
      </w:r>
      <w:r w:rsidR="0071617F">
        <w:t xml:space="preserve">in CALIFORNIA </w:t>
      </w:r>
      <w:r w:rsidR="000926D5">
        <w:t>AND PERFORM LONG-TERM GAS PLANNING</w:t>
      </w:r>
    </w:p>
    <w:p w14:paraId="338AC916" w14:textId="7D081875" w:rsidR="005A148C" w:rsidRDefault="005A148C" w:rsidP="005A148C">
      <w:pPr>
        <w:pStyle w:val="Dummy"/>
      </w:pPr>
      <w:bookmarkStart w:id="2" w:name="_Toc8123714"/>
      <w:bookmarkStart w:id="3" w:name="_Toc28605923"/>
      <w:r>
        <w:t>Summary</w:t>
      </w:r>
      <w:bookmarkEnd w:id="2"/>
      <w:bookmarkEnd w:id="3"/>
    </w:p>
    <w:p w14:paraId="6AFBFE35" w14:textId="2CB50076" w:rsidR="00BA2489" w:rsidRDefault="00E42CC0" w:rsidP="006E6574">
      <w:pPr>
        <w:pStyle w:val="Standard"/>
      </w:pPr>
      <w:r>
        <w:t xml:space="preserve">The Commission issues this </w:t>
      </w:r>
      <w:r w:rsidR="00757DF2">
        <w:t xml:space="preserve">Order Instituting Rulemaking </w:t>
      </w:r>
      <w:r>
        <w:t xml:space="preserve">to respond to </w:t>
      </w:r>
      <w:r w:rsidR="00B378F2">
        <w:t>past and prospective events that together will require changes to certain policies, processes</w:t>
      </w:r>
      <w:r w:rsidR="00FE36AE">
        <w:t>,</w:t>
      </w:r>
      <w:r w:rsidR="00B378F2">
        <w:t xml:space="preserve"> and rules that govern the natural gas utilities in California.  </w:t>
      </w:r>
      <w:r w:rsidR="00543BCB">
        <w:t>With respect to past events, s</w:t>
      </w:r>
      <w:r w:rsidR="00E74928">
        <w:t>everal operational issues in Southern California pr</w:t>
      </w:r>
      <w:r w:rsidR="00543BCB">
        <w:t>ompt</w:t>
      </w:r>
      <w:r w:rsidR="00E74928">
        <w:t xml:space="preserve"> the Commission to reconsider the </w:t>
      </w:r>
      <w:r w:rsidR="00543BCB">
        <w:t>reliability</w:t>
      </w:r>
      <w:r w:rsidR="00E74928">
        <w:t xml:space="preserve"> </w:t>
      </w:r>
      <w:r w:rsidR="004E030E">
        <w:t xml:space="preserve">and compliance </w:t>
      </w:r>
      <w:r w:rsidR="00E74928">
        <w:t>standard</w:t>
      </w:r>
      <w:r w:rsidR="00813F27">
        <w:t>s</w:t>
      </w:r>
      <w:r w:rsidR="00E74928">
        <w:t xml:space="preserve"> for gas </w:t>
      </w:r>
      <w:r w:rsidR="006E4FA0">
        <w:t xml:space="preserve">public </w:t>
      </w:r>
      <w:r w:rsidR="00543BCB">
        <w:t xml:space="preserve">utilities.  </w:t>
      </w:r>
      <w:r w:rsidR="00097149">
        <w:t xml:space="preserve">Over the next </w:t>
      </w:r>
      <w:r w:rsidR="004E030E">
        <w:t>25</w:t>
      </w:r>
      <w:r w:rsidR="00097149">
        <w:t xml:space="preserve"> years, s</w:t>
      </w:r>
      <w:r w:rsidR="00543BCB">
        <w:t>tate and mu</w:t>
      </w:r>
      <w:r w:rsidR="00BA2489">
        <w:t>nicipal</w:t>
      </w:r>
      <w:r w:rsidR="00543BCB">
        <w:t xml:space="preserve"> laws concerning greenhouse gas emissions will</w:t>
      </w:r>
      <w:r w:rsidR="00097149">
        <w:t xml:space="preserve"> </w:t>
      </w:r>
      <w:r w:rsidR="004E030E">
        <w:t xml:space="preserve">result in the </w:t>
      </w:r>
      <w:r w:rsidR="00097149">
        <w:t>replace</w:t>
      </w:r>
      <w:r w:rsidR="004E030E">
        <w:t>ment</w:t>
      </w:r>
      <w:r w:rsidR="00097149">
        <w:t xml:space="preserve"> </w:t>
      </w:r>
      <w:r w:rsidR="00C26867">
        <w:t xml:space="preserve">of </w:t>
      </w:r>
      <w:r w:rsidR="00097149">
        <w:t xml:space="preserve">gas-fueled </w:t>
      </w:r>
      <w:r w:rsidR="00AD5809">
        <w:t>technologies</w:t>
      </w:r>
      <w:r w:rsidR="00097149">
        <w:t xml:space="preserve"> and, in turn,</w:t>
      </w:r>
      <w:r w:rsidR="00543BCB">
        <w:t xml:space="preserve"> reduce the demand for natural gas</w:t>
      </w:r>
      <w:r w:rsidR="00BA2489">
        <w:t>.</w:t>
      </w:r>
    </w:p>
    <w:p w14:paraId="2405FD76" w14:textId="7C8F8563" w:rsidR="00AD5809" w:rsidRDefault="001C2D26" w:rsidP="002F4308">
      <w:pPr>
        <w:pStyle w:val="Standard"/>
      </w:pPr>
      <w:r>
        <w:t>Thus, in order to ensure safe</w:t>
      </w:r>
      <w:r w:rsidR="004C586E">
        <w:t xml:space="preserve"> and</w:t>
      </w:r>
      <w:r>
        <w:t xml:space="preserve"> reliable natural gas service at just and reasonable rates in Califo</w:t>
      </w:r>
      <w:r w:rsidR="00DB2D6D">
        <w:t>rnia</w:t>
      </w:r>
      <w:r>
        <w:t xml:space="preserve">, the Commission will </w:t>
      </w:r>
      <w:r w:rsidR="00DB2D6D">
        <w:t xml:space="preserve">(1) </w:t>
      </w:r>
      <w:r w:rsidR="008C59EB">
        <w:t xml:space="preserve">develop and adopt updated </w:t>
      </w:r>
      <w:r w:rsidR="00DB2D6D">
        <w:t>reliability standard</w:t>
      </w:r>
      <w:r w:rsidR="00813F27">
        <w:t>s</w:t>
      </w:r>
      <w:r w:rsidR="00DB2D6D">
        <w:t xml:space="preserve"> that </w:t>
      </w:r>
      <w:r w:rsidR="00FC7794">
        <w:t>reflect the current and prospective operational challenges</w:t>
      </w:r>
      <w:r w:rsidR="00F9663A">
        <w:t xml:space="preserve"> to gas </w:t>
      </w:r>
      <w:r w:rsidR="001C60EA">
        <w:t>system</w:t>
      </w:r>
      <w:r w:rsidR="00F9663A">
        <w:t xml:space="preserve"> operators</w:t>
      </w:r>
      <w:r w:rsidR="008C59EB">
        <w:t>;</w:t>
      </w:r>
      <w:r w:rsidR="00FC7794">
        <w:t xml:space="preserve"> </w:t>
      </w:r>
      <w:r w:rsidR="00DB2D6D">
        <w:t xml:space="preserve">(2) determine </w:t>
      </w:r>
      <w:r w:rsidR="004C586E">
        <w:t xml:space="preserve">the </w:t>
      </w:r>
      <w:r w:rsidR="00DB2D6D">
        <w:t xml:space="preserve">regulatory changes necessary to </w:t>
      </w:r>
      <w:r w:rsidR="00612AB7">
        <w:t>improve the coordination between gas utilities and gas</w:t>
      </w:r>
      <w:r w:rsidR="006E4FA0">
        <w:t>-</w:t>
      </w:r>
      <w:r w:rsidR="00612AB7">
        <w:t>fired electric generators</w:t>
      </w:r>
      <w:r w:rsidR="008C59EB">
        <w:t>;</w:t>
      </w:r>
      <w:r w:rsidR="00612AB7">
        <w:t xml:space="preserve"> and (3)</w:t>
      </w:r>
      <w:r w:rsidR="004A5D83">
        <w:t> </w:t>
      </w:r>
      <w:r w:rsidR="00AD5809">
        <w:t>implement</w:t>
      </w:r>
      <w:r w:rsidR="00612AB7">
        <w:t xml:space="preserve"> </w:t>
      </w:r>
      <w:r w:rsidR="00F9663A">
        <w:t xml:space="preserve">a </w:t>
      </w:r>
      <w:r w:rsidR="00612AB7">
        <w:t xml:space="preserve">long-term planning strategy to manage the state’s </w:t>
      </w:r>
      <w:r w:rsidR="00AD5809">
        <w:t>transition</w:t>
      </w:r>
      <w:r w:rsidR="00612AB7">
        <w:t xml:space="preserve"> </w:t>
      </w:r>
      <w:r w:rsidR="00FA02F6">
        <w:t xml:space="preserve">away </w:t>
      </w:r>
      <w:r w:rsidR="00612AB7">
        <w:t xml:space="preserve">from </w:t>
      </w:r>
      <w:r w:rsidR="004C586E">
        <w:t xml:space="preserve">natural </w:t>
      </w:r>
      <w:r w:rsidR="00612AB7">
        <w:t>gas-</w:t>
      </w:r>
      <w:r w:rsidR="00AD5809">
        <w:t>f</w:t>
      </w:r>
      <w:r w:rsidR="004C586E">
        <w:t>ueled</w:t>
      </w:r>
      <w:r w:rsidR="00612AB7">
        <w:t xml:space="preserve"> </w:t>
      </w:r>
      <w:r w:rsidR="00AD5809">
        <w:t>technologies</w:t>
      </w:r>
      <w:r w:rsidR="00A975F7">
        <w:t xml:space="preserve"> to meet California’s decarbonization goals</w:t>
      </w:r>
      <w:r w:rsidR="00FA02F6">
        <w:t>.</w:t>
      </w:r>
      <w:r w:rsidR="00612AB7">
        <w:t xml:space="preserve">  </w:t>
      </w:r>
    </w:p>
    <w:p w14:paraId="373C962C" w14:textId="5F378CFC" w:rsidR="00DB6854" w:rsidRDefault="00735548" w:rsidP="006E6574">
      <w:pPr>
        <w:pStyle w:val="Standard"/>
      </w:pPr>
      <w:r>
        <w:t>The Commission nam</w:t>
      </w:r>
      <w:r w:rsidR="00C26867">
        <w:t>es</w:t>
      </w:r>
      <w:r>
        <w:t xml:space="preserve"> the following gas utilities and independent storage providers as respondents: </w:t>
      </w:r>
      <w:r w:rsidR="004A5D83">
        <w:t xml:space="preserve"> </w:t>
      </w:r>
      <w:r w:rsidR="001C60EA">
        <w:t xml:space="preserve">Alpine Natural Gas, </w:t>
      </w:r>
      <w:r>
        <w:t>Pacific Gas and Electric Company, San Diego Gas &amp; Electric Company, Southern California Gas Company, Southwest Gas Corporation,</w:t>
      </w:r>
      <w:r w:rsidR="001C60EA">
        <w:t xml:space="preserve"> West Coast Gas Company, Inc.,</w:t>
      </w:r>
      <w:r>
        <w:t xml:space="preserve"> </w:t>
      </w:r>
      <w:r w:rsidR="006E4FA0" w:rsidRPr="001E579B">
        <w:t>Central Valley Gas Storage</w:t>
      </w:r>
      <w:r w:rsidR="006E4FA0">
        <w:t xml:space="preserve">, </w:t>
      </w:r>
      <w:r w:rsidR="006E4FA0" w:rsidRPr="001E579B">
        <w:t>Gill Ranch Storage</w:t>
      </w:r>
      <w:r w:rsidR="006E4FA0">
        <w:t>,</w:t>
      </w:r>
      <w:r w:rsidR="006E4FA0" w:rsidRPr="001E579B">
        <w:t xml:space="preserve"> </w:t>
      </w:r>
      <w:r w:rsidRPr="001E579B">
        <w:t>Lodi Gas Storage, Sacramento Natural Gas Storage, LLC</w:t>
      </w:r>
      <w:r w:rsidR="006E4FA0">
        <w:t xml:space="preserve">, and </w:t>
      </w:r>
      <w:r w:rsidR="006E4FA0" w:rsidRPr="001E579B">
        <w:t>Wild Goo</w:t>
      </w:r>
      <w:r w:rsidR="006E4FA0">
        <w:t>se</w:t>
      </w:r>
      <w:r w:rsidR="006E4FA0" w:rsidRPr="001E579B">
        <w:t xml:space="preserve"> Storage</w:t>
      </w:r>
      <w:r>
        <w:t>.</w:t>
      </w:r>
    </w:p>
    <w:p w14:paraId="768102A9" w14:textId="0C8B141F" w:rsidR="002F4308" w:rsidRDefault="002F4308" w:rsidP="006E6574">
      <w:pPr>
        <w:pStyle w:val="Standard"/>
      </w:pPr>
      <w:r>
        <w:lastRenderedPageBreak/>
        <w:t>Th</w:t>
      </w:r>
      <w:r w:rsidR="00FE36AE">
        <w:t>is</w:t>
      </w:r>
      <w:r>
        <w:t xml:space="preserve"> proceeding will be conducted in three phases</w:t>
      </w:r>
      <w:r w:rsidR="00BE0C95">
        <w:t>,</w:t>
      </w:r>
      <w:r>
        <w:t xml:space="preserve"> and the Commission will issue a decision following each phase.  The first phase, Track 1A, will </w:t>
      </w:r>
      <w:r w:rsidR="00C26867">
        <w:t xml:space="preserve">address </w:t>
      </w:r>
      <w:r>
        <w:t xml:space="preserve">the reliability standard issues.  Track 1B will determine the regulatory changes </w:t>
      </w:r>
      <w:r w:rsidR="00E30C55">
        <w:t>needed to</w:t>
      </w:r>
      <w:r>
        <w:t xml:space="preserve"> improv</w:t>
      </w:r>
      <w:r w:rsidR="00E30C55">
        <w:t>e</w:t>
      </w:r>
      <w:r>
        <w:t xml:space="preserve"> the coordination between gas utilities and gas-fired electric generators.  Track 2 will implement the long-term planning strategy.</w:t>
      </w:r>
    </w:p>
    <w:p w14:paraId="559BEED2" w14:textId="77777777" w:rsidR="005A148C" w:rsidRPr="00121089" w:rsidRDefault="002C7FE9" w:rsidP="00A55ACD">
      <w:pPr>
        <w:pStyle w:val="Heading1"/>
        <w:numPr>
          <w:ilvl w:val="0"/>
          <w:numId w:val="1"/>
        </w:numPr>
      </w:pPr>
      <w:bookmarkStart w:id="4" w:name="_Toc8123715"/>
      <w:bookmarkStart w:id="5" w:name="_Toc28605924"/>
      <w:r w:rsidRPr="00121089">
        <w:t>Background</w:t>
      </w:r>
      <w:bookmarkEnd w:id="4"/>
      <w:bookmarkEnd w:id="5"/>
    </w:p>
    <w:p w14:paraId="5A25DE4F" w14:textId="44AB043C" w:rsidR="00F961AA" w:rsidRPr="00227DCF" w:rsidRDefault="00F961AA" w:rsidP="00F961AA">
      <w:pPr>
        <w:rPr>
          <w:szCs w:val="26"/>
        </w:rPr>
      </w:pPr>
      <w:r w:rsidRPr="00227DCF">
        <w:rPr>
          <w:szCs w:val="26"/>
        </w:rPr>
        <w:t>As part of</w:t>
      </w:r>
      <w:r w:rsidR="007F6DBE">
        <w:rPr>
          <w:szCs w:val="26"/>
        </w:rPr>
        <w:t xml:space="preserve"> the</w:t>
      </w:r>
      <w:r>
        <w:rPr>
          <w:szCs w:val="26"/>
        </w:rPr>
        <w:t xml:space="preserve"> </w:t>
      </w:r>
      <w:r w:rsidRPr="00227DCF">
        <w:rPr>
          <w:szCs w:val="26"/>
        </w:rPr>
        <w:t xml:space="preserve">Commission’s prior rulemaking on natural gas reliability and long-term planning, </w:t>
      </w:r>
      <w:r w:rsidR="007F6DBE">
        <w:rPr>
          <w:szCs w:val="26"/>
        </w:rPr>
        <w:t>Rulemaking (R.) 04-01-025,</w:t>
      </w:r>
      <w:r w:rsidR="00E4313D">
        <w:rPr>
          <w:rStyle w:val="FootnoteReference"/>
          <w:szCs w:val="26"/>
        </w:rPr>
        <w:footnoteReference w:id="2"/>
      </w:r>
      <w:r w:rsidR="007F6DBE">
        <w:rPr>
          <w:szCs w:val="26"/>
        </w:rPr>
        <w:t xml:space="preserve"> </w:t>
      </w:r>
      <w:r w:rsidRPr="00227DCF">
        <w:rPr>
          <w:szCs w:val="26"/>
        </w:rPr>
        <w:t xml:space="preserve">initiated on January 27, 2004, </w:t>
      </w:r>
      <w:r w:rsidR="008C59EB">
        <w:rPr>
          <w:szCs w:val="26"/>
        </w:rPr>
        <w:t>the Commission</w:t>
      </w:r>
      <w:r w:rsidRPr="00227DCF">
        <w:rPr>
          <w:szCs w:val="26"/>
        </w:rPr>
        <w:t xml:space="preserve"> adopted </w:t>
      </w:r>
      <w:r>
        <w:rPr>
          <w:szCs w:val="26"/>
        </w:rPr>
        <w:t xml:space="preserve">system </w:t>
      </w:r>
      <w:r w:rsidRPr="00227DCF">
        <w:rPr>
          <w:szCs w:val="26"/>
        </w:rPr>
        <w:t xml:space="preserve">reliability standards for </w:t>
      </w:r>
      <w:r w:rsidR="00BA3A6F">
        <w:rPr>
          <w:szCs w:val="26"/>
        </w:rPr>
        <w:t xml:space="preserve">certain </w:t>
      </w:r>
      <w:r w:rsidRPr="00227DCF">
        <w:rPr>
          <w:szCs w:val="26"/>
        </w:rPr>
        <w:t xml:space="preserve">gas </w:t>
      </w:r>
      <w:r w:rsidR="00BA3A6F">
        <w:rPr>
          <w:szCs w:val="26"/>
        </w:rPr>
        <w:t xml:space="preserve">public </w:t>
      </w:r>
      <w:r w:rsidRPr="00227DCF">
        <w:rPr>
          <w:szCs w:val="26"/>
        </w:rPr>
        <w:t>utilities.</w:t>
      </w:r>
      <w:r w:rsidR="00E4313D">
        <w:rPr>
          <w:rStyle w:val="FootnoteReference"/>
          <w:szCs w:val="26"/>
        </w:rPr>
        <w:footnoteReference w:id="3"/>
      </w:r>
      <w:r w:rsidRPr="00227DCF">
        <w:rPr>
          <w:szCs w:val="26"/>
        </w:rPr>
        <w:t xml:space="preserve">  </w:t>
      </w:r>
      <w:r>
        <w:rPr>
          <w:szCs w:val="26"/>
        </w:rPr>
        <w:t xml:space="preserve">In R.04-01-025, the Commission directed </w:t>
      </w:r>
      <w:r w:rsidR="004A5D83">
        <w:rPr>
          <w:szCs w:val="26"/>
        </w:rPr>
        <w:t>P</w:t>
      </w:r>
      <w:r w:rsidR="008E42B0">
        <w:rPr>
          <w:szCs w:val="26"/>
        </w:rPr>
        <w:t>G</w:t>
      </w:r>
      <w:r w:rsidRPr="00227DCF">
        <w:rPr>
          <w:szCs w:val="26"/>
        </w:rPr>
        <w:t>&amp;E</w:t>
      </w:r>
      <w:r w:rsidR="004A5D83">
        <w:rPr>
          <w:szCs w:val="26"/>
        </w:rPr>
        <w:t xml:space="preserve"> and</w:t>
      </w:r>
      <w:r>
        <w:rPr>
          <w:szCs w:val="26"/>
        </w:rPr>
        <w:t xml:space="preserve"> </w:t>
      </w:r>
      <w:r w:rsidR="004A5D83">
        <w:rPr>
          <w:szCs w:val="26"/>
        </w:rPr>
        <w:t>SoCalGas</w:t>
      </w:r>
      <w:r>
        <w:rPr>
          <w:szCs w:val="26"/>
        </w:rPr>
        <w:t xml:space="preserve"> </w:t>
      </w:r>
      <w:r w:rsidR="007F6DBE">
        <w:rPr>
          <w:szCs w:val="26"/>
        </w:rPr>
        <w:t xml:space="preserve">to </w:t>
      </w:r>
      <w:r>
        <w:rPr>
          <w:szCs w:val="26"/>
        </w:rPr>
        <w:t>ensure that their backbone transmission systems have enough capacity to serve all system demand on an average day in a one-in-ten cold and dry-hydroelectric year.</w:t>
      </w:r>
      <w:r>
        <w:rPr>
          <w:rStyle w:val="FootnoteReference"/>
          <w:szCs w:val="26"/>
        </w:rPr>
        <w:footnoteReference w:id="4"/>
      </w:r>
      <w:r>
        <w:rPr>
          <w:szCs w:val="26"/>
        </w:rPr>
        <w:t xml:space="preserve">  </w:t>
      </w:r>
      <w:r w:rsidR="000926BF">
        <w:rPr>
          <w:szCs w:val="26"/>
        </w:rPr>
        <w:t>T</w:t>
      </w:r>
      <w:r>
        <w:rPr>
          <w:szCs w:val="26"/>
        </w:rPr>
        <w:t xml:space="preserve">he gas utilities </w:t>
      </w:r>
      <w:r w:rsidR="007F6DBE">
        <w:rPr>
          <w:szCs w:val="26"/>
        </w:rPr>
        <w:t xml:space="preserve">were </w:t>
      </w:r>
      <w:r w:rsidR="000926BF">
        <w:rPr>
          <w:szCs w:val="26"/>
        </w:rPr>
        <w:t xml:space="preserve">also </w:t>
      </w:r>
      <w:r w:rsidR="007F6DBE">
        <w:rPr>
          <w:szCs w:val="26"/>
        </w:rPr>
        <w:t xml:space="preserve">directed to </w:t>
      </w:r>
      <w:r>
        <w:rPr>
          <w:szCs w:val="26"/>
        </w:rPr>
        <w:t>plan their backbone and storage systems to meet the peak day criteria established for their local transmission system.</w:t>
      </w:r>
      <w:r>
        <w:rPr>
          <w:rStyle w:val="FootnoteReference"/>
          <w:szCs w:val="26"/>
        </w:rPr>
        <w:footnoteReference w:id="5"/>
      </w:r>
      <w:r>
        <w:rPr>
          <w:szCs w:val="26"/>
        </w:rPr>
        <w:t xml:space="preserve">  </w:t>
      </w:r>
      <w:r w:rsidR="00F4395C">
        <w:rPr>
          <w:szCs w:val="26"/>
        </w:rPr>
        <w:t>In addition, t</w:t>
      </w:r>
      <w:r w:rsidRPr="00227DCF">
        <w:rPr>
          <w:szCs w:val="26"/>
        </w:rPr>
        <w:t xml:space="preserve">he Commission considered requiring the gas utilities to hold </w:t>
      </w:r>
      <w:r>
        <w:rPr>
          <w:szCs w:val="26"/>
        </w:rPr>
        <w:t xml:space="preserve">capacity in excess of peak demand throughput on their backbone and </w:t>
      </w:r>
      <w:r>
        <w:rPr>
          <w:szCs w:val="26"/>
        </w:rPr>
        <w:lastRenderedPageBreak/>
        <w:t>storage systems,</w:t>
      </w:r>
      <w:r w:rsidRPr="00227DCF">
        <w:rPr>
          <w:szCs w:val="26"/>
        </w:rPr>
        <w:t xml:space="preserve"> referred to as slack capacity.</w:t>
      </w:r>
      <w:r w:rsidRPr="00EF0A59">
        <w:rPr>
          <w:rStyle w:val="FootnoteReference"/>
          <w:szCs w:val="26"/>
        </w:rPr>
        <w:t xml:space="preserve"> </w:t>
      </w:r>
      <w:r>
        <w:rPr>
          <w:rStyle w:val="FootnoteReference"/>
          <w:szCs w:val="26"/>
        </w:rPr>
        <w:footnoteReference w:id="6"/>
      </w:r>
      <w:r w:rsidRPr="00227DCF">
        <w:rPr>
          <w:szCs w:val="26"/>
        </w:rPr>
        <w:t xml:space="preserve">  However, the Commission determined that, because the </w:t>
      </w:r>
      <w:r w:rsidR="00880962">
        <w:rPr>
          <w:szCs w:val="26"/>
        </w:rPr>
        <w:t>gas utilities’ firm backbone capacity was adequate</w:t>
      </w:r>
      <w:r w:rsidRPr="00227DCF">
        <w:rPr>
          <w:szCs w:val="26"/>
        </w:rPr>
        <w:t xml:space="preserve">, establishing a specific slack capacity </w:t>
      </w:r>
      <w:r>
        <w:rPr>
          <w:szCs w:val="26"/>
        </w:rPr>
        <w:t xml:space="preserve">requirement </w:t>
      </w:r>
      <w:r w:rsidRPr="00227DCF">
        <w:rPr>
          <w:szCs w:val="26"/>
        </w:rPr>
        <w:t xml:space="preserve">was </w:t>
      </w:r>
      <w:r>
        <w:rPr>
          <w:szCs w:val="26"/>
        </w:rPr>
        <w:t>unwarranted.</w:t>
      </w:r>
      <w:r>
        <w:rPr>
          <w:rStyle w:val="FootnoteReference"/>
          <w:szCs w:val="26"/>
        </w:rPr>
        <w:footnoteReference w:id="7"/>
      </w:r>
      <w:r>
        <w:rPr>
          <w:szCs w:val="26"/>
        </w:rPr>
        <w:t xml:space="preserve">  </w:t>
      </w:r>
      <w:r w:rsidR="00A20BD8">
        <w:rPr>
          <w:szCs w:val="26"/>
        </w:rPr>
        <w:t>The Commission also determined that “</w:t>
      </w:r>
      <w:r w:rsidR="00A20BD8" w:rsidRPr="001919DD">
        <w:rPr>
          <w:rFonts w:cs="Times New Roman"/>
          <w:szCs w:val="26"/>
        </w:rPr>
        <w:t>California utilities must rely upon firm transportation contracts with</w:t>
      </w:r>
      <w:r w:rsidR="00A20BD8">
        <w:rPr>
          <w:szCs w:val="26"/>
        </w:rPr>
        <w:t xml:space="preserve"> </w:t>
      </w:r>
      <w:r w:rsidR="00A20BD8" w:rsidRPr="001919DD">
        <w:rPr>
          <w:rFonts w:cs="Times New Roman"/>
          <w:szCs w:val="26"/>
        </w:rPr>
        <w:t>interstate pipelines</w:t>
      </w:r>
      <w:r w:rsidR="00A20BD8">
        <w:rPr>
          <w:rFonts w:cs="Times New Roman"/>
          <w:szCs w:val="26"/>
        </w:rPr>
        <w:t xml:space="preserve"> …</w:t>
      </w:r>
      <w:r w:rsidR="00A20BD8" w:rsidRPr="001919DD">
        <w:rPr>
          <w:rFonts w:cs="Times New Roman"/>
          <w:szCs w:val="26"/>
        </w:rPr>
        <w:t xml:space="preserve"> to preserve or provide for the infrastructure required to</w:t>
      </w:r>
      <w:r w:rsidR="00A20BD8">
        <w:rPr>
          <w:rFonts w:cs="Times New Roman"/>
          <w:szCs w:val="26"/>
        </w:rPr>
        <w:t xml:space="preserve"> </w:t>
      </w:r>
      <w:r w:rsidR="00A20BD8" w:rsidRPr="001919DD">
        <w:rPr>
          <w:rFonts w:cs="Times New Roman"/>
          <w:szCs w:val="26"/>
        </w:rPr>
        <w:t>meet their core customers’ annual demand.</w:t>
      </w:r>
      <w:r w:rsidR="00A20BD8">
        <w:rPr>
          <w:rFonts w:cs="Times New Roman"/>
          <w:szCs w:val="26"/>
        </w:rPr>
        <w:t>”</w:t>
      </w:r>
      <w:r w:rsidR="00A20BD8">
        <w:rPr>
          <w:rStyle w:val="FootnoteReference"/>
          <w:rFonts w:cs="Times New Roman"/>
          <w:szCs w:val="26"/>
        </w:rPr>
        <w:footnoteReference w:id="8"/>
      </w:r>
    </w:p>
    <w:p w14:paraId="79CE5C61" w14:textId="64869DD2" w:rsidR="002C7FE9" w:rsidRDefault="00F961AA" w:rsidP="00F961AA">
      <w:pPr>
        <w:pStyle w:val="Standard"/>
      </w:pPr>
      <w:r w:rsidRPr="00227DCF">
        <w:rPr>
          <w:szCs w:val="26"/>
        </w:rPr>
        <w:t xml:space="preserve">Since the Commission’s last </w:t>
      </w:r>
      <w:r w:rsidR="00FB3722">
        <w:rPr>
          <w:szCs w:val="26"/>
        </w:rPr>
        <w:t xml:space="preserve">decision in R.04-01-025, </w:t>
      </w:r>
      <w:r w:rsidRPr="00227DCF">
        <w:rPr>
          <w:szCs w:val="26"/>
        </w:rPr>
        <w:t xml:space="preserve">several events, such as </w:t>
      </w:r>
      <w:r>
        <w:rPr>
          <w:szCs w:val="26"/>
        </w:rPr>
        <w:t xml:space="preserve">(1) </w:t>
      </w:r>
      <w:r w:rsidRPr="00227DCF">
        <w:rPr>
          <w:szCs w:val="26"/>
        </w:rPr>
        <w:t>greenhouse gas legislation</w:t>
      </w:r>
      <w:r>
        <w:rPr>
          <w:szCs w:val="26"/>
        </w:rPr>
        <w:t>, (2) operational issues</w:t>
      </w:r>
      <w:r w:rsidR="00A30934">
        <w:rPr>
          <w:szCs w:val="26"/>
        </w:rPr>
        <w:t xml:space="preserve"> and constraints</w:t>
      </w:r>
      <w:r>
        <w:rPr>
          <w:szCs w:val="26"/>
        </w:rPr>
        <w:t xml:space="preserve">, and (3) </w:t>
      </w:r>
      <w:r w:rsidRPr="00227DCF">
        <w:rPr>
          <w:szCs w:val="26"/>
        </w:rPr>
        <w:t>gas pipeline</w:t>
      </w:r>
      <w:r>
        <w:rPr>
          <w:szCs w:val="26"/>
        </w:rPr>
        <w:t xml:space="preserve"> and </w:t>
      </w:r>
      <w:r w:rsidRPr="00227DCF">
        <w:rPr>
          <w:szCs w:val="26"/>
        </w:rPr>
        <w:t>storage safety-related incidents</w:t>
      </w:r>
      <w:r w:rsidR="00E364AE">
        <w:rPr>
          <w:szCs w:val="26"/>
        </w:rPr>
        <w:t>,</w:t>
      </w:r>
      <w:r>
        <w:rPr>
          <w:szCs w:val="26"/>
        </w:rPr>
        <w:t xml:space="preserve"> </w:t>
      </w:r>
      <w:r w:rsidR="00956BAE">
        <w:rPr>
          <w:szCs w:val="26"/>
        </w:rPr>
        <w:t>require the Commission to reevaluate the policies, processes</w:t>
      </w:r>
      <w:r w:rsidR="00E364AE">
        <w:rPr>
          <w:szCs w:val="26"/>
        </w:rPr>
        <w:t>,</w:t>
      </w:r>
      <w:r w:rsidR="00956BAE">
        <w:rPr>
          <w:szCs w:val="26"/>
        </w:rPr>
        <w:t xml:space="preserve"> and rules that govern</w:t>
      </w:r>
      <w:r w:rsidRPr="00227DCF">
        <w:rPr>
          <w:szCs w:val="26"/>
        </w:rPr>
        <w:t xml:space="preserve"> </w:t>
      </w:r>
      <w:r>
        <w:rPr>
          <w:szCs w:val="26"/>
        </w:rPr>
        <w:t>gas utilities</w:t>
      </w:r>
      <w:r w:rsidR="00567E0A">
        <w:rPr>
          <w:szCs w:val="26"/>
        </w:rPr>
        <w:t>.</w:t>
      </w:r>
      <w:r w:rsidR="00FB3722">
        <w:rPr>
          <w:szCs w:val="26"/>
        </w:rPr>
        <w:t xml:space="preserve">  </w:t>
      </w:r>
    </w:p>
    <w:p w14:paraId="7CBAF3B7" w14:textId="77777777" w:rsidR="0063491C" w:rsidRDefault="00F961AA" w:rsidP="0063491C">
      <w:pPr>
        <w:pStyle w:val="Heading2"/>
      </w:pPr>
      <w:bookmarkStart w:id="6" w:name="_Toc28605925"/>
      <w:r>
        <w:t>Gas Pipeline and Storage Safety-Related Incidents</w:t>
      </w:r>
      <w:bookmarkEnd w:id="6"/>
    </w:p>
    <w:p w14:paraId="2B24A4B3" w14:textId="1F57EA36" w:rsidR="00F961AA" w:rsidRDefault="00F961AA" w:rsidP="00F961AA">
      <w:pPr>
        <w:rPr>
          <w:szCs w:val="26"/>
        </w:rPr>
      </w:pPr>
      <w:r>
        <w:rPr>
          <w:szCs w:val="26"/>
        </w:rPr>
        <w:t>The first safety-related incident occurred on</w:t>
      </w:r>
      <w:r w:rsidRPr="00227DCF">
        <w:rPr>
          <w:szCs w:val="26"/>
        </w:rPr>
        <w:t xml:space="preserve"> </w:t>
      </w:r>
      <w:r>
        <w:rPr>
          <w:szCs w:val="26"/>
        </w:rPr>
        <w:t xml:space="preserve">September 9, </w:t>
      </w:r>
      <w:r w:rsidRPr="00227DCF">
        <w:rPr>
          <w:szCs w:val="26"/>
        </w:rPr>
        <w:t>2010,</w:t>
      </w:r>
      <w:r>
        <w:rPr>
          <w:szCs w:val="26"/>
        </w:rPr>
        <w:t xml:space="preserve"> when</w:t>
      </w:r>
      <w:r w:rsidRPr="00227DCF">
        <w:rPr>
          <w:szCs w:val="26"/>
        </w:rPr>
        <w:t xml:space="preserve"> PG&amp;E’s natural gas pipeline ruptured in San Bruno, causing </w:t>
      </w:r>
      <w:r w:rsidR="00EB460F">
        <w:rPr>
          <w:szCs w:val="26"/>
        </w:rPr>
        <w:t xml:space="preserve">multiple </w:t>
      </w:r>
      <w:r w:rsidRPr="00227DCF">
        <w:rPr>
          <w:szCs w:val="26"/>
        </w:rPr>
        <w:t xml:space="preserve">fatalities and extensive damage to private property. </w:t>
      </w:r>
      <w:r>
        <w:rPr>
          <w:szCs w:val="26"/>
        </w:rPr>
        <w:t xml:space="preserve"> </w:t>
      </w:r>
      <w:r w:rsidR="00100DA8">
        <w:rPr>
          <w:szCs w:val="26"/>
        </w:rPr>
        <w:t xml:space="preserve">In determining that “[t]he depth of this tragedy is the source of </w:t>
      </w:r>
      <w:r w:rsidR="00AB6263">
        <w:rPr>
          <w:szCs w:val="26"/>
        </w:rPr>
        <w:t>[the Commission’s]</w:t>
      </w:r>
      <w:r w:rsidR="00100DA8">
        <w:rPr>
          <w:szCs w:val="26"/>
        </w:rPr>
        <w:t xml:space="preserve"> resolve to take all actions necessary to ensure that it never happens again,”</w:t>
      </w:r>
      <w:r w:rsidR="00AB6263">
        <w:rPr>
          <w:szCs w:val="26"/>
        </w:rPr>
        <w:t xml:space="preserve"> the Commission initiated </w:t>
      </w:r>
      <w:r w:rsidR="00115923">
        <w:rPr>
          <w:szCs w:val="26"/>
        </w:rPr>
        <w:t xml:space="preserve">several </w:t>
      </w:r>
      <w:r w:rsidR="00AB6263">
        <w:rPr>
          <w:szCs w:val="26"/>
        </w:rPr>
        <w:t>proceeding</w:t>
      </w:r>
      <w:r w:rsidR="002D7F41">
        <w:rPr>
          <w:szCs w:val="26"/>
        </w:rPr>
        <w:t>s</w:t>
      </w:r>
      <w:r w:rsidR="00AB6263">
        <w:rPr>
          <w:szCs w:val="26"/>
        </w:rPr>
        <w:t xml:space="preserve"> to set forth pipeline safety </w:t>
      </w:r>
      <w:r w:rsidR="00091D3C">
        <w:rPr>
          <w:szCs w:val="26"/>
        </w:rPr>
        <w:t xml:space="preserve">rules and </w:t>
      </w:r>
      <w:r w:rsidR="00AB6263">
        <w:rPr>
          <w:szCs w:val="26"/>
        </w:rPr>
        <w:t>regulations</w:t>
      </w:r>
      <w:r w:rsidR="003C6056">
        <w:rPr>
          <w:szCs w:val="26"/>
        </w:rPr>
        <w:t>,</w:t>
      </w:r>
      <w:r w:rsidR="00924DD9" w:rsidRPr="00227DCF">
        <w:rPr>
          <w:rStyle w:val="FootnoteReference"/>
          <w:szCs w:val="26"/>
        </w:rPr>
        <w:footnoteReference w:id="9"/>
      </w:r>
      <w:r w:rsidR="003C6056">
        <w:rPr>
          <w:szCs w:val="26"/>
        </w:rPr>
        <w:t xml:space="preserve"> </w:t>
      </w:r>
      <w:r w:rsidR="00115923">
        <w:rPr>
          <w:szCs w:val="26"/>
        </w:rPr>
        <w:t xml:space="preserve">including </w:t>
      </w:r>
      <w:r w:rsidR="003C6056">
        <w:rPr>
          <w:szCs w:val="26"/>
        </w:rPr>
        <w:lastRenderedPageBreak/>
        <w:t>R.11-02-019</w:t>
      </w:r>
      <w:r w:rsidR="00924DD9">
        <w:rPr>
          <w:szCs w:val="26"/>
        </w:rPr>
        <w:t>.</w:t>
      </w:r>
      <w:r w:rsidR="00CF13EA">
        <w:rPr>
          <w:rStyle w:val="FootnoteReference"/>
          <w:szCs w:val="26"/>
        </w:rPr>
        <w:footnoteReference w:id="10"/>
      </w:r>
      <w:r w:rsidR="00AB6263">
        <w:rPr>
          <w:szCs w:val="26"/>
        </w:rPr>
        <w:t xml:space="preserve"> </w:t>
      </w:r>
      <w:r w:rsidR="00100DA8">
        <w:rPr>
          <w:szCs w:val="26"/>
        </w:rPr>
        <w:t xml:space="preserve"> </w:t>
      </w:r>
      <w:r w:rsidR="00924DD9">
        <w:rPr>
          <w:szCs w:val="26"/>
        </w:rPr>
        <w:t xml:space="preserve">In </w:t>
      </w:r>
      <w:r w:rsidR="0080407A">
        <w:rPr>
          <w:szCs w:val="26"/>
        </w:rPr>
        <w:t>that proceeding</w:t>
      </w:r>
      <w:r>
        <w:rPr>
          <w:szCs w:val="26"/>
        </w:rPr>
        <w:t>, the</w:t>
      </w:r>
      <w:r w:rsidRPr="00227DCF">
        <w:rPr>
          <w:szCs w:val="26"/>
        </w:rPr>
        <w:t xml:space="preserve"> Commission established the Pipeline Safety Enhancement Plan (PSEP) process and related requirements, most of which are codified in Section</w:t>
      </w:r>
      <w:r w:rsidR="00924DD9">
        <w:rPr>
          <w:szCs w:val="26"/>
        </w:rPr>
        <w:t xml:space="preserve"> </w:t>
      </w:r>
      <w:r w:rsidR="00BE3362">
        <w:rPr>
          <w:szCs w:val="26"/>
        </w:rPr>
        <w:t>957</w:t>
      </w:r>
      <w:r w:rsidR="003F398B">
        <w:rPr>
          <w:szCs w:val="26"/>
        </w:rPr>
        <w:t xml:space="preserve"> of the California Public Utilities Code</w:t>
      </w:r>
      <w:r w:rsidRPr="00227DCF">
        <w:rPr>
          <w:szCs w:val="26"/>
        </w:rPr>
        <w:t>.</w:t>
      </w:r>
      <w:r w:rsidR="00374B74">
        <w:rPr>
          <w:rStyle w:val="FootnoteReference"/>
          <w:szCs w:val="26"/>
        </w:rPr>
        <w:footnoteReference w:id="11"/>
      </w:r>
      <w:r>
        <w:rPr>
          <w:szCs w:val="26"/>
        </w:rPr>
        <w:t xml:space="preserve"> </w:t>
      </w:r>
      <w:r w:rsidR="004A5D83">
        <w:rPr>
          <w:szCs w:val="26"/>
        </w:rPr>
        <w:t xml:space="preserve"> </w:t>
      </w:r>
      <w:r w:rsidR="002D6437">
        <w:rPr>
          <w:szCs w:val="26"/>
        </w:rPr>
        <w:t>Among other things, t</w:t>
      </w:r>
      <w:r w:rsidRPr="00227DCF">
        <w:rPr>
          <w:szCs w:val="26"/>
        </w:rPr>
        <w:t xml:space="preserve">he PSEP process </w:t>
      </w:r>
      <w:r w:rsidR="00DA7F04">
        <w:rPr>
          <w:szCs w:val="26"/>
        </w:rPr>
        <w:t xml:space="preserve">requires </w:t>
      </w:r>
      <w:r w:rsidR="00720822">
        <w:rPr>
          <w:szCs w:val="26"/>
        </w:rPr>
        <w:t xml:space="preserve">all </w:t>
      </w:r>
      <w:r w:rsidR="00DA7F04">
        <w:rPr>
          <w:szCs w:val="26"/>
        </w:rPr>
        <w:t>gas transmission pipeline operator</w:t>
      </w:r>
      <w:r w:rsidR="002D6437">
        <w:rPr>
          <w:szCs w:val="26"/>
        </w:rPr>
        <w:t>s</w:t>
      </w:r>
      <w:r w:rsidR="00720822">
        <w:rPr>
          <w:szCs w:val="26"/>
        </w:rPr>
        <w:t xml:space="preserve"> in California</w:t>
      </w:r>
      <w:r w:rsidR="00DA7F04">
        <w:rPr>
          <w:szCs w:val="26"/>
        </w:rPr>
        <w:t xml:space="preserve"> to </w:t>
      </w:r>
      <w:r w:rsidR="00AD7CE7">
        <w:rPr>
          <w:szCs w:val="26"/>
        </w:rPr>
        <w:t xml:space="preserve">file a plan that outlines how </w:t>
      </w:r>
      <w:r w:rsidR="002D6437">
        <w:rPr>
          <w:szCs w:val="26"/>
        </w:rPr>
        <w:t>they</w:t>
      </w:r>
      <w:r w:rsidR="00AD7CE7">
        <w:rPr>
          <w:szCs w:val="26"/>
        </w:rPr>
        <w:t xml:space="preserve"> will replace or pressure test</w:t>
      </w:r>
      <w:r w:rsidR="002D6437">
        <w:rPr>
          <w:szCs w:val="26"/>
        </w:rPr>
        <w:t xml:space="preserve"> </w:t>
      </w:r>
      <w:r w:rsidR="009D3B9F">
        <w:rPr>
          <w:szCs w:val="26"/>
        </w:rPr>
        <w:t xml:space="preserve">all </w:t>
      </w:r>
      <w:r w:rsidR="00C11E57">
        <w:rPr>
          <w:szCs w:val="26"/>
        </w:rPr>
        <w:t xml:space="preserve">intrastate </w:t>
      </w:r>
      <w:r w:rsidR="00AD7CE7">
        <w:rPr>
          <w:szCs w:val="26"/>
        </w:rPr>
        <w:t xml:space="preserve">natural gas transmission pipelines </w:t>
      </w:r>
      <w:r w:rsidR="00720822">
        <w:rPr>
          <w:szCs w:val="26"/>
        </w:rPr>
        <w:t>that have not been tested or for which reliable records are not available.</w:t>
      </w:r>
      <w:r w:rsidRPr="00227DCF">
        <w:rPr>
          <w:szCs w:val="26"/>
        </w:rPr>
        <w:t xml:space="preserve">  </w:t>
      </w:r>
      <w:r w:rsidR="00035FB5" w:rsidRPr="002D7F41">
        <w:rPr>
          <w:szCs w:val="26"/>
        </w:rPr>
        <w:t xml:space="preserve">Pursuant to </w:t>
      </w:r>
      <w:r w:rsidR="0038637C" w:rsidRPr="002D7F41">
        <w:rPr>
          <w:szCs w:val="26"/>
        </w:rPr>
        <w:t xml:space="preserve">the </w:t>
      </w:r>
      <w:r w:rsidR="00035FB5" w:rsidRPr="002D7F41">
        <w:rPr>
          <w:szCs w:val="26"/>
        </w:rPr>
        <w:t xml:space="preserve">Commission-approved PSEP plans, </w:t>
      </w:r>
      <w:r w:rsidR="00013A85" w:rsidRPr="002D7F41">
        <w:rPr>
          <w:szCs w:val="26"/>
        </w:rPr>
        <w:t>PG&amp;E</w:t>
      </w:r>
      <w:r w:rsidR="00F31433" w:rsidRPr="002D7F41">
        <w:rPr>
          <w:szCs w:val="26"/>
        </w:rPr>
        <w:t xml:space="preserve"> </w:t>
      </w:r>
      <w:r w:rsidR="00035FB5" w:rsidRPr="002D7F41">
        <w:rPr>
          <w:szCs w:val="26"/>
        </w:rPr>
        <w:t>will incur</w:t>
      </w:r>
      <w:r w:rsidR="00013A85" w:rsidRPr="002D7F41">
        <w:rPr>
          <w:szCs w:val="26"/>
        </w:rPr>
        <w:t xml:space="preserve"> capital costs of</w:t>
      </w:r>
      <w:r w:rsidR="002D7F41">
        <w:rPr>
          <w:szCs w:val="26"/>
        </w:rPr>
        <w:t xml:space="preserve"> at least</w:t>
      </w:r>
      <w:r w:rsidR="00013A85" w:rsidRPr="002D7F41">
        <w:rPr>
          <w:szCs w:val="26"/>
        </w:rPr>
        <w:t xml:space="preserve"> </w:t>
      </w:r>
      <w:r w:rsidR="0065707C" w:rsidRPr="002D7F41">
        <w:rPr>
          <w:szCs w:val="26"/>
        </w:rPr>
        <w:t>$</w:t>
      </w:r>
      <w:r w:rsidR="00320490">
        <w:rPr>
          <w:szCs w:val="26"/>
        </w:rPr>
        <w:t>8</w:t>
      </w:r>
      <w:r w:rsidR="002D7F41">
        <w:rPr>
          <w:szCs w:val="26"/>
        </w:rPr>
        <w:t>77</w:t>
      </w:r>
      <w:r w:rsidR="0065707C" w:rsidRPr="002D7F41">
        <w:rPr>
          <w:szCs w:val="26"/>
        </w:rPr>
        <w:t xml:space="preserve"> million</w:t>
      </w:r>
      <w:r w:rsidR="00163457">
        <w:rPr>
          <w:szCs w:val="26"/>
        </w:rPr>
        <w:t>,</w:t>
      </w:r>
      <w:r w:rsidR="00163457">
        <w:rPr>
          <w:rStyle w:val="FootnoteReference"/>
          <w:szCs w:val="26"/>
        </w:rPr>
        <w:footnoteReference w:id="12"/>
      </w:r>
      <w:r w:rsidR="00013A85">
        <w:rPr>
          <w:szCs w:val="26"/>
        </w:rPr>
        <w:t xml:space="preserve"> </w:t>
      </w:r>
      <w:r w:rsidR="00163457">
        <w:rPr>
          <w:szCs w:val="26"/>
        </w:rPr>
        <w:t xml:space="preserve">SDG&amp;E </w:t>
      </w:r>
      <w:r w:rsidR="0038637C">
        <w:rPr>
          <w:szCs w:val="26"/>
        </w:rPr>
        <w:t xml:space="preserve">will </w:t>
      </w:r>
      <w:r w:rsidR="00956BAE">
        <w:rPr>
          <w:szCs w:val="26"/>
        </w:rPr>
        <w:t xml:space="preserve">incur </w:t>
      </w:r>
      <w:r w:rsidR="00320490">
        <w:rPr>
          <w:szCs w:val="26"/>
        </w:rPr>
        <w:t xml:space="preserve">at least </w:t>
      </w:r>
      <w:r w:rsidR="008D6331">
        <w:rPr>
          <w:szCs w:val="26"/>
        </w:rPr>
        <w:t>$229 million,</w:t>
      </w:r>
      <w:r w:rsidR="008D6331">
        <w:rPr>
          <w:rStyle w:val="FootnoteReference"/>
          <w:szCs w:val="26"/>
        </w:rPr>
        <w:footnoteReference w:id="13"/>
      </w:r>
      <w:r w:rsidR="008D6331">
        <w:rPr>
          <w:szCs w:val="26"/>
        </w:rPr>
        <w:t xml:space="preserve"> </w:t>
      </w:r>
      <w:r w:rsidR="00013A85">
        <w:rPr>
          <w:szCs w:val="26"/>
        </w:rPr>
        <w:t xml:space="preserve">and SoCalGas </w:t>
      </w:r>
      <w:r w:rsidR="0038637C">
        <w:rPr>
          <w:szCs w:val="26"/>
        </w:rPr>
        <w:t xml:space="preserve">will </w:t>
      </w:r>
      <w:r w:rsidR="00956BAE">
        <w:rPr>
          <w:szCs w:val="26"/>
        </w:rPr>
        <w:t xml:space="preserve">incur </w:t>
      </w:r>
      <w:r w:rsidR="00320490">
        <w:rPr>
          <w:szCs w:val="26"/>
        </w:rPr>
        <w:t xml:space="preserve">at least </w:t>
      </w:r>
      <w:r w:rsidR="008D6331">
        <w:rPr>
          <w:szCs w:val="26"/>
        </w:rPr>
        <w:t>$1.2 billion</w:t>
      </w:r>
      <w:r w:rsidR="00013A85">
        <w:rPr>
          <w:szCs w:val="26"/>
        </w:rPr>
        <w:t>.</w:t>
      </w:r>
      <w:r w:rsidR="00013A85">
        <w:rPr>
          <w:rStyle w:val="FootnoteReference"/>
          <w:szCs w:val="26"/>
        </w:rPr>
        <w:footnoteReference w:id="14"/>
      </w:r>
      <w:r w:rsidR="00013A85">
        <w:rPr>
          <w:szCs w:val="26"/>
        </w:rPr>
        <w:t xml:space="preserve"> </w:t>
      </w:r>
      <w:r w:rsidR="004A5D83">
        <w:rPr>
          <w:szCs w:val="26"/>
        </w:rPr>
        <w:t xml:space="preserve"> </w:t>
      </w:r>
      <w:r w:rsidR="00D607F3">
        <w:rPr>
          <w:szCs w:val="26"/>
        </w:rPr>
        <w:t xml:space="preserve">In complying with </w:t>
      </w:r>
      <w:r w:rsidR="00035FB5">
        <w:rPr>
          <w:szCs w:val="26"/>
        </w:rPr>
        <w:t xml:space="preserve">federal regulations </w:t>
      </w:r>
      <w:r w:rsidR="0065707C">
        <w:rPr>
          <w:szCs w:val="26"/>
        </w:rPr>
        <w:t>requiring pipeline integrity tests</w:t>
      </w:r>
      <w:r w:rsidR="00D607F3">
        <w:rPr>
          <w:szCs w:val="26"/>
        </w:rPr>
        <w:t>, gas utilities will incur ongoing expenses to integrity test and remediate pipelines</w:t>
      </w:r>
      <w:r w:rsidR="0065707C">
        <w:rPr>
          <w:szCs w:val="26"/>
        </w:rPr>
        <w:t>.</w:t>
      </w:r>
      <w:r w:rsidR="0065707C">
        <w:rPr>
          <w:rStyle w:val="FootnoteReference"/>
          <w:szCs w:val="26"/>
        </w:rPr>
        <w:footnoteReference w:id="15"/>
      </w:r>
      <w:r w:rsidR="0065707C">
        <w:rPr>
          <w:szCs w:val="26"/>
        </w:rPr>
        <w:t xml:space="preserve"> </w:t>
      </w:r>
    </w:p>
    <w:p w14:paraId="0316E10B" w14:textId="77777777" w:rsidR="00E3287E" w:rsidRDefault="00B95DA4" w:rsidP="00F961AA">
      <w:pPr>
        <w:pStyle w:val="Standard"/>
        <w:rPr>
          <w:szCs w:val="26"/>
        </w:rPr>
      </w:pPr>
      <w:r>
        <w:rPr>
          <w:szCs w:val="26"/>
        </w:rPr>
        <w:t>Next, o</w:t>
      </w:r>
      <w:r w:rsidR="0038637C">
        <w:rPr>
          <w:szCs w:val="26"/>
        </w:rPr>
        <w:t xml:space="preserve">n </w:t>
      </w:r>
      <w:r w:rsidR="00D412AF">
        <w:rPr>
          <w:szCs w:val="26"/>
        </w:rPr>
        <w:t xml:space="preserve">October </w:t>
      </w:r>
      <w:r w:rsidR="00826C42">
        <w:rPr>
          <w:szCs w:val="26"/>
        </w:rPr>
        <w:t>23</w:t>
      </w:r>
      <w:r w:rsidR="00D412AF">
        <w:rPr>
          <w:szCs w:val="26"/>
        </w:rPr>
        <w:t>, 201</w:t>
      </w:r>
      <w:r w:rsidR="00826C42">
        <w:rPr>
          <w:szCs w:val="26"/>
        </w:rPr>
        <w:t>5</w:t>
      </w:r>
      <w:r w:rsidR="00D412AF">
        <w:rPr>
          <w:szCs w:val="26"/>
        </w:rPr>
        <w:t xml:space="preserve">, </w:t>
      </w:r>
      <w:r w:rsidR="00F961AA">
        <w:rPr>
          <w:szCs w:val="26"/>
        </w:rPr>
        <w:t>SoCalGas</w:t>
      </w:r>
      <w:r w:rsidR="00D412AF">
        <w:rPr>
          <w:szCs w:val="26"/>
        </w:rPr>
        <w:t xml:space="preserve"> identif</w:t>
      </w:r>
      <w:r w:rsidR="008654FB">
        <w:rPr>
          <w:szCs w:val="26"/>
        </w:rPr>
        <w:t>ied</w:t>
      </w:r>
      <w:r w:rsidR="00D412AF">
        <w:rPr>
          <w:szCs w:val="26"/>
        </w:rPr>
        <w:t xml:space="preserve"> a leak</w:t>
      </w:r>
      <w:r w:rsidR="008654FB">
        <w:rPr>
          <w:szCs w:val="26"/>
        </w:rPr>
        <w:t xml:space="preserve"> in</w:t>
      </w:r>
      <w:r w:rsidR="00D412AF">
        <w:rPr>
          <w:szCs w:val="26"/>
        </w:rPr>
        <w:t xml:space="preserve"> </w:t>
      </w:r>
      <w:r w:rsidR="009A5779">
        <w:rPr>
          <w:szCs w:val="26"/>
        </w:rPr>
        <w:t xml:space="preserve">well SS25 </w:t>
      </w:r>
      <w:r w:rsidR="008654FB">
        <w:rPr>
          <w:szCs w:val="26"/>
        </w:rPr>
        <w:t xml:space="preserve">located </w:t>
      </w:r>
      <w:r w:rsidR="009A5779">
        <w:rPr>
          <w:szCs w:val="26"/>
        </w:rPr>
        <w:t>at</w:t>
      </w:r>
      <w:r w:rsidR="00D412AF">
        <w:rPr>
          <w:szCs w:val="26"/>
        </w:rPr>
        <w:t xml:space="preserve"> its</w:t>
      </w:r>
      <w:r w:rsidR="00F961AA">
        <w:rPr>
          <w:szCs w:val="26"/>
        </w:rPr>
        <w:t xml:space="preserve"> Aliso Canyon natural gas storage field</w:t>
      </w:r>
      <w:r w:rsidR="00D412AF">
        <w:rPr>
          <w:szCs w:val="26"/>
        </w:rPr>
        <w:t>.  The le</w:t>
      </w:r>
      <w:r w:rsidR="005778CC">
        <w:rPr>
          <w:szCs w:val="26"/>
        </w:rPr>
        <w:t>a</w:t>
      </w:r>
      <w:r w:rsidR="00D412AF">
        <w:rPr>
          <w:szCs w:val="26"/>
        </w:rPr>
        <w:t xml:space="preserve">k was capped on </w:t>
      </w:r>
      <w:r w:rsidR="00F961AA">
        <w:rPr>
          <w:szCs w:val="26"/>
        </w:rPr>
        <w:lastRenderedPageBreak/>
        <w:t>February</w:t>
      </w:r>
      <w:r w:rsidR="00AA3F28">
        <w:rPr>
          <w:szCs w:val="26"/>
        </w:rPr>
        <w:t> </w:t>
      </w:r>
      <w:r w:rsidR="00527DBB">
        <w:rPr>
          <w:szCs w:val="26"/>
        </w:rPr>
        <w:t>1</w:t>
      </w:r>
      <w:r w:rsidR="00320490">
        <w:rPr>
          <w:szCs w:val="26"/>
        </w:rPr>
        <w:t>2</w:t>
      </w:r>
      <w:r w:rsidR="00F961AA">
        <w:rPr>
          <w:szCs w:val="26"/>
        </w:rPr>
        <w:t>, 201</w:t>
      </w:r>
      <w:r w:rsidR="00527DBB">
        <w:rPr>
          <w:szCs w:val="26"/>
        </w:rPr>
        <w:t>6</w:t>
      </w:r>
      <w:r w:rsidR="00F961AA">
        <w:rPr>
          <w:szCs w:val="26"/>
        </w:rPr>
        <w:t xml:space="preserve">, </w:t>
      </w:r>
      <w:r w:rsidR="00D412AF">
        <w:rPr>
          <w:szCs w:val="26"/>
        </w:rPr>
        <w:t xml:space="preserve">after an estimated volume of </w:t>
      </w:r>
      <w:r w:rsidR="008718E4">
        <w:rPr>
          <w:szCs w:val="26"/>
        </w:rPr>
        <w:t>120,000 me</w:t>
      </w:r>
      <w:r w:rsidR="00416155">
        <w:rPr>
          <w:szCs w:val="26"/>
        </w:rPr>
        <w:t>tric</w:t>
      </w:r>
      <w:r w:rsidR="008718E4">
        <w:rPr>
          <w:szCs w:val="26"/>
        </w:rPr>
        <w:t xml:space="preserve"> tons of methan</w:t>
      </w:r>
      <w:r w:rsidR="00416155">
        <w:rPr>
          <w:szCs w:val="26"/>
        </w:rPr>
        <w:t>e</w:t>
      </w:r>
      <w:r w:rsidR="008718E4">
        <w:rPr>
          <w:szCs w:val="26"/>
        </w:rPr>
        <w:t xml:space="preserve"> had leaked.</w:t>
      </w:r>
      <w:r w:rsidR="008718E4">
        <w:rPr>
          <w:rStyle w:val="FootnoteReference"/>
          <w:szCs w:val="26"/>
        </w:rPr>
        <w:footnoteReference w:id="16"/>
      </w:r>
      <w:r w:rsidR="00D412AF">
        <w:rPr>
          <w:szCs w:val="26"/>
        </w:rPr>
        <w:t xml:space="preserve"> </w:t>
      </w:r>
      <w:r w:rsidR="00E213F6">
        <w:rPr>
          <w:szCs w:val="26"/>
        </w:rPr>
        <w:t xml:space="preserve"> </w:t>
      </w:r>
      <w:r w:rsidR="00F961AA">
        <w:rPr>
          <w:szCs w:val="26"/>
        </w:rPr>
        <w:t xml:space="preserve">In response to this incident, </w:t>
      </w:r>
      <w:r w:rsidR="001B12AA">
        <w:rPr>
          <w:szCs w:val="26"/>
        </w:rPr>
        <w:t xml:space="preserve">Governor Edmund G. Brown Jr. issued a proclamation that, among other things, </w:t>
      </w:r>
      <w:r w:rsidR="00F961AA">
        <w:rPr>
          <w:szCs w:val="26"/>
        </w:rPr>
        <w:t>prohibited</w:t>
      </w:r>
      <w:r w:rsidR="001B12AA">
        <w:rPr>
          <w:szCs w:val="26"/>
        </w:rPr>
        <w:t xml:space="preserve"> SoCalGas</w:t>
      </w:r>
      <w:r w:rsidR="00F961AA">
        <w:rPr>
          <w:szCs w:val="26"/>
        </w:rPr>
        <w:t xml:space="preserve"> from injecting gas into the storage wells at Aliso Canyon until further direction and </w:t>
      </w:r>
      <w:r w:rsidR="00017F7D">
        <w:rPr>
          <w:szCs w:val="26"/>
        </w:rPr>
        <w:t xml:space="preserve">directed </w:t>
      </w:r>
      <w:r w:rsidR="00F961AA">
        <w:rPr>
          <w:szCs w:val="26"/>
        </w:rPr>
        <w:t xml:space="preserve">state agencies to resolve various </w:t>
      </w:r>
      <w:r w:rsidR="00E30265">
        <w:rPr>
          <w:szCs w:val="26"/>
        </w:rPr>
        <w:t xml:space="preserve">issues related to the </w:t>
      </w:r>
      <w:r w:rsidR="00F961AA">
        <w:rPr>
          <w:szCs w:val="26"/>
        </w:rPr>
        <w:t>leak.</w:t>
      </w:r>
      <w:r w:rsidR="00F961AA">
        <w:rPr>
          <w:rStyle w:val="FootnoteReference"/>
          <w:szCs w:val="26"/>
        </w:rPr>
        <w:footnoteReference w:id="17"/>
      </w:r>
      <w:r w:rsidR="00F961AA">
        <w:rPr>
          <w:szCs w:val="26"/>
        </w:rPr>
        <w:t xml:space="preserve">  The California Division of Oil, Gas, and Geothermal Resources (DOGGR)</w:t>
      </w:r>
      <w:r w:rsidR="00C81CFE">
        <w:rPr>
          <w:rStyle w:val="FootnoteReference"/>
          <w:szCs w:val="26"/>
        </w:rPr>
        <w:footnoteReference w:id="18"/>
      </w:r>
      <w:r w:rsidR="00F961AA">
        <w:rPr>
          <w:szCs w:val="26"/>
        </w:rPr>
        <w:t xml:space="preserve"> implemented new rules requiring gas utilities to </w:t>
      </w:r>
      <w:r w:rsidR="00346F57">
        <w:rPr>
          <w:szCs w:val="26"/>
        </w:rPr>
        <w:t xml:space="preserve">install additional </w:t>
      </w:r>
      <w:r w:rsidR="005343C2">
        <w:rPr>
          <w:szCs w:val="26"/>
        </w:rPr>
        <w:t xml:space="preserve">barriers within the wells and </w:t>
      </w:r>
      <w:r w:rsidR="00F961AA">
        <w:rPr>
          <w:szCs w:val="26"/>
        </w:rPr>
        <w:t>perform biennial inspections.</w:t>
      </w:r>
      <w:r w:rsidR="00F961AA">
        <w:rPr>
          <w:rStyle w:val="FootnoteReference"/>
          <w:szCs w:val="26"/>
        </w:rPr>
        <w:footnoteReference w:id="19"/>
      </w:r>
      <w:r w:rsidR="00F961AA">
        <w:rPr>
          <w:szCs w:val="26"/>
        </w:rPr>
        <w:t xml:space="preserve">  </w:t>
      </w:r>
    </w:p>
    <w:p w14:paraId="37CF2C30" w14:textId="1839BD96" w:rsidR="0063491C" w:rsidRPr="00E3287E" w:rsidRDefault="00E3287E" w:rsidP="00E3287E">
      <w:pPr>
        <w:pStyle w:val="Standard"/>
        <w:rPr>
          <w:szCs w:val="26"/>
        </w:rPr>
      </w:pPr>
      <w:r>
        <w:rPr>
          <w:szCs w:val="26"/>
        </w:rPr>
        <w:t>Pursuant to SB 380,</w:t>
      </w:r>
      <w:r>
        <w:rPr>
          <w:rStyle w:val="FootnoteReference"/>
          <w:szCs w:val="26"/>
        </w:rPr>
        <w:footnoteReference w:id="20"/>
      </w:r>
      <w:r>
        <w:rPr>
          <w:szCs w:val="26"/>
        </w:rPr>
        <w:t xml:space="preserve"> o</w:t>
      </w:r>
      <w:r w:rsidR="003B5C3A">
        <w:rPr>
          <w:szCs w:val="26"/>
        </w:rPr>
        <w:t xml:space="preserve">n July 19, 2017, DOGGR determined that it was safe to resume injections at Aliso Canyon, up to a maximum inventory of </w:t>
      </w:r>
      <w:r w:rsidR="00627D3B">
        <w:rPr>
          <w:szCs w:val="26"/>
        </w:rPr>
        <w:t xml:space="preserve">approximately </w:t>
      </w:r>
      <w:r w:rsidR="003B5C3A">
        <w:rPr>
          <w:szCs w:val="26"/>
        </w:rPr>
        <w:t xml:space="preserve">68.6 </w:t>
      </w:r>
      <w:r w:rsidR="00627D3B">
        <w:rPr>
          <w:szCs w:val="26"/>
        </w:rPr>
        <w:t xml:space="preserve">billion </w:t>
      </w:r>
      <w:r w:rsidR="003B5C3A">
        <w:rPr>
          <w:szCs w:val="26"/>
        </w:rPr>
        <w:t>c</w:t>
      </w:r>
      <w:r w:rsidR="00627D3B">
        <w:rPr>
          <w:szCs w:val="26"/>
        </w:rPr>
        <w:t xml:space="preserve">ubic </w:t>
      </w:r>
      <w:r w:rsidR="003B5C3A">
        <w:rPr>
          <w:szCs w:val="26"/>
        </w:rPr>
        <w:t>f</w:t>
      </w:r>
      <w:r w:rsidR="00627D3B">
        <w:rPr>
          <w:szCs w:val="26"/>
        </w:rPr>
        <w:t>eet (Bcf)</w:t>
      </w:r>
      <w:r w:rsidR="003B5C3A">
        <w:rPr>
          <w:szCs w:val="26"/>
        </w:rPr>
        <w:t>, and the CPUC agreed.</w:t>
      </w:r>
      <w:r w:rsidR="003B5C3A">
        <w:rPr>
          <w:rStyle w:val="FootnoteReference"/>
          <w:szCs w:val="26"/>
        </w:rPr>
        <w:footnoteReference w:id="21"/>
      </w:r>
      <w:r>
        <w:rPr>
          <w:szCs w:val="26"/>
        </w:rPr>
        <w:t xml:space="preserve"> A</w:t>
      </w:r>
      <w:r w:rsidR="00732146">
        <w:rPr>
          <w:szCs w:val="26"/>
        </w:rPr>
        <w:t xml:space="preserve">fter </w:t>
      </w:r>
      <w:r w:rsidR="00F961AA">
        <w:rPr>
          <w:szCs w:val="26"/>
        </w:rPr>
        <w:t>finding that</w:t>
      </w:r>
      <w:r w:rsidR="003B5C3A">
        <w:rPr>
          <w:szCs w:val="26"/>
        </w:rPr>
        <w:t xml:space="preserve">, in the short-term, </w:t>
      </w:r>
      <w:r w:rsidR="00F961AA">
        <w:rPr>
          <w:szCs w:val="26"/>
        </w:rPr>
        <w:t xml:space="preserve"> maintaining a certain level of storage inventory </w:t>
      </w:r>
      <w:r w:rsidR="00732146">
        <w:rPr>
          <w:szCs w:val="26"/>
        </w:rPr>
        <w:t xml:space="preserve">at Aliso Canyon </w:t>
      </w:r>
      <w:r w:rsidR="00F961AA">
        <w:rPr>
          <w:szCs w:val="26"/>
        </w:rPr>
        <w:t xml:space="preserve">was necessary to ensure </w:t>
      </w:r>
      <w:r w:rsidR="00732146">
        <w:rPr>
          <w:szCs w:val="26"/>
        </w:rPr>
        <w:t xml:space="preserve">gas and electric </w:t>
      </w:r>
      <w:r w:rsidR="00F961AA">
        <w:rPr>
          <w:szCs w:val="26"/>
        </w:rPr>
        <w:t xml:space="preserve">service reliability </w:t>
      </w:r>
      <w:r w:rsidR="00942CA1">
        <w:rPr>
          <w:szCs w:val="26"/>
        </w:rPr>
        <w:t xml:space="preserve">in California </w:t>
      </w:r>
      <w:r w:rsidR="00F961AA">
        <w:rPr>
          <w:szCs w:val="26"/>
        </w:rPr>
        <w:t xml:space="preserve">during peak demand periods, the Commission </w:t>
      </w:r>
      <w:r w:rsidR="00732146">
        <w:rPr>
          <w:szCs w:val="26"/>
        </w:rPr>
        <w:t xml:space="preserve">reinstated </w:t>
      </w:r>
      <w:r w:rsidR="00F961AA">
        <w:rPr>
          <w:szCs w:val="26"/>
        </w:rPr>
        <w:t>SoCalGas</w:t>
      </w:r>
      <w:r w:rsidR="00732146">
        <w:rPr>
          <w:szCs w:val="26"/>
        </w:rPr>
        <w:t>’ ability</w:t>
      </w:r>
      <w:r w:rsidR="00F961AA">
        <w:rPr>
          <w:szCs w:val="26"/>
        </w:rPr>
        <w:t xml:space="preserve"> to </w:t>
      </w:r>
      <w:r w:rsidR="00732146">
        <w:rPr>
          <w:szCs w:val="26"/>
        </w:rPr>
        <w:t xml:space="preserve">a </w:t>
      </w:r>
      <w:r w:rsidR="00F961AA">
        <w:rPr>
          <w:szCs w:val="26"/>
        </w:rPr>
        <w:lastRenderedPageBreak/>
        <w:t>inject</w:t>
      </w:r>
      <w:r w:rsidR="00942CA1">
        <w:rPr>
          <w:szCs w:val="26"/>
        </w:rPr>
        <w:t xml:space="preserve"> gas </w:t>
      </w:r>
      <w:r w:rsidR="00F961AA">
        <w:rPr>
          <w:szCs w:val="26"/>
        </w:rPr>
        <w:t>into storage wells at Aliso Canyon</w:t>
      </w:r>
      <w:r w:rsidR="00942CA1">
        <w:rPr>
          <w:szCs w:val="26"/>
        </w:rPr>
        <w:t xml:space="preserve">, at quantities </w:t>
      </w:r>
      <w:r w:rsidR="003B5C3A">
        <w:rPr>
          <w:szCs w:val="26"/>
        </w:rPr>
        <w:t>consistent with DOGGR’s recommendation,</w:t>
      </w:r>
      <w:r w:rsidR="003B5C3A">
        <w:rPr>
          <w:rStyle w:val="FootnoteReference"/>
          <w:szCs w:val="26"/>
        </w:rPr>
        <w:footnoteReference w:id="22"/>
      </w:r>
      <w:r w:rsidR="003B5C3A">
        <w:rPr>
          <w:szCs w:val="26"/>
        </w:rPr>
        <w:t xml:space="preserve"> and </w:t>
      </w:r>
      <w:r w:rsidR="00942CA1">
        <w:rPr>
          <w:szCs w:val="26"/>
        </w:rPr>
        <w:t xml:space="preserve">subject to </w:t>
      </w:r>
      <w:r w:rsidR="003A40A4">
        <w:rPr>
          <w:szCs w:val="26"/>
        </w:rPr>
        <w:t xml:space="preserve">continued </w:t>
      </w:r>
      <w:r w:rsidR="00942CA1">
        <w:rPr>
          <w:szCs w:val="26"/>
        </w:rPr>
        <w:t>Commission oversight</w:t>
      </w:r>
      <w:r w:rsidR="00732146">
        <w:rPr>
          <w:szCs w:val="26"/>
        </w:rPr>
        <w:t>.</w:t>
      </w:r>
      <w:r w:rsidR="004B6273">
        <w:rPr>
          <w:rStyle w:val="FootnoteReference"/>
          <w:szCs w:val="26"/>
        </w:rPr>
        <w:footnoteReference w:id="23"/>
      </w:r>
      <w:r w:rsidR="00492D01">
        <w:rPr>
          <w:szCs w:val="26"/>
        </w:rPr>
        <w:t xml:space="preserve"> </w:t>
      </w:r>
      <w:r w:rsidR="00F961AA">
        <w:rPr>
          <w:szCs w:val="26"/>
        </w:rPr>
        <w:t xml:space="preserve"> </w:t>
      </w:r>
    </w:p>
    <w:p w14:paraId="21DEFA04" w14:textId="324704BB" w:rsidR="0063491C" w:rsidRDefault="00631367" w:rsidP="0063491C">
      <w:pPr>
        <w:pStyle w:val="Heading2"/>
      </w:pPr>
      <w:bookmarkStart w:id="7" w:name="_Toc8123717"/>
      <w:bookmarkStart w:id="8" w:name="_Toc28605926"/>
      <w:r>
        <w:t xml:space="preserve">Operational Issues </w:t>
      </w:r>
      <w:bookmarkEnd w:id="7"/>
      <w:r w:rsidR="007B5D1B">
        <w:t>and Constraints</w:t>
      </w:r>
      <w:bookmarkEnd w:id="8"/>
    </w:p>
    <w:p w14:paraId="022A375C" w14:textId="7A2AEA5F" w:rsidR="000435BB" w:rsidRDefault="00F33B77" w:rsidP="00492D01">
      <w:pPr>
        <w:pStyle w:val="Standard"/>
      </w:pPr>
      <w:r>
        <w:rPr>
          <w:szCs w:val="26"/>
        </w:rPr>
        <w:t>To provide reliable gas service in its service territory, particularly the Los</w:t>
      </w:r>
      <w:r w:rsidR="00AA3F28">
        <w:rPr>
          <w:szCs w:val="26"/>
        </w:rPr>
        <w:t> </w:t>
      </w:r>
      <w:r>
        <w:rPr>
          <w:szCs w:val="26"/>
        </w:rPr>
        <w:t>Angeles area, SoCalGas relies</w:t>
      </w:r>
      <w:r>
        <w:t xml:space="preserve"> on</w:t>
      </w:r>
      <w:r w:rsidR="00032EFC">
        <w:t xml:space="preserve"> capacity from both its</w:t>
      </w:r>
      <w:r>
        <w:t xml:space="preserve"> intrastate pipeline and storage </w:t>
      </w:r>
      <w:r w:rsidR="00032EFC">
        <w:t>fields</w:t>
      </w:r>
      <w:r>
        <w:t>.</w:t>
      </w:r>
      <w:r>
        <w:rPr>
          <w:rStyle w:val="FootnoteReference"/>
          <w:szCs w:val="26"/>
        </w:rPr>
        <w:footnoteReference w:id="24"/>
      </w:r>
      <w:r>
        <w:t xml:space="preserve"> </w:t>
      </w:r>
      <w:r w:rsidR="000435BB">
        <w:rPr>
          <w:szCs w:val="26"/>
        </w:rPr>
        <w:t xml:space="preserve">During 2017, SoCalGas experienced operational issues with two pipelines (Line 235-2 and 4000) that connect to critical </w:t>
      </w:r>
      <w:r w:rsidR="00FC2361">
        <w:rPr>
          <w:szCs w:val="26"/>
        </w:rPr>
        <w:t xml:space="preserve">interstate transmission </w:t>
      </w:r>
      <w:r w:rsidR="000435BB">
        <w:rPr>
          <w:szCs w:val="26"/>
        </w:rPr>
        <w:t>receipt points,</w:t>
      </w:r>
      <w:r w:rsidR="00BB155A">
        <w:rPr>
          <w:rStyle w:val="FootnoteReference"/>
          <w:szCs w:val="26"/>
        </w:rPr>
        <w:footnoteReference w:id="25"/>
      </w:r>
      <w:r w:rsidR="000435BB">
        <w:rPr>
          <w:szCs w:val="26"/>
        </w:rPr>
        <w:t xml:space="preserve"> limiting</w:t>
      </w:r>
      <w:r w:rsidR="003B020D">
        <w:rPr>
          <w:szCs w:val="26"/>
        </w:rPr>
        <w:t xml:space="preserve"> the level of</w:t>
      </w:r>
      <w:r w:rsidR="000435BB">
        <w:rPr>
          <w:szCs w:val="26"/>
        </w:rPr>
        <w:t xml:space="preserve"> gas supply on its system.  </w:t>
      </w:r>
      <w:r w:rsidR="0055593B">
        <w:rPr>
          <w:szCs w:val="26"/>
        </w:rPr>
        <w:t xml:space="preserve">The lines </w:t>
      </w:r>
      <w:r w:rsidR="00FE4932">
        <w:rPr>
          <w:szCs w:val="26"/>
        </w:rPr>
        <w:t>were</w:t>
      </w:r>
      <w:r w:rsidR="0055593B">
        <w:rPr>
          <w:szCs w:val="26"/>
        </w:rPr>
        <w:t xml:space="preserve"> either out of service </w:t>
      </w:r>
      <w:r w:rsidR="00032EFC">
        <w:rPr>
          <w:szCs w:val="26"/>
        </w:rPr>
        <w:t xml:space="preserve">or </w:t>
      </w:r>
      <w:r w:rsidR="00FE4932">
        <w:rPr>
          <w:szCs w:val="26"/>
        </w:rPr>
        <w:t xml:space="preserve">operating at reduced pressure </w:t>
      </w:r>
      <w:r w:rsidR="00495FD9">
        <w:rPr>
          <w:szCs w:val="26"/>
        </w:rPr>
        <w:t>through 2018</w:t>
      </w:r>
      <w:r>
        <w:rPr>
          <w:szCs w:val="26"/>
        </w:rPr>
        <w:t xml:space="preserve"> and most of </w:t>
      </w:r>
      <w:r>
        <w:rPr>
          <w:szCs w:val="26"/>
        </w:rPr>
        <w:lastRenderedPageBreak/>
        <w:t>2019</w:t>
      </w:r>
      <w:r w:rsidR="00D6593B">
        <w:rPr>
          <w:szCs w:val="26"/>
        </w:rPr>
        <w:t>.</w:t>
      </w:r>
      <w:r>
        <w:rPr>
          <w:rStyle w:val="FootnoteReference"/>
          <w:szCs w:val="26"/>
        </w:rPr>
        <w:footnoteReference w:id="26"/>
      </w:r>
      <w:r w:rsidR="00D6593B">
        <w:rPr>
          <w:szCs w:val="26"/>
        </w:rPr>
        <w:t xml:space="preserve"> </w:t>
      </w:r>
      <w:r>
        <w:rPr>
          <w:szCs w:val="26"/>
        </w:rPr>
        <w:t xml:space="preserve"> As noted earlier, SoCalGas’ Aliso Canyon natural gas storage field is operating at restricted injection, withdrawal, and </w:t>
      </w:r>
      <w:r w:rsidR="00A975F7">
        <w:rPr>
          <w:szCs w:val="26"/>
        </w:rPr>
        <w:t xml:space="preserve">inventory </w:t>
      </w:r>
      <w:r>
        <w:rPr>
          <w:szCs w:val="26"/>
        </w:rPr>
        <w:t>capacities.</w:t>
      </w:r>
      <w:r w:rsidR="000435BB">
        <w:t xml:space="preserve">  Thus,</w:t>
      </w:r>
      <w:r w:rsidR="00FF3A55">
        <w:t xml:space="preserve"> to balance its </w:t>
      </w:r>
      <w:r w:rsidR="009C351A">
        <w:t xml:space="preserve">gas </w:t>
      </w:r>
      <w:r w:rsidR="00FF3A55">
        <w:t xml:space="preserve">system </w:t>
      </w:r>
      <w:r w:rsidR="00955309">
        <w:t xml:space="preserve">during the </w:t>
      </w:r>
      <w:r w:rsidR="004D57BD">
        <w:t xml:space="preserve">sustained </w:t>
      </w:r>
      <w:r w:rsidR="00955309">
        <w:t xml:space="preserve">unseasonably cold </w:t>
      </w:r>
      <w:r w:rsidR="004D57BD">
        <w:t>temperatures</w:t>
      </w:r>
      <w:r w:rsidR="00955309">
        <w:t xml:space="preserve"> in 2018, SoCalGas </w:t>
      </w:r>
      <w:r w:rsidR="00123ED7">
        <w:t xml:space="preserve">depleted its non-Aliso Canyon storage fields and </w:t>
      </w:r>
      <w:r w:rsidR="00AA478B">
        <w:t>was at risk of ordering mandatory curtailments for noncore customers, a risk that materialized during the winter of 201</w:t>
      </w:r>
      <w:r w:rsidR="00123ED7">
        <w:t>9</w:t>
      </w:r>
      <w:r w:rsidR="000435BB">
        <w:t>.</w:t>
      </w:r>
      <w:r w:rsidR="00DC78A1">
        <w:rPr>
          <w:rStyle w:val="FootnoteReference"/>
          <w:szCs w:val="26"/>
        </w:rPr>
        <w:footnoteReference w:id="27"/>
      </w:r>
      <w:r w:rsidR="000435BB">
        <w:t xml:space="preserve">  Unlike PG&amp;E, which curtails customers based on a pro rata share of nominations,</w:t>
      </w:r>
      <w:r w:rsidR="000435BB">
        <w:rPr>
          <w:rStyle w:val="FootnoteReference"/>
          <w:szCs w:val="26"/>
        </w:rPr>
        <w:footnoteReference w:id="28"/>
      </w:r>
      <w:r w:rsidR="000435BB">
        <w:t xml:space="preserve"> SoCalGas curtails specific customers class</w:t>
      </w:r>
      <w:r w:rsidR="00694A86">
        <w:t>es</w:t>
      </w:r>
      <w:r w:rsidR="000435BB">
        <w:t>, starting with electric generators</w:t>
      </w:r>
      <w:r w:rsidR="00460605">
        <w:t xml:space="preserve">. </w:t>
      </w:r>
      <w:r w:rsidR="00732E37">
        <w:t xml:space="preserve"> </w:t>
      </w:r>
      <w:r w:rsidR="00460605">
        <w:t xml:space="preserve">Because 30 </w:t>
      </w:r>
      <w:r w:rsidR="00956BAE">
        <w:t xml:space="preserve">percent </w:t>
      </w:r>
      <w:r w:rsidR="00460605">
        <w:t>of California’s energy portfolio is supplied by gas-fired generation,</w:t>
      </w:r>
      <w:r w:rsidR="00E821FB">
        <w:rPr>
          <w:rStyle w:val="FootnoteReference"/>
          <w:szCs w:val="26"/>
        </w:rPr>
        <w:footnoteReference w:id="29"/>
      </w:r>
      <w:r w:rsidR="00460605">
        <w:t xml:space="preserve"> these curtailments </w:t>
      </w:r>
      <w:r w:rsidR="00DE48EE">
        <w:t xml:space="preserve">caused </w:t>
      </w:r>
      <w:r w:rsidR="00DE48EE">
        <w:lastRenderedPageBreak/>
        <w:t xml:space="preserve">reliability issues for </w:t>
      </w:r>
      <w:r w:rsidR="00460605">
        <w:t>g</w:t>
      </w:r>
      <w:r w:rsidR="00DE48EE">
        <w:t>rid operat</w:t>
      </w:r>
      <w:r w:rsidR="009B7E85">
        <w:t>or</w:t>
      </w:r>
      <w:r w:rsidR="00DE48EE">
        <w:t>s,</w:t>
      </w:r>
      <w:r w:rsidR="00E821FB">
        <w:rPr>
          <w:rStyle w:val="FootnoteReference"/>
          <w:szCs w:val="26"/>
        </w:rPr>
        <w:footnoteReference w:id="30"/>
      </w:r>
      <w:r w:rsidR="00630F3B">
        <w:t xml:space="preserve"> </w:t>
      </w:r>
      <w:r w:rsidR="00A97DA0">
        <w:t>requir</w:t>
      </w:r>
      <w:r w:rsidR="00460605">
        <w:t xml:space="preserve">ing </w:t>
      </w:r>
      <w:r w:rsidR="00E821FB">
        <w:t>them</w:t>
      </w:r>
      <w:r w:rsidR="0037770D">
        <w:t xml:space="preserve"> </w:t>
      </w:r>
      <w:r w:rsidR="00A975F7">
        <w:t xml:space="preserve">to </w:t>
      </w:r>
      <w:r w:rsidR="0037770D">
        <w:t xml:space="preserve">rely on </w:t>
      </w:r>
      <w:r w:rsidR="004428EF">
        <w:t xml:space="preserve">out-of-state </w:t>
      </w:r>
      <w:r w:rsidR="0037770D">
        <w:t>energy imports,</w:t>
      </w:r>
      <w:r w:rsidR="000435BB">
        <w:t xml:space="preserve"> which </w:t>
      </w:r>
      <w:r w:rsidR="0037770D">
        <w:t>are</w:t>
      </w:r>
      <w:r w:rsidR="000435BB">
        <w:t xml:space="preserve"> not guaranteed</w:t>
      </w:r>
      <w:r w:rsidR="009939AC">
        <w:t xml:space="preserve"> to be available</w:t>
      </w:r>
      <w:r w:rsidR="009B7E85">
        <w:t>, particularly during peak demand periods</w:t>
      </w:r>
      <w:r w:rsidR="000435BB">
        <w:t>.</w:t>
      </w:r>
      <w:r w:rsidR="00A97DA0">
        <w:t xml:space="preserve">  </w:t>
      </w:r>
    </w:p>
    <w:p w14:paraId="289A77F9" w14:textId="14AAC9E1" w:rsidR="00085535" w:rsidRDefault="00DC1492" w:rsidP="006E6574">
      <w:pPr>
        <w:pStyle w:val="Standard"/>
        <w:rPr>
          <w:szCs w:val="26"/>
        </w:rPr>
      </w:pPr>
      <w:r>
        <w:rPr>
          <w:szCs w:val="26"/>
        </w:rPr>
        <w:t xml:space="preserve">In addition to reliability issues, operational issues </w:t>
      </w:r>
      <w:r w:rsidR="003510F9">
        <w:rPr>
          <w:szCs w:val="26"/>
        </w:rPr>
        <w:t xml:space="preserve">can </w:t>
      </w:r>
      <w:r>
        <w:rPr>
          <w:szCs w:val="26"/>
        </w:rPr>
        <w:t>cause price spikes in the local gas and wholesale electricity markets</w:t>
      </w:r>
      <w:r w:rsidR="004D4651">
        <w:rPr>
          <w:szCs w:val="26"/>
        </w:rPr>
        <w:t xml:space="preserve"> in California</w:t>
      </w:r>
      <w:r>
        <w:rPr>
          <w:szCs w:val="26"/>
        </w:rPr>
        <w:t xml:space="preserve">. </w:t>
      </w:r>
      <w:r w:rsidR="00A6790F">
        <w:rPr>
          <w:szCs w:val="26"/>
        </w:rPr>
        <w:t xml:space="preserve"> </w:t>
      </w:r>
      <w:r w:rsidR="00085535">
        <w:rPr>
          <w:szCs w:val="26"/>
        </w:rPr>
        <w:t xml:space="preserve">Following the outage of Line 235-2, the gas price at </w:t>
      </w:r>
      <w:r w:rsidR="00EF36AE">
        <w:rPr>
          <w:szCs w:val="26"/>
        </w:rPr>
        <w:t>the local natural gas market in Southern California (</w:t>
      </w:r>
      <w:r w:rsidR="00085535">
        <w:rPr>
          <w:szCs w:val="26"/>
        </w:rPr>
        <w:t>SoCal Citygate</w:t>
      </w:r>
      <w:r w:rsidR="00EF36AE">
        <w:rPr>
          <w:szCs w:val="26"/>
        </w:rPr>
        <w:t>)</w:t>
      </w:r>
      <w:r w:rsidR="00085535">
        <w:rPr>
          <w:szCs w:val="26"/>
        </w:rPr>
        <w:t xml:space="preserve"> increased</w:t>
      </w:r>
      <w:r w:rsidR="00D10C94">
        <w:rPr>
          <w:szCs w:val="26"/>
        </w:rPr>
        <w:t xml:space="preserve"> </w:t>
      </w:r>
      <w:r w:rsidR="00085535">
        <w:rPr>
          <w:szCs w:val="26"/>
        </w:rPr>
        <w:t xml:space="preserve">from </w:t>
      </w:r>
      <w:r w:rsidR="00D10C94">
        <w:rPr>
          <w:szCs w:val="26"/>
        </w:rPr>
        <w:t xml:space="preserve">its average price of </w:t>
      </w:r>
      <w:r w:rsidR="00085535">
        <w:rPr>
          <w:szCs w:val="26"/>
        </w:rPr>
        <w:t>$3</w:t>
      </w:r>
      <w:r w:rsidR="00B24C24">
        <w:rPr>
          <w:szCs w:val="26"/>
        </w:rPr>
        <w:t>/MMBtu</w:t>
      </w:r>
      <w:r w:rsidR="00085535">
        <w:rPr>
          <w:szCs w:val="26"/>
        </w:rPr>
        <w:t xml:space="preserve"> to </w:t>
      </w:r>
      <w:r w:rsidR="00D10C94">
        <w:rPr>
          <w:szCs w:val="26"/>
        </w:rPr>
        <w:t xml:space="preserve">as high as </w:t>
      </w:r>
      <w:r w:rsidR="00085535">
        <w:rPr>
          <w:szCs w:val="26"/>
        </w:rPr>
        <w:t>$20</w:t>
      </w:r>
      <w:r w:rsidR="00B24C24">
        <w:rPr>
          <w:szCs w:val="26"/>
        </w:rPr>
        <w:t>/MMBtu</w:t>
      </w:r>
      <w:r w:rsidR="000D16B9">
        <w:rPr>
          <w:szCs w:val="26"/>
        </w:rPr>
        <w:t xml:space="preserve"> during sustained cold temperatures in February 2018 and to $40</w:t>
      </w:r>
      <w:r w:rsidR="00694A86">
        <w:rPr>
          <w:szCs w:val="26"/>
        </w:rPr>
        <w:t>/MMBtu</w:t>
      </w:r>
      <w:r w:rsidR="000D16B9">
        <w:rPr>
          <w:szCs w:val="26"/>
        </w:rPr>
        <w:t xml:space="preserve"> during a heat wave in July 2018</w:t>
      </w:r>
      <w:r w:rsidR="00085535">
        <w:rPr>
          <w:szCs w:val="26"/>
        </w:rPr>
        <w:t>.</w:t>
      </w:r>
      <w:r w:rsidR="009939AC">
        <w:rPr>
          <w:rStyle w:val="FootnoteReference"/>
          <w:szCs w:val="26"/>
        </w:rPr>
        <w:footnoteReference w:id="31"/>
      </w:r>
      <w:r w:rsidR="00085535">
        <w:rPr>
          <w:szCs w:val="26"/>
        </w:rPr>
        <w:t xml:space="preserve"> </w:t>
      </w:r>
      <w:r w:rsidR="00A74A6A">
        <w:rPr>
          <w:szCs w:val="26"/>
        </w:rPr>
        <w:t xml:space="preserve"> </w:t>
      </w:r>
      <w:r w:rsidR="003A608F">
        <w:rPr>
          <w:szCs w:val="26"/>
        </w:rPr>
        <w:t>Approximately 80 percent of California’s gas generation capacity relies on interruptible contracting,</w:t>
      </w:r>
      <w:r w:rsidR="003A608F">
        <w:rPr>
          <w:rStyle w:val="FootnoteReference"/>
          <w:szCs w:val="26"/>
        </w:rPr>
        <w:footnoteReference w:id="32"/>
      </w:r>
      <w:r w:rsidR="003A608F">
        <w:rPr>
          <w:szCs w:val="26"/>
        </w:rPr>
        <w:t xml:space="preserve"> which exposes gas-fired </w:t>
      </w:r>
      <w:r w:rsidR="002A40CE">
        <w:rPr>
          <w:szCs w:val="26"/>
        </w:rPr>
        <w:t xml:space="preserve">electric </w:t>
      </w:r>
      <w:r w:rsidR="003A608F">
        <w:rPr>
          <w:szCs w:val="26"/>
        </w:rPr>
        <w:t xml:space="preserve">generators to price volatility </w:t>
      </w:r>
      <w:r w:rsidR="00620840">
        <w:rPr>
          <w:szCs w:val="26"/>
        </w:rPr>
        <w:t>at SoCal Citygate</w:t>
      </w:r>
      <w:r w:rsidR="003A608F">
        <w:rPr>
          <w:szCs w:val="26"/>
        </w:rPr>
        <w:t xml:space="preserve">. </w:t>
      </w:r>
      <w:r w:rsidR="00620840">
        <w:rPr>
          <w:szCs w:val="26"/>
        </w:rPr>
        <w:t xml:space="preserve"> Thus, the higher than average gas </w:t>
      </w:r>
      <w:r w:rsidR="00A6790F">
        <w:rPr>
          <w:szCs w:val="26"/>
        </w:rPr>
        <w:t>price</w:t>
      </w:r>
      <w:r w:rsidR="00620840">
        <w:rPr>
          <w:szCs w:val="26"/>
        </w:rPr>
        <w:t>s</w:t>
      </w:r>
      <w:r w:rsidR="00A6790F">
        <w:rPr>
          <w:szCs w:val="26"/>
        </w:rPr>
        <w:t xml:space="preserve"> along with fees for customers who were not able to </w:t>
      </w:r>
      <w:r w:rsidR="007C5062">
        <w:rPr>
          <w:szCs w:val="26"/>
        </w:rPr>
        <w:t xml:space="preserve">transport </w:t>
      </w:r>
      <w:r w:rsidR="00085535">
        <w:rPr>
          <w:szCs w:val="26"/>
        </w:rPr>
        <w:t xml:space="preserve">gas within </w:t>
      </w:r>
      <w:r w:rsidR="00A6790F">
        <w:rPr>
          <w:szCs w:val="26"/>
        </w:rPr>
        <w:t xml:space="preserve">the bandwidth stated in SoCalGas’ </w:t>
      </w:r>
      <w:r w:rsidR="0030127B">
        <w:rPr>
          <w:szCs w:val="26"/>
        </w:rPr>
        <w:t>Operational Flow Order rules</w:t>
      </w:r>
      <w:r w:rsidR="00F86770">
        <w:rPr>
          <w:rStyle w:val="FootnoteReference"/>
          <w:szCs w:val="26"/>
        </w:rPr>
        <w:footnoteReference w:id="33"/>
      </w:r>
      <w:r w:rsidR="00A6790F">
        <w:rPr>
          <w:szCs w:val="26"/>
        </w:rPr>
        <w:t xml:space="preserve"> increased the </w:t>
      </w:r>
      <w:r w:rsidR="00085535">
        <w:rPr>
          <w:szCs w:val="26"/>
        </w:rPr>
        <w:t xml:space="preserve">marginal price for </w:t>
      </w:r>
      <w:r w:rsidR="00E8266F">
        <w:rPr>
          <w:szCs w:val="26"/>
        </w:rPr>
        <w:t>generators that bid into CAISO’s wholesale markets</w:t>
      </w:r>
      <w:r w:rsidR="00A6790F">
        <w:rPr>
          <w:szCs w:val="26"/>
        </w:rPr>
        <w:t xml:space="preserve">. </w:t>
      </w:r>
      <w:r w:rsidR="00732E37">
        <w:rPr>
          <w:szCs w:val="26"/>
        </w:rPr>
        <w:t xml:space="preserve"> </w:t>
      </w:r>
      <w:r w:rsidR="00A6790F">
        <w:rPr>
          <w:szCs w:val="26"/>
        </w:rPr>
        <w:t>Because m</w:t>
      </w:r>
      <w:r w:rsidR="00085535">
        <w:rPr>
          <w:szCs w:val="26"/>
        </w:rPr>
        <w:t>ost of the gas-fired generators dispatch</w:t>
      </w:r>
      <w:r w:rsidR="00A937AB">
        <w:rPr>
          <w:szCs w:val="26"/>
        </w:rPr>
        <w:t>ed</w:t>
      </w:r>
      <w:r w:rsidR="00085535">
        <w:rPr>
          <w:szCs w:val="26"/>
        </w:rPr>
        <w:t xml:space="preserve"> on the CAISO-controlled grid are located in SoCalGas’ service territory</w:t>
      </w:r>
      <w:r w:rsidR="00366377">
        <w:rPr>
          <w:szCs w:val="26"/>
        </w:rPr>
        <w:t>, the</w:t>
      </w:r>
      <w:r w:rsidR="00DB7568">
        <w:rPr>
          <w:szCs w:val="26"/>
        </w:rPr>
        <w:t xml:space="preserve"> </w:t>
      </w:r>
      <w:r w:rsidR="00366377">
        <w:rPr>
          <w:szCs w:val="26"/>
        </w:rPr>
        <w:t>higher than average marginal cost</w:t>
      </w:r>
      <w:r w:rsidR="00E8266F">
        <w:rPr>
          <w:szCs w:val="26"/>
        </w:rPr>
        <w:t>s</w:t>
      </w:r>
      <w:r w:rsidR="00366377">
        <w:rPr>
          <w:szCs w:val="26"/>
        </w:rPr>
        <w:t xml:space="preserve"> </w:t>
      </w:r>
      <w:r w:rsidR="00085535">
        <w:rPr>
          <w:szCs w:val="26"/>
        </w:rPr>
        <w:t>contribut</w:t>
      </w:r>
      <w:r w:rsidR="00A937AB">
        <w:rPr>
          <w:szCs w:val="26"/>
        </w:rPr>
        <w:t>ed</w:t>
      </w:r>
      <w:r w:rsidR="00085535">
        <w:rPr>
          <w:szCs w:val="26"/>
        </w:rPr>
        <w:t xml:space="preserve"> to a 2</w:t>
      </w:r>
      <w:r w:rsidR="001014B1">
        <w:rPr>
          <w:szCs w:val="26"/>
        </w:rPr>
        <w:t>5</w:t>
      </w:r>
      <w:r w:rsidR="00085535">
        <w:rPr>
          <w:szCs w:val="26"/>
        </w:rPr>
        <w:t xml:space="preserve"> percent increase in the price of </w:t>
      </w:r>
      <w:r w:rsidR="00085535">
        <w:rPr>
          <w:szCs w:val="26"/>
        </w:rPr>
        <w:lastRenderedPageBreak/>
        <w:t>wholesale electricity</w:t>
      </w:r>
      <w:r w:rsidR="00366377">
        <w:rPr>
          <w:szCs w:val="26"/>
        </w:rPr>
        <w:t xml:space="preserve"> du</w:t>
      </w:r>
      <w:r w:rsidR="00E8266F">
        <w:rPr>
          <w:szCs w:val="26"/>
        </w:rPr>
        <w:t>ring</w:t>
      </w:r>
      <w:r w:rsidR="00366377">
        <w:rPr>
          <w:szCs w:val="26"/>
        </w:rPr>
        <w:t xml:space="preserve"> </w:t>
      </w:r>
      <w:r w:rsidR="00DB7568">
        <w:rPr>
          <w:szCs w:val="26"/>
        </w:rPr>
        <w:t>201</w:t>
      </w:r>
      <w:r w:rsidR="0056254E">
        <w:rPr>
          <w:szCs w:val="26"/>
        </w:rPr>
        <w:t>7</w:t>
      </w:r>
      <w:r w:rsidR="003D656F">
        <w:rPr>
          <w:szCs w:val="26"/>
        </w:rPr>
        <w:t>,</w:t>
      </w:r>
      <w:r w:rsidR="001014B1">
        <w:rPr>
          <w:rStyle w:val="FootnoteReference"/>
          <w:szCs w:val="26"/>
        </w:rPr>
        <w:footnoteReference w:id="34"/>
      </w:r>
      <w:r w:rsidR="00366377">
        <w:rPr>
          <w:szCs w:val="26"/>
        </w:rPr>
        <w:t xml:space="preserve"> and</w:t>
      </w:r>
      <w:r w:rsidR="0056254E">
        <w:rPr>
          <w:szCs w:val="26"/>
        </w:rPr>
        <w:t xml:space="preserve"> 24 percent in 2018,</w:t>
      </w:r>
      <w:r w:rsidR="00513D3B">
        <w:rPr>
          <w:rStyle w:val="FootnoteReference"/>
          <w:szCs w:val="26"/>
        </w:rPr>
        <w:footnoteReference w:id="35"/>
      </w:r>
      <w:r w:rsidR="0056254E">
        <w:rPr>
          <w:szCs w:val="26"/>
        </w:rPr>
        <w:t xml:space="preserve"> </w:t>
      </w:r>
      <w:r w:rsidR="00366377">
        <w:rPr>
          <w:szCs w:val="26"/>
        </w:rPr>
        <w:t>cost</w:t>
      </w:r>
      <w:r w:rsidR="00A937AB">
        <w:rPr>
          <w:szCs w:val="26"/>
        </w:rPr>
        <w:t>ing</w:t>
      </w:r>
      <w:r w:rsidR="00366377">
        <w:rPr>
          <w:szCs w:val="26"/>
        </w:rPr>
        <w:t xml:space="preserve"> </w:t>
      </w:r>
      <w:r w:rsidR="00D411A6">
        <w:rPr>
          <w:szCs w:val="26"/>
        </w:rPr>
        <w:t xml:space="preserve">electric </w:t>
      </w:r>
      <w:r w:rsidR="00366377">
        <w:rPr>
          <w:szCs w:val="26"/>
        </w:rPr>
        <w:t xml:space="preserve">ratepayers </w:t>
      </w:r>
      <w:r w:rsidR="00A937AB">
        <w:rPr>
          <w:szCs w:val="26"/>
        </w:rPr>
        <w:t>over</w:t>
      </w:r>
      <w:r w:rsidR="00513D3B">
        <w:rPr>
          <w:szCs w:val="26"/>
        </w:rPr>
        <w:t xml:space="preserve"> $1 </w:t>
      </w:r>
      <w:r w:rsidR="00366377">
        <w:rPr>
          <w:szCs w:val="26"/>
        </w:rPr>
        <w:t>billion.</w:t>
      </w:r>
      <w:r w:rsidR="00513D3B">
        <w:rPr>
          <w:rStyle w:val="FootnoteReference"/>
          <w:szCs w:val="26"/>
        </w:rPr>
        <w:footnoteReference w:id="36"/>
      </w:r>
    </w:p>
    <w:p w14:paraId="48F96419" w14:textId="77777777" w:rsidR="00EE3060" w:rsidRDefault="000435BB" w:rsidP="000435BB">
      <w:pPr>
        <w:pStyle w:val="Heading2"/>
      </w:pPr>
      <w:bookmarkStart w:id="10" w:name="_Toc28605927"/>
      <w:r>
        <w:t>Greenhouse Gas Legislation</w:t>
      </w:r>
      <w:bookmarkEnd w:id="10"/>
    </w:p>
    <w:p w14:paraId="2281FF5B" w14:textId="44351992" w:rsidR="00085535" w:rsidRDefault="008C7B66" w:rsidP="00085535">
      <w:pPr>
        <w:rPr>
          <w:szCs w:val="26"/>
        </w:rPr>
      </w:pPr>
      <w:r>
        <w:rPr>
          <w:szCs w:val="26"/>
        </w:rPr>
        <w:t>C</w:t>
      </w:r>
      <w:r w:rsidR="006E60EF">
        <w:rPr>
          <w:szCs w:val="26"/>
        </w:rPr>
        <w:t xml:space="preserve">ompliance with </w:t>
      </w:r>
      <w:r w:rsidR="00085535">
        <w:rPr>
          <w:szCs w:val="26"/>
        </w:rPr>
        <w:t>local</w:t>
      </w:r>
      <w:r w:rsidR="00D40D23">
        <w:rPr>
          <w:szCs w:val="26"/>
        </w:rPr>
        <w:t xml:space="preserve"> and statewide</w:t>
      </w:r>
      <w:r w:rsidR="00085535">
        <w:rPr>
          <w:szCs w:val="26"/>
        </w:rPr>
        <w:t xml:space="preserve"> greenhouse gas legislation </w:t>
      </w:r>
      <w:r w:rsidR="006E60EF">
        <w:rPr>
          <w:szCs w:val="26"/>
        </w:rPr>
        <w:t xml:space="preserve">will </w:t>
      </w:r>
      <w:r w:rsidR="00D80DF0">
        <w:rPr>
          <w:szCs w:val="26"/>
        </w:rPr>
        <w:t>cause the demand for natural gas</w:t>
      </w:r>
      <w:r w:rsidR="009F0AD9">
        <w:rPr>
          <w:szCs w:val="26"/>
        </w:rPr>
        <w:t>,</w:t>
      </w:r>
      <w:r w:rsidR="00E3373B">
        <w:rPr>
          <w:szCs w:val="26"/>
        </w:rPr>
        <w:t xml:space="preserve"> in particular fossil-derived gas, </w:t>
      </w:r>
      <w:r w:rsidR="009F0AD9">
        <w:rPr>
          <w:szCs w:val="26"/>
        </w:rPr>
        <w:t xml:space="preserve">the primary </w:t>
      </w:r>
      <w:r w:rsidR="00F83974">
        <w:rPr>
          <w:szCs w:val="26"/>
        </w:rPr>
        <w:t xml:space="preserve">type of </w:t>
      </w:r>
      <w:r w:rsidR="00E3373B">
        <w:rPr>
          <w:szCs w:val="26"/>
        </w:rPr>
        <w:t xml:space="preserve">gas </w:t>
      </w:r>
      <w:r w:rsidR="009F0AD9">
        <w:rPr>
          <w:szCs w:val="26"/>
        </w:rPr>
        <w:t xml:space="preserve">supplied through the gas systems in California, </w:t>
      </w:r>
      <w:r w:rsidR="00D80DF0">
        <w:rPr>
          <w:szCs w:val="26"/>
        </w:rPr>
        <w:t xml:space="preserve">to decline </w:t>
      </w:r>
      <w:r w:rsidR="00085535">
        <w:rPr>
          <w:szCs w:val="26"/>
        </w:rPr>
        <w:t xml:space="preserve">over the next </w:t>
      </w:r>
      <w:r w:rsidR="00F566A9">
        <w:rPr>
          <w:szCs w:val="26"/>
        </w:rPr>
        <w:t>25</w:t>
      </w:r>
      <w:r w:rsidR="00D80DF0">
        <w:rPr>
          <w:szCs w:val="26"/>
        </w:rPr>
        <w:t xml:space="preserve"> years</w:t>
      </w:r>
      <w:r w:rsidR="00085535">
        <w:rPr>
          <w:szCs w:val="26"/>
        </w:rPr>
        <w:t xml:space="preserve">.  </w:t>
      </w:r>
      <w:r w:rsidR="00D40D23">
        <w:rPr>
          <w:szCs w:val="26"/>
        </w:rPr>
        <w:t>S</w:t>
      </w:r>
      <w:r w:rsidR="00085535">
        <w:rPr>
          <w:szCs w:val="26"/>
        </w:rPr>
        <w:t>tatewide R</w:t>
      </w:r>
      <w:r w:rsidR="00D16ADE">
        <w:rPr>
          <w:szCs w:val="26"/>
        </w:rPr>
        <w:t xml:space="preserve">enewable </w:t>
      </w:r>
      <w:r w:rsidR="00085535">
        <w:rPr>
          <w:szCs w:val="26"/>
        </w:rPr>
        <w:t>P</w:t>
      </w:r>
      <w:r w:rsidR="00D16ADE">
        <w:rPr>
          <w:szCs w:val="26"/>
        </w:rPr>
        <w:t xml:space="preserve">ortfolio </w:t>
      </w:r>
      <w:r w:rsidR="00085535">
        <w:rPr>
          <w:szCs w:val="26"/>
        </w:rPr>
        <w:t>S</w:t>
      </w:r>
      <w:r w:rsidR="00D16ADE">
        <w:rPr>
          <w:szCs w:val="26"/>
        </w:rPr>
        <w:t>tandard (RPS)</w:t>
      </w:r>
      <w:r w:rsidR="00085535">
        <w:rPr>
          <w:szCs w:val="26"/>
        </w:rPr>
        <w:t xml:space="preserve"> goals require </w:t>
      </w:r>
      <w:r w:rsidR="00C515B2">
        <w:rPr>
          <w:szCs w:val="26"/>
        </w:rPr>
        <w:t xml:space="preserve">retail sellers of electricity </w:t>
      </w:r>
      <w:r w:rsidR="00085535">
        <w:rPr>
          <w:szCs w:val="26"/>
        </w:rPr>
        <w:t xml:space="preserve">to procure a certain percentage of generation from renewable sources over the next </w:t>
      </w:r>
      <w:r w:rsidR="006F692A">
        <w:rPr>
          <w:szCs w:val="26"/>
        </w:rPr>
        <w:t>25</w:t>
      </w:r>
      <w:r w:rsidR="00085535">
        <w:rPr>
          <w:szCs w:val="26"/>
        </w:rPr>
        <w:t xml:space="preserve"> years.</w:t>
      </w:r>
      <w:r w:rsidR="00085535">
        <w:rPr>
          <w:rStyle w:val="FootnoteReference"/>
          <w:szCs w:val="26"/>
        </w:rPr>
        <w:footnoteReference w:id="37"/>
      </w:r>
      <w:r w:rsidR="00C515B2">
        <w:rPr>
          <w:szCs w:val="26"/>
        </w:rPr>
        <w:t xml:space="preserve">  </w:t>
      </w:r>
      <w:r w:rsidR="00640B27">
        <w:rPr>
          <w:szCs w:val="26"/>
        </w:rPr>
        <w:t>R</w:t>
      </w:r>
      <w:r w:rsidR="00C515B2">
        <w:rPr>
          <w:szCs w:val="26"/>
        </w:rPr>
        <w:t xml:space="preserve">etail sellers </w:t>
      </w:r>
      <w:r w:rsidR="00640B27">
        <w:rPr>
          <w:szCs w:val="26"/>
        </w:rPr>
        <w:t>may</w:t>
      </w:r>
      <w:r w:rsidR="00C515B2">
        <w:rPr>
          <w:szCs w:val="26"/>
        </w:rPr>
        <w:t xml:space="preserve"> exceed the </w:t>
      </w:r>
      <w:r w:rsidR="00E84DA9">
        <w:rPr>
          <w:szCs w:val="26"/>
        </w:rPr>
        <w:t xml:space="preserve">statewide </w:t>
      </w:r>
      <w:r w:rsidR="00C515B2">
        <w:rPr>
          <w:szCs w:val="26"/>
        </w:rPr>
        <w:t>minimum requirements.</w:t>
      </w:r>
      <w:r w:rsidR="00732E37">
        <w:rPr>
          <w:szCs w:val="26"/>
        </w:rPr>
        <w:t xml:space="preserve"> </w:t>
      </w:r>
      <w:r w:rsidR="00085535">
        <w:rPr>
          <w:szCs w:val="26"/>
        </w:rPr>
        <w:t xml:space="preserve"> </w:t>
      </w:r>
      <w:r w:rsidR="008062BB">
        <w:rPr>
          <w:szCs w:val="26"/>
        </w:rPr>
        <w:t xml:space="preserve">As retail sellers procure less electricity from gas-fired generators, which comprise </w:t>
      </w:r>
      <w:r w:rsidR="00F566A9">
        <w:rPr>
          <w:szCs w:val="26"/>
        </w:rPr>
        <w:t xml:space="preserve">approximately </w:t>
      </w:r>
      <w:r w:rsidR="009D63E8">
        <w:rPr>
          <w:szCs w:val="26"/>
        </w:rPr>
        <w:t>30</w:t>
      </w:r>
      <w:r w:rsidR="00732E37">
        <w:rPr>
          <w:szCs w:val="26"/>
        </w:rPr>
        <w:t> </w:t>
      </w:r>
      <w:r w:rsidR="00D40D23">
        <w:rPr>
          <w:szCs w:val="26"/>
        </w:rPr>
        <w:t xml:space="preserve">percent of </w:t>
      </w:r>
      <w:r w:rsidR="008062BB">
        <w:rPr>
          <w:szCs w:val="26"/>
        </w:rPr>
        <w:t xml:space="preserve">the demand for natural gas in California, the </w:t>
      </w:r>
      <w:r w:rsidR="00DB3576">
        <w:rPr>
          <w:szCs w:val="26"/>
        </w:rPr>
        <w:t>gas throughput assigned to these customers will also decline, thereby allocating more costs to remaining customers, such as residenti</w:t>
      </w:r>
      <w:r w:rsidR="00E84DA9">
        <w:rPr>
          <w:szCs w:val="26"/>
        </w:rPr>
        <w:t>al, small commercial, and industrial ratepayers</w:t>
      </w:r>
      <w:r w:rsidR="00DB3576">
        <w:rPr>
          <w:szCs w:val="26"/>
        </w:rPr>
        <w:t xml:space="preserve">. </w:t>
      </w:r>
      <w:r>
        <w:rPr>
          <w:szCs w:val="26"/>
        </w:rPr>
        <w:t xml:space="preserve"> In addition, however, state laws regulating climate pollutants promote the production and distribution </w:t>
      </w:r>
      <w:r>
        <w:rPr>
          <w:szCs w:val="26"/>
        </w:rPr>
        <w:lastRenderedPageBreak/>
        <w:t>of biomethane gas</w:t>
      </w:r>
      <w:r>
        <w:rPr>
          <w:rStyle w:val="FootnoteReference"/>
          <w:szCs w:val="26"/>
        </w:rPr>
        <w:footnoteReference w:id="38"/>
      </w:r>
      <w:r>
        <w:rPr>
          <w:szCs w:val="26"/>
        </w:rPr>
        <w:t xml:space="preserve"> and provide that the Commission should consider uses for certain forms of electrolytic hydrogen.</w:t>
      </w:r>
      <w:r>
        <w:rPr>
          <w:rStyle w:val="FootnoteReference"/>
          <w:szCs w:val="26"/>
        </w:rPr>
        <w:footnoteReference w:id="39"/>
      </w:r>
    </w:p>
    <w:p w14:paraId="06C6BCD6" w14:textId="4ED2D0F1" w:rsidR="001609C8" w:rsidRDefault="00085535" w:rsidP="00492D01">
      <w:pPr>
        <w:rPr>
          <w:szCs w:val="26"/>
        </w:rPr>
      </w:pPr>
      <w:r>
        <w:rPr>
          <w:szCs w:val="26"/>
        </w:rPr>
        <w:t xml:space="preserve">With respect to building </w:t>
      </w:r>
      <w:r w:rsidR="006F692A">
        <w:rPr>
          <w:szCs w:val="26"/>
        </w:rPr>
        <w:t>decarbonization</w:t>
      </w:r>
      <w:r>
        <w:rPr>
          <w:szCs w:val="26"/>
        </w:rPr>
        <w:t xml:space="preserve">, </w:t>
      </w:r>
      <w:r w:rsidR="0084394E">
        <w:rPr>
          <w:szCs w:val="26"/>
        </w:rPr>
        <w:t>A</w:t>
      </w:r>
      <w:r w:rsidR="00E84DA9">
        <w:rPr>
          <w:szCs w:val="26"/>
        </w:rPr>
        <w:t>B</w:t>
      </w:r>
      <w:r>
        <w:rPr>
          <w:szCs w:val="26"/>
        </w:rPr>
        <w:t xml:space="preserve"> 3232</w:t>
      </w:r>
      <w:r w:rsidR="00FE6A33">
        <w:rPr>
          <w:szCs w:val="26"/>
        </w:rPr>
        <w:t xml:space="preserve"> </w:t>
      </w:r>
      <w:r>
        <w:rPr>
          <w:szCs w:val="26"/>
        </w:rPr>
        <w:t xml:space="preserve">requires the </w:t>
      </w:r>
      <w:r w:rsidR="0090313C">
        <w:rPr>
          <w:szCs w:val="26"/>
        </w:rPr>
        <w:t xml:space="preserve">California Energy </w:t>
      </w:r>
      <w:r>
        <w:rPr>
          <w:szCs w:val="26"/>
        </w:rPr>
        <w:t>Commission</w:t>
      </w:r>
      <w:r w:rsidR="008F50BD">
        <w:rPr>
          <w:szCs w:val="26"/>
        </w:rPr>
        <w:t xml:space="preserve"> (CEC)</w:t>
      </w:r>
      <w:r>
        <w:rPr>
          <w:szCs w:val="26"/>
        </w:rPr>
        <w:t xml:space="preserve"> to evaluate the state’s ability to reduce greenhouse gas emissions </w:t>
      </w:r>
      <w:r w:rsidR="00FE6A33">
        <w:rPr>
          <w:szCs w:val="26"/>
        </w:rPr>
        <w:t>from</w:t>
      </w:r>
      <w:r>
        <w:rPr>
          <w:szCs w:val="26"/>
        </w:rPr>
        <w:t xml:space="preserve"> residential and commercial buildings to 40 percent below 1990 levels by 2030.</w:t>
      </w:r>
      <w:r w:rsidR="00FE6A33">
        <w:rPr>
          <w:rStyle w:val="FootnoteReference"/>
          <w:szCs w:val="26"/>
        </w:rPr>
        <w:footnoteReference w:id="40"/>
      </w:r>
      <w:r>
        <w:rPr>
          <w:szCs w:val="26"/>
        </w:rPr>
        <w:t xml:space="preserve">  While </w:t>
      </w:r>
      <w:r w:rsidR="00FE6A33">
        <w:rPr>
          <w:szCs w:val="26"/>
        </w:rPr>
        <w:t xml:space="preserve">no specific statewide </w:t>
      </w:r>
      <w:r w:rsidR="002703A3">
        <w:rPr>
          <w:szCs w:val="26"/>
        </w:rPr>
        <w:t>laws set forth a framework</w:t>
      </w:r>
      <w:r w:rsidR="00FE6A33">
        <w:rPr>
          <w:szCs w:val="26"/>
        </w:rPr>
        <w:t xml:space="preserve"> for implementing </w:t>
      </w:r>
      <w:r>
        <w:rPr>
          <w:szCs w:val="26"/>
        </w:rPr>
        <w:t xml:space="preserve">building </w:t>
      </w:r>
      <w:r w:rsidR="006F692A">
        <w:rPr>
          <w:szCs w:val="26"/>
        </w:rPr>
        <w:t>decarbonization</w:t>
      </w:r>
      <w:r w:rsidR="002703A3">
        <w:rPr>
          <w:szCs w:val="26"/>
        </w:rPr>
        <w:t xml:space="preserve"> yet</w:t>
      </w:r>
      <w:r>
        <w:rPr>
          <w:szCs w:val="26"/>
        </w:rPr>
        <w:t>,</w:t>
      </w:r>
      <w:r w:rsidR="002703A3">
        <w:rPr>
          <w:rStyle w:val="FootnoteReference"/>
          <w:szCs w:val="26"/>
        </w:rPr>
        <w:footnoteReference w:id="41"/>
      </w:r>
      <w:r>
        <w:rPr>
          <w:szCs w:val="26"/>
        </w:rPr>
        <w:t xml:space="preserve"> </w:t>
      </w:r>
      <w:r w:rsidR="009F0AD9">
        <w:rPr>
          <w:szCs w:val="26"/>
        </w:rPr>
        <w:t>SoCalGas and SDG</w:t>
      </w:r>
      <w:r w:rsidR="006A6B66">
        <w:rPr>
          <w:szCs w:val="26"/>
        </w:rPr>
        <w:t>&amp;</w:t>
      </w:r>
      <w:r w:rsidR="009F0AD9">
        <w:rPr>
          <w:szCs w:val="26"/>
        </w:rPr>
        <w:t xml:space="preserve">E filed an application proposing to </w:t>
      </w:r>
      <w:r w:rsidR="006A6B66">
        <w:rPr>
          <w:szCs w:val="26"/>
        </w:rPr>
        <w:t xml:space="preserve">allow customers to purchase </w:t>
      </w:r>
      <w:r w:rsidR="00A56F49">
        <w:rPr>
          <w:szCs w:val="26"/>
        </w:rPr>
        <w:t xml:space="preserve">carbon-neutral </w:t>
      </w:r>
      <w:r w:rsidR="006A6B66">
        <w:rPr>
          <w:szCs w:val="26"/>
        </w:rPr>
        <w:t>gas that is derived from non-fossil sources (e.g., biomethane</w:t>
      </w:r>
      <w:r w:rsidR="00E3373B">
        <w:rPr>
          <w:szCs w:val="26"/>
        </w:rPr>
        <w:t xml:space="preserve"> gas</w:t>
      </w:r>
      <w:r w:rsidR="006A6B66">
        <w:rPr>
          <w:szCs w:val="26"/>
        </w:rPr>
        <w:t>)</w:t>
      </w:r>
      <w:r w:rsidR="009F0AD9">
        <w:rPr>
          <w:szCs w:val="26"/>
        </w:rPr>
        <w:t>,</w:t>
      </w:r>
      <w:r w:rsidR="006A6B66">
        <w:rPr>
          <w:rStyle w:val="FootnoteReference"/>
          <w:szCs w:val="26"/>
        </w:rPr>
        <w:footnoteReference w:id="42"/>
      </w:r>
      <w:r w:rsidR="009F0AD9">
        <w:rPr>
          <w:szCs w:val="26"/>
        </w:rPr>
        <w:t xml:space="preserve"> and </w:t>
      </w:r>
      <w:r w:rsidR="00B62B51">
        <w:rPr>
          <w:szCs w:val="26"/>
        </w:rPr>
        <w:t>many</w:t>
      </w:r>
      <w:r w:rsidR="00140526">
        <w:rPr>
          <w:szCs w:val="26"/>
        </w:rPr>
        <w:t xml:space="preserve"> </w:t>
      </w:r>
      <w:r w:rsidR="0024248D">
        <w:rPr>
          <w:szCs w:val="26"/>
        </w:rPr>
        <w:t>municipalities</w:t>
      </w:r>
      <w:r w:rsidR="00140526">
        <w:rPr>
          <w:szCs w:val="26"/>
        </w:rPr>
        <w:t xml:space="preserve"> have enacted local building electrification </w:t>
      </w:r>
      <w:r w:rsidR="00D411A6">
        <w:rPr>
          <w:szCs w:val="26"/>
        </w:rPr>
        <w:t>laws</w:t>
      </w:r>
      <w:r w:rsidR="00140526">
        <w:rPr>
          <w:szCs w:val="26"/>
        </w:rPr>
        <w:t xml:space="preserve">. </w:t>
      </w:r>
      <w:r w:rsidR="00732E37">
        <w:rPr>
          <w:szCs w:val="26"/>
        </w:rPr>
        <w:t xml:space="preserve"> </w:t>
      </w:r>
      <w:r w:rsidR="00B62B51">
        <w:rPr>
          <w:szCs w:val="26"/>
        </w:rPr>
        <w:t xml:space="preserve">The laws vary in degree, with some banning the use of natural gas in new </w:t>
      </w:r>
      <w:r w:rsidR="0084538C">
        <w:rPr>
          <w:szCs w:val="26"/>
        </w:rPr>
        <w:t xml:space="preserve">building </w:t>
      </w:r>
      <w:r w:rsidR="00B62B51">
        <w:rPr>
          <w:szCs w:val="26"/>
        </w:rPr>
        <w:t>construct</w:t>
      </w:r>
      <w:r w:rsidR="0084538C">
        <w:rPr>
          <w:szCs w:val="26"/>
        </w:rPr>
        <w:t>ion</w:t>
      </w:r>
      <w:r w:rsidR="00B62B51">
        <w:rPr>
          <w:szCs w:val="26"/>
        </w:rPr>
        <w:t xml:space="preserve"> and others allowing </w:t>
      </w:r>
      <w:r w:rsidR="00476AE2">
        <w:rPr>
          <w:szCs w:val="26"/>
        </w:rPr>
        <w:t xml:space="preserve">ratepayers to decide between </w:t>
      </w:r>
      <w:r w:rsidR="0084538C">
        <w:rPr>
          <w:szCs w:val="26"/>
        </w:rPr>
        <w:t xml:space="preserve">using </w:t>
      </w:r>
      <w:r w:rsidR="00476AE2">
        <w:rPr>
          <w:szCs w:val="26"/>
        </w:rPr>
        <w:t xml:space="preserve">electricity </w:t>
      </w:r>
      <w:r w:rsidR="0084538C">
        <w:rPr>
          <w:szCs w:val="26"/>
        </w:rPr>
        <w:t>or</w:t>
      </w:r>
      <w:r w:rsidR="00476AE2">
        <w:rPr>
          <w:szCs w:val="26"/>
        </w:rPr>
        <w:t xml:space="preserve"> natural gas</w:t>
      </w:r>
      <w:r w:rsidR="0030127B">
        <w:rPr>
          <w:szCs w:val="26"/>
        </w:rPr>
        <w:t>.  For example,</w:t>
      </w:r>
      <w:r w:rsidR="00701FD7">
        <w:rPr>
          <w:szCs w:val="26"/>
        </w:rPr>
        <w:t xml:space="preserve"> t</w:t>
      </w:r>
      <w:r>
        <w:rPr>
          <w:szCs w:val="26"/>
        </w:rPr>
        <w:t xml:space="preserve">he City of Berkeley enacted </w:t>
      </w:r>
      <w:r w:rsidR="00042277">
        <w:rPr>
          <w:szCs w:val="26"/>
        </w:rPr>
        <w:t>legislation</w:t>
      </w:r>
      <w:r w:rsidR="00006567">
        <w:rPr>
          <w:szCs w:val="26"/>
        </w:rPr>
        <w:t xml:space="preserve"> that prohibits</w:t>
      </w:r>
      <w:r w:rsidR="002D76FC">
        <w:rPr>
          <w:szCs w:val="26"/>
        </w:rPr>
        <w:t xml:space="preserve"> </w:t>
      </w:r>
      <w:r w:rsidR="00E70654">
        <w:rPr>
          <w:szCs w:val="26"/>
        </w:rPr>
        <w:t>natural</w:t>
      </w:r>
      <w:r w:rsidR="002D76FC">
        <w:rPr>
          <w:szCs w:val="26"/>
        </w:rPr>
        <w:t xml:space="preserve"> gas </w:t>
      </w:r>
      <w:r w:rsidR="002D76FC">
        <w:rPr>
          <w:szCs w:val="26"/>
        </w:rPr>
        <w:lastRenderedPageBreak/>
        <w:t xml:space="preserve">pipes in </w:t>
      </w:r>
      <w:r w:rsidR="00CA48F2">
        <w:rPr>
          <w:szCs w:val="26"/>
        </w:rPr>
        <w:t xml:space="preserve">low-rise </w:t>
      </w:r>
      <w:r w:rsidR="00916C45">
        <w:rPr>
          <w:szCs w:val="26"/>
        </w:rPr>
        <w:t xml:space="preserve">(three and fewer stories) </w:t>
      </w:r>
      <w:r w:rsidR="00CA48F2">
        <w:rPr>
          <w:szCs w:val="26"/>
        </w:rPr>
        <w:t xml:space="preserve">residential </w:t>
      </w:r>
      <w:r w:rsidR="00E70654">
        <w:rPr>
          <w:szCs w:val="26"/>
        </w:rPr>
        <w:t>buildings</w:t>
      </w:r>
      <w:r w:rsidR="000B01C8">
        <w:rPr>
          <w:szCs w:val="26"/>
        </w:rPr>
        <w:t>,</w:t>
      </w:r>
      <w:r w:rsidR="00CA48F2">
        <w:rPr>
          <w:rStyle w:val="FootnoteReference"/>
          <w:szCs w:val="26"/>
        </w:rPr>
        <w:footnoteReference w:id="43"/>
      </w:r>
      <w:r w:rsidR="002D76FC">
        <w:rPr>
          <w:szCs w:val="26"/>
        </w:rPr>
        <w:t xml:space="preserve"> starting on January 1, 2020.</w:t>
      </w:r>
      <w:r w:rsidR="00CA48F2">
        <w:rPr>
          <w:szCs w:val="26"/>
        </w:rPr>
        <w:t xml:space="preserve"> </w:t>
      </w:r>
      <w:r w:rsidR="00B6310E">
        <w:rPr>
          <w:szCs w:val="26"/>
        </w:rPr>
        <w:t xml:space="preserve"> </w:t>
      </w:r>
      <w:r w:rsidR="0084538C">
        <w:rPr>
          <w:szCs w:val="26"/>
        </w:rPr>
        <w:t>Similarly, t</w:t>
      </w:r>
      <w:r w:rsidR="00AB7730">
        <w:rPr>
          <w:szCs w:val="26"/>
        </w:rPr>
        <w:t xml:space="preserve">he City of </w:t>
      </w:r>
      <w:r w:rsidR="00140526">
        <w:rPr>
          <w:szCs w:val="26"/>
        </w:rPr>
        <w:t xml:space="preserve">San Francisco enacted a phase-in plan </w:t>
      </w:r>
      <w:r w:rsidR="00AB7730">
        <w:rPr>
          <w:szCs w:val="26"/>
        </w:rPr>
        <w:t>that</w:t>
      </w:r>
      <w:r w:rsidR="00B6310E">
        <w:rPr>
          <w:szCs w:val="26"/>
        </w:rPr>
        <w:t xml:space="preserve"> require</w:t>
      </w:r>
      <w:r w:rsidR="00AB7730">
        <w:rPr>
          <w:szCs w:val="26"/>
        </w:rPr>
        <w:t>s</w:t>
      </w:r>
      <w:r w:rsidR="00B6310E">
        <w:rPr>
          <w:szCs w:val="26"/>
        </w:rPr>
        <w:t xml:space="preserve"> </w:t>
      </w:r>
      <w:r w:rsidR="00140526">
        <w:rPr>
          <w:szCs w:val="26"/>
        </w:rPr>
        <w:t>large commercial buildings (i.e., over 50,000 square feet)</w:t>
      </w:r>
      <w:r w:rsidR="00AB7730">
        <w:rPr>
          <w:szCs w:val="26"/>
        </w:rPr>
        <w:t xml:space="preserve"> to</w:t>
      </w:r>
      <w:r w:rsidR="00140526">
        <w:rPr>
          <w:szCs w:val="26"/>
        </w:rPr>
        <w:t xml:space="preserve"> rely solely on electric</w:t>
      </w:r>
      <w:r w:rsidR="00B6310E">
        <w:rPr>
          <w:szCs w:val="26"/>
        </w:rPr>
        <w:t>ity</w:t>
      </w:r>
      <w:r w:rsidR="00140526">
        <w:rPr>
          <w:szCs w:val="26"/>
        </w:rPr>
        <w:t xml:space="preserve"> generated from renewable sources</w:t>
      </w:r>
      <w:r w:rsidR="00D411A6">
        <w:rPr>
          <w:szCs w:val="26"/>
        </w:rPr>
        <w:t>,</w:t>
      </w:r>
      <w:r w:rsidR="00140526">
        <w:rPr>
          <w:szCs w:val="26"/>
        </w:rPr>
        <w:t xml:space="preserve"> by 2030.</w:t>
      </w:r>
      <w:r w:rsidR="00140526">
        <w:rPr>
          <w:rStyle w:val="FootnoteReference"/>
          <w:szCs w:val="26"/>
        </w:rPr>
        <w:footnoteReference w:id="44"/>
      </w:r>
      <w:r w:rsidR="00140526">
        <w:rPr>
          <w:szCs w:val="26"/>
        </w:rPr>
        <w:t xml:space="preserve"> </w:t>
      </w:r>
      <w:r w:rsidR="00B6310E">
        <w:rPr>
          <w:szCs w:val="26"/>
        </w:rPr>
        <w:t xml:space="preserve"> </w:t>
      </w:r>
      <w:r w:rsidR="0084538C">
        <w:rPr>
          <w:szCs w:val="26"/>
        </w:rPr>
        <w:t xml:space="preserve">In contrast, </w:t>
      </w:r>
      <w:r w:rsidR="00D85D89">
        <w:rPr>
          <w:szCs w:val="26"/>
        </w:rPr>
        <w:t>t</w:t>
      </w:r>
      <w:r w:rsidR="00140526">
        <w:rPr>
          <w:szCs w:val="26"/>
        </w:rPr>
        <w:t xml:space="preserve">he City of </w:t>
      </w:r>
      <w:r>
        <w:rPr>
          <w:szCs w:val="26"/>
        </w:rPr>
        <w:t>Los Angele</w:t>
      </w:r>
      <w:r w:rsidR="00140526">
        <w:rPr>
          <w:szCs w:val="26"/>
        </w:rPr>
        <w:t>s is using</w:t>
      </w:r>
      <w:r w:rsidR="00D85D89">
        <w:rPr>
          <w:szCs w:val="26"/>
        </w:rPr>
        <w:t xml:space="preserve"> </w:t>
      </w:r>
      <w:r w:rsidR="00140526">
        <w:rPr>
          <w:szCs w:val="26"/>
        </w:rPr>
        <w:t xml:space="preserve">rebate programs to incent </w:t>
      </w:r>
      <w:r w:rsidR="001609C8">
        <w:rPr>
          <w:szCs w:val="26"/>
        </w:rPr>
        <w:t>customers</w:t>
      </w:r>
      <w:r w:rsidR="00140526">
        <w:rPr>
          <w:szCs w:val="26"/>
        </w:rPr>
        <w:t xml:space="preserve"> to</w:t>
      </w:r>
      <w:r w:rsidR="00F13174">
        <w:rPr>
          <w:szCs w:val="26"/>
        </w:rPr>
        <w:t xml:space="preserve"> install</w:t>
      </w:r>
      <w:r w:rsidR="00140526">
        <w:rPr>
          <w:szCs w:val="26"/>
        </w:rPr>
        <w:t xml:space="preserve"> </w:t>
      </w:r>
      <w:r w:rsidR="00F13174">
        <w:rPr>
          <w:szCs w:val="26"/>
        </w:rPr>
        <w:t>electric equipmen</w:t>
      </w:r>
      <w:r w:rsidR="00140526">
        <w:rPr>
          <w:szCs w:val="26"/>
        </w:rPr>
        <w:t>t, such as</w:t>
      </w:r>
      <w:r w:rsidR="00B6310E">
        <w:rPr>
          <w:szCs w:val="26"/>
        </w:rPr>
        <w:t xml:space="preserve"> hea</w:t>
      </w:r>
      <w:r w:rsidR="009D5557">
        <w:rPr>
          <w:szCs w:val="26"/>
        </w:rPr>
        <w:t>t</w:t>
      </w:r>
      <w:r w:rsidR="00B6310E">
        <w:rPr>
          <w:szCs w:val="26"/>
        </w:rPr>
        <w:t xml:space="preserve">ing </w:t>
      </w:r>
      <w:r w:rsidR="009D5557">
        <w:rPr>
          <w:szCs w:val="26"/>
        </w:rPr>
        <w:t>devi</w:t>
      </w:r>
      <w:r w:rsidR="00AA401B">
        <w:rPr>
          <w:szCs w:val="26"/>
        </w:rPr>
        <w:t>c</w:t>
      </w:r>
      <w:r w:rsidR="009D5557">
        <w:rPr>
          <w:szCs w:val="26"/>
        </w:rPr>
        <w:t>es</w:t>
      </w:r>
      <w:r w:rsidR="00140526">
        <w:rPr>
          <w:szCs w:val="26"/>
        </w:rPr>
        <w:t xml:space="preserve">, </w:t>
      </w:r>
      <w:r w:rsidR="00F13174">
        <w:rPr>
          <w:szCs w:val="26"/>
        </w:rPr>
        <w:t>in buildings</w:t>
      </w:r>
      <w:r w:rsidR="00140526">
        <w:rPr>
          <w:szCs w:val="26"/>
        </w:rPr>
        <w:t>.</w:t>
      </w:r>
      <w:r w:rsidR="005E67FC">
        <w:rPr>
          <w:rStyle w:val="FootnoteReference"/>
          <w:szCs w:val="26"/>
        </w:rPr>
        <w:footnoteReference w:id="45"/>
      </w:r>
      <w:r w:rsidR="005E67FC">
        <w:rPr>
          <w:szCs w:val="26"/>
        </w:rPr>
        <w:t xml:space="preserve"> </w:t>
      </w:r>
      <w:r w:rsidR="00845FD2">
        <w:rPr>
          <w:szCs w:val="26"/>
        </w:rPr>
        <w:t>Also, t</w:t>
      </w:r>
      <w:r w:rsidR="00FE6731">
        <w:rPr>
          <w:szCs w:val="26"/>
        </w:rPr>
        <w:t xml:space="preserve">he </w:t>
      </w:r>
      <w:r w:rsidR="009135A1">
        <w:rPr>
          <w:szCs w:val="26"/>
        </w:rPr>
        <w:t xml:space="preserve">Board of Supervisors </w:t>
      </w:r>
      <w:r w:rsidR="005907F9">
        <w:rPr>
          <w:szCs w:val="26"/>
        </w:rPr>
        <w:t>for</w:t>
      </w:r>
      <w:r w:rsidR="009135A1">
        <w:rPr>
          <w:szCs w:val="26"/>
        </w:rPr>
        <w:t xml:space="preserve"> the </w:t>
      </w:r>
      <w:r w:rsidR="00FE6731">
        <w:rPr>
          <w:szCs w:val="26"/>
        </w:rPr>
        <w:t>C</w:t>
      </w:r>
      <w:r w:rsidR="009135A1">
        <w:rPr>
          <w:szCs w:val="26"/>
        </w:rPr>
        <w:t>ounty</w:t>
      </w:r>
      <w:r w:rsidR="00FE6731">
        <w:rPr>
          <w:szCs w:val="26"/>
        </w:rPr>
        <w:t xml:space="preserve"> of </w:t>
      </w:r>
      <w:r w:rsidR="009135A1">
        <w:rPr>
          <w:szCs w:val="26"/>
        </w:rPr>
        <w:t>R</w:t>
      </w:r>
      <w:r w:rsidR="005203EB">
        <w:rPr>
          <w:szCs w:val="26"/>
        </w:rPr>
        <w:t>iverside</w:t>
      </w:r>
      <w:r w:rsidR="00FE6731">
        <w:rPr>
          <w:szCs w:val="26"/>
        </w:rPr>
        <w:t xml:space="preserve"> passed a resolution </w:t>
      </w:r>
      <w:r w:rsidR="008C664B">
        <w:rPr>
          <w:szCs w:val="26"/>
        </w:rPr>
        <w:t xml:space="preserve">declaring that </w:t>
      </w:r>
      <w:r w:rsidR="009135A1">
        <w:rPr>
          <w:szCs w:val="26"/>
        </w:rPr>
        <w:t>the board</w:t>
      </w:r>
      <w:r w:rsidR="008C664B">
        <w:rPr>
          <w:szCs w:val="26"/>
        </w:rPr>
        <w:t xml:space="preserve"> do</w:t>
      </w:r>
      <w:r w:rsidR="009135A1">
        <w:rPr>
          <w:szCs w:val="26"/>
        </w:rPr>
        <w:t>es</w:t>
      </w:r>
      <w:r w:rsidR="008C664B">
        <w:rPr>
          <w:szCs w:val="26"/>
        </w:rPr>
        <w:t xml:space="preserve"> not support a statewide mandate requiring its c</w:t>
      </w:r>
      <w:r w:rsidR="001F354B">
        <w:rPr>
          <w:szCs w:val="26"/>
        </w:rPr>
        <w:t>ounty</w:t>
      </w:r>
      <w:r w:rsidR="008C664B">
        <w:rPr>
          <w:szCs w:val="26"/>
        </w:rPr>
        <w:t xml:space="preserve"> to use a specific fuel source in buildings or otherwise.</w:t>
      </w:r>
      <w:r w:rsidR="008C664B">
        <w:rPr>
          <w:rStyle w:val="FootnoteReference"/>
          <w:szCs w:val="26"/>
        </w:rPr>
        <w:footnoteReference w:id="46"/>
      </w:r>
      <w:r w:rsidR="008C664B">
        <w:rPr>
          <w:szCs w:val="26"/>
        </w:rPr>
        <w:t xml:space="preserve"> </w:t>
      </w:r>
      <w:r w:rsidR="00FE6731">
        <w:rPr>
          <w:szCs w:val="26"/>
        </w:rPr>
        <w:t xml:space="preserve"> </w:t>
      </w:r>
    </w:p>
    <w:p w14:paraId="317F8F46" w14:textId="6A365643" w:rsidR="000435BB" w:rsidRPr="007751EA" w:rsidRDefault="001B06F4" w:rsidP="00774BB6">
      <w:pPr>
        <w:rPr>
          <w:szCs w:val="26"/>
        </w:rPr>
      </w:pPr>
      <w:r>
        <w:rPr>
          <w:szCs w:val="26"/>
        </w:rPr>
        <w:t>Energy i</w:t>
      </w:r>
      <w:r w:rsidR="00FE0E98">
        <w:rPr>
          <w:szCs w:val="26"/>
        </w:rPr>
        <w:t xml:space="preserve">ndustry </w:t>
      </w:r>
      <w:r>
        <w:rPr>
          <w:szCs w:val="26"/>
        </w:rPr>
        <w:t xml:space="preserve">specialists </w:t>
      </w:r>
      <w:r w:rsidR="00FE0E98">
        <w:rPr>
          <w:szCs w:val="26"/>
        </w:rPr>
        <w:t xml:space="preserve">have opined </w:t>
      </w:r>
      <w:r w:rsidR="00E01414">
        <w:rPr>
          <w:szCs w:val="26"/>
        </w:rPr>
        <w:t>on</w:t>
      </w:r>
      <w:r w:rsidR="00491030">
        <w:rPr>
          <w:szCs w:val="26"/>
        </w:rPr>
        <w:t xml:space="preserve"> </w:t>
      </w:r>
      <w:r>
        <w:rPr>
          <w:szCs w:val="26"/>
        </w:rPr>
        <w:t xml:space="preserve">the </w:t>
      </w:r>
      <w:r w:rsidR="00491030">
        <w:rPr>
          <w:szCs w:val="26"/>
        </w:rPr>
        <w:t xml:space="preserve">need for the </w:t>
      </w:r>
      <w:r w:rsidR="007F25E9">
        <w:rPr>
          <w:szCs w:val="26"/>
        </w:rPr>
        <w:t>Commission</w:t>
      </w:r>
      <w:r w:rsidR="00491030">
        <w:rPr>
          <w:szCs w:val="26"/>
        </w:rPr>
        <w:t xml:space="preserve">, among other </w:t>
      </w:r>
      <w:r w:rsidR="007F25E9">
        <w:rPr>
          <w:szCs w:val="26"/>
        </w:rPr>
        <w:t>state age</w:t>
      </w:r>
      <w:r w:rsidR="00491030">
        <w:rPr>
          <w:szCs w:val="26"/>
        </w:rPr>
        <w:t xml:space="preserve">ncies, to </w:t>
      </w:r>
      <w:r w:rsidR="0040234D">
        <w:rPr>
          <w:szCs w:val="26"/>
        </w:rPr>
        <w:t xml:space="preserve">develop </w:t>
      </w:r>
      <w:r w:rsidR="00491030">
        <w:rPr>
          <w:szCs w:val="26"/>
        </w:rPr>
        <w:t xml:space="preserve">long-term plans </w:t>
      </w:r>
      <w:r w:rsidR="0040234D">
        <w:rPr>
          <w:szCs w:val="26"/>
        </w:rPr>
        <w:t xml:space="preserve">for phasing-out gas utility assets and </w:t>
      </w:r>
      <w:r w:rsidR="005907F9">
        <w:rPr>
          <w:szCs w:val="26"/>
        </w:rPr>
        <w:t xml:space="preserve">to </w:t>
      </w:r>
      <w:r w:rsidR="00AB7730">
        <w:rPr>
          <w:szCs w:val="26"/>
        </w:rPr>
        <w:t xml:space="preserve">identify </w:t>
      </w:r>
      <w:r w:rsidR="0040234D">
        <w:rPr>
          <w:szCs w:val="26"/>
        </w:rPr>
        <w:t xml:space="preserve">regulatory </w:t>
      </w:r>
      <w:r w:rsidR="002E052F">
        <w:rPr>
          <w:szCs w:val="26"/>
        </w:rPr>
        <w:t xml:space="preserve">accounting mechanisms that will mitigate stranded costs for utilities while </w:t>
      </w:r>
      <w:r w:rsidR="00E01414">
        <w:rPr>
          <w:szCs w:val="26"/>
        </w:rPr>
        <w:t>maintaining affordable gas</w:t>
      </w:r>
      <w:r w:rsidR="002E052F">
        <w:rPr>
          <w:szCs w:val="26"/>
        </w:rPr>
        <w:t xml:space="preserve"> rates </w:t>
      </w:r>
      <w:r w:rsidR="00E01414">
        <w:rPr>
          <w:szCs w:val="26"/>
        </w:rPr>
        <w:t>for customers</w:t>
      </w:r>
      <w:r w:rsidR="00467431">
        <w:rPr>
          <w:szCs w:val="26"/>
        </w:rPr>
        <w:t xml:space="preserve">.  The Environmental Defense Fund </w:t>
      </w:r>
      <w:r w:rsidR="00333732">
        <w:rPr>
          <w:szCs w:val="26"/>
        </w:rPr>
        <w:t xml:space="preserve">and Gridworks each </w:t>
      </w:r>
      <w:r w:rsidR="00467431">
        <w:rPr>
          <w:szCs w:val="26"/>
        </w:rPr>
        <w:t>assert that</w:t>
      </w:r>
      <w:r w:rsidR="00E41246">
        <w:rPr>
          <w:szCs w:val="26"/>
        </w:rPr>
        <w:t xml:space="preserve">, as the demand </w:t>
      </w:r>
      <w:r w:rsidR="00E41246">
        <w:rPr>
          <w:szCs w:val="26"/>
        </w:rPr>
        <w:lastRenderedPageBreak/>
        <w:t xml:space="preserve">for natural gas decreases, over time, segments of the natural gas pipeline </w:t>
      </w:r>
      <w:r w:rsidR="00333732">
        <w:rPr>
          <w:szCs w:val="26"/>
        </w:rPr>
        <w:t>system</w:t>
      </w:r>
      <w:r w:rsidR="00E41246">
        <w:rPr>
          <w:szCs w:val="26"/>
        </w:rPr>
        <w:t xml:space="preserve"> will no longer be use and useful</w:t>
      </w:r>
      <w:r w:rsidR="00333732">
        <w:rPr>
          <w:szCs w:val="26"/>
        </w:rPr>
        <w:t xml:space="preserve"> </w:t>
      </w:r>
      <w:r w:rsidR="00E41246">
        <w:rPr>
          <w:szCs w:val="26"/>
        </w:rPr>
        <w:t>and, therefore, ine</w:t>
      </w:r>
      <w:r w:rsidR="00447FB7">
        <w:rPr>
          <w:szCs w:val="26"/>
        </w:rPr>
        <w:t>ligible</w:t>
      </w:r>
      <w:r w:rsidR="00E41246">
        <w:rPr>
          <w:szCs w:val="26"/>
        </w:rPr>
        <w:t xml:space="preserve"> for rate recovery</w:t>
      </w:r>
      <w:r w:rsidR="0033480C">
        <w:rPr>
          <w:szCs w:val="26"/>
        </w:rPr>
        <w:t xml:space="preserve"> from ratepayers, </w:t>
      </w:r>
      <w:r w:rsidR="00774BB6">
        <w:rPr>
          <w:szCs w:val="26"/>
        </w:rPr>
        <w:t xml:space="preserve">potentially </w:t>
      </w:r>
      <w:r w:rsidR="0033480C">
        <w:rPr>
          <w:szCs w:val="26"/>
        </w:rPr>
        <w:t>leaving the gas utilities with an excessive amount of stranded costs</w:t>
      </w:r>
      <w:r w:rsidR="00E41246">
        <w:rPr>
          <w:szCs w:val="26"/>
        </w:rPr>
        <w:t>.</w:t>
      </w:r>
      <w:r w:rsidR="00B92228">
        <w:rPr>
          <w:rStyle w:val="FootnoteReference"/>
          <w:szCs w:val="26"/>
        </w:rPr>
        <w:footnoteReference w:id="47"/>
      </w:r>
      <w:r w:rsidR="00E41246">
        <w:rPr>
          <w:szCs w:val="26"/>
        </w:rPr>
        <w:t xml:space="preserve"> </w:t>
      </w:r>
      <w:r w:rsidR="0033480C">
        <w:rPr>
          <w:szCs w:val="26"/>
        </w:rPr>
        <w:t xml:space="preserve"> </w:t>
      </w:r>
      <w:r w:rsidR="00333732">
        <w:rPr>
          <w:szCs w:val="26"/>
        </w:rPr>
        <w:t>R</w:t>
      </w:r>
      <w:r w:rsidR="0033480C">
        <w:rPr>
          <w:szCs w:val="26"/>
        </w:rPr>
        <w:t>atepayer</w:t>
      </w:r>
      <w:r w:rsidR="00333732">
        <w:rPr>
          <w:szCs w:val="26"/>
        </w:rPr>
        <w:t>s</w:t>
      </w:r>
      <w:r w:rsidR="0033480C">
        <w:rPr>
          <w:szCs w:val="26"/>
        </w:rPr>
        <w:t xml:space="preserve"> who remain on the system the longest will likely be customers who may not be able to afford to switch from gas to electric home </w:t>
      </w:r>
      <w:r w:rsidR="00333732">
        <w:rPr>
          <w:szCs w:val="26"/>
        </w:rPr>
        <w:t>heating</w:t>
      </w:r>
      <w:r w:rsidR="0033480C">
        <w:rPr>
          <w:szCs w:val="26"/>
        </w:rPr>
        <w:t xml:space="preserve"> and cooling systems</w:t>
      </w:r>
      <w:r w:rsidR="00333732">
        <w:rPr>
          <w:szCs w:val="26"/>
        </w:rPr>
        <w:t xml:space="preserve">, yet these customers would be required to </w:t>
      </w:r>
      <w:r w:rsidR="00774BB6">
        <w:rPr>
          <w:szCs w:val="26"/>
        </w:rPr>
        <w:t xml:space="preserve">cover the revenue requirement of the </w:t>
      </w:r>
      <w:r w:rsidR="003C6B31">
        <w:rPr>
          <w:szCs w:val="26"/>
        </w:rPr>
        <w:t xml:space="preserve">remaining </w:t>
      </w:r>
      <w:r w:rsidR="00774BB6">
        <w:rPr>
          <w:szCs w:val="26"/>
        </w:rPr>
        <w:t xml:space="preserve">pipeline system at </w:t>
      </w:r>
      <w:r w:rsidR="00333732">
        <w:rPr>
          <w:szCs w:val="26"/>
        </w:rPr>
        <w:t>higher rates</w:t>
      </w:r>
      <w:r w:rsidR="0033480C">
        <w:rPr>
          <w:szCs w:val="26"/>
        </w:rPr>
        <w:t xml:space="preserve">. </w:t>
      </w:r>
      <w:r w:rsidR="00B92228">
        <w:rPr>
          <w:szCs w:val="26"/>
        </w:rPr>
        <w:t xml:space="preserve"> </w:t>
      </w:r>
    </w:p>
    <w:p w14:paraId="05A84E2B" w14:textId="77777777" w:rsidR="005A148C" w:rsidRDefault="00085535" w:rsidP="00121089">
      <w:pPr>
        <w:pStyle w:val="Heading1"/>
      </w:pPr>
      <w:bookmarkStart w:id="12" w:name="_Toc28605928"/>
      <w:r>
        <w:t>Rulemaking Objectives</w:t>
      </w:r>
      <w:bookmarkEnd w:id="12"/>
    </w:p>
    <w:p w14:paraId="24CB8404" w14:textId="41983F07" w:rsidR="00085535" w:rsidRDefault="00DA7F04" w:rsidP="00085535">
      <w:pPr>
        <w:rPr>
          <w:szCs w:val="26"/>
        </w:rPr>
      </w:pPr>
      <w:r>
        <w:rPr>
          <w:szCs w:val="26"/>
        </w:rPr>
        <w:t>Pursuant to Section</w:t>
      </w:r>
      <w:r w:rsidR="007D7497">
        <w:rPr>
          <w:szCs w:val="26"/>
        </w:rPr>
        <w:t>s 451, 701</w:t>
      </w:r>
      <w:r>
        <w:rPr>
          <w:szCs w:val="26"/>
        </w:rPr>
        <w:t xml:space="preserve"> </w:t>
      </w:r>
      <w:r w:rsidR="007D7497">
        <w:rPr>
          <w:szCs w:val="26"/>
        </w:rPr>
        <w:t>and 761, and Article XII, Section 6 of the California Constitution</w:t>
      </w:r>
      <w:r>
        <w:rPr>
          <w:szCs w:val="26"/>
        </w:rPr>
        <w:t>, t</w:t>
      </w:r>
      <w:r w:rsidR="00085535">
        <w:rPr>
          <w:szCs w:val="26"/>
        </w:rPr>
        <w:t xml:space="preserve">he Commission has the authority and responsibility to regulate the natural gas public utilities in California and to do all things </w:t>
      </w:r>
      <w:r w:rsidR="00AB7730">
        <w:rPr>
          <w:szCs w:val="26"/>
        </w:rPr>
        <w:t>that</w:t>
      </w:r>
      <w:r w:rsidR="00085535">
        <w:rPr>
          <w:szCs w:val="26"/>
        </w:rPr>
        <w:t xml:space="preserve"> are necessary to ensure adequate and reliab</w:t>
      </w:r>
      <w:r w:rsidR="006C50EE">
        <w:rPr>
          <w:szCs w:val="26"/>
        </w:rPr>
        <w:t>le</w:t>
      </w:r>
      <w:r w:rsidR="00085535">
        <w:rPr>
          <w:szCs w:val="26"/>
        </w:rPr>
        <w:t xml:space="preserve"> public utility service to California ratepayers at just and reasonable rates.  To that end, this </w:t>
      </w:r>
      <w:r w:rsidR="00131963">
        <w:rPr>
          <w:szCs w:val="26"/>
        </w:rPr>
        <w:t xml:space="preserve">Order Instituting Rulemaking (OIR) </w:t>
      </w:r>
      <w:r w:rsidR="00085535">
        <w:rPr>
          <w:szCs w:val="26"/>
        </w:rPr>
        <w:t xml:space="preserve">proceeding </w:t>
      </w:r>
      <w:r w:rsidR="007D7497">
        <w:rPr>
          <w:szCs w:val="26"/>
        </w:rPr>
        <w:t xml:space="preserve">will </w:t>
      </w:r>
      <w:r w:rsidR="00085535">
        <w:rPr>
          <w:szCs w:val="26"/>
        </w:rPr>
        <w:t xml:space="preserve">examine how industry-related events that have occurred since the last OIR require the Commission </w:t>
      </w:r>
      <w:r w:rsidR="007D7497">
        <w:rPr>
          <w:szCs w:val="26"/>
        </w:rPr>
        <w:t xml:space="preserve">to change the rules, processes, and regulations governing </w:t>
      </w:r>
      <w:r w:rsidR="00085535">
        <w:rPr>
          <w:szCs w:val="26"/>
        </w:rPr>
        <w:t xml:space="preserve">gas utilities, including but not limited to, </w:t>
      </w:r>
      <w:r w:rsidR="005438A8">
        <w:rPr>
          <w:szCs w:val="26"/>
        </w:rPr>
        <w:t>reliability</w:t>
      </w:r>
      <w:r w:rsidR="006C50EE">
        <w:rPr>
          <w:szCs w:val="26"/>
        </w:rPr>
        <w:t xml:space="preserve"> standards, </w:t>
      </w:r>
      <w:r w:rsidR="00085535">
        <w:rPr>
          <w:szCs w:val="26"/>
        </w:rPr>
        <w:t xml:space="preserve">long-term contracting, regulatory accounting, </w:t>
      </w:r>
      <w:r w:rsidR="00D411A6">
        <w:rPr>
          <w:szCs w:val="26"/>
        </w:rPr>
        <w:t xml:space="preserve">reporting, and </w:t>
      </w:r>
      <w:r w:rsidR="00085535">
        <w:rPr>
          <w:szCs w:val="26"/>
        </w:rPr>
        <w:t>tariff changes for operational flow orders.</w:t>
      </w:r>
    </w:p>
    <w:p w14:paraId="2E94505E" w14:textId="1B5C0093" w:rsidR="0063491C" w:rsidRDefault="00085535" w:rsidP="00085535">
      <w:pPr>
        <w:pStyle w:val="Standard"/>
        <w:rPr>
          <w:szCs w:val="26"/>
        </w:rPr>
      </w:pPr>
      <w:r>
        <w:rPr>
          <w:szCs w:val="26"/>
        </w:rPr>
        <w:t xml:space="preserve">This proceeding will be conducted in three phases, as discussed </w:t>
      </w:r>
      <w:r w:rsidR="00383B66">
        <w:rPr>
          <w:szCs w:val="26"/>
        </w:rPr>
        <w:t>in the</w:t>
      </w:r>
      <w:r w:rsidR="003C6B31">
        <w:rPr>
          <w:szCs w:val="26"/>
        </w:rPr>
        <w:t xml:space="preserve"> </w:t>
      </w:r>
      <w:r w:rsidR="00383B66">
        <w:rPr>
          <w:szCs w:val="26"/>
        </w:rPr>
        <w:t xml:space="preserve">subsections </w:t>
      </w:r>
      <w:r>
        <w:rPr>
          <w:szCs w:val="26"/>
        </w:rPr>
        <w:t xml:space="preserve">below.  Track 1A will </w:t>
      </w:r>
      <w:r w:rsidR="007F157F">
        <w:rPr>
          <w:szCs w:val="26"/>
        </w:rPr>
        <w:t xml:space="preserve">examine </w:t>
      </w:r>
      <w:r w:rsidR="00B8410E">
        <w:rPr>
          <w:szCs w:val="26"/>
        </w:rPr>
        <w:t xml:space="preserve">reliability standards </w:t>
      </w:r>
      <w:r w:rsidR="007F157F">
        <w:rPr>
          <w:szCs w:val="26"/>
        </w:rPr>
        <w:t>for the gas transmission systems</w:t>
      </w:r>
      <w:r w:rsidR="00924C9B">
        <w:rPr>
          <w:szCs w:val="26"/>
        </w:rPr>
        <w:t xml:space="preserve"> to determine</w:t>
      </w:r>
      <w:r w:rsidR="00336F79">
        <w:rPr>
          <w:szCs w:val="26"/>
        </w:rPr>
        <w:t>, among other things,</w:t>
      </w:r>
      <w:r w:rsidR="00924C9B">
        <w:rPr>
          <w:szCs w:val="26"/>
        </w:rPr>
        <w:t xml:space="preserve"> whether </w:t>
      </w:r>
      <w:r w:rsidR="00336F79">
        <w:rPr>
          <w:szCs w:val="26"/>
        </w:rPr>
        <w:t xml:space="preserve">design </w:t>
      </w:r>
      <w:r w:rsidR="00924C9B">
        <w:rPr>
          <w:szCs w:val="26"/>
        </w:rPr>
        <w:t xml:space="preserve">changes </w:t>
      </w:r>
      <w:r w:rsidR="00924C9B">
        <w:rPr>
          <w:szCs w:val="26"/>
        </w:rPr>
        <w:lastRenderedPageBreak/>
        <w:t>are necessary to account for a warming climate</w:t>
      </w:r>
      <w:r w:rsidR="00C05E3E">
        <w:rPr>
          <w:szCs w:val="26"/>
        </w:rPr>
        <w:t xml:space="preserve">, and the service capacity of current and future gas </w:t>
      </w:r>
      <w:r w:rsidR="001F354B">
        <w:rPr>
          <w:szCs w:val="26"/>
        </w:rPr>
        <w:t>system</w:t>
      </w:r>
      <w:r w:rsidR="00C05E3E">
        <w:rPr>
          <w:szCs w:val="26"/>
        </w:rPr>
        <w:t xml:space="preserve"> infrastructure</w:t>
      </w:r>
      <w:r w:rsidR="00336F79">
        <w:rPr>
          <w:szCs w:val="26"/>
        </w:rPr>
        <w:t xml:space="preserve">.  </w:t>
      </w:r>
      <w:r w:rsidRPr="00185983">
        <w:rPr>
          <w:szCs w:val="26"/>
        </w:rPr>
        <w:t xml:space="preserve">Track 1B will examine </w:t>
      </w:r>
      <w:r w:rsidR="00336F79" w:rsidRPr="00185983">
        <w:rPr>
          <w:szCs w:val="26"/>
        </w:rPr>
        <w:t>proposals for mitigat</w:t>
      </w:r>
      <w:r w:rsidR="001A76C5" w:rsidRPr="00185983">
        <w:rPr>
          <w:szCs w:val="26"/>
        </w:rPr>
        <w:t>ing</w:t>
      </w:r>
      <w:r w:rsidR="00336F79" w:rsidRPr="00185983">
        <w:rPr>
          <w:szCs w:val="26"/>
        </w:rPr>
        <w:t xml:space="preserve"> </w:t>
      </w:r>
      <w:r w:rsidR="00C3261F">
        <w:rPr>
          <w:szCs w:val="26"/>
        </w:rPr>
        <w:t>the negative impact that operational issues</w:t>
      </w:r>
      <w:r w:rsidR="00506C7C">
        <w:rPr>
          <w:szCs w:val="26"/>
        </w:rPr>
        <w:t xml:space="preserve"> with gas transmission system</w:t>
      </w:r>
      <w:r w:rsidR="00D411A6">
        <w:rPr>
          <w:szCs w:val="26"/>
        </w:rPr>
        <w:t>s</w:t>
      </w:r>
      <w:r w:rsidR="00C3261F">
        <w:rPr>
          <w:szCs w:val="26"/>
        </w:rPr>
        <w:t xml:space="preserve"> have on </w:t>
      </w:r>
      <w:r w:rsidR="00506C7C">
        <w:rPr>
          <w:szCs w:val="26"/>
        </w:rPr>
        <w:t xml:space="preserve">wholesale and local gas market prices, and gas </w:t>
      </w:r>
      <w:r w:rsidR="001F354B">
        <w:rPr>
          <w:szCs w:val="26"/>
        </w:rPr>
        <w:t>system</w:t>
      </w:r>
      <w:r w:rsidR="00C3261F">
        <w:rPr>
          <w:szCs w:val="26"/>
        </w:rPr>
        <w:t xml:space="preserve"> </w:t>
      </w:r>
      <w:r w:rsidR="00506C7C">
        <w:rPr>
          <w:szCs w:val="26"/>
        </w:rPr>
        <w:t>and electric</w:t>
      </w:r>
      <w:r w:rsidR="00C3261F">
        <w:rPr>
          <w:szCs w:val="26"/>
        </w:rPr>
        <w:t xml:space="preserve"> </w:t>
      </w:r>
      <w:r w:rsidR="001F354B">
        <w:rPr>
          <w:szCs w:val="26"/>
        </w:rPr>
        <w:t xml:space="preserve">grid </w:t>
      </w:r>
      <w:r w:rsidR="00C3261F">
        <w:rPr>
          <w:szCs w:val="26"/>
        </w:rPr>
        <w:t>reliability</w:t>
      </w:r>
      <w:r w:rsidR="00506C7C">
        <w:rPr>
          <w:szCs w:val="26"/>
        </w:rPr>
        <w:t>.</w:t>
      </w:r>
      <w:r w:rsidR="00336F79">
        <w:rPr>
          <w:szCs w:val="26"/>
        </w:rPr>
        <w:t xml:space="preserve"> </w:t>
      </w:r>
      <w:r w:rsidR="00732E37">
        <w:rPr>
          <w:szCs w:val="26"/>
        </w:rPr>
        <w:t xml:space="preserve"> </w:t>
      </w:r>
      <w:r>
        <w:rPr>
          <w:szCs w:val="26"/>
        </w:rPr>
        <w:t xml:space="preserve">Track 2 will </w:t>
      </w:r>
      <w:r w:rsidR="00C55A25">
        <w:rPr>
          <w:szCs w:val="26"/>
        </w:rPr>
        <w:t>determine</w:t>
      </w:r>
      <w:r>
        <w:rPr>
          <w:szCs w:val="26"/>
        </w:rPr>
        <w:t xml:space="preserve"> the</w:t>
      </w:r>
      <w:r w:rsidR="00E94E34">
        <w:rPr>
          <w:szCs w:val="26"/>
        </w:rPr>
        <w:t xml:space="preserve"> r</w:t>
      </w:r>
      <w:r w:rsidR="008E59A1">
        <w:rPr>
          <w:szCs w:val="26"/>
        </w:rPr>
        <w:t>egulatory</w:t>
      </w:r>
      <w:r w:rsidR="00C55A25">
        <w:rPr>
          <w:szCs w:val="26"/>
        </w:rPr>
        <w:t xml:space="preserve"> solutions</w:t>
      </w:r>
      <w:r w:rsidR="00E94E34">
        <w:rPr>
          <w:szCs w:val="26"/>
        </w:rPr>
        <w:t xml:space="preserve"> and planning </w:t>
      </w:r>
      <w:r w:rsidR="00C55A25">
        <w:rPr>
          <w:szCs w:val="26"/>
        </w:rPr>
        <w:t>strategy that the</w:t>
      </w:r>
      <w:r w:rsidR="000819CC">
        <w:rPr>
          <w:szCs w:val="26"/>
        </w:rPr>
        <w:t xml:space="preserve"> Commission</w:t>
      </w:r>
      <w:r w:rsidR="00D411A6">
        <w:rPr>
          <w:szCs w:val="26"/>
        </w:rPr>
        <w:t xml:space="preserve"> should</w:t>
      </w:r>
      <w:r w:rsidR="00C55A25">
        <w:rPr>
          <w:szCs w:val="26"/>
        </w:rPr>
        <w:t xml:space="preserve"> implement</w:t>
      </w:r>
      <w:r w:rsidR="007708D2">
        <w:rPr>
          <w:szCs w:val="26"/>
        </w:rPr>
        <w:t xml:space="preserve"> </w:t>
      </w:r>
      <w:r w:rsidR="00FB504E">
        <w:rPr>
          <w:szCs w:val="26"/>
        </w:rPr>
        <w:t>to ensure that</w:t>
      </w:r>
      <w:r w:rsidR="00FC45D2">
        <w:rPr>
          <w:szCs w:val="26"/>
        </w:rPr>
        <w:t>, as the demand for natural gas declines,</w:t>
      </w:r>
      <w:r w:rsidR="00FB504E">
        <w:rPr>
          <w:szCs w:val="26"/>
        </w:rPr>
        <w:t xml:space="preserve"> gas utilities maintain safe</w:t>
      </w:r>
      <w:r w:rsidR="001F354B">
        <w:rPr>
          <w:szCs w:val="26"/>
        </w:rPr>
        <w:t xml:space="preserve"> and</w:t>
      </w:r>
      <w:r w:rsidR="00FB504E">
        <w:rPr>
          <w:szCs w:val="26"/>
        </w:rPr>
        <w:t xml:space="preserve"> reliable</w:t>
      </w:r>
      <w:r w:rsidR="005438A8">
        <w:rPr>
          <w:szCs w:val="26"/>
        </w:rPr>
        <w:t xml:space="preserve"> gas</w:t>
      </w:r>
      <w:r w:rsidR="00FB504E">
        <w:rPr>
          <w:szCs w:val="26"/>
        </w:rPr>
        <w:t xml:space="preserve"> system</w:t>
      </w:r>
      <w:r w:rsidR="00FC45D2">
        <w:rPr>
          <w:szCs w:val="26"/>
        </w:rPr>
        <w:t xml:space="preserve">s </w:t>
      </w:r>
      <w:r w:rsidR="00FB504E">
        <w:rPr>
          <w:szCs w:val="26"/>
        </w:rPr>
        <w:t>at just and reasonable rates</w:t>
      </w:r>
      <w:r w:rsidR="00FC45D2">
        <w:rPr>
          <w:szCs w:val="26"/>
        </w:rPr>
        <w:t xml:space="preserve">, and with minimal or no stranded costs. </w:t>
      </w:r>
    </w:p>
    <w:p w14:paraId="0ADBE17F" w14:textId="77777777" w:rsidR="00085535" w:rsidRDefault="00085535" w:rsidP="00085535">
      <w:pPr>
        <w:pStyle w:val="Heading2"/>
      </w:pPr>
      <w:bookmarkStart w:id="13" w:name="_Toc28605929"/>
      <w:r>
        <w:t>Track 1A – System Reliability Standards</w:t>
      </w:r>
      <w:bookmarkEnd w:id="13"/>
    </w:p>
    <w:p w14:paraId="655EFA04" w14:textId="4D39D488" w:rsidR="00085535" w:rsidRDefault="000D11C7" w:rsidP="000D11C7">
      <w:pPr>
        <w:rPr>
          <w:szCs w:val="26"/>
        </w:rPr>
      </w:pPr>
      <w:r>
        <w:rPr>
          <w:szCs w:val="26"/>
        </w:rPr>
        <w:t xml:space="preserve">This OIR will examine the parameters of the existing </w:t>
      </w:r>
      <w:r w:rsidR="00E33805">
        <w:rPr>
          <w:szCs w:val="26"/>
        </w:rPr>
        <w:t xml:space="preserve">reliability </w:t>
      </w:r>
      <w:r>
        <w:rPr>
          <w:szCs w:val="26"/>
        </w:rPr>
        <w:t xml:space="preserve">standards and consider whether </w:t>
      </w:r>
      <w:r w:rsidR="00C05E3E">
        <w:rPr>
          <w:szCs w:val="26"/>
        </w:rPr>
        <w:t xml:space="preserve">updated and </w:t>
      </w:r>
      <w:r>
        <w:rPr>
          <w:szCs w:val="26"/>
        </w:rPr>
        <w:t xml:space="preserve">new requirements, such as </w:t>
      </w:r>
      <w:r w:rsidR="00C05E3E">
        <w:rPr>
          <w:szCs w:val="26"/>
        </w:rPr>
        <w:t xml:space="preserve">designated amounts of </w:t>
      </w:r>
      <w:r>
        <w:rPr>
          <w:szCs w:val="26"/>
        </w:rPr>
        <w:t xml:space="preserve">slack </w:t>
      </w:r>
      <w:r w:rsidR="00C05E3E">
        <w:rPr>
          <w:szCs w:val="26"/>
        </w:rPr>
        <w:t xml:space="preserve">or reserved </w:t>
      </w:r>
      <w:r>
        <w:rPr>
          <w:szCs w:val="26"/>
        </w:rPr>
        <w:t xml:space="preserve">capacity, are necessary. </w:t>
      </w:r>
      <w:r w:rsidR="00732E37">
        <w:rPr>
          <w:szCs w:val="26"/>
        </w:rPr>
        <w:t xml:space="preserve"> </w:t>
      </w:r>
      <w:r w:rsidR="00085535">
        <w:rPr>
          <w:szCs w:val="26"/>
        </w:rPr>
        <w:t xml:space="preserve">As noted above, the gas utilities are required to </w:t>
      </w:r>
      <w:r w:rsidR="00321784">
        <w:rPr>
          <w:szCs w:val="26"/>
        </w:rPr>
        <w:t>meet certain reliability standard</w:t>
      </w:r>
      <w:r w:rsidR="00E33805">
        <w:rPr>
          <w:szCs w:val="26"/>
        </w:rPr>
        <w:t>s</w:t>
      </w:r>
      <w:r w:rsidR="00321784">
        <w:rPr>
          <w:szCs w:val="26"/>
        </w:rPr>
        <w:t xml:space="preserve"> for </w:t>
      </w:r>
      <w:r w:rsidR="00085535">
        <w:rPr>
          <w:szCs w:val="26"/>
        </w:rPr>
        <w:t xml:space="preserve">their backbone </w:t>
      </w:r>
      <w:r w:rsidR="00321784">
        <w:rPr>
          <w:szCs w:val="26"/>
        </w:rPr>
        <w:t>and local transmission pipeline systems.</w:t>
      </w:r>
      <w:r w:rsidR="00085535">
        <w:rPr>
          <w:szCs w:val="26"/>
        </w:rPr>
        <w:t xml:space="preserve">  </w:t>
      </w:r>
      <w:r>
        <w:rPr>
          <w:szCs w:val="26"/>
        </w:rPr>
        <w:t>T</w:t>
      </w:r>
      <w:r w:rsidR="00841355">
        <w:rPr>
          <w:szCs w:val="26"/>
        </w:rPr>
        <w:t xml:space="preserve">he reliability standards generally focus on the </w:t>
      </w:r>
      <w:r w:rsidR="000C0A03">
        <w:rPr>
          <w:szCs w:val="26"/>
        </w:rPr>
        <w:t xml:space="preserve">historical </w:t>
      </w:r>
      <w:r w:rsidR="00A028E8">
        <w:rPr>
          <w:szCs w:val="26"/>
        </w:rPr>
        <w:t>temperatures</w:t>
      </w:r>
      <w:r w:rsidR="00841355">
        <w:rPr>
          <w:szCs w:val="26"/>
        </w:rPr>
        <w:t xml:space="preserve"> </w:t>
      </w:r>
      <w:r w:rsidR="00E33805">
        <w:rPr>
          <w:szCs w:val="26"/>
        </w:rPr>
        <w:t>for</w:t>
      </w:r>
      <w:r w:rsidR="00841355">
        <w:rPr>
          <w:szCs w:val="26"/>
        </w:rPr>
        <w:t xml:space="preserve"> winter months, yet </w:t>
      </w:r>
      <w:r w:rsidR="00BB415B">
        <w:rPr>
          <w:szCs w:val="26"/>
        </w:rPr>
        <w:t xml:space="preserve">average </w:t>
      </w:r>
      <w:r w:rsidR="00F24F6E">
        <w:rPr>
          <w:szCs w:val="26"/>
        </w:rPr>
        <w:t>winter</w:t>
      </w:r>
      <w:r w:rsidR="00841355">
        <w:rPr>
          <w:szCs w:val="26"/>
        </w:rPr>
        <w:t xml:space="preserve"> temperatures </w:t>
      </w:r>
      <w:r w:rsidR="00F24F6E">
        <w:rPr>
          <w:szCs w:val="26"/>
        </w:rPr>
        <w:t xml:space="preserve">in California </w:t>
      </w:r>
      <w:r w:rsidR="00841355">
        <w:rPr>
          <w:szCs w:val="26"/>
        </w:rPr>
        <w:t xml:space="preserve">are projected to warm </w:t>
      </w:r>
      <w:r w:rsidR="00A028E8">
        <w:rPr>
          <w:szCs w:val="26"/>
        </w:rPr>
        <w:t>over the next fifteen</w:t>
      </w:r>
      <w:r w:rsidR="00087998">
        <w:rPr>
          <w:szCs w:val="26"/>
        </w:rPr>
        <w:t> </w:t>
      </w:r>
      <w:r w:rsidR="00A028E8">
        <w:rPr>
          <w:szCs w:val="26"/>
        </w:rPr>
        <w:t>years.</w:t>
      </w:r>
      <w:r w:rsidR="00B53C9D">
        <w:rPr>
          <w:rStyle w:val="FootnoteReference"/>
          <w:szCs w:val="26"/>
        </w:rPr>
        <w:footnoteReference w:id="48"/>
      </w:r>
      <w:r w:rsidR="00A028E8">
        <w:rPr>
          <w:szCs w:val="26"/>
        </w:rPr>
        <w:t xml:space="preserve">  </w:t>
      </w:r>
      <w:r w:rsidR="00B53C9D">
        <w:rPr>
          <w:szCs w:val="26"/>
        </w:rPr>
        <w:t>In addition,</w:t>
      </w:r>
      <w:r w:rsidR="00187FAD">
        <w:rPr>
          <w:szCs w:val="26"/>
        </w:rPr>
        <w:t xml:space="preserve"> SoCalGas’</w:t>
      </w:r>
      <w:r w:rsidR="00321784">
        <w:rPr>
          <w:szCs w:val="26"/>
        </w:rPr>
        <w:t xml:space="preserve"> most recent </w:t>
      </w:r>
      <w:r w:rsidR="0036729F">
        <w:rPr>
          <w:szCs w:val="26"/>
        </w:rPr>
        <w:t>technical assessment of its gas system</w:t>
      </w:r>
      <w:r w:rsidR="00321784">
        <w:rPr>
          <w:szCs w:val="26"/>
        </w:rPr>
        <w:t xml:space="preserve"> indicated that it would not be able to ensure that it could meet gas demand under the current </w:t>
      </w:r>
      <w:r w:rsidR="00321784">
        <w:rPr>
          <w:szCs w:val="26"/>
        </w:rPr>
        <w:lastRenderedPageBreak/>
        <w:t>reliability standard</w:t>
      </w:r>
      <w:r w:rsidR="003E400D">
        <w:rPr>
          <w:szCs w:val="26"/>
        </w:rPr>
        <w:t>s</w:t>
      </w:r>
      <w:r w:rsidR="00321784">
        <w:rPr>
          <w:szCs w:val="26"/>
        </w:rPr>
        <w:t>.</w:t>
      </w:r>
      <w:r w:rsidR="0036729F">
        <w:rPr>
          <w:rStyle w:val="FootnoteReference"/>
          <w:szCs w:val="26"/>
        </w:rPr>
        <w:footnoteReference w:id="49"/>
      </w:r>
      <w:r w:rsidR="00732E37">
        <w:rPr>
          <w:szCs w:val="26"/>
        </w:rPr>
        <w:t xml:space="preserve"> </w:t>
      </w:r>
      <w:r w:rsidR="00321784">
        <w:rPr>
          <w:szCs w:val="26"/>
        </w:rPr>
        <w:t xml:space="preserve"> </w:t>
      </w:r>
      <w:r w:rsidR="00447FB7">
        <w:rPr>
          <w:szCs w:val="26"/>
        </w:rPr>
        <w:t>Accordingly</w:t>
      </w:r>
      <w:r w:rsidR="000C0A03">
        <w:rPr>
          <w:szCs w:val="26"/>
        </w:rPr>
        <w:t>, th</w:t>
      </w:r>
      <w:r w:rsidR="0074217C">
        <w:rPr>
          <w:szCs w:val="26"/>
        </w:rPr>
        <w:t>is</w:t>
      </w:r>
      <w:r w:rsidR="000C0A03">
        <w:rPr>
          <w:szCs w:val="26"/>
        </w:rPr>
        <w:t xml:space="preserve"> OIR will also consider </w:t>
      </w:r>
      <w:r w:rsidR="00447FB7">
        <w:rPr>
          <w:szCs w:val="26"/>
        </w:rPr>
        <w:t>mechanisms</w:t>
      </w:r>
      <w:r w:rsidR="000C0A03">
        <w:rPr>
          <w:szCs w:val="26"/>
        </w:rPr>
        <w:t xml:space="preserve"> for the Commission to ensure that gas </w:t>
      </w:r>
      <w:r w:rsidR="00447FB7">
        <w:rPr>
          <w:szCs w:val="26"/>
        </w:rPr>
        <w:t>utilities</w:t>
      </w:r>
      <w:r w:rsidR="000C0A03">
        <w:rPr>
          <w:szCs w:val="26"/>
        </w:rPr>
        <w:t xml:space="preserve"> </w:t>
      </w:r>
      <w:r w:rsidR="00447FB7">
        <w:rPr>
          <w:szCs w:val="26"/>
        </w:rPr>
        <w:t>consistently meet minimum system requirements necessary to provide reliable gas transmission service.</w:t>
      </w:r>
    </w:p>
    <w:p w14:paraId="2E58B012" w14:textId="49914243" w:rsidR="00085535" w:rsidRDefault="00AE48A9" w:rsidP="00D66DB0">
      <w:pPr>
        <w:rPr>
          <w:szCs w:val="26"/>
        </w:rPr>
      </w:pPr>
      <w:r>
        <w:rPr>
          <w:szCs w:val="26"/>
        </w:rPr>
        <w:t>With respect to slack capacity, i</w:t>
      </w:r>
      <w:r w:rsidR="00085535">
        <w:rPr>
          <w:szCs w:val="26"/>
        </w:rPr>
        <w:t xml:space="preserve">n </w:t>
      </w:r>
      <w:r w:rsidR="000969A7">
        <w:rPr>
          <w:szCs w:val="26"/>
        </w:rPr>
        <w:t>R.04-01-025</w:t>
      </w:r>
      <w:r w:rsidR="00085535">
        <w:rPr>
          <w:szCs w:val="26"/>
        </w:rPr>
        <w:t xml:space="preserve">, the Commission considered </w:t>
      </w:r>
      <w:r>
        <w:rPr>
          <w:szCs w:val="26"/>
        </w:rPr>
        <w:t xml:space="preserve">establishing </w:t>
      </w:r>
      <w:r w:rsidR="00085535">
        <w:rPr>
          <w:szCs w:val="26"/>
        </w:rPr>
        <w:t>requirement</w:t>
      </w:r>
      <w:r>
        <w:rPr>
          <w:szCs w:val="26"/>
        </w:rPr>
        <w:t>s for the gas utilities to maintain</w:t>
      </w:r>
      <w:r w:rsidR="00085535">
        <w:rPr>
          <w:szCs w:val="26"/>
        </w:rPr>
        <w:t xml:space="preserve"> a certain amount of slack capacity</w:t>
      </w:r>
      <w:r>
        <w:rPr>
          <w:szCs w:val="26"/>
        </w:rPr>
        <w:t xml:space="preserve"> </w:t>
      </w:r>
      <w:r w:rsidR="00085535">
        <w:rPr>
          <w:szCs w:val="26"/>
        </w:rPr>
        <w:t xml:space="preserve">but ultimately declined to set an amount, in part, because the </w:t>
      </w:r>
      <w:r>
        <w:rPr>
          <w:szCs w:val="26"/>
        </w:rPr>
        <w:t xml:space="preserve">Commission determined that the </w:t>
      </w:r>
      <w:r w:rsidR="0074217C">
        <w:rPr>
          <w:szCs w:val="26"/>
        </w:rPr>
        <w:t xml:space="preserve">firm backbone </w:t>
      </w:r>
      <w:r w:rsidR="00085535">
        <w:rPr>
          <w:szCs w:val="26"/>
        </w:rPr>
        <w:t>gas</w:t>
      </w:r>
      <w:r w:rsidR="0074217C">
        <w:rPr>
          <w:szCs w:val="26"/>
        </w:rPr>
        <w:t xml:space="preserve"> capacity</w:t>
      </w:r>
      <w:r w:rsidR="00085535">
        <w:rPr>
          <w:szCs w:val="26"/>
        </w:rPr>
        <w:t xml:space="preserve"> in Northern</w:t>
      </w:r>
      <w:r>
        <w:rPr>
          <w:szCs w:val="26"/>
        </w:rPr>
        <w:t xml:space="preserve"> and Southern</w:t>
      </w:r>
      <w:r w:rsidR="00085535">
        <w:rPr>
          <w:szCs w:val="26"/>
        </w:rPr>
        <w:t xml:space="preserve"> California was </w:t>
      </w:r>
      <w:r>
        <w:rPr>
          <w:szCs w:val="26"/>
        </w:rPr>
        <w:t>sufficient.</w:t>
      </w:r>
      <w:r w:rsidR="00085535">
        <w:rPr>
          <w:szCs w:val="26"/>
        </w:rPr>
        <w:t xml:space="preserve">  With the operational issues that SoCalGas has experienced over the last few years, </w:t>
      </w:r>
      <w:r w:rsidR="00D66DB0">
        <w:rPr>
          <w:szCs w:val="26"/>
        </w:rPr>
        <w:t>such as the</w:t>
      </w:r>
      <w:r w:rsidR="00085535">
        <w:rPr>
          <w:szCs w:val="26"/>
        </w:rPr>
        <w:t xml:space="preserve"> pipeline outages and storage leaks, the underpinning for th</w:t>
      </w:r>
      <w:r w:rsidR="000969A7">
        <w:rPr>
          <w:szCs w:val="26"/>
        </w:rPr>
        <w:t>at</w:t>
      </w:r>
      <w:r w:rsidR="00085535">
        <w:rPr>
          <w:szCs w:val="26"/>
        </w:rPr>
        <w:t xml:space="preserve"> decision has changed, warranting the Commission revisit</w:t>
      </w:r>
      <w:r w:rsidR="000969A7">
        <w:rPr>
          <w:szCs w:val="26"/>
        </w:rPr>
        <w:t>ing</w:t>
      </w:r>
      <w:r w:rsidR="00085535">
        <w:rPr>
          <w:szCs w:val="26"/>
        </w:rPr>
        <w:t xml:space="preserve"> </w:t>
      </w:r>
      <w:r w:rsidR="0074217C">
        <w:rPr>
          <w:szCs w:val="26"/>
        </w:rPr>
        <w:t xml:space="preserve">the </w:t>
      </w:r>
      <w:r w:rsidR="000969A7">
        <w:rPr>
          <w:szCs w:val="26"/>
        </w:rPr>
        <w:t xml:space="preserve">need for a </w:t>
      </w:r>
      <w:r w:rsidR="0074217C">
        <w:rPr>
          <w:szCs w:val="26"/>
        </w:rPr>
        <w:t>slack capacity requirement</w:t>
      </w:r>
      <w:r w:rsidR="00085535">
        <w:rPr>
          <w:szCs w:val="26"/>
        </w:rPr>
        <w:t>, recognizing that a decision in this area must be consistent with the</w:t>
      </w:r>
      <w:r w:rsidR="001F354B">
        <w:rPr>
          <w:szCs w:val="26"/>
        </w:rPr>
        <w:t xml:space="preserve"> long-term planning strategy </w:t>
      </w:r>
      <w:r w:rsidR="00F33F15">
        <w:rPr>
          <w:szCs w:val="26"/>
        </w:rPr>
        <w:t>determined in</w:t>
      </w:r>
      <w:r w:rsidR="00085535">
        <w:rPr>
          <w:szCs w:val="26"/>
        </w:rPr>
        <w:t xml:space="preserve"> Track</w:t>
      </w:r>
      <w:r w:rsidR="000969A7">
        <w:rPr>
          <w:szCs w:val="26"/>
        </w:rPr>
        <w:t xml:space="preserve"> 2</w:t>
      </w:r>
      <w:r w:rsidR="00085535">
        <w:rPr>
          <w:szCs w:val="26"/>
        </w:rPr>
        <w:t xml:space="preserve"> </w:t>
      </w:r>
      <w:r w:rsidR="00D66DB0">
        <w:rPr>
          <w:szCs w:val="26"/>
        </w:rPr>
        <w:t>of this proceeding</w:t>
      </w:r>
      <w:r w:rsidR="00085535">
        <w:rPr>
          <w:szCs w:val="26"/>
        </w:rPr>
        <w:t xml:space="preserve">.  </w:t>
      </w:r>
    </w:p>
    <w:p w14:paraId="24262151" w14:textId="65D8F372" w:rsidR="001F0942" w:rsidRDefault="001F0942" w:rsidP="00D66DB0">
      <w:pPr>
        <w:rPr>
          <w:szCs w:val="26"/>
        </w:rPr>
      </w:pPr>
      <w:r>
        <w:rPr>
          <w:szCs w:val="26"/>
        </w:rPr>
        <w:t>We will also evaluate whether the proposed LNG export facility at Energía Costa Azul located in Ensenada, Baja California, could cause reliability issues.</w:t>
      </w:r>
      <w:r>
        <w:rPr>
          <w:rStyle w:val="FootnoteReference"/>
          <w:szCs w:val="26"/>
        </w:rPr>
        <w:footnoteReference w:id="50"/>
      </w:r>
    </w:p>
    <w:p w14:paraId="1B675F4F" w14:textId="77777777" w:rsidR="00085535" w:rsidRDefault="00085535" w:rsidP="00085535">
      <w:pPr>
        <w:pStyle w:val="Heading2"/>
      </w:pPr>
      <w:bookmarkStart w:id="14" w:name="_Toc28605930"/>
      <w:r>
        <w:t>Track 1B: Market Structure and Regulations</w:t>
      </w:r>
      <w:bookmarkEnd w:id="14"/>
    </w:p>
    <w:p w14:paraId="67C01916" w14:textId="6BC50462" w:rsidR="00085535" w:rsidRDefault="00085535" w:rsidP="00085535">
      <w:pPr>
        <w:rPr>
          <w:szCs w:val="26"/>
        </w:rPr>
      </w:pPr>
      <w:r>
        <w:rPr>
          <w:szCs w:val="26"/>
        </w:rPr>
        <w:t>The operational issues on SoCalGas’ transmission system over the last few years demonstrate that gas supply shortages during peak demand periods pose reliability issues not only to it</w:t>
      </w:r>
      <w:r w:rsidR="00EE6214">
        <w:rPr>
          <w:szCs w:val="26"/>
        </w:rPr>
        <w:t>s</w:t>
      </w:r>
      <w:r>
        <w:rPr>
          <w:szCs w:val="26"/>
        </w:rPr>
        <w:t xml:space="preserve"> shippers, but also to both CAISO’s and L</w:t>
      </w:r>
      <w:r w:rsidR="00BC2E0F">
        <w:rPr>
          <w:szCs w:val="26"/>
        </w:rPr>
        <w:t>ADWP</w:t>
      </w:r>
      <w:r>
        <w:rPr>
          <w:szCs w:val="26"/>
        </w:rPr>
        <w:t>’</w:t>
      </w:r>
      <w:r w:rsidR="00FD01C5">
        <w:rPr>
          <w:szCs w:val="26"/>
        </w:rPr>
        <w:t>s</w:t>
      </w:r>
      <w:r>
        <w:rPr>
          <w:szCs w:val="26"/>
        </w:rPr>
        <w:t xml:space="preserve"> balancing areas</w:t>
      </w:r>
      <w:r w:rsidR="007B0A48">
        <w:rPr>
          <w:szCs w:val="26"/>
        </w:rPr>
        <w:t xml:space="preserve">, and cause </w:t>
      </w:r>
      <w:r w:rsidR="00311876">
        <w:rPr>
          <w:szCs w:val="26"/>
        </w:rPr>
        <w:t>price spikes</w:t>
      </w:r>
      <w:r w:rsidR="001A2541">
        <w:rPr>
          <w:szCs w:val="26"/>
        </w:rPr>
        <w:t xml:space="preserve"> in the wholesale electricity markets and </w:t>
      </w:r>
      <w:r w:rsidR="001A2541">
        <w:rPr>
          <w:szCs w:val="26"/>
        </w:rPr>
        <w:lastRenderedPageBreak/>
        <w:t>local gas market</w:t>
      </w:r>
      <w:r>
        <w:rPr>
          <w:szCs w:val="26"/>
        </w:rPr>
        <w:t>.</w:t>
      </w:r>
      <w:r w:rsidR="00311876">
        <w:rPr>
          <w:szCs w:val="26"/>
        </w:rPr>
        <w:t xml:space="preserve">  The price spike</w:t>
      </w:r>
      <w:r w:rsidR="00843B05">
        <w:rPr>
          <w:szCs w:val="26"/>
        </w:rPr>
        <w:t>s</w:t>
      </w:r>
      <w:r w:rsidR="00311876">
        <w:rPr>
          <w:szCs w:val="26"/>
        </w:rPr>
        <w:t xml:space="preserve"> </w:t>
      </w:r>
      <w:r w:rsidR="00843B05">
        <w:rPr>
          <w:szCs w:val="26"/>
        </w:rPr>
        <w:t>occur</w:t>
      </w:r>
      <w:r w:rsidR="00311876">
        <w:rPr>
          <w:szCs w:val="26"/>
        </w:rPr>
        <w:t>, in part, because gas-fired generators in SoCalGas’</w:t>
      </w:r>
      <w:r w:rsidR="007B0A48">
        <w:rPr>
          <w:szCs w:val="26"/>
        </w:rPr>
        <w:t xml:space="preserve"> balancing area</w:t>
      </w:r>
      <w:r w:rsidR="00311876">
        <w:rPr>
          <w:szCs w:val="26"/>
        </w:rPr>
        <w:t xml:space="preserve"> </w:t>
      </w:r>
      <w:r w:rsidR="00EB134D">
        <w:rPr>
          <w:szCs w:val="26"/>
        </w:rPr>
        <w:t xml:space="preserve">primarily </w:t>
      </w:r>
      <w:r w:rsidR="006C029A">
        <w:rPr>
          <w:szCs w:val="26"/>
        </w:rPr>
        <w:t xml:space="preserve">purchase gas at the rate established </w:t>
      </w:r>
      <w:r w:rsidR="007B0A48">
        <w:rPr>
          <w:szCs w:val="26"/>
        </w:rPr>
        <w:t>by</w:t>
      </w:r>
      <w:r w:rsidR="006C029A">
        <w:rPr>
          <w:szCs w:val="26"/>
        </w:rPr>
        <w:t xml:space="preserve"> the </w:t>
      </w:r>
      <w:r w:rsidR="00311876">
        <w:rPr>
          <w:szCs w:val="26"/>
        </w:rPr>
        <w:t xml:space="preserve">spot market at SoCal Citygate, rather than </w:t>
      </w:r>
      <w:r w:rsidR="00EB134D">
        <w:rPr>
          <w:szCs w:val="26"/>
        </w:rPr>
        <w:t xml:space="preserve">by </w:t>
      </w:r>
      <w:r w:rsidR="00311876">
        <w:rPr>
          <w:szCs w:val="26"/>
        </w:rPr>
        <w:t>firm long-term</w:t>
      </w:r>
      <w:r w:rsidR="00843B05">
        <w:rPr>
          <w:szCs w:val="26"/>
        </w:rPr>
        <w:t xml:space="preserve"> contracts</w:t>
      </w:r>
      <w:r w:rsidR="00EB134D">
        <w:rPr>
          <w:szCs w:val="26"/>
        </w:rPr>
        <w:t xml:space="preserve"> for gas and transportation</w:t>
      </w:r>
      <w:r w:rsidR="006C029A">
        <w:rPr>
          <w:szCs w:val="26"/>
        </w:rPr>
        <w:t>.</w:t>
      </w:r>
      <w:r w:rsidR="00311876">
        <w:rPr>
          <w:szCs w:val="26"/>
        </w:rPr>
        <w:t xml:space="preserve"> </w:t>
      </w:r>
      <w:r w:rsidR="00251AD1">
        <w:rPr>
          <w:szCs w:val="26"/>
        </w:rPr>
        <w:t xml:space="preserve"> The current market structure</w:t>
      </w:r>
      <w:r w:rsidR="004F0AA4">
        <w:rPr>
          <w:szCs w:val="26"/>
        </w:rPr>
        <w:t xml:space="preserve"> does not</w:t>
      </w:r>
      <w:r w:rsidR="00251AD1">
        <w:rPr>
          <w:szCs w:val="26"/>
        </w:rPr>
        <w:t xml:space="preserve"> appear to provide gas-fired generators sufficient incentives to pursue firm long-term contract</w:t>
      </w:r>
      <w:r w:rsidR="00806F80">
        <w:rPr>
          <w:szCs w:val="26"/>
        </w:rPr>
        <w:t>s</w:t>
      </w:r>
      <w:r w:rsidR="00251AD1">
        <w:rPr>
          <w:szCs w:val="26"/>
        </w:rPr>
        <w:t xml:space="preserve"> that might mitigate the potential for price spikes.</w:t>
      </w:r>
    </w:p>
    <w:p w14:paraId="4F8F5475" w14:textId="0D711981" w:rsidR="00085535" w:rsidRDefault="00085535" w:rsidP="00085535">
      <w:pPr>
        <w:pStyle w:val="Standard"/>
        <w:rPr>
          <w:szCs w:val="26"/>
        </w:rPr>
      </w:pPr>
      <w:r>
        <w:rPr>
          <w:szCs w:val="26"/>
        </w:rPr>
        <w:t>According</w:t>
      </w:r>
      <w:r w:rsidR="00A60AF1">
        <w:rPr>
          <w:szCs w:val="26"/>
        </w:rPr>
        <w:t>ly,</w:t>
      </w:r>
      <w:r>
        <w:rPr>
          <w:szCs w:val="26"/>
        </w:rPr>
        <w:t xml:space="preserve"> </w:t>
      </w:r>
      <w:r w:rsidR="007B0A48">
        <w:rPr>
          <w:szCs w:val="26"/>
        </w:rPr>
        <w:t>t</w:t>
      </w:r>
      <w:r>
        <w:rPr>
          <w:szCs w:val="26"/>
        </w:rPr>
        <w:t xml:space="preserve">his phase of the proceeding will identify and evaluate opportunities for mitigating the risk </w:t>
      </w:r>
      <w:r w:rsidR="00F3444D">
        <w:rPr>
          <w:szCs w:val="26"/>
        </w:rPr>
        <w:t xml:space="preserve">that gas </w:t>
      </w:r>
      <w:r>
        <w:rPr>
          <w:szCs w:val="26"/>
        </w:rPr>
        <w:t xml:space="preserve">supply shortages </w:t>
      </w:r>
      <w:r w:rsidR="00F3444D">
        <w:rPr>
          <w:szCs w:val="26"/>
        </w:rPr>
        <w:t xml:space="preserve">pose </w:t>
      </w:r>
      <w:r>
        <w:rPr>
          <w:szCs w:val="26"/>
        </w:rPr>
        <w:t>to electric reliability and market prices.</w:t>
      </w:r>
    </w:p>
    <w:p w14:paraId="48A7E2D2" w14:textId="77777777" w:rsidR="00085535" w:rsidRDefault="00085535" w:rsidP="00085535">
      <w:pPr>
        <w:pStyle w:val="Heading2"/>
      </w:pPr>
      <w:bookmarkStart w:id="15" w:name="_Toc28605931"/>
      <w:r>
        <w:t>Track 2: Long-Term Natural Gas Policy and Planning</w:t>
      </w:r>
      <w:bookmarkEnd w:id="15"/>
    </w:p>
    <w:p w14:paraId="6BB575B7" w14:textId="08A69ED9" w:rsidR="00085535" w:rsidRDefault="00085535" w:rsidP="00085535">
      <w:pPr>
        <w:rPr>
          <w:szCs w:val="26"/>
        </w:rPr>
      </w:pPr>
      <w:r>
        <w:rPr>
          <w:szCs w:val="26"/>
        </w:rPr>
        <w:t xml:space="preserve">State laws establishing greenhouse gas reduction requirements </w:t>
      </w:r>
      <w:r w:rsidR="00A60AF1">
        <w:rPr>
          <w:szCs w:val="26"/>
        </w:rPr>
        <w:t xml:space="preserve">are expected to </w:t>
      </w:r>
      <w:r>
        <w:rPr>
          <w:szCs w:val="26"/>
        </w:rPr>
        <w:t xml:space="preserve">reduce the demand for natural gas in California as retail electricity will be primarily sourced from carbon-free generation sources.  While no state law </w:t>
      </w:r>
      <w:r w:rsidR="001A2541">
        <w:rPr>
          <w:szCs w:val="26"/>
        </w:rPr>
        <w:t xml:space="preserve">currently </w:t>
      </w:r>
      <w:r>
        <w:rPr>
          <w:szCs w:val="26"/>
        </w:rPr>
        <w:t>mandat</w:t>
      </w:r>
      <w:r w:rsidR="001040AC">
        <w:rPr>
          <w:szCs w:val="26"/>
        </w:rPr>
        <w:t>es</w:t>
      </w:r>
      <w:r>
        <w:rPr>
          <w:szCs w:val="26"/>
        </w:rPr>
        <w:t xml:space="preserve"> building decarbonization, residential and industrial use of gas-</w:t>
      </w:r>
      <w:r w:rsidR="00F3444D">
        <w:rPr>
          <w:szCs w:val="26"/>
        </w:rPr>
        <w:t>fueled</w:t>
      </w:r>
      <w:r>
        <w:rPr>
          <w:szCs w:val="26"/>
        </w:rPr>
        <w:t xml:space="preserve"> heating and cooling appliances could nevertheless decline as </w:t>
      </w:r>
      <w:r w:rsidR="00BF27FA">
        <w:rPr>
          <w:szCs w:val="26"/>
        </w:rPr>
        <w:t>municipalities</w:t>
      </w:r>
      <w:r>
        <w:rPr>
          <w:szCs w:val="26"/>
        </w:rPr>
        <w:t xml:space="preserve"> </w:t>
      </w:r>
      <w:r w:rsidR="001A2541">
        <w:rPr>
          <w:szCs w:val="26"/>
        </w:rPr>
        <w:t>have</w:t>
      </w:r>
      <w:r w:rsidR="00BF27FA">
        <w:rPr>
          <w:szCs w:val="26"/>
        </w:rPr>
        <w:t xml:space="preserve"> begun</w:t>
      </w:r>
      <w:r w:rsidR="001A2541">
        <w:rPr>
          <w:szCs w:val="26"/>
        </w:rPr>
        <w:t xml:space="preserve"> </w:t>
      </w:r>
      <w:r w:rsidR="00BF27FA">
        <w:rPr>
          <w:szCs w:val="26"/>
        </w:rPr>
        <w:t xml:space="preserve">to </w:t>
      </w:r>
      <w:r>
        <w:rPr>
          <w:szCs w:val="26"/>
        </w:rPr>
        <w:t xml:space="preserve">pass </w:t>
      </w:r>
      <w:r w:rsidR="001A2541">
        <w:rPr>
          <w:szCs w:val="26"/>
        </w:rPr>
        <w:t>legislation limiting the use</w:t>
      </w:r>
      <w:r>
        <w:rPr>
          <w:szCs w:val="26"/>
        </w:rPr>
        <w:t xml:space="preserve"> of gas. </w:t>
      </w:r>
      <w:r w:rsidR="00BF27FA">
        <w:rPr>
          <w:szCs w:val="26"/>
        </w:rPr>
        <w:t xml:space="preserve"> However, </w:t>
      </w:r>
      <w:r w:rsidR="00BD25E9">
        <w:rPr>
          <w:szCs w:val="26"/>
        </w:rPr>
        <w:t xml:space="preserve">planning for </w:t>
      </w:r>
      <w:r w:rsidR="00BF27FA">
        <w:rPr>
          <w:szCs w:val="26"/>
        </w:rPr>
        <w:t>t</w:t>
      </w:r>
      <w:r w:rsidR="002E4D48">
        <w:rPr>
          <w:szCs w:val="26"/>
        </w:rPr>
        <w:t>he impending demand reduction must be balanced with the need to ensure that</w:t>
      </w:r>
      <w:r w:rsidR="0092240C">
        <w:rPr>
          <w:szCs w:val="26"/>
        </w:rPr>
        <w:t xml:space="preserve"> existing transmission of</w:t>
      </w:r>
      <w:r w:rsidR="002E4D48">
        <w:rPr>
          <w:szCs w:val="26"/>
        </w:rPr>
        <w:t xml:space="preserve"> gas is delivered in a safe</w:t>
      </w:r>
      <w:r w:rsidR="00806F80">
        <w:rPr>
          <w:szCs w:val="26"/>
        </w:rPr>
        <w:t xml:space="preserve"> and</w:t>
      </w:r>
      <w:r w:rsidR="002E4D48">
        <w:rPr>
          <w:szCs w:val="26"/>
        </w:rPr>
        <w:t xml:space="preserve"> reliable manner,</w:t>
      </w:r>
      <w:r w:rsidR="00BF27FA">
        <w:rPr>
          <w:szCs w:val="26"/>
        </w:rPr>
        <w:t xml:space="preserve"> </w:t>
      </w:r>
      <w:r w:rsidR="002E4D48">
        <w:rPr>
          <w:szCs w:val="26"/>
        </w:rPr>
        <w:t xml:space="preserve">long-term </w:t>
      </w:r>
      <w:r w:rsidR="0092240C">
        <w:rPr>
          <w:szCs w:val="26"/>
        </w:rPr>
        <w:t>statewide</w:t>
      </w:r>
      <w:r w:rsidR="007F58A4">
        <w:rPr>
          <w:szCs w:val="26"/>
        </w:rPr>
        <w:t xml:space="preserve"> electricity</w:t>
      </w:r>
      <w:r w:rsidR="0092240C">
        <w:rPr>
          <w:szCs w:val="26"/>
        </w:rPr>
        <w:t xml:space="preserve"> </w:t>
      </w:r>
      <w:r w:rsidR="00D557AE">
        <w:rPr>
          <w:szCs w:val="26"/>
        </w:rPr>
        <w:t>procurement</w:t>
      </w:r>
      <w:r w:rsidR="002E4D48">
        <w:rPr>
          <w:szCs w:val="26"/>
        </w:rPr>
        <w:t xml:space="preserve"> </w:t>
      </w:r>
      <w:r w:rsidR="00BF27FA">
        <w:rPr>
          <w:szCs w:val="26"/>
        </w:rPr>
        <w:t>requirements</w:t>
      </w:r>
      <w:r w:rsidR="002E4D48">
        <w:rPr>
          <w:szCs w:val="26"/>
        </w:rPr>
        <w:t xml:space="preserve"> are met, and rates are just and reasonable.  </w:t>
      </w:r>
      <w:r w:rsidR="004E364E">
        <w:rPr>
          <w:szCs w:val="26"/>
        </w:rPr>
        <w:t>For example, the Commission’s Integrated Resource Planning program determines, among other things, California’s long-term generation procurement needs, which currently includes gas-fired generation.</w:t>
      </w:r>
      <w:r w:rsidR="004E364E">
        <w:rPr>
          <w:rStyle w:val="FootnoteReference"/>
          <w:szCs w:val="26"/>
        </w:rPr>
        <w:footnoteReference w:id="51"/>
      </w:r>
      <w:r w:rsidR="0063428A">
        <w:rPr>
          <w:szCs w:val="26"/>
        </w:rPr>
        <w:t xml:space="preserve"> </w:t>
      </w:r>
      <w:r w:rsidR="004E364E">
        <w:rPr>
          <w:szCs w:val="26"/>
        </w:rPr>
        <w:t xml:space="preserve"> In addition, PSEP requirements, PHMSA regulations, and DOGGR </w:t>
      </w:r>
      <w:r w:rsidR="004E364E">
        <w:rPr>
          <w:szCs w:val="26"/>
        </w:rPr>
        <w:lastRenderedPageBreak/>
        <w:t xml:space="preserve">rules require periodic pipeline testing and remediation, activities that will need to continue for any pipeline that is in operation. </w:t>
      </w:r>
      <w:r w:rsidR="00E54F15">
        <w:rPr>
          <w:szCs w:val="26"/>
        </w:rPr>
        <w:t xml:space="preserve"> </w:t>
      </w:r>
    </w:p>
    <w:p w14:paraId="2B71EF1C" w14:textId="2955B05C" w:rsidR="00085535" w:rsidRPr="00085535" w:rsidRDefault="00085535" w:rsidP="00085535">
      <w:pPr>
        <w:pStyle w:val="Standard"/>
      </w:pPr>
      <w:r>
        <w:rPr>
          <w:szCs w:val="26"/>
        </w:rPr>
        <w:t>In Track 2, the Commission will</w:t>
      </w:r>
      <w:r w:rsidR="00F3444D">
        <w:rPr>
          <w:szCs w:val="26"/>
        </w:rPr>
        <w:t xml:space="preserve"> determine a long-term planning strategy </w:t>
      </w:r>
      <w:r w:rsidR="00806F80">
        <w:rPr>
          <w:szCs w:val="26"/>
        </w:rPr>
        <w:t xml:space="preserve">to </w:t>
      </w:r>
      <w:r w:rsidR="008F1DC2">
        <w:rPr>
          <w:szCs w:val="26"/>
        </w:rPr>
        <w:t>balance the</w:t>
      </w:r>
      <w:r>
        <w:rPr>
          <w:szCs w:val="26"/>
        </w:rPr>
        <w:t xml:space="preserve"> impact that the </w:t>
      </w:r>
      <w:r w:rsidR="00785A5B">
        <w:rPr>
          <w:szCs w:val="26"/>
        </w:rPr>
        <w:t>projected reduction in gas</w:t>
      </w:r>
      <w:r>
        <w:rPr>
          <w:szCs w:val="26"/>
        </w:rPr>
        <w:t xml:space="preserve"> demand will have on the gas systems</w:t>
      </w:r>
      <w:r w:rsidR="008F1DC2">
        <w:rPr>
          <w:szCs w:val="26"/>
        </w:rPr>
        <w:t xml:space="preserve"> with the existing </w:t>
      </w:r>
      <w:r w:rsidR="00A5495F">
        <w:rPr>
          <w:szCs w:val="26"/>
        </w:rPr>
        <w:t>statutorily</w:t>
      </w:r>
      <w:r w:rsidR="007E2965">
        <w:rPr>
          <w:szCs w:val="26"/>
        </w:rPr>
        <w:t xml:space="preserve"> </w:t>
      </w:r>
      <w:r w:rsidR="00A5495F">
        <w:rPr>
          <w:szCs w:val="26"/>
        </w:rPr>
        <w:t xml:space="preserve">mandated </w:t>
      </w:r>
      <w:r w:rsidR="008F1DC2">
        <w:rPr>
          <w:szCs w:val="26"/>
        </w:rPr>
        <w:t>rules and programs</w:t>
      </w:r>
      <w:r w:rsidR="00A5495F">
        <w:rPr>
          <w:szCs w:val="26"/>
        </w:rPr>
        <w:t xml:space="preserve"> </w:t>
      </w:r>
      <w:r w:rsidR="00785A5B">
        <w:rPr>
          <w:szCs w:val="26"/>
        </w:rPr>
        <w:t>that ensure</w:t>
      </w:r>
      <w:r w:rsidR="00A5495F">
        <w:rPr>
          <w:szCs w:val="26"/>
        </w:rPr>
        <w:t xml:space="preserve"> the safe</w:t>
      </w:r>
      <w:r w:rsidR="007E2965">
        <w:rPr>
          <w:szCs w:val="26"/>
        </w:rPr>
        <w:t xml:space="preserve"> and</w:t>
      </w:r>
      <w:r w:rsidR="00A5495F">
        <w:rPr>
          <w:szCs w:val="26"/>
        </w:rPr>
        <w:t xml:space="preserve"> reliable provision of energy in California</w:t>
      </w:r>
      <w:r w:rsidR="007F58A4">
        <w:rPr>
          <w:szCs w:val="26"/>
        </w:rPr>
        <w:t xml:space="preserve"> (e.g., PSEP</w:t>
      </w:r>
      <w:r w:rsidR="00D7570B">
        <w:rPr>
          <w:szCs w:val="26"/>
        </w:rPr>
        <w:t>)</w:t>
      </w:r>
      <w:r w:rsidR="00A5495F">
        <w:rPr>
          <w:szCs w:val="26"/>
        </w:rPr>
        <w:t>.</w:t>
      </w:r>
      <w:r>
        <w:rPr>
          <w:szCs w:val="26"/>
        </w:rPr>
        <w:t xml:space="preserve">  The Commission will evaluate demand scenarios that will materialize from state and local </w:t>
      </w:r>
      <w:r w:rsidR="00962CA8">
        <w:rPr>
          <w:szCs w:val="26"/>
        </w:rPr>
        <w:t>greenhouse gas-related laws</w:t>
      </w:r>
      <w:r>
        <w:rPr>
          <w:szCs w:val="26"/>
        </w:rPr>
        <w:t>.</w:t>
      </w:r>
      <w:r w:rsidR="00732E37">
        <w:rPr>
          <w:szCs w:val="26"/>
        </w:rPr>
        <w:t xml:space="preserve"> </w:t>
      </w:r>
      <w:r>
        <w:rPr>
          <w:szCs w:val="26"/>
        </w:rPr>
        <w:t xml:space="preserve"> To faci</w:t>
      </w:r>
      <w:r w:rsidR="00F3444D">
        <w:rPr>
          <w:szCs w:val="26"/>
        </w:rPr>
        <w:t>litate</w:t>
      </w:r>
      <w:r>
        <w:rPr>
          <w:szCs w:val="26"/>
        </w:rPr>
        <w:t xml:space="preserve"> this examination, the gas utilities will provide the Commission with data on how forecasted demand scenarios will translate into gas operational gas flows on their systems (e.g., backbone, transmission, distribution), accounting for balancing and pressure rating requirements. </w:t>
      </w:r>
      <w:r w:rsidR="00732E37">
        <w:rPr>
          <w:szCs w:val="26"/>
        </w:rPr>
        <w:t xml:space="preserve"> </w:t>
      </w:r>
      <w:r>
        <w:rPr>
          <w:szCs w:val="26"/>
        </w:rPr>
        <w:t xml:space="preserve">Using this information, the Commission will also examine </w:t>
      </w:r>
      <w:r w:rsidR="00C35F74">
        <w:rPr>
          <w:szCs w:val="26"/>
        </w:rPr>
        <w:t>the extent to which</w:t>
      </w:r>
      <w:r w:rsidR="00A8006F">
        <w:rPr>
          <w:szCs w:val="26"/>
        </w:rPr>
        <w:t xml:space="preserve"> the </w:t>
      </w:r>
      <w:r>
        <w:rPr>
          <w:szCs w:val="26"/>
        </w:rPr>
        <w:t xml:space="preserve">projected </w:t>
      </w:r>
      <w:r w:rsidR="0008722C">
        <w:rPr>
          <w:szCs w:val="26"/>
        </w:rPr>
        <w:t>reduc</w:t>
      </w:r>
      <w:r w:rsidR="00A8006F">
        <w:rPr>
          <w:szCs w:val="26"/>
        </w:rPr>
        <w:t>tion in</w:t>
      </w:r>
      <w:r w:rsidR="0008722C">
        <w:rPr>
          <w:szCs w:val="26"/>
        </w:rPr>
        <w:t xml:space="preserve"> gas </w:t>
      </w:r>
      <w:r w:rsidR="00922B70">
        <w:rPr>
          <w:szCs w:val="26"/>
        </w:rPr>
        <w:t>demand</w:t>
      </w:r>
      <w:r w:rsidR="0008722C">
        <w:rPr>
          <w:szCs w:val="26"/>
        </w:rPr>
        <w:t xml:space="preserve"> will </w:t>
      </w:r>
      <w:r w:rsidR="00C35F74">
        <w:rPr>
          <w:szCs w:val="26"/>
        </w:rPr>
        <w:t>require regulatory changes</w:t>
      </w:r>
      <w:r w:rsidR="00F03141">
        <w:rPr>
          <w:szCs w:val="26"/>
        </w:rPr>
        <w:t>, such as shortening the useful life of gas assets,</w:t>
      </w:r>
      <w:r w:rsidR="008C6106">
        <w:rPr>
          <w:szCs w:val="26"/>
        </w:rPr>
        <w:t xml:space="preserve"> </w:t>
      </w:r>
      <w:r w:rsidR="00F03141">
        <w:rPr>
          <w:szCs w:val="26"/>
        </w:rPr>
        <w:t xml:space="preserve">to ensure that </w:t>
      </w:r>
      <w:r w:rsidR="00F40E11">
        <w:rPr>
          <w:szCs w:val="26"/>
        </w:rPr>
        <w:t xml:space="preserve">gas transmission </w:t>
      </w:r>
      <w:r w:rsidR="008C6106">
        <w:rPr>
          <w:szCs w:val="26"/>
        </w:rPr>
        <w:t>cost</w:t>
      </w:r>
      <w:r w:rsidR="00F40E11">
        <w:rPr>
          <w:szCs w:val="26"/>
        </w:rPr>
        <w:t>s</w:t>
      </w:r>
      <w:r w:rsidR="008C6106">
        <w:rPr>
          <w:szCs w:val="26"/>
        </w:rPr>
        <w:t xml:space="preserve"> are allocated fairly and </w:t>
      </w:r>
      <w:r w:rsidR="00F03141">
        <w:rPr>
          <w:szCs w:val="26"/>
        </w:rPr>
        <w:t xml:space="preserve">that </w:t>
      </w:r>
      <w:r w:rsidR="008C6106">
        <w:rPr>
          <w:szCs w:val="26"/>
        </w:rPr>
        <w:t>stranded costs are mitigated</w:t>
      </w:r>
      <w:r w:rsidR="00F03141">
        <w:rPr>
          <w:szCs w:val="26"/>
        </w:rPr>
        <w:t>.</w:t>
      </w:r>
      <w:r w:rsidR="00922B70">
        <w:rPr>
          <w:szCs w:val="26"/>
        </w:rPr>
        <w:t xml:space="preserve"> </w:t>
      </w:r>
    </w:p>
    <w:p w14:paraId="4CEEC1F0" w14:textId="77777777" w:rsidR="005A148C" w:rsidRDefault="00610911" w:rsidP="005939A5">
      <w:pPr>
        <w:pStyle w:val="Heading1"/>
      </w:pPr>
      <w:bookmarkStart w:id="16" w:name="_Toc28605932"/>
      <w:r>
        <w:t>Preliminary Scoping Memo</w:t>
      </w:r>
      <w:bookmarkEnd w:id="16"/>
    </w:p>
    <w:p w14:paraId="7AD2137A" w14:textId="43109B4C" w:rsidR="009C5F44" w:rsidRDefault="00C00F1D" w:rsidP="00D70C78">
      <w:pPr>
        <w:pStyle w:val="Standard"/>
        <w:ind w:firstLine="360"/>
      </w:pPr>
      <w:r>
        <w:t>As required by Rule 7.1(d)</w:t>
      </w:r>
      <w:r w:rsidR="0080078D">
        <w:t xml:space="preserve"> of the Commission’s Rules </w:t>
      </w:r>
      <w:r w:rsidR="007652E5">
        <w:t xml:space="preserve">of Practice and </w:t>
      </w:r>
      <w:r w:rsidR="0080078D">
        <w:t>Procedure</w:t>
      </w:r>
      <w:r w:rsidR="004D6868">
        <w:t>,</w:t>
      </w:r>
      <w:r w:rsidR="007652E5">
        <w:rPr>
          <w:rStyle w:val="FootnoteReference"/>
        </w:rPr>
        <w:footnoteReference w:id="52"/>
      </w:r>
      <w:r w:rsidR="004D6868">
        <w:t xml:space="preserve"> this OIR includes a preliminary scoping memo that describes the issues to be consider</w:t>
      </w:r>
      <w:r w:rsidR="001D5657">
        <w:t>ed in this proceeding and the timetable for resolving the proceeding.</w:t>
      </w:r>
      <w:r w:rsidR="00732E37">
        <w:t xml:space="preserve"> </w:t>
      </w:r>
      <w:r w:rsidR="001D5657">
        <w:t xml:space="preserve"> </w:t>
      </w:r>
      <w:r w:rsidR="001B5D28">
        <w:t xml:space="preserve">The preliminary issues for each Track </w:t>
      </w:r>
      <w:r w:rsidR="00D70C78">
        <w:t>are</w:t>
      </w:r>
      <w:r w:rsidR="001B5D28">
        <w:t xml:space="preserve"> as follows:</w:t>
      </w:r>
    </w:p>
    <w:p w14:paraId="60D5DEBB" w14:textId="77777777" w:rsidR="007141ED" w:rsidRDefault="007141ED" w:rsidP="00DF01BC">
      <w:pPr>
        <w:pStyle w:val="Heading2"/>
      </w:pPr>
      <w:bookmarkStart w:id="17" w:name="_Toc28605933"/>
      <w:r>
        <w:lastRenderedPageBreak/>
        <w:t>Issues</w:t>
      </w:r>
      <w:bookmarkEnd w:id="17"/>
    </w:p>
    <w:p w14:paraId="2C4203CB" w14:textId="2818F759" w:rsidR="00DF01BC" w:rsidRDefault="00DF01BC" w:rsidP="00492D01">
      <w:pPr>
        <w:pStyle w:val="Heading3"/>
      </w:pPr>
      <w:bookmarkStart w:id="18" w:name="_Toc28605934"/>
      <w:r>
        <w:t>Track 1A: Reliability Standard</w:t>
      </w:r>
      <w:r w:rsidR="003E400D">
        <w:t>s</w:t>
      </w:r>
      <w:bookmarkEnd w:id="18"/>
    </w:p>
    <w:p w14:paraId="6D1E1DDA" w14:textId="77777777" w:rsidR="002E3D00" w:rsidRDefault="00CE4A47" w:rsidP="00F23737">
      <w:pPr>
        <w:pStyle w:val="Standard"/>
        <w:numPr>
          <w:ilvl w:val="6"/>
          <w:numId w:val="1"/>
        </w:numPr>
        <w:tabs>
          <w:tab w:val="left" w:pos="1080"/>
        </w:tabs>
        <w:spacing w:after="160" w:line="240" w:lineRule="auto"/>
        <w:ind w:left="720" w:right="720" w:firstLine="0"/>
      </w:pPr>
      <w:r>
        <w:t>What are SoCalGas’ and PG&amp;E’s current system cap</w:t>
      </w:r>
      <w:r w:rsidR="002E3D00">
        <w:t>abilities?</w:t>
      </w:r>
    </w:p>
    <w:p w14:paraId="1856E7A1" w14:textId="7233C3A8" w:rsidR="002E3D00" w:rsidRDefault="002E3D00" w:rsidP="00F23737">
      <w:pPr>
        <w:pStyle w:val="Standard"/>
        <w:numPr>
          <w:ilvl w:val="7"/>
          <w:numId w:val="1"/>
        </w:numPr>
        <w:spacing w:after="160" w:line="240" w:lineRule="auto"/>
        <w:ind w:left="1440" w:right="720"/>
      </w:pPr>
      <w:r>
        <w:t xml:space="preserve">Do PG&amp;E and SoCalGas have the requisite gas transmission pipeline and storage </w:t>
      </w:r>
      <w:r w:rsidR="005E382B">
        <w:t xml:space="preserve">capacity </w:t>
      </w:r>
      <w:r>
        <w:t xml:space="preserve">to meet the </w:t>
      </w:r>
      <w:r w:rsidR="005E382B">
        <w:t xml:space="preserve">demand for </w:t>
      </w:r>
      <w:r w:rsidR="005E382B">
        <w:rPr>
          <w:szCs w:val="26"/>
        </w:rPr>
        <w:t>an average day in a one-in-ten cold and dry-hydroelectric year</w:t>
      </w:r>
      <w:r w:rsidR="005E382B">
        <w:t xml:space="preserve"> </w:t>
      </w:r>
      <w:r>
        <w:t>for their respective backbone gas transmission systems?</w:t>
      </w:r>
    </w:p>
    <w:p w14:paraId="2D2FDB80" w14:textId="46E5F433" w:rsidR="00DF01BC" w:rsidRDefault="002E3D00" w:rsidP="00F23737">
      <w:pPr>
        <w:pStyle w:val="Standard"/>
        <w:numPr>
          <w:ilvl w:val="7"/>
          <w:numId w:val="1"/>
        </w:numPr>
        <w:spacing w:after="160" w:line="240" w:lineRule="auto"/>
        <w:ind w:left="1440" w:right="720"/>
      </w:pPr>
      <w:r>
        <w:t>Do PG&amp;E and SoCalGas have the requisite gas transmission pipeline and storage capacity to mee</w:t>
      </w:r>
      <w:r w:rsidR="00405F3D">
        <w:t>t</w:t>
      </w:r>
      <w:r>
        <w:t xml:space="preserve"> the local transmission standards adopted in D.</w:t>
      </w:r>
      <w:r w:rsidR="00C85F05">
        <w:t>06-09-039?</w:t>
      </w:r>
      <w:r>
        <w:t xml:space="preserve"> </w:t>
      </w:r>
    </w:p>
    <w:p w14:paraId="10909E74" w14:textId="33E30BF9" w:rsidR="0026573A" w:rsidRDefault="0026573A" w:rsidP="00F23737">
      <w:pPr>
        <w:pStyle w:val="Standard"/>
        <w:numPr>
          <w:ilvl w:val="7"/>
          <w:numId w:val="1"/>
        </w:numPr>
        <w:spacing w:after="160" w:line="240" w:lineRule="auto"/>
        <w:ind w:left="1440" w:right="720"/>
      </w:pPr>
      <w:r>
        <w:t>How should the Commission respond to a gas utility’s sustained failure to meet</w:t>
      </w:r>
      <w:r w:rsidR="00573724">
        <w:t xml:space="preserve"> minimum </w:t>
      </w:r>
      <w:r w:rsidR="007652E5">
        <w:t xml:space="preserve">transmission system </w:t>
      </w:r>
      <w:r w:rsidR="008C3DAE">
        <w:t xml:space="preserve">design standards? </w:t>
      </w:r>
    </w:p>
    <w:p w14:paraId="4AE9B63E" w14:textId="667F85F4" w:rsidR="00405F3D" w:rsidRDefault="00405F3D" w:rsidP="00F23737">
      <w:pPr>
        <w:pStyle w:val="Standard"/>
        <w:numPr>
          <w:ilvl w:val="6"/>
          <w:numId w:val="1"/>
        </w:numPr>
        <w:spacing w:after="160" w:line="240" w:lineRule="auto"/>
        <w:ind w:left="1080" w:right="720"/>
      </w:pPr>
      <w:r>
        <w:t>Are the existing natural gas reliability standards still adequate?  If not, how should they be changed?</w:t>
      </w:r>
    </w:p>
    <w:p w14:paraId="4542E00B" w14:textId="09473850" w:rsidR="00405F3D" w:rsidRDefault="00896F02" w:rsidP="00F23737">
      <w:pPr>
        <w:pStyle w:val="Standard"/>
        <w:numPr>
          <w:ilvl w:val="7"/>
          <w:numId w:val="1"/>
        </w:numPr>
        <w:spacing w:after="160" w:line="240" w:lineRule="auto"/>
        <w:ind w:left="1440" w:right="720"/>
      </w:pPr>
      <w:r>
        <w:t>Should the Commission establish uniform reliability standard</w:t>
      </w:r>
      <w:r w:rsidR="006D295F">
        <w:t>s</w:t>
      </w:r>
      <w:r>
        <w:t xml:space="preserve"> for PG&amp;E and SoCalGas</w:t>
      </w:r>
      <w:r w:rsidR="00C8748D">
        <w:t>, rather than allow the utilities to continue to use different standards</w:t>
      </w:r>
      <w:r>
        <w:t xml:space="preserve">? </w:t>
      </w:r>
    </w:p>
    <w:p w14:paraId="39D457CB" w14:textId="65E98F45" w:rsidR="00896F02" w:rsidRDefault="00C8748D" w:rsidP="00F23737">
      <w:pPr>
        <w:pStyle w:val="Standard"/>
        <w:numPr>
          <w:ilvl w:val="7"/>
          <w:numId w:val="1"/>
        </w:numPr>
        <w:spacing w:after="160" w:line="240" w:lineRule="auto"/>
        <w:ind w:left="1440" w:right="720"/>
      </w:pPr>
      <w:r>
        <w:t xml:space="preserve">Temperature forecasts </w:t>
      </w:r>
      <w:r w:rsidR="00BB7BDF">
        <w:t xml:space="preserve">for Northern California </w:t>
      </w:r>
      <w:r>
        <w:t>indicate that</w:t>
      </w:r>
      <w:r w:rsidR="00BB7BDF">
        <w:t xml:space="preserve"> between 2018-2035, the average temperature during December and January will be between </w:t>
      </w:r>
      <w:r w:rsidR="00F23737">
        <w:t>two</w:t>
      </w:r>
      <w:r w:rsidR="00BB7BDF">
        <w:t xml:space="preserve"> to </w:t>
      </w:r>
      <w:r w:rsidR="00F23737">
        <w:t>nine</w:t>
      </w:r>
      <w:r w:rsidR="00BB7BDF">
        <w:t xml:space="preserve"> percent </w:t>
      </w:r>
      <w:r w:rsidR="00B80DB3">
        <w:t>above</w:t>
      </w:r>
      <w:r w:rsidR="00BB7BDF">
        <w:t xml:space="preserve"> the 20</w:t>
      </w:r>
      <w:r w:rsidR="00F23737">
        <w:t> </w:t>
      </w:r>
      <w:r w:rsidR="00BB7BDF">
        <w:t xml:space="preserve">year average. </w:t>
      </w:r>
      <w:r>
        <w:t xml:space="preserve"> </w:t>
      </w:r>
      <w:r w:rsidR="00593E15">
        <w:t xml:space="preserve">Will the current reliability standards overstate the capacity that gas utilities must </w:t>
      </w:r>
      <w:r w:rsidR="00BB3D18">
        <w:t>maintain</w:t>
      </w:r>
      <w:r w:rsidR="00593E15">
        <w:t>?</w:t>
      </w:r>
    </w:p>
    <w:p w14:paraId="118B1652" w14:textId="164BCDEE" w:rsidR="007F3082" w:rsidRDefault="007F3082" w:rsidP="00F23737">
      <w:pPr>
        <w:pStyle w:val="Standard"/>
        <w:numPr>
          <w:ilvl w:val="7"/>
          <w:numId w:val="1"/>
        </w:numPr>
        <w:spacing w:after="160" w:line="240" w:lineRule="auto"/>
        <w:ind w:left="1440" w:right="720"/>
      </w:pPr>
      <w:r>
        <w:t xml:space="preserve">Gas-fired generators comprise approximately 40 percent of electric supply during the summer months.  </w:t>
      </w:r>
      <w:r w:rsidR="000F5157">
        <w:t xml:space="preserve">Temperature trends </w:t>
      </w:r>
      <w:r w:rsidR="0026573A">
        <w:t>forecast</w:t>
      </w:r>
      <w:r w:rsidR="000F5157">
        <w:t xml:space="preserve"> warmer summers in </w:t>
      </w:r>
      <w:r w:rsidR="0026573A">
        <w:t>California; thus, s</w:t>
      </w:r>
      <w:r>
        <w:t xml:space="preserve">hould the Commission establish </w:t>
      </w:r>
      <w:r w:rsidR="002B20DC">
        <w:t>separate reliability standard</w:t>
      </w:r>
      <w:r w:rsidR="003E400D">
        <w:t>s</w:t>
      </w:r>
      <w:r w:rsidR="002B20DC">
        <w:t xml:space="preserve"> for the summer months</w:t>
      </w:r>
      <w:r>
        <w:t>?</w:t>
      </w:r>
    </w:p>
    <w:p w14:paraId="701F9572" w14:textId="71037865" w:rsidR="002B20DC" w:rsidRDefault="002B20DC" w:rsidP="00F23737">
      <w:pPr>
        <w:pStyle w:val="Standard"/>
        <w:numPr>
          <w:ilvl w:val="6"/>
          <w:numId w:val="1"/>
        </w:numPr>
        <w:spacing w:after="160" w:line="240" w:lineRule="auto"/>
        <w:ind w:left="1080" w:right="720"/>
      </w:pPr>
      <w:r>
        <w:t xml:space="preserve">Should gas </w:t>
      </w:r>
      <w:r w:rsidR="00B758FE">
        <w:t>utilities</w:t>
      </w:r>
      <w:r>
        <w:t xml:space="preserve"> maintain </w:t>
      </w:r>
      <w:r w:rsidR="00B80DB3">
        <w:t xml:space="preserve">a specific amount of </w:t>
      </w:r>
      <w:r>
        <w:t xml:space="preserve">slack capacity or additional </w:t>
      </w:r>
      <w:r w:rsidR="00B758FE">
        <w:t>infrastructure</w:t>
      </w:r>
      <w:r>
        <w:t xml:space="preserve"> in excess of the amo</w:t>
      </w:r>
      <w:r w:rsidR="00B758FE">
        <w:t xml:space="preserve">unt </w:t>
      </w:r>
      <w:r>
        <w:t xml:space="preserve">of </w:t>
      </w:r>
      <w:r w:rsidR="007652E5">
        <w:t>backbone transmission</w:t>
      </w:r>
      <w:r>
        <w:t xml:space="preserve"> and storage capacity necessary to meet the existing</w:t>
      </w:r>
      <w:r w:rsidR="00B758FE">
        <w:t xml:space="preserve"> one-in-ten cold and dry year reliability standard?</w:t>
      </w:r>
      <w:r>
        <w:t xml:space="preserve"> </w:t>
      </w:r>
      <w:r w:rsidR="00C72F1A">
        <w:t>If so, how much?</w:t>
      </w:r>
    </w:p>
    <w:p w14:paraId="47EACA99" w14:textId="13DB92D8" w:rsidR="008C3DAE" w:rsidRDefault="00B80DB3" w:rsidP="00F23737">
      <w:pPr>
        <w:pStyle w:val="Standard"/>
        <w:numPr>
          <w:ilvl w:val="6"/>
          <w:numId w:val="1"/>
        </w:numPr>
        <w:spacing w:after="160" w:line="240" w:lineRule="auto"/>
        <w:ind w:left="1080" w:right="720"/>
      </w:pPr>
      <w:r>
        <w:lastRenderedPageBreak/>
        <w:t xml:space="preserve">Will transportation of gas to the planned Energía Costa Azul LNG export facility, owned and operated by an affiliate of SoCalGas, </w:t>
      </w:r>
      <w:r w:rsidR="007D45F6">
        <w:t xml:space="preserve">over the proposed expanded North Baja pipeline which is the subject of FERC Docket No. CP20-27, </w:t>
      </w:r>
      <w:r>
        <w:t>impact reliability and prices in SoCalGas’ service territory and beyond? If so, what measures should SoCalGas undertake to assure reliability, and how should such costs be recovered?</w:t>
      </w:r>
    </w:p>
    <w:p w14:paraId="7A5C5794" w14:textId="51F1D583" w:rsidR="00DF01BC" w:rsidRDefault="00DF01BC" w:rsidP="00492D01">
      <w:pPr>
        <w:pStyle w:val="Heading3"/>
      </w:pPr>
      <w:bookmarkStart w:id="19" w:name="_Toc28605935"/>
      <w:bookmarkStart w:id="20" w:name="_Toc28605936"/>
      <w:bookmarkEnd w:id="19"/>
      <w:r>
        <w:t>Track 1B</w:t>
      </w:r>
      <w:r w:rsidR="002D31CB">
        <w:t>: Market Structure and Regulations</w:t>
      </w:r>
      <w:bookmarkEnd w:id="20"/>
    </w:p>
    <w:p w14:paraId="4598E712" w14:textId="43271767" w:rsidR="002D31CB" w:rsidRDefault="000B24CA" w:rsidP="00F23737">
      <w:pPr>
        <w:pStyle w:val="Standard"/>
        <w:numPr>
          <w:ilvl w:val="0"/>
          <w:numId w:val="10"/>
        </w:numPr>
        <w:spacing w:after="160" w:line="240" w:lineRule="auto"/>
        <w:ind w:right="720"/>
      </w:pPr>
      <w:r>
        <w:t xml:space="preserve">Should gas-fired </w:t>
      </w:r>
      <w:r w:rsidR="009866E2">
        <w:t xml:space="preserve">electric </w:t>
      </w:r>
      <w:r>
        <w:t>generators be required to purchase</w:t>
      </w:r>
      <w:r w:rsidR="00167E8C">
        <w:t xml:space="preserve"> a specific amount of</w:t>
      </w:r>
      <w:r>
        <w:t xml:space="preserve"> long-term firm interstate and </w:t>
      </w:r>
      <w:r w:rsidR="004A3724">
        <w:t>intrastate</w:t>
      </w:r>
      <w:r>
        <w:t xml:space="preserve"> capacity?</w:t>
      </w:r>
    </w:p>
    <w:p w14:paraId="0769C6CF" w14:textId="2A4E4C6D" w:rsidR="004A3724" w:rsidRDefault="00DA416A" w:rsidP="00F23737">
      <w:pPr>
        <w:pStyle w:val="Standard"/>
        <w:numPr>
          <w:ilvl w:val="0"/>
          <w:numId w:val="10"/>
        </w:numPr>
        <w:spacing w:after="160" w:line="240" w:lineRule="auto"/>
        <w:ind w:right="720"/>
      </w:pPr>
      <w:r>
        <w:t>During</w:t>
      </w:r>
      <w:r w:rsidR="006A72F0">
        <w:t xml:space="preserve"> 2017 and</w:t>
      </w:r>
      <w:r>
        <w:t xml:space="preserve"> 2018, the higher than average gas prices </w:t>
      </w:r>
      <w:r w:rsidR="007652E5">
        <w:t>at</w:t>
      </w:r>
      <w:r>
        <w:t xml:space="preserve"> SoCal Citygat</w:t>
      </w:r>
      <w:r w:rsidR="007652E5">
        <w:t>e</w:t>
      </w:r>
      <w:r>
        <w:t xml:space="preserve"> caused the price of wholesale electricity</w:t>
      </w:r>
      <w:r w:rsidR="002F4ECA">
        <w:t xml:space="preserve"> to significantly increase</w:t>
      </w:r>
      <w:r>
        <w:t>.</w:t>
      </w:r>
      <w:r w:rsidR="002F4ECA">
        <w:t xml:space="preserve">  </w:t>
      </w:r>
      <w:r w:rsidR="006F1689">
        <w:t>To ensure that natural gas supply is available and gas prices are affordable, s</w:t>
      </w:r>
      <w:r w:rsidR="002F4ECA">
        <w:t>hould the Commission establish contract or tariff terms and conditions or new rules</w:t>
      </w:r>
      <w:r w:rsidR="006F1689">
        <w:t xml:space="preserve"> to facilitate coordination between electric utilities and natural gas utilities</w:t>
      </w:r>
      <w:r w:rsidR="002F4ECA">
        <w:t>?</w:t>
      </w:r>
    </w:p>
    <w:p w14:paraId="6959C814" w14:textId="18D6C123" w:rsidR="00B3160C" w:rsidRDefault="00B3160C" w:rsidP="00F23737">
      <w:pPr>
        <w:pStyle w:val="Standard"/>
        <w:numPr>
          <w:ilvl w:val="0"/>
          <w:numId w:val="10"/>
        </w:numPr>
        <w:spacing w:after="160" w:line="240" w:lineRule="auto"/>
        <w:ind w:right="720"/>
      </w:pPr>
      <w:r>
        <w:t xml:space="preserve">Should </w:t>
      </w:r>
      <w:r w:rsidR="00495EAB">
        <w:t xml:space="preserve">pipeline operating procedures, such as </w:t>
      </w:r>
      <w:r w:rsidR="00167E8C">
        <w:t xml:space="preserve">those for </w:t>
      </w:r>
      <w:r w:rsidR="00495EAB">
        <w:t xml:space="preserve">curtailments and </w:t>
      </w:r>
      <w:r w:rsidR="00843BF1" w:rsidRPr="00492D01">
        <w:t>operational flow orders</w:t>
      </w:r>
      <w:r w:rsidR="00495EAB" w:rsidRPr="00167E8C">
        <w:t>,</w:t>
      </w:r>
      <w:r>
        <w:t xml:space="preserve"> be uniform across the state to avoid the possibility of regulatory arbitrage?</w:t>
      </w:r>
    </w:p>
    <w:p w14:paraId="33321F96" w14:textId="3FD9202F" w:rsidR="002D31CB" w:rsidRDefault="002D31CB" w:rsidP="00492D01">
      <w:pPr>
        <w:pStyle w:val="Heading3"/>
      </w:pPr>
      <w:bookmarkStart w:id="21" w:name="_Toc28605937"/>
      <w:r>
        <w:t>Track 2: Long-Term Natural Gas Policy and Planning</w:t>
      </w:r>
      <w:bookmarkEnd w:id="21"/>
    </w:p>
    <w:p w14:paraId="07B47675" w14:textId="01BC1B25" w:rsidR="002D31CB" w:rsidRDefault="004F2C4A" w:rsidP="00BC0EF1">
      <w:pPr>
        <w:pStyle w:val="Standard"/>
        <w:numPr>
          <w:ilvl w:val="0"/>
          <w:numId w:val="11"/>
        </w:numPr>
        <w:spacing w:after="160" w:line="240" w:lineRule="auto"/>
        <w:ind w:right="720"/>
      </w:pPr>
      <w:r>
        <w:t xml:space="preserve">Given </w:t>
      </w:r>
      <w:r w:rsidR="0017610B">
        <w:t>the current</w:t>
      </w:r>
      <w:r>
        <w:t xml:space="preserve"> greenhouse gas</w:t>
      </w:r>
      <w:r w:rsidR="0017610B">
        <w:t>-related</w:t>
      </w:r>
      <w:r>
        <w:t xml:space="preserve"> </w:t>
      </w:r>
      <w:r w:rsidR="00CD3F1A">
        <w:t>laws</w:t>
      </w:r>
      <w:r>
        <w:t xml:space="preserve">, what is the appropriate </w:t>
      </w:r>
      <w:r w:rsidR="00465979">
        <w:t xml:space="preserve">gas infrastructure </w:t>
      </w:r>
      <w:r w:rsidR="005A0AB7">
        <w:t xml:space="preserve">portfolio for </w:t>
      </w:r>
      <w:r w:rsidR="00A06290">
        <w:t>gas</w:t>
      </w:r>
      <w:r w:rsidR="00AF70A7">
        <w:t xml:space="preserve"> utilities that operat</w:t>
      </w:r>
      <w:r w:rsidR="0017610B">
        <w:t>e in California</w:t>
      </w:r>
      <w:r w:rsidR="00AF70A7">
        <w:t>?</w:t>
      </w:r>
    </w:p>
    <w:p w14:paraId="6C34A788" w14:textId="7042145A" w:rsidR="003133B8" w:rsidRDefault="003133B8" w:rsidP="00BC0EF1">
      <w:pPr>
        <w:pStyle w:val="Standard"/>
        <w:numPr>
          <w:ilvl w:val="1"/>
          <w:numId w:val="11"/>
        </w:numPr>
        <w:spacing w:after="160" w:line="240" w:lineRule="auto"/>
        <w:ind w:left="1440" w:right="720"/>
      </w:pPr>
      <w:r>
        <w:t>How much gas infrastructure is needed to ensure reliable gas service from 2019</w:t>
      </w:r>
      <w:r w:rsidR="00A06290">
        <w:t>-</w:t>
      </w:r>
      <w:r>
        <w:t>2030</w:t>
      </w:r>
      <w:r w:rsidR="006A72F0">
        <w:t xml:space="preserve">, </w:t>
      </w:r>
      <w:r>
        <w:t>2030-2040</w:t>
      </w:r>
      <w:r w:rsidR="00487153">
        <w:t>, and beyond</w:t>
      </w:r>
      <w:r w:rsidR="00A13EB7">
        <w:t xml:space="preserve"> </w:t>
      </w:r>
      <w:r w:rsidR="006A72F0">
        <w:t xml:space="preserve">2045 </w:t>
      </w:r>
      <w:r w:rsidR="00A13EB7">
        <w:t>(Time Horizons)</w:t>
      </w:r>
      <w:r w:rsidR="00487153">
        <w:t xml:space="preserve">?  What type of data should the Commission collect from gas utilities to </w:t>
      </w:r>
      <w:r w:rsidR="00302AF0">
        <w:t>forecast</w:t>
      </w:r>
      <w:r w:rsidR="00487153">
        <w:t xml:space="preserve"> the </w:t>
      </w:r>
      <w:r w:rsidR="00167E8C">
        <w:t xml:space="preserve">expected </w:t>
      </w:r>
      <w:r w:rsidR="00BC24A1">
        <w:t xml:space="preserve">decline in demand for each customer class on the gas utilities’ </w:t>
      </w:r>
      <w:r w:rsidR="00487153">
        <w:t xml:space="preserve">backbone, local transmission and </w:t>
      </w:r>
      <w:r w:rsidR="00BC24A1">
        <w:t>distribution</w:t>
      </w:r>
      <w:r w:rsidR="00487153">
        <w:t xml:space="preserve"> systems</w:t>
      </w:r>
      <w:r w:rsidR="00BC24A1">
        <w:t xml:space="preserve"> during </w:t>
      </w:r>
      <w:r w:rsidR="00A06290">
        <w:t>each</w:t>
      </w:r>
      <w:r w:rsidR="00BC24A1">
        <w:t xml:space="preserve"> </w:t>
      </w:r>
      <w:r w:rsidR="00A13EB7">
        <w:t>T</w:t>
      </w:r>
      <w:r w:rsidR="00BC24A1">
        <w:t xml:space="preserve">ime </w:t>
      </w:r>
      <w:r w:rsidR="00A13EB7">
        <w:t>H</w:t>
      </w:r>
      <w:r w:rsidR="00BC24A1">
        <w:t>orizon?</w:t>
      </w:r>
    </w:p>
    <w:p w14:paraId="08BE2878" w14:textId="0494BEF5" w:rsidR="00BC24A1" w:rsidRDefault="0051163A" w:rsidP="00BC0EF1">
      <w:pPr>
        <w:pStyle w:val="Standard"/>
        <w:numPr>
          <w:ilvl w:val="1"/>
          <w:numId w:val="11"/>
        </w:numPr>
        <w:spacing w:after="160" w:line="240" w:lineRule="auto"/>
        <w:ind w:left="1440" w:right="720"/>
      </w:pPr>
      <w:r>
        <w:t xml:space="preserve">For each </w:t>
      </w:r>
      <w:r w:rsidR="00A13EB7">
        <w:t>T</w:t>
      </w:r>
      <w:r>
        <w:t xml:space="preserve">ime </w:t>
      </w:r>
      <w:r w:rsidR="00A13EB7">
        <w:t>H</w:t>
      </w:r>
      <w:r>
        <w:t xml:space="preserve">orizon, </w:t>
      </w:r>
      <w:r w:rsidR="00C467F8">
        <w:t xml:space="preserve">during which gas demand </w:t>
      </w:r>
      <w:r w:rsidR="00CD3F1A">
        <w:t xml:space="preserve">is expected to </w:t>
      </w:r>
      <w:r w:rsidR="00C467F8">
        <w:t xml:space="preserve">decline, </w:t>
      </w:r>
      <w:r>
        <w:t xml:space="preserve">how does the Commission ensure that the gas </w:t>
      </w:r>
      <w:r>
        <w:lastRenderedPageBreak/>
        <w:t>utilities maintain safe</w:t>
      </w:r>
      <w:r w:rsidR="00CD3F1A">
        <w:t xml:space="preserve"> and</w:t>
      </w:r>
      <w:r>
        <w:t xml:space="preserve"> reliab</w:t>
      </w:r>
      <w:r w:rsidR="00167E8C">
        <w:t>le</w:t>
      </w:r>
      <w:r w:rsidR="00C467F8">
        <w:t xml:space="preserve"> </w:t>
      </w:r>
      <w:r w:rsidR="00EB63E1">
        <w:t>gas</w:t>
      </w:r>
      <w:r w:rsidR="00C467F8">
        <w:t xml:space="preserve"> systems at rates that are just and reasonable? </w:t>
      </w:r>
    </w:p>
    <w:p w14:paraId="0153787A" w14:textId="30BCFFE8" w:rsidR="006D7162" w:rsidRDefault="006D7162" w:rsidP="00BC0EF1">
      <w:pPr>
        <w:pStyle w:val="Standard"/>
        <w:numPr>
          <w:ilvl w:val="1"/>
          <w:numId w:val="11"/>
        </w:numPr>
        <w:spacing w:after="160" w:line="240" w:lineRule="auto"/>
        <w:ind w:left="1440" w:right="720"/>
      </w:pPr>
      <w:r>
        <w:t xml:space="preserve">For each </w:t>
      </w:r>
      <w:r w:rsidR="00A13EB7">
        <w:t>T</w:t>
      </w:r>
      <w:r>
        <w:t xml:space="preserve">ime </w:t>
      </w:r>
      <w:r w:rsidR="00A13EB7">
        <w:t>H</w:t>
      </w:r>
      <w:r>
        <w:t xml:space="preserve">orizon, how can the Commission manage the </w:t>
      </w:r>
      <w:r w:rsidR="00033DB0">
        <w:t>transition</w:t>
      </w:r>
      <w:r>
        <w:t xml:space="preserve"> of gas </w:t>
      </w:r>
      <w:r w:rsidR="00033DB0">
        <w:t>infrastructure</w:t>
      </w:r>
      <w:r>
        <w:t xml:space="preserve"> so that </w:t>
      </w:r>
      <w:r w:rsidR="001B5D28">
        <w:t xml:space="preserve">the </w:t>
      </w:r>
      <w:r w:rsidR="00033DB0">
        <w:t>stranded costs and operations and maintenance expenses</w:t>
      </w:r>
      <w:r w:rsidR="003A0FBD">
        <w:t xml:space="preserve"> </w:t>
      </w:r>
      <w:r w:rsidR="003A0FBD" w:rsidRPr="001B5D28">
        <w:t>caused by</w:t>
      </w:r>
      <w:r w:rsidR="003A0FBD">
        <w:t xml:space="preserve"> declining throughput</w:t>
      </w:r>
      <w:r w:rsidR="00033DB0">
        <w:t xml:space="preserve"> are mitigated? </w:t>
      </w:r>
      <w:r w:rsidR="003A0FBD">
        <w:t xml:space="preserve"> Should the Commission consider accelerated depreciation or targeted infrastructure retirements?</w:t>
      </w:r>
    </w:p>
    <w:p w14:paraId="5DB2398D" w14:textId="1956C100" w:rsidR="009866E2" w:rsidRDefault="009866E2" w:rsidP="00BC0EF1">
      <w:pPr>
        <w:pStyle w:val="Standard"/>
        <w:numPr>
          <w:ilvl w:val="1"/>
          <w:numId w:val="11"/>
        </w:numPr>
        <w:spacing w:after="160" w:line="240" w:lineRule="auto"/>
        <w:ind w:left="1440" w:right="720"/>
      </w:pPr>
      <w:r>
        <w:t xml:space="preserve">Should the Commission establish parameters to determine when aging infrastructure, </w:t>
      </w:r>
      <w:bookmarkStart w:id="22" w:name="_Hlk27715157"/>
      <w:r>
        <w:t>such as assets that are near the end of their useful lives</w:t>
      </w:r>
      <w:bookmarkEnd w:id="22"/>
      <w:r>
        <w:t>, should be replaced to meet reliability needs?</w:t>
      </w:r>
    </w:p>
    <w:p w14:paraId="27453887" w14:textId="456B643E" w:rsidR="003A5D66" w:rsidRDefault="003A5D66" w:rsidP="00BC0EF1">
      <w:pPr>
        <w:pStyle w:val="Standard"/>
        <w:numPr>
          <w:ilvl w:val="0"/>
          <w:numId w:val="11"/>
        </w:numPr>
        <w:spacing w:after="160" w:line="240" w:lineRule="auto"/>
        <w:ind w:right="720"/>
      </w:pPr>
      <w:r>
        <w:t>Should the Commission reconsider gas rate design and cost allocation methods, particularly marginal cost allocation methods versus embedded cost methodologies</w:t>
      </w:r>
      <w:r w:rsidR="00167E8C">
        <w:t>, in subsequent General Rate Cases</w:t>
      </w:r>
      <w:r>
        <w:t>?  Do rate design changes raise affordability and other economic concerns, especially for disadvantaged residential customers, and what criteria should the Commission apply when considering this issue?</w:t>
      </w:r>
    </w:p>
    <w:p w14:paraId="155FD5C3" w14:textId="2EB96B62" w:rsidR="00353C4E" w:rsidRPr="00353C4E" w:rsidRDefault="00353C4E" w:rsidP="00BC0EF1">
      <w:pPr>
        <w:pStyle w:val="Standard"/>
        <w:numPr>
          <w:ilvl w:val="0"/>
          <w:numId w:val="11"/>
        </w:numPr>
        <w:spacing w:after="160" w:line="240" w:lineRule="auto"/>
        <w:ind w:right="720"/>
      </w:pPr>
      <w:r w:rsidRPr="00DA768B">
        <w:rPr>
          <w:rFonts w:eastAsia="Times New Roman"/>
        </w:rPr>
        <w:t xml:space="preserve">How should the Commission manage the natural gas transition </w:t>
      </w:r>
      <w:r>
        <w:rPr>
          <w:rFonts w:eastAsia="Times New Roman"/>
        </w:rPr>
        <w:t>indicated</w:t>
      </w:r>
      <w:r w:rsidRPr="00DA768B">
        <w:rPr>
          <w:rFonts w:eastAsia="Times New Roman"/>
        </w:rPr>
        <w:t xml:space="preserve"> by the long-range portfolio modeling in the </w:t>
      </w:r>
      <w:r>
        <w:rPr>
          <w:rFonts w:eastAsia="Times New Roman"/>
        </w:rPr>
        <w:t xml:space="preserve">Commission’s </w:t>
      </w:r>
      <w:r w:rsidRPr="00DA768B">
        <w:rPr>
          <w:rFonts w:eastAsia="Times New Roman"/>
        </w:rPr>
        <w:t>Integrated Resource Plan</w:t>
      </w:r>
      <w:r>
        <w:rPr>
          <w:rFonts w:eastAsia="Times New Roman"/>
        </w:rPr>
        <w:t xml:space="preserve"> program</w:t>
      </w:r>
      <w:r w:rsidRPr="00DA768B">
        <w:rPr>
          <w:rFonts w:eastAsia="Times New Roman"/>
        </w:rPr>
        <w:t xml:space="preserve">, </w:t>
      </w:r>
      <w:r w:rsidRPr="006549C7">
        <w:rPr>
          <w:rFonts w:eastAsia="Times New Roman"/>
        </w:rPr>
        <w:t>in which gas-fired generation undergoes economic retirements</w:t>
      </w:r>
      <w:r w:rsidRPr="00DA768B">
        <w:rPr>
          <w:rFonts w:eastAsia="Times New Roman"/>
        </w:rPr>
        <w:t xml:space="preserve"> </w:t>
      </w:r>
      <w:r w:rsidR="006549C7">
        <w:rPr>
          <w:rFonts w:eastAsia="Times New Roman"/>
        </w:rPr>
        <w:t>but also</w:t>
      </w:r>
      <w:r w:rsidRPr="00DA768B">
        <w:rPr>
          <w:rFonts w:eastAsia="Times New Roman"/>
        </w:rPr>
        <w:t xml:space="preserve"> remains needed </w:t>
      </w:r>
      <w:r w:rsidR="006A72F0">
        <w:rPr>
          <w:rFonts w:eastAsia="Times New Roman"/>
        </w:rPr>
        <w:t xml:space="preserve">in the short term </w:t>
      </w:r>
      <w:r w:rsidR="00A06290">
        <w:rPr>
          <w:rFonts w:eastAsia="Times New Roman"/>
        </w:rPr>
        <w:t xml:space="preserve">for </w:t>
      </w:r>
      <w:r w:rsidR="00016696">
        <w:rPr>
          <w:rFonts w:eastAsia="Times New Roman"/>
        </w:rPr>
        <w:t>reliability purposes</w:t>
      </w:r>
      <w:r w:rsidRPr="00DA768B">
        <w:rPr>
          <w:rFonts w:eastAsia="Times New Roman"/>
        </w:rPr>
        <w:t>?</w:t>
      </w:r>
    </w:p>
    <w:p w14:paraId="7ED3FB95" w14:textId="596E6191" w:rsidR="00353C4E" w:rsidRDefault="00353C4E" w:rsidP="00BC0EF1">
      <w:pPr>
        <w:pStyle w:val="Standard"/>
        <w:numPr>
          <w:ilvl w:val="0"/>
          <w:numId w:val="11"/>
        </w:numPr>
        <w:spacing w:after="160" w:line="240" w:lineRule="auto"/>
        <w:ind w:right="720"/>
      </w:pPr>
      <w:r>
        <w:t xml:space="preserve">What </w:t>
      </w:r>
      <w:r w:rsidR="00472DD3">
        <w:t>utility</w:t>
      </w:r>
      <w:r>
        <w:t xml:space="preserve"> workforce considerations are raised by a transition away from natural gas, and how should these be included in the long-term gas planning process?</w:t>
      </w:r>
    </w:p>
    <w:p w14:paraId="68E1600F" w14:textId="44ADC4B7" w:rsidR="00ED750D" w:rsidRDefault="00B8385D" w:rsidP="00492D01">
      <w:pPr>
        <w:pStyle w:val="Heading2"/>
      </w:pPr>
      <w:bookmarkStart w:id="23" w:name="_Toc28605938"/>
      <w:bookmarkStart w:id="24" w:name="_Toc8123720"/>
      <w:r>
        <w:t xml:space="preserve">Preliminary </w:t>
      </w:r>
      <w:r w:rsidR="00ED750D">
        <w:t>Schedules for Tracks 1A, 1B, and 2</w:t>
      </w:r>
      <w:bookmarkEnd w:id="23"/>
    </w:p>
    <w:p w14:paraId="535F4549" w14:textId="6F2291EB" w:rsidR="002D31CB" w:rsidRDefault="002D31CB" w:rsidP="002D31CB">
      <w:pPr>
        <w:pStyle w:val="Standard"/>
      </w:pPr>
      <w:r>
        <w:t xml:space="preserve">The </w:t>
      </w:r>
      <w:r w:rsidR="00B8385D">
        <w:t xml:space="preserve">preliminary </w:t>
      </w:r>
      <w:r>
        <w:t xml:space="preserve">schedule </w:t>
      </w:r>
      <w:r w:rsidR="00EC7308">
        <w:t xml:space="preserve">for each </w:t>
      </w:r>
      <w:r w:rsidR="000A4A51">
        <w:t>phase of the proceeding</w:t>
      </w:r>
      <w:r w:rsidR="00EC7308">
        <w:t xml:space="preserve"> </w:t>
      </w:r>
      <w:r w:rsidR="00B8385D">
        <w:t>is below</w:t>
      </w:r>
      <w:r w:rsidR="00EC7308">
        <w:t xml:space="preserve">.  </w:t>
      </w:r>
      <w:r w:rsidR="00D9597A">
        <w:t>S</w:t>
      </w:r>
      <w:r w:rsidR="00D70C78">
        <w:t>eparate prehearing</w:t>
      </w:r>
      <w:r w:rsidR="00D9597A">
        <w:t xml:space="preserve"> conferences will be conducted for each Track in this proceeding</w:t>
      </w:r>
      <w:r w:rsidR="00D70C78">
        <w:t>.  A scoping memo will be issued for each Track</w:t>
      </w:r>
      <w:r w:rsidR="00D9597A">
        <w:t>,</w:t>
      </w:r>
      <w:r w:rsidR="00D70C78">
        <w:t xml:space="preserve"> in advance of the scheduled workshop. </w:t>
      </w:r>
      <w:r w:rsidR="00732E37">
        <w:t xml:space="preserve"> </w:t>
      </w:r>
      <w:r w:rsidR="009C0A09">
        <w:t>Accordingly</w:t>
      </w:r>
      <w:r w:rsidR="00B8385D">
        <w:t xml:space="preserve">, the schedule for each </w:t>
      </w:r>
      <w:r w:rsidR="00D9597A">
        <w:t>T</w:t>
      </w:r>
      <w:r w:rsidR="00B8385D">
        <w:t>rack will be finalized in the scoping memo.</w:t>
      </w:r>
    </w:p>
    <w:p w14:paraId="6C5E6475" w14:textId="309E5C35" w:rsidR="006537A1" w:rsidRDefault="006537A1" w:rsidP="002D31CB">
      <w:pPr>
        <w:pStyle w:val="Standard"/>
      </w:pPr>
      <w:r w:rsidRPr="00B57236">
        <w:lastRenderedPageBreak/>
        <w:t xml:space="preserve">Tracks 1A and </w:t>
      </w:r>
      <w:r w:rsidR="00CA1246" w:rsidRPr="00B57236">
        <w:t>1B</w:t>
      </w:r>
      <w:r w:rsidRPr="00B57236">
        <w:t xml:space="preserve"> </w:t>
      </w:r>
      <w:r w:rsidR="00472DD3">
        <w:t>are expected to</w:t>
      </w:r>
      <w:r w:rsidRPr="00B57236">
        <w:t xml:space="preserve"> conform to the </w:t>
      </w:r>
      <w:r w:rsidR="00CA1246" w:rsidRPr="00B57236">
        <w:t xml:space="preserve">18-month </w:t>
      </w:r>
      <w:r w:rsidRPr="00B57236">
        <w:t xml:space="preserve">statutory case management deadline for </w:t>
      </w:r>
      <w:r w:rsidR="00CA1246" w:rsidRPr="00B57236">
        <w:t>quasi-legislative</w:t>
      </w:r>
      <w:r w:rsidRPr="00B57236">
        <w:t xml:space="preserve"> matters</w:t>
      </w:r>
      <w:r w:rsidR="00FA7D62">
        <w:t xml:space="preserve"> </w:t>
      </w:r>
      <w:r w:rsidR="00FF49E9" w:rsidRPr="00B57236">
        <w:t xml:space="preserve">as </w:t>
      </w:r>
      <w:r w:rsidRPr="00B57236">
        <w:t xml:space="preserve">set forth in </w:t>
      </w:r>
      <w:r w:rsidR="00B55496" w:rsidRPr="00B57236">
        <w:t>Section</w:t>
      </w:r>
      <w:r w:rsidR="00185D74" w:rsidRPr="00B57236">
        <w:t xml:space="preserve"> 1701.5. </w:t>
      </w:r>
      <w:r w:rsidRPr="00B57236">
        <w:t xml:space="preserve"> </w:t>
      </w:r>
      <w:r w:rsidR="00CA1246" w:rsidRPr="00B57236">
        <w:t xml:space="preserve">For Track 2, </w:t>
      </w:r>
      <w:r w:rsidR="00FF49E9" w:rsidRPr="00B57236">
        <w:t xml:space="preserve">the Commission </w:t>
      </w:r>
      <w:r w:rsidR="00B57236" w:rsidRPr="00B57236">
        <w:t>exercise</w:t>
      </w:r>
      <w:r w:rsidR="00472DD3">
        <w:t>s</w:t>
      </w:r>
      <w:r w:rsidR="00B57236" w:rsidRPr="00B57236">
        <w:t xml:space="preserve"> its authority under Section 1701.5(b) </w:t>
      </w:r>
      <w:r w:rsidR="00A06290">
        <w:t>to</w:t>
      </w:r>
      <w:r w:rsidR="00B57236" w:rsidRPr="00B57236">
        <w:t xml:space="preserve"> extend the statutory deadline to 3</w:t>
      </w:r>
      <w:r w:rsidR="008E6C61">
        <w:t>1</w:t>
      </w:r>
      <w:r w:rsidR="00B57236" w:rsidRPr="00B57236">
        <w:t xml:space="preserve"> months so that it can </w:t>
      </w:r>
      <w:r w:rsidR="00B57236">
        <w:t xml:space="preserve">first resolve the </w:t>
      </w:r>
      <w:r w:rsidR="00B57236" w:rsidRPr="00B57236">
        <w:t>issues in Track 1A and 1B and coordinate with other proceedings.</w:t>
      </w:r>
      <w:r w:rsidR="00B57236">
        <w:rPr>
          <w:highlight w:val="yellow"/>
        </w:rPr>
        <w:t xml:space="preserve"> </w:t>
      </w:r>
    </w:p>
    <w:p w14:paraId="533951A7" w14:textId="46442DCD" w:rsidR="008C6D83" w:rsidRDefault="00094B3E" w:rsidP="008C6D83">
      <w:pPr>
        <w:pStyle w:val="Standard"/>
      </w:pPr>
      <w:r>
        <w:t>Initial co</w:t>
      </w:r>
      <w:r w:rsidR="0014390B">
        <w:t xml:space="preserve">mments </w:t>
      </w:r>
      <w:r w:rsidR="006D3773">
        <w:t xml:space="preserve">on the </w:t>
      </w:r>
      <w:r w:rsidR="007141ED">
        <w:t>P</w:t>
      </w:r>
      <w:r w:rsidR="006D3773">
        <w:t xml:space="preserve">reliminary </w:t>
      </w:r>
      <w:r w:rsidR="007141ED">
        <w:t xml:space="preserve">Scoping Memo must be filed </w:t>
      </w:r>
      <w:r>
        <w:t>within</w:t>
      </w:r>
      <w:r w:rsidR="006D3773">
        <w:t xml:space="preserve"> 30 days</w:t>
      </w:r>
      <w:r w:rsidR="008C6D83">
        <w:t xml:space="preserve"> </w:t>
      </w:r>
      <w:r w:rsidR="006D3773">
        <w:t>after the OIR has been issued</w:t>
      </w:r>
      <w:r w:rsidR="00D26287">
        <w:t xml:space="preserve"> </w:t>
      </w:r>
      <w:r w:rsidR="007141ED">
        <w:t>and</w:t>
      </w:r>
      <w:r w:rsidR="008C6D83">
        <w:t xml:space="preserve"> </w:t>
      </w:r>
      <w:r w:rsidR="006D3773">
        <w:t xml:space="preserve">reply comments </w:t>
      </w:r>
      <w:r>
        <w:t>must be filed within</w:t>
      </w:r>
      <w:r w:rsidR="006D3773">
        <w:t xml:space="preserve"> 45 days after the OIR has been issued. </w:t>
      </w:r>
    </w:p>
    <w:p w14:paraId="292F09D9" w14:textId="635872CF" w:rsidR="00ED750D" w:rsidRDefault="00ED750D" w:rsidP="00492D01">
      <w:pPr>
        <w:pStyle w:val="Heading3"/>
      </w:pPr>
      <w:bookmarkStart w:id="25" w:name="_Toc28605939"/>
      <w:r>
        <w:t>Track</w:t>
      </w:r>
      <w:r w:rsidR="003060CF">
        <w:t>s</w:t>
      </w:r>
      <w:r>
        <w:t xml:space="preserve"> 1A</w:t>
      </w:r>
      <w:r w:rsidR="003060CF">
        <w:t xml:space="preserve">: </w:t>
      </w:r>
      <w:r w:rsidR="00DF01BC">
        <w:t>Reliability Standard</w:t>
      </w:r>
      <w:r w:rsidR="003E400D">
        <w:t>s</w:t>
      </w:r>
      <w:r w:rsidR="003060CF">
        <w:t>, 1B:</w:t>
      </w:r>
      <w:r w:rsidR="003060CF" w:rsidRPr="003060CF">
        <w:t xml:space="preserve"> </w:t>
      </w:r>
      <w:r w:rsidR="003060CF">
        <w:t>Market Structure and Regulations</w:t>
      </w:r>
      <w:bookmarkEnd w:id="25"/>
    </w:p>
    <w:tbl>
      <w:tblPr>
        <w:tblStyle w:val="TableGrid"/>
        <w:tblW w:w="9355" w:type="dxa"/>
        <w:tblLook w:val="04A0" w:firstRow="1" w:lastRow="0" w:firstColumn="1" w:lastColumn="0" w:noHBand="0" w:noVBand="1"/>
      </w:tblPr>
      <w:tblGrid>
        <w:gridCol w:w="3955"/>
        <w:gridCol w:w="2700"/>
        <w:gridCol w:w="2700"/>
      </w:tblGrid>
      <w:tr w:rsidR="00956906" w14:paraId="6E9F8BF2" w14:textId="77777777" w:rsidTr="009A3459">
        <w:tc>
          <w:tcPr>
            <w:tcW w:w="3955" w:type="dxa"/>
            <w:vMerge w:val="restart"/>
          </w:tcPr>
          <w:p w14:paraId="3DF61E60" w14:textId="54817EFF" w:rsidR="00956906" w:rsidRPr="00A909D2" w:rsidRDefault="00956906" w:rsidP="00BC0EF1">
            <w:pPr>
              <w:pStyle w:val="Standard"/>
              <w:keepNext/>
              <w:keepLines/>
              <w:spacing w:before="40" w:after="40" w:line="240" w:lineRule="auto"/>
              <w:ind w:firstLine="0"/>
              <w:rPr>
                <w:b/>
                <w:bCs/>
              </w:rPr>
            </w:pPr>
            <w:r w:rsidRPr="00A909D2">
              <w:rPr>
                <w:b/>
                <w:bCs/>
              </w:rPr>
              <w:t>Activity</w:t>
            </w:r>
          </w:p>
        </w:tc>
        <w:tc>
          <w:tcPr>
            <w:tcW w:w="5400" w:type="dxa"/>
            <w:gridSpan w:val="2"/>
          </w:tcPr>
          <w:p w14:paraId="383F4750" w14:textId="1EBFA1A0" w:rsidR="00956906" w:rsidRPr="00A909D2" w:rsidRDefault="00956906" w:rsidP="00BC0EF1">
            <w:pPr>
              <w:pStyle w:val="Standard"/>
              <w:keepNext/>
              <w:keepLines/>
              <w:spacing w:before="40" w:after="40" w:line="240" w:lineRule="auto"/>
              <w:ind w:firstLine="0"/>
              <w:rPr>
                <w:b/>
                <w:bCs/>
              </w:rPr>
            </w:pPr>
            <w:r w:rsidRPr="00A909D2">
              <w:rPr>
                <w:b/>
                <w:bCs/>
              </w:rPr>
              <w:t>Time Period</w:t>
            </w:r>
          </w:p>
        </w:tc>
      </w:tr>
      <w:tr w:rsidR="00956906" w14:paraId="762A12D4" w14:textId="46A7636C" w:rsidTr="00A24FD2">
        <w:tc>
          <w:tcPr>
            <w:tcW w:w="3955" w:type="dxa"/>
            <w:vMerge/>
          </w:tcPr>
          <w:p w14:paraId="7292A37C" w14:textId="38A847D3" w:rsidR="00956906" w:rsidRPr="00A909D2" w:rsidRDefault="00956906" w:rsidP="00BC0EF1">
            <w:pPr>
              <w:pStyle w:val="Standard"/>
              <w:keepNext/>
              <w:keepLines/>
              <w:spacing w:before="40" w:after="40" w:line="240" w:lineRule="auto"/>
              <w:ind w:firstLine="0"/>
              <w:rPr>
                <w:b/>
                <w:bCs/>
              </w:rPr>
            </w:pPr>
          </w:p>
        </w:tc>
        <w:tc>
          <w:tcPr>
            <w:tcW w:w="2700" w:type="dxa"/>
          </w:tcPr>
          <w:p w14:paraId="7E96B1A5" w14:textId="31DD5E68" w:rsidR="00956906" w:rsidRPr="00A909D2" w:rsidRDefault="00956906" w:rsidP="00BC0EF1">
            <w:pPr>
              <w:pStyle w:val="Standard"/>
              <w:keepNext/>
              <w:keepLines/>
              <w:spacing w:before="40" w:after="40" w:line="240" w:lineRule="auto"/>
              <w:ind w:firstLine="0"/>
              <w:rPr>
                <w:b/>
                <w:bCs/>
              </w:rPr>
            </w:pPr>
            <w:r w:rsidRPr="00A909D2">
              <w:rPr>
                <w:b/>
                <w:bCs/>
              </w:rPr>
              <w:t>Track 1A</w:t>
            </w:r>
          </w:p>
        </w:tc>
        <w:tc>
          <w:tcPr>
            <w:tcW w:w="2700" w:type="dxa"/>
          </w:tcPr>
          <w:p w14:paraId="1E9DF463" w14:textId="437953C5" w:rsidR="00956906" w:rsidRPr="00A909D2" w:rsidRDefault="00956906" w:rsidP="00BC0EF1">
            <w:pPr>
              <w:pStyle w:val="Standard"/>
              <w:keepNext/>
              <w:keepLines/>
              <w:spacing w:before="40" w:after="40" w:line="240" w:lineRule="auto"/>
              <w:ind w:firstLine="0"/>
              <w:rPr>
                <w:b/>
                <w:bCs/>
              </w:rPr>
            </w:pPr>
            <w:r w:rsidRPr="00A909D2">
              <w:rPr>
                <w:b/>
                <w:bCs/>
              </w:rPr>
              <w:t>Track 1B</w:t>
            </w:r>
          </w:p>
        </w:tc>
      </w:tr>
      <w:tr w:rsidR="00A06290" w14:paraId="0ADD70B8" w14:textId="2CB53EC0" w:rsidTr="006E4FA0">
        <w:tc>
          <w:tcPr>
            <w:tcW w:w="3955" w:type="dxa"/>
          </w:tcPr>
          <w:p w14:paraId="47215403" w14:textId="3F14D1EA" w:rsidR="00A06290" w:rsidRDefault="00A06290" w:rsidP="00BC0EF1">
            <w:pPr>
              <w:pStyle w:val="Standard"/>
              <w:keepNext/>
              <w:keepLines/>
              <w:spacing w:before="40" w:after="40" w:line="240" w:lineRule="auto"/>
              <w:ind w:firstLine="0"/>
            </w:pPr>
            <w:r>
              <w:t>Hold Prehearing Conference</w:t>
            </w:r>
          </w:p>
        </w:tc>
        <w:tc>
          <w:tcPr>
            <w:tcW w:w="5400" w:type="dxa"/>
            <w:gridSpan w:val="2"/>
          </w:tcPr>
          <w:p w14:paraId="40351BD9" w14:textId="387BC34F" w:rsidR="00A06290" w:rsidRDefault="00A06290" w:rsidP="00BC0EF1">
            <w:pPr>
              <w:pStyle w:val="Standard"/>
              <w:keepNext/>
              <w:keepLines/>
              <w:spacing w:before="40" w:after="40" w:line="240" w:lineRule="auto"/>
              <w:ind w:firstLine="0"/>
            </w:pPr>
            <w:r>
              <w:t>March 2020</w:t>
            </w:r>
          </w:p>
        </w:tc>
      </w:tr>
      <w:tr w:rsidR="00A24FD2" w14:paraId="5DA0FD3A" w14:textId="507A3457" w:rsidTr="00A24FD2">
        <w:tc>
          <w:tcPr>
            <w:tcW w:w="3955" w:type="dxa"/>
          </w:tcPr>
          <w:p w14:paraId="6C39FE8F" w14:textId="5081FEBC" w:rsidR="00A24FD2" w:rsidRDefault="00A24FD2" w:rsidP="00BC0EF1">
            <w:pPr>
              <w:pStyle w:val="Standard"/>
              <w:keepNext/>
              <w:keepLines/>
              <w:spacing w:before="40" w:after="40" w:line="240" w:lineRule="auto"/>
              <w:ind w:firstLine="0"/>
            </w:pPr>
            <w:r>
              <w:t>Conduct Workshop</w:t>
            </w:r>
          </w:p>
        </w:tc>
        <w:tc>
          <w:tcPr>
            <w:tcW w:w="2700" w:type="dxa"/>
          </w:tcPr>
          <w:p w14:paraId="07E7AB3D" w14:textId="46A15615" w:rsidR="00A24FD2" w:rsidRDefault="00A24FD2" w:rsidP="00BC0EF1">
            <w:pPr>
              <w:pStyle w:val="Standard"/>
              <w:keepNext/>
              <w:keepLines/>
              <w:spacing w:before="40" w:after="40" w:line="240" w:lineRule="auto"/>
              <w:ind w:firstLine="0"/>
            </w:pPr>
            <w:r>
              <w:t>Early July 2020</w:t>
            </w:r>
          </w:p>
        </w:tc>
        <w:tc>
          <w:tcPr>
            <w:tcW w:w="2700" w:type="dxa"/>
          </w:tcPr>
          <w:p w14:paraId="7B36C5A5" w14:textId="1B0BE29F" w:rsidR="00A24FD2" w:rsidRDefault="0057534A" w:rsidP="00BC0EF1">
            <w:pPr>
              <w:pStyle w:val="Standard"/>
              <w:keepNext/>
              <w:keepLines/>
              <w:spacing w:before="40" w:after="40" w:line="240" w:lineRule="auto"/>
              <w:ind w:firstLine="0"/>
            </w:pPr>
            <w:r>
              <w:t>Mid-July 2020</w:t>
            </w:r>
          </w:p>
        </w:tc>
      </w:tr>
      <w:tr w:rsidR="00A24FD2" w14:paraId="7995F6A0" w14:textId="7F493530" w:rsidTr="00A24FD2">
        <w:tc>
          <w:tcPr>
            <w:tcW w:w="3955" w:type="dxa"/>
          </w:tcPr>
          <w:p w14:paraId="041F9183" w14:textId="218E12AB" w:rsidR="00A24FD2" w:rsidRDefault="00A24FD2" w:rsidP="00BC0EF1">
            <w:pPr>
              <w:pStyle w:val="Standard"/>
              <w:keepNext/>
              <w:keepLines/>
              <w:spacing w:before="40" w:after="40" w:line="240" w:lineRule="auto"/>
              <w:ind w:firstLine="0"/>
            </w:pPr>
            <w:r>
              <w:t>Publish Workshop Report</w:t>
            </w:r>
          </w:p>
        </w:tc>
        <w:tc>
          <w:tcPr>
            <w:tcW w:w="2700" w:type="dxa"/>
          </w:tcPr>
          <w:p w14:paraId="4A1DF03B" w14:textId="4B02C85E" w:rsidR="00A24FD2" w:rsidRDefault="00A24FD2" w:rsidP="00BC0EF1">
            <w:pPr>
              <w:pStyle w:val="Standard"/>
              <w:keepNext/>
              <w:keepLines/>
              <w:spacing w:before="40" w:after="40" w:line="240" w:lineRule="auto"/>
              <w:ind w:firstLine="0"/>
            </w:pPr>
            <w:r>
              <w:t>Late August 2020</w:t>
            </w:r>
          </w:p>
        </w:tc>
        <w:tc>
          <w:tcPr>
            <w:tcW w:w="2700" w:type="dxa"/>
          </w:tcPr>
          <w:p w14:paraId="368A6228" w14:textId="52858C21" w:rsidR="00A24FD2" w:rsidRDefault="0057534A" w:rsidP="00BC0EF1">
            <w:pPr>
              <w:pStyle w:val="Standard"/>
              <w:keepNext/>
              <w:keepLines/>
              <w:spacing w:before="40" w:after="40" w:line="240" w:lineRule="auto"/>
              <w:ind w:firstLine="0"/>
            </w:pPr>
            <w:r>
              <w:t>Mid-September 2020</w:t>
            </w:r>
          </w:p>
        </w:tc>
      </w:tr>
      <w:tr w:rsidR="00A24FD2" w14:paraId="6EC37BA0" w14:textId="75E46BC6" w:rsidTr="00A24FD2">
        <w:tc>
          <w:tcPr>
            <w:tcW w:w="3955" w:type="dxa"/>
          </w:tcPr>
          <w:p w14:paraId="0923473F" w14:textId="7BB8FF01" w:rsidR="00A24FD2" w:rsidRDefault="00A24FD2" w:rsidP="00BC0EF1">
            <w:pPr>
              <w:pStyle w:val="Standard"/>
              <w:spacing w:before="40" w:after="40" w:line="240" w:lineRule="auto"/>
              <w:ind w:firstLine="0"/>
            </w:pPr>
            <w:r>
              <w:t>Initial Comments on Workshop Report</w:t>
            </w:r>
          </w:p>
        </w:tc>
        <w:tc>
          <w:tcPr>
            <w:tcW w:w="2700" w:type="dxa"/>
          </w:tcPr>
          <w:p w14:paraId="2970FDC0" w14:textId="39A6BE93" w:rsidR="00A24FD2" w:rsidRDefault="00A24FD2" w:rsidP="00BC0EF1">
            <w:pPr>
              <w:pStyle w:val="Standard"/>
              <w:spacing w:before="40" w:after="40" w:line="240" w:lineRule="auto"/>
              <w:ind w:firstLine="0"/>
            </w:pPr>
            <w:r>
              <w:t>Late September 2020</w:t>
            </w:r>
          </w:p>
        </w:tc>
        <w:tc>
          <w:tcPr>
            <w:tcW w:w="2700" w:type="dxa"/>
          </w:tcPr>
          <w:p w14:paraId="57078390" w14:textId="5A31AF3C" w:rsidR="00A24FD2" w:rsidRDefault="001E2E26" w:rsidP="00BC0EF1">
            <w:pPr>
              <w:pStyle w:val="Standard"/>
              <w:spacing w:before="40" w:after="40" w:line="240" w:lineRule="auto"/>
              <w:ind w:firstLine="0"/>
            </w:pPr>
            <w:r>
              <w:t>Mid-October 2020</w:t>
            </w:r>
          </w:p>
        </w:tc>
      </w:tr>
      <w:tr w:rsidR="00A24FD2" w14:paraId="309A8B58" w14:textId="564F163C" w:rsidTr="00A24FD2">
        <w:tc>
          <w:tcPr>
            <w:tcW w:w="3955" w:type="dxa"/>
          </w:tcPr>
          <w:p w14:paraId="5C6A90E6" w14:textId="4BA45D4C" w:rsidR="00A24FD2" w:rsidRDefault="00A24FD2" w:rsidP="00BC0EF1">
            <w:pPr>
              <w:pStyle w:val="Standard"/>
              <w:spacing w:before="40" w:after="40" w:line="240" w:lineRule="auto"/>
              <w:ind w:firstLine="0"/>
            </w:pPr>
            <w:r>
              <w:t>Reply Comments on Workshop Report</w:t>
            </w:r>
          </w:p>
        </w:tc>
        <w:tc>
          <w:tcPr>
            <w:tcW w:w="2700" w:type="dxa"/>
          </w:tcPr>
          <w:p w14:paraId="7F45B76B" w14:textId="298543A6" w:rsidR="00A24FD2" w:rsidRDefault="00A24FD2" w:rsidP="00BC0EF1">
            <w:pPr>
              <w:pStyle w:val="Standard"/>
              <w:spacing w:before="40" w:after="40" w:line="240" w:lineRule="auto"/>
              <w:ind w:firstLine="0"/>
            </w:pPr>
            <w:r>
              <w:t>Mid-October 2020</w:t>
            </w:r>
          </w:p>
        </w:tc>
        <w:tc>
          <w:tcPr>
            <w:tcW w:w="2700" w:type="dxa"/>
          </w:tcPr>
          <w:p w14:paraId="3314DD5B" w14:textId="0B19E222" w:rsidR="00A24FD2" w:rsidRDefault="001E2E26" w:rsidP="00BC0EF1">
            <w:pPr>
              <w:pStyle w:val="Standard"/>
              <w:spacing w:before="40" w:after="40" w:line="240" w:lineRule="auto"/>
              <w:ind w:firstLine="0"/>
            </w:pPr>
            <w:r>
              <w:t>Late October 2020</w:t>
            </w:r>
          </w:p>
        </w:tc>
      </w:tr>
      <w:tr w:rsidR="00A24FD2" w14:paraId="00C74487" w14:textId="427CB291" w:rsidTr="00A24FD2">
        <w:tc>
          <w:tcPr>
            <w:tcW w:w="3955" w:type="dxa"/>
          </w:tcPr>
          <w:p w14:paraId="586F9DD0" w14:textId="7DE7790E" w:rsidR="00A24FD2" w:rsidRDefault="00A24FD2" w:rsidP="00BC0EF1">
            <w:pPr>
              <w:pStyle w:val="Standard"/>
              <w:spacing w:before="40" w:after="40" w:line="240" w:lineRule="auto"/>
              <w:ind w:firstLine="0"/>
            </w:pPr>
            <w:r>
              <w:t>Proposed Decision</w:t>
            </w:r>
          </w:p>
        </w:tc>
        <w:tc>
          <w:tcPr>
            <w:tcW w:w="2700" w:type="dxa"/>
          </w:tcPr>
          <w:p w14:paraId="4D062BB3" w14:textId="7F73DF92" w:rsidR="00A24FD2" w:rsidRDefault="00A24FD2" w:rsidP="00BC0EF1">
            <w:pPr>
              <w:pStyle w:val="Standard"/>
              <w:spacing w:before="40" w:after="40" w:line="240" w:lineRule="auto"/>
              <w:ind w:firstLine="0"/>
            </w:pPr>
            <w:r>
              <w:t>Late April 2021</w:t>
            </w:r>
          </w:p>
        </w:tc>
        <w:tc>
          <w:tcPr>
            <w:tcW w:w="2700" w:type="dxa"/>
          </w:tcPr>
          <w:p w14:paraId="44DB3B98" w14:textId="6039B112" w:rsidR="00A24FD2" w:rsidRDefault="001E0C6C" w:rsidP="00BC0EF1">
            <w:pPr>
              <w:pStyle w:val="Standard"/>
              <w:spacing w:before="40" w:after="40" w:line="240" w:lineRule="auto"/>
              <w:ind w:firstLine="0"/>
            </w:pPr>
            <w:r>
              <w:t>Mid-May 2021</w:t>
            </w:r>
          </w:p>
        </w:tc>
      </w:tr>
      <w:tr w:rsidR="00A06290" w14:paraId="11EB16B2" w14:textId="77777777" w:rsidTr="006E4FA0">
        <w:tc>
          <w:tcPr>
            <w:tcW w:w="3955" w:type="dxa"/>
          </w:tcPr>
          <w:p w14:paraId="3A78D537" w14:textId="7987519E" w:rsidR="00A06290" w:rsidRDefault="00A06290" w:rsidP="00BC0EF1">
            <w:pPr>
              <w:pStyle w:val="Standard"/>
              <w:spacing w:before="40" w:after="40" w:line="240" w:lineRule="auto"/>
              <w:ind w:firstLine="0"/>
            </w:pPr>
            <w:r>
              <w:t>Final Decision</w:t>
            </w:r>
          </w:p>
        </w:tc>
        <w:tc>
          <w:tcPr>
            <w:tcW w:w="5400" w:type="dxa"/>
            <w:gridSpan w:val="2"/>
          </w:tcPr>
          <w:p w14:paraId="1B406EE5" w14:textId="2F1C9408" w:rsidR="00A06290" w:rsidRDefault="00A06290" w:rsidP="00BC0EF1">
            <w:pPr>
              <w:pStyle w:val="Standard"/>
              <w:spacing w:before="40" w:after="40" w:line="240" w:lineRule="auto"/>
              <w:ind w:firstLine="0"/>
            </w:pPr>
            <w:r>
              <w:t>No earlier than 60 days after the Proposed Decision has been issued</w:t>
            </w:r>
          </w:p>
        </w:tc>
      </w:tr>
    </w:tbl>
    <w:p w14:paraId="4F132569" w14:textId="77777777" w:rsidR="00A909D2" w:rsidRPr="00492D01" w:rsidRDefault="00A909D2" w:rsidP="00A909D2">
      <w:pPr>
        <w:pStyle w:val="Heading2"/>
        <w:numPr>
          <w:ilvl w:val="0"/>
          <w:numId w:val="0"/>
        </w:numPr>
        <w:ind w:left="1368"/>
        <w:rPr>
          <w:sz w:val="12"/>
          <w:szCs w:val="12"/>
        </w:rPr>
      </w:pPr>
    </w:p>
    <w:p w14:paraId="1D1486BD" w14:textId="197F98BC" w:rsidR="00ED750D" w:rsidRDefault="00ED750D" w:rsidP="00492D01">
      <w:pPr>
        <w:pStyle w:val="Heading3"/>
      </w:pPr>
      <w:bookmarkStart w:id="26" w:name="_Toc28605940"/>
      <w:r>
        <w:t>Track 2</w:t>
      </w:r>
      <w:r w:rsidR="0053663F">
        <w:t>: Long-Term Natural Gas Policy and Planning</w:t>
      </w:r>
      <w:bookmarkEnd w:id="26"/>
    </w:p>
    <w:tbl>
      <w:tblPr>
        <w:tblStyle w:val="TableGrid"/>
        <w:tblW w:w="0" w:type="auto"/>
        <w:tblLook w:val="04A0" w:firstRow="1" w:lastRow="0" w:firstColumn="1" w:lastColumn="0" w:noHBand="0" w:noVBand="1"/>
      </w:tblPr>
      <w:tblGrid>
        <w:gridCol w:w="3955"/>
        <w:gridCol w:w="5395"/>
      </w:tblGrid>
      <w:tr w:rsidR="00A909D2" w14:paraId="7FD47DB6" w14:textId="77777777" w:rsidTr="0083027E">
        <w:tc>
          <w:tcPr>
            <w:tcW w:w="3955" w:type="dxa"/>
          </w:tcPr>
          <w:p w14:paraId="6838DB83" w14:textId="3A5A7D7C" w:rsidR="00A909D2" w:rsidRPr="00A909D2" w:rsidRDefault="00A909D2" w:rsidP="00BC0EF1">
            <w:pPr>
              <w:pStyle w:val="Standard"/>
              <w:spacing w:before="40" w:after="40" w:line="240" w:lineRule="auto"/>
              <w:ind w:firstLine="0"/>
              <w:rPr>
                <w:b/>
                <w:bCs/>
              </w:rPr>
            </w:pPr>
            <w:r w:rsidRPr="00A909D2">
              <w:rPr>
                <w:b/>
                <w:bCs/>
              </w:rPr>
              <w:t>Activity</w:t>
            </w:r>
          </w:p>
        </w:tc>
        <w:tc>
          <w:tcPr>
            <w:tcW w:w="5395" w:type="dxa"/>
          </w:tcPr>
          <w:p w14:paraId="684A2759" w14:textId="6A2A5DF4" w:rsidR="00A909D2" w:rsidRPr="00A909D2" w:rsidRDefault="00A909D2" w:rsidP="00BC0EF1">
            <w:pPr>
              <w:pStyle w:val="Standard"/>
              <w:spacing w:before="40" w:after="40" w:line="240" w:lineRule="auto"/>
              <w:ind w:firstLine="0"/>
              <w:rPr>
                <w:b/>
                <w:bCs/>
              </w:rPr>
            </w:pPr>
            <w:r w:rsidRPr="00A909D2">
              <w:rPr>
                <w:b/>
                <w:bCs/>
              </w:rPr>
              <w:t>Time Period</w:t>
            </w:r>
          </w:p>
        </w:tc>
      </w:tr>
      <w:tr w:rsidR="00A909D2" w14:paraId="6A1C02A8" w14:textId="77777777" w:rsidTr="0083027E">
        <w:tc>
          <w:tcPr>
            <w:tcW w:w="3955" w:type="dxa"/>
          </w:tcPr>
          <w:p w14:paraId="5C37DD87" w14:textId="1CC5E124" w:rsidR="00A909D2" w:rsidRDefault="00A909D2" w:rsidP="00BC0EF1">
            <w:pPr>
              <w:pStyle w:val="Standard"/>
              <w:spacing w:before="40" w:after="40" w:line="240" w:lineRule="auto"/>
              <w:ind w:firstLine="0"/>
            </w:pPr>
            <w:r>
              <w:t>Hold Prehearing Conference</w:t>
            </w:r>
          </w:p>
        </w:tc>
        <w:tc>
          <w:tcPr>
            <w:tcW w:w="5395" w:type="dxa"/>
          </w:tcPr>
          <w:p w14:paraId="663A6AB1" w14:textId="647382ED" w:rsidR="00A909D2" w:rsidRDefault="0083027E" w:rsidP="00BC0EF1">
            <w:pPr>
              <w:pStyle w:val="Standard"/>
              <w:spacing w:before="40" w:after="40" w:line="240" w:lineRule="auto"/>
              <w:ind w:firstLine="0"/>
            </w:pPr>
            <w:r>
              <w:t>Mid-June 2021</w:t>
            </w:r>
          </w:p>
        </w:tc>
      </w:tr>
      <w:tr w:rsidR="00A909D2" w14:paraId="5C70BE4D" w14:textId="77777777" w:rsidTr="0083027E">
        <w:tc>
          <w:tcPr>
            <w:tcW w:w="3955" w:type="dxa"/>
          </w:tcPr>
          <w:p w14:paraId="4F9ED89F" w14:textId="17941389" w:rsidR="00A909D2" w:rsidRDefault="00A909D2" w:rsidP="00BC0EF1">
            <w:pPr>
              <w:pStyle w:val="Standard"/>
              <w:spacing w:before="40" w:after="40" w:line="240" w:lineRule="auto"/>
              <w:ind w:firstLine="0"/>
            </w:pPr>
            <w:r>
              <w:t>Conduct Workshop</w:t>
            </w:r>
          </w:p>
        </w:tc>
        <w:tc>
          <w:tcPr>
            <w:tcW w:w="5395" w:type="dxa"/>
          </w:tcPr>
          <w:p w14:paraId="1BE933B1" w14:textId="3389045A" w:rsidR="00A909D2" w:rsidRDefault="0083027E" w:rsidP="00BC0EF1">
            <w:pPr>
              <w:pStyle w:val="Standard"/>
              <w:spacing w:before="40" w:after="40" w:line="240" w:lineRule="auto"/>
              <w:ind w:firstLine="0"/>
            </w:pPr>
            <w:r>
              <w:t>Mid-October 2021</w:t>
            </w:r>
          </w:p>
        </w:tc>
      </w:tr>
      <w:tr w:rsidR="00A909D2" w14:paraId="062B20CD" w14:textId="77777777" w:rsidTr="0083027E">
        <w:tc>
          <w:tcPr>
            <w:tcW w:w="3955" w:type="dxa"/>
          </w:tcPr>
          <w:p w14:paraId="6C41883B" w14:textId="26BE2625" w:rsidR="00A909D2" w:rsidRDefault="00A909D2" w:rsidP="00BC0EF1">
            <w:pPr>
              <w:pStyle w:val="Standard"/>
              <w:spacing w:before="40" w:after="40" w:line="240" w:lineRule="auto"/>
              <w:ind w:firstLine="0"/>
            </w:pPr>
            <w:r>
              <w:t>Publish Workshop Report</w:t>
            </w:r>
          </w:p>
        </w:tc>
        <w:tc>
          <w:tcPr>
            <w:tcW w:w="5395" w:type="dxa"/>
          </w:tcPr>
          <w:p w14:paraId="29142DBB" w14:textId="639F6EC1" w:rsidR="00A909D2" w:rsidRDefault="0083027E" w:rsidP="00BC0EF1">
            <w:pPr>
              <w:pStyle w:val="Standard"/>
              <w:spacing w:before="40" w:after="40" w:line="240" w:lineRule="auto"/>
              <w:ind w:firstLine="0"/>
            </w:pPr>
            <w:r>
              <w:t>Early January 2022</w:t>
            </w:r>
          </w:p>
        </w:tc>
      </w:tr>
      <w:tr w:rsidR="00A909D2" w14:paraId="2D2DC695" w14:textId="77777777" w:rsidTr="0083027E">
        <w:tc>
          <w:tcPr>
            <w:tcW w:w="3955" w:type="dxa"/>
          </w:tcPr>
          <w:p w14:paraId="3F95FEFC" w14:textId="67CA15D5" w:rsidR="00A909D2" w:rsidRDefault="00A909D2" w:rsidP="00BC0EF1">
            <w:pPr>
              <w:pStyle w:val="Standard"/>
              <w:spacing w:before="40" w:after="40" w:line="240" w:lineRule="auto"/>
              <w:ind w:firstLine="0"/>
            </w:pPr>
            <w:r>
              <w:t>Initial Comments on Workshop Report</w:t>
            </w:r>
          </w:p>
        </w:tc>
        <w:tc>
          <w:tcPr>
            <w:tcW w:w="5395" w:type="dxa"/>
          </w:tcPr>
          <w:p w14:paraId="7863F152" w14:textId="2A528BA1" w:rsidR="00A909D2" w:rsidRDefault="00FB4D3B" w:rsidP="00BC0EF1">
            <w:pPr>
              <w:pStyle w:val="Standard"/>
              <w:spacing w:before="40" w:after="40" w:line="240" w:lineRule="auto"/>
              <w:ind w:firstLine="0"/>
            </w:pPr>
            <w:r>
              <w:t>Early February 2022</w:t>
            </w:r>
          </w:p>
        </w:tc>
      </w:tr>
      <w:tr w:rsidR="00A909D2" w14:paraId="511A4228" w14:textId="77777777" w:rsidTr="0083027E">
        <w:tc>
          <w:tcPr>
            <w:tcW w:w="3955" w:type="dxa"/>
          </w:tcPr>
          <w:p w14:paraId="50281C44" w14:textId="4EB475A7" w:rsidR="00A909D2" w:rsidRDefault="00A909D2" w:rsidP="00BC0EF1">
            <w:pPr>
              <w:pStyle w:val="Standard"/>
              <w:spacing w:before="40" w:after="40" w:line="240" w:lineRule="auto"/>
              <w:ind w:firstLine="0"/>
            </w:pPr>
            <w:r>
              <w:lastRenderedPageBreak/>
              <w:t>Reply Comments on Workshop Report</w:t>
            </w:r>
          </w:p>
        </w:tc>
        <w:tc>
          <w:tcPr>
            <w:tcW w:w="5395" w:type="dxa"/>
          </w:tcPr>
          <w:p w14:paraId="2DD14A40" w14:textId="7AACDF6E" w:rsidR="00A909D2" w:rsidRDefault="00FB4D3B" w:rsidP="00BC0EF1">
            <w:pPr>
              <w:pStyle w:val="Standard"/>
              <w:spacing w:before="40" w:after="40" w:line="240" w:lineRule="auto"/>
              <w:ind w:firstLine="0"/>
            </w:pPr>
            <w:r>
              <w:t>Late February 2022</w:t>
            </w:r>
          </w:p>
        </w:tc>
      </w:tr>
      <w:tr w:rsidR="00A909D2" w14:paraId="2331054D" w14:textId="77777777" w:rsidTr="0083027E">
        <w:tc>
          <w:tcPr>
            <w:tcW w:w="3955" w:type="dxa"/>
          </w:tcPr>
          <w:p w14:paraId="7768C840" w14:textId="7C12695F" w:rsidR="00A909D2" w:rsidRDefault="00A909D2" w:rsidP="00BC0EF1">
            <w:pPr>
              <w:pStyle w:val="Standard"/>
              <w:spacing w:before="40" w:after="40" w:line="240" w:lineRule="auto"/>
              <w:ind w:firstLine="0"/>
            </w:pPr>
            <w:r>
              <w:t>Proposed Decision</w:t>
            </w:r>
          </w:p>
        </w:tc>
        <w:tc>
          <w:tcPr>
            <w:tcW w:w="5395" w:type="dxa"/>
          </w:tcPr>
          <w:p w14:paraId="09D749A5" w14:textId="1B3541B1" w:rsidR="00A909D2" w:rsidRDefault="00FB4D3B" w:rsidP="00BC0EF1">
            <w:pPr>
              <w:pStyle w:val="Standard"/>
              <w:spacing w:before="40" w:after="40" w:line="240" w:lineRule="auto"/>
              <w:ind w:firstLine="0"/>
            </w:pPr>
            <w:r>
              <w:t>August 2022</w:t>
            </w:r>
          </w:p>
        </w:tc>
      </w:tr>
      <w:tr w:rsidR="00FB4D3B" w14:paraId="3D8699A7" w14:textId="77777777" w:rsidTr="0083027E">
        <w:tc>
          <w:tcPr>
            <w:tcW w:w="3955" w:type="dxa"/>
          </w:tcPr>
          <w:p w14:paraId="4AF9FAB0" w14:textId="1ACC7D1B" w:rsidR="00FB4D3B" w:rsidRDefault="00FB4D3B" w:rsidP="00BC0EF1">
            <w:pPr>
              <w:pStyle w:val="Standard"/>
              <w:spacing w:before="40" w:after="40" w:line="240" w:lineRule="auto"/>
              <w:ind w:firstLine="0"/>
            </w:pPr>
            <w:r>
              <w:t>Final Decision</w:t>
            </w:r>
          </w:p>
        </w:tc>
        <w:tc>
          <w:tcPr>
            <w:tcW w:w="5395" w:type="dxa"/>
          </w:tcPr>
          <w:p w14:paraId="7313112B" w14:textId="59665D47" w:rsidR="00FB4D3B" w:rsidRDefault="00FB4D3B" w:rsidP="00BC0EF1">
            <w:pPr>
              <w:pStyle w:val="Standard"/>
              <w:spacing w:before="40" w:after="40" w:line="240" w:lineRule="auto"/>
              <w:ind w:firstLine="0"/>
            </w:pPr>
            <w:r>
              <w:t>No earlier than 60 days after the Proposed Decision has been issued.</w:t>
            </w:r>
          </w:p>
        </w:tc>
      </w:tr>
    </w:tbl>
    <w:p w14:paraId="3781B8B5" w14:textId="55164D77" w:rsidR="00ED750D" w:rsidRPr="00ED750D" w:rsidRDefault="00ED750D" w:rsidP="00ED750D">
      <w:pPr>
        <w:pStyle w:val="Standard"/>
      </w:pPr>
    </w:p>
    <w:p w14:paraId="0697CC80" w14:textId="77777777" w:rsidR="00357D65" w:rsidRDefault="00ED750D" w:rsidP="00357D65">
      <w:pPr>
        <w:pStyle w:val="Heading1"/>
      </w:pPr>
      <w:bookmarkStart w:id="27" w:name="_Toc28605941"/>
      <w:r>
        <w:t>Proceeding Category</w:t>
      </w:r>
      <w:r w:rsidR="00357D65">
        <w:t xml:space="preserve"> and Need for Hearing</w:t>
      </w:r>
      <w:bookmarkEnd w:id="27"/>
      <w:r w:rsidR="00357D65">
        <w:t xml:space="preserve"> </w:t>
      </w:r>
      <w:bookmarkEnd w:id="24"/>
    </w:p>
    <w:p w14:paraId="76AA68B2" w14:textId="210FC4AD" w:rsidR="009818E5" w:rsidRDefault="0061347C" w:rsidP="006E6574">
      <w:pPr>
        <w:pStyle w:val="Standard"/>
      </w:pPr>
      <w:r w:rsidRPr="0061347C">
        <w:t>The Commission’s Rules require that an OIR preliminarily determine the category of the proceeding and the need for hearing.</w:t>
      </w:r>
      <w:r>
        <w:rPr>
          <w:rStyle w:val="FootnoteReference"/>
        </w:rPr>
        <w:footnoteReference w:id="53"/>
      </w:r>
      <w:r w:rsidRPr="0061347C">
        <w:t xml:space="preserve"> As a preliminary matter,</w:t>
      </w:r>
      <w:r w:rsidR="00A06290">
        <w:t xml:space="preserve"> we determine that </w:t>
      </w:r>
      <w:r w:rsidR="003E400D">
        <w:t xml:space="preserve">this proceeding </w:t>
      </w:r>
      <w:r w:rsidR="00A06290">
        <w:t>will be preliminarily categorized as quasi-legislative as defined in Rule 1.3(e).</w:t>
      </w:r>
      <w:r w:rsidRPr="0061347C">
        <w:t xml:space="preserve"> </w:t>
      </w:r>
      <w:r w:rsidR="00227A61">
        <w:t xml:space="preserve"> Because significant factual issues </w:t>
      </w:r>
      <w:r w:rsidR="009818E5">
        <w:t>could be</w:t>
      </w:r>
      <w:r w:rsidR="00227A61">
        <w:t xml:space="preserve"> raised in Tracks 1A and 2, evidentiary hearing</w:t>
      </w:r>
      <w:r w:rsidR="009866E2">
        <w:t>s</w:t>
      </w:r>
      <w:r w:rsidR="00227A61">
        <w:t xml:space="preserve"> may be need</w:t>
      </w:r>
      <w:r w:rsidR="009866E2">
        <w:t>ed</w:t>
      </w:r>
      <w:r w:rsidR="00227A61">
        <w:t xml:space="preserve"> for </w:t>
      </w:r>
      <w:r w:rsidR="009818E5">
        <w:t>these phases of the proceeding.</w:t>
      </w:r>
    </w:p>
    <w:p w14:paraId="088D0EB0" w14:textId="1C44CE66" w:rsidR="0073353F" w:rsidRDefault="00F855BC" w:rsidP="006E6574">
      <w:pPr>
        <w:pStyle w:val="Standard"/>
      </w:pPr>
      <w:r>
        <w:rPr>
          <w:szCs w:val="26"/>
        </w:rPr>
        <w:t>Any person who objects to the preliminary categorization</w:t>
      </w:r>
      <w:r w:rsidR="00F41992">
        <w:rPr>
          <w:szCs w:val="26"/>
        </w:rPr>
        <w:t>s</w:t>
      </w:r>
      <w:r>
        <w:rPr>
          <w:szCs w:val="26"/>
        </w:rPr>
        <w:t xml:space="preserve"> of this rulemaking or to the preliminary hearing determination shall state their objections in the comments on the </w:t>
      </w:r>
      <w:r w:rsidR="00F41992">
        <w:rPr>
          <w:szCs w:val="26"/>
        </w:rPr>
        <w:t>r</w:t>
      </w:r>
      <w:r>
        <w:rPr>
          <w:szCs w:val="26"/>
        </w:rPr>
        <w:t xml:space="preserve">ulemaking. </w:t>
      </w:r>
      <w:r w:rsidR="00732E37">
        <w:rPr>
          <w:szCs w:val="26"/>
        </w:rPr>
        <w:t xml:space="preserve"> </w:t>
      </w:r>
      <w:r>
        <w:rPr>
          <w:szCs w:val="26"/>
        </w:rPr>
        <w:t xml:space="preserve">After considering the comments, the assigned </w:t>
      </w:r>
      <w:r w:rsidR="00F41992">
        <w:rPr>
          <w:szCs w:val="26"/>
        </w:rPr>
        <w:t>c</w:t>
      </w:r>
      <w:r>
        <w:rPr>
          <w:szCs w:val="26"/>
        </w:rPr>
        <w:t xml:space="preserve">ommissioner will issue a scoping </w:t>
      </w:r>
      <w:r w:rsidR="00BA6C6B">
        <w:rPr>
          <w:szCs w:val="26"/>
        </w:rPr>
        <w:t>memo</w:t>
      </w:r>
      <w:r>
        <w:rPr>
          <w:szCs w:val="26"/>
        </w:rPr>
        <w:t xml:space="preserve"> making a final category determination; this final category determination is subject to appeal as specified in Rule 7.6. </w:t>
      </w:r>
      <w:r>
        <w:t xml:space="preserve"> </w:t>
      </w:r>
    </w:p>
    <w:p w14:paraId="12E5C5C9" w14:textId="36DF9C74" w:rsidR="00C00DEC" w:rsidRDefault="00C00DEC" w:rsidP="005939A5">
      <w:pPr>
        <w:pStyle w:val="Heading1"/>
      </w:pPr>
      <w:bookmarkStart w:id="28" w:name="_Toc28605942"/>
      <w:bookmarkStart w:id="29" w:name="_Toc8123724"/>
      <w:r>
        <w:t>Ex Parte Communications</w:t>
      </w:r>
      <w:bookmarkEnd w:id="28"/>
    </w:p>
    <w:p w14:paraId="08B6ECEA" w14:textId="6DDD512F" w:rsidR="001F1998" w:rsidRPr="00E47073" w:rsidRDefault="00E47073" w:rsidP="001F1998">
      <w:pPr>
        <w:pStyle w:val="Standard"/>
        <w:rPr>
          <w:b/>
          <w:bCs/>
        </w:rPr>
      </w:pPr>
      <w:r>
        <w:t>For</w:t>
      </w:r>
      <w:r w:rsidR="00FA66BA">
        <w:t xml:space="preserve"> this proceeding</w:t>
      </w:r>
      <w:r>
        <w:t xml:space="preserve">, </w:t>
      </w:r>
      <w:r>
        <w:rPr>
          <w:i/>
          <w:iCs/>
          <w:szCs w:val="26"/>
        </w:rPr>
        <w:t xml:space="preserve">ex parte </w:t>
      </w:r>
      <w:r>
        <w:rPr>
          <w:szCs w:val="26"/>
        </w:rPr>
        <w:t>communications are permitted without restriction or reporting requirement</w:t>
      </w:r>
      <w:r w:rsidR="00363828">
        <w:rPr>
          <w:szCs w:val="26"/>
        </w:rPr>
        <w:t>.</w:t>
      </w:r>
    </w:p>
    <w:p w14:paraId="13E15EB4" w14:textId="4507BCCB" w:rsidR="00357D65" w:rsidRDefault="00357D65" w:rsidP="005939A5">
      <w:pPr>
        <w:pStyle w:val="Heading1"/>
      </w:pPr>
      <w:bookmarkStart w:id="30" w:name="_Toc28605943"/>
      <w:r>
        <w:t>Respondents</w:t>
      </w:r>
      <w:bookmarkEnd w:id="30"/>
      <w:r>
        <w:t xml:space="preserve"> </w:t>
      </w:r>
    </w:p>
    <w:p w14:paraId="2413F706" w14:textId="0335E1A0" w:rsidR="00AA7651" w:rsidRDefault="00A1283F" w:rsidP="00357D65">
      <w:pPr>
        <w:pStyle w:val="Standard"/>
      </w:pPr>
      <w:r>
        <w:t xml:space="preserve">The following </w:t>
      </w:r>
      <w:r w:rsidR="00F52034" w:rsidRPr="00F52034">
        <w:t>Commission-jurisdictional natural gas providers</w:t>
      </w:r>
      <w:r>
        <w:t xml:space="preserve"> shall be the primary respondents to this proceeding:</w:t>
      </w:r>
      <w:r w:rsidR="00F52034" w:rsidRPr="00F52034">
        <w:t xml:space="preserve"> </w:t>
      </w:r>
      <w:r>
        <w:t xml:space="preserve">Alpine Natural Gas, </w:t>
      </w:r>
      <w:r w:rsidR="00F52034" w:rsidRPr="00F52034">
        <w:t xml:space="preserve">PG&amp;E, </w:t>
      </w:r>
      <w:r>
        <w:t>SoCalGas</w:t>
      </w:r>
      <w:r w:rsidRPr="00F52034">
        <w:t xml:space="preserve">, </w:t>
      </w:r>
      <w:r w:rsidR="00F52034" w:rsidRPr="00F52034">
        <w:lastRenderedPageBreak/>
        <w:t>SDG&amp;E, and Southwest Ga</w:t>
      </w:r>
      <w:r w:rsidR="001E579B">
        <w:t>s</w:t>
      </w:r>
      <w:r>
        <w:t>, and West Coast Gas</w:t>
      </w:r>
      <w:r w:rsidR="00382D15">
        <w:t xml:space="preserve"> Company, Inc</w:t>
      </w:r>
      <w:r>
        <w:t>.</w:t>
      </w:r>
      <w:r w:rsidR="00382D15">
        <w:rPr>
          <w:rStyle w:val="FootnoteReference"/>
        </w:rPr>
        <w:footnoteReference w:id="54"/>
      </w:r>
      <w:r w:rsidR="001E579B">
        <w:t xml:space="preserve">  The Independent Storage Providers (i.e., </w:t>
      </w:r>
      <w:r w:rsidR="001E579B" w:rsidRPr="001E579B">
        <w:t>Wild Goo</w:t>
      </w:r>
      <w:r w:rsidR="00BA6C6B">
        <w:t>se</w:t>
      </w:r>
      <w:r w:rsidR="001E579B" w:rsidRPr="001E579B">
        <w:t xml:space="preserve"> Storage, Lodi Gas Storage, Gill</w:t>
      </w:r>
      <w:r w:rsidR="00AA3F28">
        <w:t> </w:t>
      </w:r>
      <w:r w:rsidR="001E579B" w:rsidRPr="001E579B">
        <w:t>Ranch Storage, Central Valley Gas Storage, Sacramento Natural Gas Storage,</w:t>
      </w:r>
      <w:r w:rsidR="00AA3F28">
        <w:t> </w:t>
      </w:r>
      <w:r w:rsidR="001E579B" w:rsidRPr="001E579B">
        <w:t>LLC</w:t>
      </w:r>
      <w:r w:rsidR="001E579B">
        <w:t>) shall also be respondents but are not required to participat</w:t>
      </w:r>
      <w:r w:rsidR="00780584">
        <w:t>e</w:t>
      </w:r>
      <w:r w:rsidR="001E579B">
        <w:t xml:space="preserve"> in the intervenor compensation program.</w:t>
      </w:r>
      <w:r w:rsidR="00FA66BA">
        <w:t xml:space="preserve">  </w:t>
      </w:r>
    </w:p>
    <w:p w14:paraId="447A3D3F" w14:textId="7405ABB7" w:rsidR="00F52034" w:rsidRDefault="005F2AAD" w:rsidP="00357D65">
      <w:pPr>
        <w:pStyle w:val="Standard"/>
      </w:pPr>
      <w:r>
        <w:t>We encourage CAISO</w:t>
      </w:r>
      <w:r w:rsidR="004F56F3">
        <w:t>;</w:t>
      </w:r>
      <w:r>
        <w:t xml:space="preserve"> </w:t>
      </w:r>
      <w:r w:rsidR="00382D15">
        <w:t>Core Transport Agents</w:t>
      </w:r>
      <w:r w:rsidR="004F56F3">
        <w:t>;</w:t>
      </w:r>
      <w:r w:rsidR="00382D15">
        <w:rPr>
          <w:rStyle w:val="FootnoteReference"/>
        </w:rPr>
        <w:footnoteReference w:id="55"/>
      </w:r>
      <w:r w:rsidR="00382D15">
        <w:t xml:space="preserve"> </w:t>
      </w:r>
      <w:r w:rsidR="00080CA4">
        <w:t>Environmental Defense Fund</w:t>
      </w:r>
      <w:r w:rsidR="004F56F3">
        <w:t>;</w:t>
      </w:r>
      <w:r w:rsidR="00080CA4">
        <w:t xml:space="preserve"> </w:t>
      </w:r>
      <w:r w:rsidR="00FA66BA">
        <w:t>Gridworks</w:t>
      </w:r>
      <w:r w:rsidR="004F56F3">
        <w:t>;</w:t>
      </w:r>
      <w:r w:rsidR="00FA66BA">
        <w:t xml:space="preserve"> </w:t>
      </w:r>
      <w:r>
        <w:t xml:space="preserve">the </w:t>
      </w:r>
      <w:r w:rsidR="00F52034" w:rsidRPr="00F52034">
        <w:t>large investor-owned electric distribution utilities, including Southern California Edison Company</w:t>
      </w:r>
      <w:r w:rsidR="004F56F3">
        <w:t>;</w:t>
      </w:r>
      <w:r w:rsidR="00F52034" w:rsidRPr="00F52034">
        <w:t xml:space="preserve"> </w:t>
      </w:r>
      <w:r>
        <w:t xml:space="preserve">municipal utilities, such as </w:t>
      </w:r>
      <w:r w:rsidR="00583D1D">
        <w:t>S</w:t>
      </w:r>
      <w:r w:rsidR="00C735A5">
        <w:t xml:space="preserve">acramento </w:t>
      </w:r>
      <w:r w:rsidR="00583D1D">
        <w:t>M</w:t>
      </w:r>
      <w:r w:rsidR="00C735A5">
        <w:t xml:space="preserve">unicipal </w:t>
      </w:r>
      <w:r w:rsidR="00583D1D">
        <w:t>U</w:t>
      </w:r>
      <w:r w:rsidR="00C735A5">
        <w:t xml:space="preserve">tility </w:t>
      </w:r>
      <w:r w:rsidR="00583D1D">
        <w:t>D</w:t>
      </w:r>
      <w:r w:rsidR="00C735A5">
        <w:t>istrict</w:t>
      </w:r>
      <w:r w:rsidR="00583D1D">
        <w:t>, LA</w:t>
      </w:r>
      <w:r w:rsidR="00BC2E0F">
        <w:t>DWP</w:t>
      </w:r>
      <w:r w:rsidR="004F56F3">
        <w:t>;</w:t>
      </w:r>
      <w:r w:rsidR="00764D9F">
        <w:t xml:space="preserve"> </w:t>
      </w:r>
      <w:r>
        <w:t xml:space="preserve">the City of </w:t>
      </w:r>
      <w:r w:rsidR="00AB0CF4">
        <w:t>Palo Alto</w:t>
      </w:r>
      <w:r w:rsidR="004F56F3">
        <w:t>;</w:t>
      </w:r>
      <w:r>
        <w:t xml:space="preserve"> </w:t>
      </w:r>
      <w:r w:rsidR="00470260">
        <w:t>Public Advocates Office</w:t>
      </w:r>
      <w:r w:rsidR="004F56F3">
        <w:t>;</w:t>
      </w:r>
      <w:r w:rsidR="00764D9F">
        <w:t xml:space="preserve"> and </w:t>
      </w:r>
      <w:r w:rsidR="004F56F3">
        <w:t xml:space="preserve">other </w:t>
      </w:r>
      <w:r w:rsidR="00764D9F">
        <w:t>interested</w:t>
      </w:r>
      <w:r w:rsidR="004F56F3">
        <w:t xml:space="preserve"> persons or entities</w:t>
      </w:r>
      <w:r w:rsidR="00764D9F">
        <w:t xml:space="preserve"> </w:t>
      </w:r>
      <w:r>
        <w:t>to participate</w:t>
      </w:r>
      <w:r w:rsidR="00F71361">
        <w:t xml:space="preserve"> in this proceeding</w:t>
      </w:r>
      <w:r w:rsidR="00A63E29">
        <w:t>.</w:t>
      </w:r>
      <w:r w:rsidR="00F52034" w:rsidRPr="00F52034">
        <w:t xml:space="preserve"> </w:t>
      </w:r>
    </w:p>
    <w:p w14:paraId="565121BB" w14:textId="77777777" w:rsidR="00011467" w:rsidRDefault="00011467" w:rsidP="00011467">
      <w:pPr>
        <w:pStyle w:val="Standard"/>
      </w:pPr>
      <w:r w:rsidRPr="00F52034">
        <w:t>Within 15 days of mailing of this rulemaking, each respondent shall inform the Commission’s Process Office of the contact information for a single representative</w:t>
      </w:r>
      <w:r>
        <w:t>.</w:t>
      </w:r>
    </w:p>
    <w:p w14:paraId="766C0472" w14:textId="59BDA5E2" w:rsidR="00F52034" w:rsidRDefault="00F52034" w:rsidP="005939A5">
      <w:pPr>
        <w:pStyle w:val="Heading1"/>
      </w:pPr>
      <w:bookmarkStart w:id="31" w:name="_Toc28605944"/>
      <w:r>
        <w:t>Service List</w:t>
      </w:r>
      <w:r w:rsidR="00FC06F4">
        <w:t xml:space="preserve"> or Subscription Service</w:t>
      </w:r>
      <w:bookmarkEnd w:id="31"/>
    </w:p>
    <w:p w14:paraId="1F1930C1" w14:textId="5B201252" w:rsidR="005B7C42" w:rsidRDefault="005B7C42" w:rsidP="005B7C42">
      <w:pPr>
        <w:pStyle w:val="Standard"/>
      </w:pPr>
      <w:r>
        <w:t>T</w:t>
      </w:r>
      <w:r w:rsidR="00F52034" w:rsidRPr="00F52034">
        <w:t>his OIR will be served on the service list</w:t>
      </w:r>
      <w:r w:rsidR="00BF6649">
        <w:t>s</w:t>
      </w:r>
      <w:r w:rsidR="00F52034" w:rsidRPr="00F52034">
        <w:t xml:space="preserve"> for </w:t>
      </w:r>
      <w:r>
        <w:t>R.04-01-025</w:t>
      </w:r>
      <w:r w:rsidR="00780584">
        <w:t xml:space="preserve"> and I.17-02-002</w:t>
      </w:r>
      <w:r w:rsidR="00FA7D62">
        <w:t xml:space="preserve">, respondents, and </w:t>
      </w:r>
      <w:r w:rsidR="00BF6649">
        <w:t>named</w:t>
      </w:r>
      <w:r w:rsidR="00FA7D62">
        <w:t xml:space="preserve"> </w:t>
      </w:r>
      <w:r w:rsidR="00470260">
        <w:t>entities</w:t>
      </w:r>
      <w:r w:rsidR="00FA7D62">
        <w:t xml:space="preserve"> </w:t>
      </w:r>
      <w:r w:rsidR="00470260">
        <w:t xml:space="preserve">that </w:t>
      </w:r>
      <w:r w:rsidR="00BF6649">
        <w:t xml:space="preserve">we </w:t>
      </w:r>
      <w:r w:rsidR="00FA7D62">
        <w:t>encouraged to participate</w:t>
      </w:r>
      <w:r>
        <w:t xml:space="preserve">.  </w:t>
      </w:r>
      <w:r w:rsidR="00F52034" w:rsidRPr="00F52034">
        <w:t xml:space="preserve">Service of the OIR does not confer party status or place any person who has received such service on the Official Service List for this proceeding, other than respondents. </w:t>
      </w:r>
    </w:p>
    <w:p w14:paraId="11E028B4" w14:textId="3F83EF99" w:rsidR="00FC06F4" w:rsidRDefault="00F52034" w:rsidP="005B7C42">
      <w:pPr>
        <w:pStyle w:val="Standard"/>
      </w:pPr>
      <w:r w:rsidRPr="00F52034">
        <w:t>Addition</w:t>
      </w:r>
      <w:r w:rsidR="005B7C42">
        <w:t>s</w:t>
      </w:r>
      <w:r w:rsidRPr="00F52034">
        <w:t xml:space="preserve"> to the official service list </w:t>
      </w:r>
      <w:r w:rsidR="00107911">
        <w:t>are</w:t>
      </w:r>
      <w:r w:rsidRPr="00F52034">
        <w:t xml:space="preserve"> governed by Rule 1.9(f) of the Commission’s Rules. </w:t>
      </w:r>
      <w:r w:rsidR="005B7C42">
        <w:t xml:space="preserve"> </w:t>
      </w:r>
      <w:r w:rsidRPr="00F52034">
        <w:t>Respondents are parties to the proceeding.</w:t>
      </w:r>
      <w:r w:rsidR="00476B64">
        <w:rPr>
          <w:rStyle w:val="FootnoteReference"/>
        </w:rPr>
        <w:footnoteReference w:id="56"/>
      </w:r>
      <w:r w:rsidRPr="00F52034">
        <w:t xml:space="preserve"> </w:t>
      </w:r>
      <w:r w:rsidR="005B7C42">
        <w:t xml:space="preserve"> </w:t>
      </w:r>
      <w:r w:rsidR="005B7C42" w:rsidRPr="005B7C42">
        <w:t xml:space="preserve">Persons who </w:t>
      </w:r>
      <w:r w:rsidR="005B7C42" w:rsidRPr="005B7C42">
        <w:lastRenderedPageBreak/>
        <w:t>file responsive comments become parties to the proceeding and will be added to the “Parties” category of the official service list upon such filing.</w:t>
      </w:r>
      <w:r w:rsidR="00476B64">
        <w:rPr>
          <w:rStyle w:val="FootnoteReference"/>
        </w:rPr>
        <w:footnoteReference w:id="57"/>
      </w:r>
      <w:r w:rsidR="005B7C42" w:rsidRPr="005B7C42">
        <w:t xml:space="preserve"> </w:t>
      </w:r>
    </w:p>
    <w:p w14:paraId="1179A787" w14:textId="4BF1FB87" w:rsidR="005B7C42" w:rsidRDefault="005B7C42" w:rsidP="00FC06F4">
      <w:pPr>
        <w:pStyle w:val="Standard"/>
      </w:pPr>
      <w:r w:rsidRPr="005B7C42">
        <w:t>In order to assure service of comments and other documents and correspondence in advance of obtaining party status, persons should promptly request addition to the “Information Only” category as described above; they will be removed from that category upon obtaining party status.</w:t>
      </w:r>
      <w:r w:rsidR="00FC06F4">
        <w:t xml:space="preserve"> </w:t>
      </w:r>
      <w:r w:rsidR="00732E37">
        <w:t xml:space="preserve"> </w:t>
      </w:r>
      <w:r w:rsidRPr="00F52034">
        <w:t>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w:t>
      </w:r>
      <w:r w:rsidR="00476B64">
        <w:rPr>
          <w:rStyle w:val="FootnoteReference"/>
        </w:rPr>
        <w:footnoteReference w:id="58"/>
      </w:r>
      <w:r w:rsidRPr="00F52034">
        <w:t xml:space="preserve"> The request must be sent to the Commission’s Process Office by e-mail (Process_Office@cpuc.ca.gov) or letter (Process Office, California Public</w:t>
      </w:r>
      <w:r>
        <w:t xml:space="preserve"> </w:t>
      </w:r>
      <w:r w:rsidRPr="005B7C42">
        <w:t>Utilities Commission, 505 Van Ness Avenue, San Francisco, CA 94102).</w:t>
      </w:r>
      <w:r w:rsidR="00732E37">
        <w:t xml:space="preserve"> </w:t>
      </w:r>
      <w:r w:rsidRPr="005B7C42">
        <w:t xml:space="preserve"> Please include the Docket Number of this Rulemaking in the request.</w:t>
      </w:r>
    </w:p>
    <w:p w14:paraId="01974E5C" w14:textId="6AB7F15F" w:rsidR="00FC06F4" w:rsidRPr="00F52034" w:rsidRDefault="00FC06F4" w:rsidP="00FC06F4">
      <w:pPr>
        <w:pStyle w:val="Standard"/>
      </w:pPr>
      <w:r>
        <w:t xml:space="preserve">With respect to subscription service, </w:t>
      </w:r>
      <w:r w:rsidR="00874294">
        <w:t>p</w:t>
      </w:r>
      <w:r w:rsidRPr="00FC06F4">
        <w:t>ersons may monitor the proceeding by subscribing to receive electronic copies of documents in this proceeding that are published on the Commission’s website.</w:t>
      </w:r>
      <w:r w:rsidR="00732E37">
        <w:t xml:space="preserve"> </w:t>
      </w:r>
      <w:r w:rsidRPr="00FC06F4">
        <w:t xml:space="preserve"> There is no need to be on the official service list in order to use the subscription service. </w:t>
      </w:r>
      <w:r w:rsidR="00732E37">
        <w:t xml:space="preserve"> </w:t>
      </w:r>
      <w:r w:rsidRPr="00FC06F4">
        <w:t xml:space="preserve">Instructions for enrolling in the subscription service are available on the Commission’s website at: </w:t>
      </w:r>
      <w:r w:rsidR="00950D80">
        <w:t xml:space="preserve"> </w:t>
      </w:r>
      <w:hyperlink r:id="rId14" w:history="1">
        <w:r w:rsidR="00950D80" w:rsidRPr="00492D01">
          <w:rPr>
            <w:rStyle w:val="Hyperlink"/>
          </w:rPr>
          <w:t>http://subscribecpuc.cpuc.ca.gov/</w:t>
        </w:r>
      </w:hyperlink>
      <w:r w:rsidRPr="00FC06F4">
        <w:t>.</w:t>
      </w:r>
      <w:r w:rsidR="00AA3F28">
        <w:t xml:space="preserve"> </w:t>
      </w:r>
    </w:p>
    <w:p w14:paraId="7D66F595" w14:textId="61B1A0A0" w:rsidR="00C00DEC" w:rsidRDefault="00C00DEC" w:rsidP="005939A5">
      <w:pPr>
        <w:pStyle w:val="Heading1"/>
      </w:pPr>
      <w:bookmarkStart w:id="32" w:name="_Toc28605945"/>
      <w:r>
        <w:t>Public Advisor</w:t>
      </w:r>
      <w:bookmarkEnd w:id="32"/>
    </w:p>
    <w:p w14:paraId="71E8581A" w14:textId="2C80CD3E" w:rsidR="00C00DEC" w:rsidRDefault="00476B64" w:rsidP="00C00DEC">
      <w:pPr>
        <w:pStyle w:val="Standard"/>
      </w:pPr>
      <w:r w:rsidRPr="00476B64">
        <w:t xml:space="preserve">Any person or entity interested in participating in this rulemaking who is unfamiliar with the Commission’s procedures should contact the Commission’s </w:t>
      </w:r>
      <w:r w:rsidRPr="00476B64">
        <w:lastRenderedPageBreak/>
        <w:t xml:space="preserve">Public Advisor in San Francisco at (415) 703-2074 or (866) 849-8390, or e-mail </w:t>
      </w:r>
      <w:hyperlink r:id="rId15" w:history="1">
        <w:r w:rsidR="00732E37" w:rsidRPr="00922E06">
          <w:rPr>
            <w:rStyle w:val="Hyperlink"/>
          </w:rPr>
          <w:t>public.advisor@cpuc.ca.gov</w:t>
        </w:r>
      </w:hyperlink>
      <w:r w:rsidRPr="00476B64">
        <w:t>.</w:t>
      </w:r>
      <w:r w:rsidR="00732E37">
        <w:t xml:space="preserve"> </w:t>
      </w:r>
      <w:r w:rsidRPr="00476B64">
        <w:t xml:space="preserve"> The TTY number is (866) 836-7825.</w:t>
      </w:r>
    </w:p>
    <w:p w14:paraId="7988CAC3" w14:textId="34D068C5" w:rsidR="00C00DEC" w:rsidRDefault="00C00DEC" w:rsidP="005939A5">
      <w:pPr>
        <w:pStyle w:val="Heading1"/>
      </w:pPr>
      <w:bookmarkStart w:id="33" w:name="_Toc28605946"/>
      <w:r>
        <w:t>Intervenor Compensation</w:t>
      </w:r>
      <w:bookmarkEnd w:id="33"/>
    </w:p>
    <w:p w14:paraId="3A5014E6" w14:textId="36AFEDB1" w:rsidR="000B1F89" w:rsidRPr="000B1F89" w:rsidRDefault="00FC06F4" w:rsidP="000B1F89">
      <w:pPr>
        <w:pStyle w:val="Standard"/>
      </w:pPr>
      <w:r w:rsidRPr="00FC06F4">
        <w:t>Intervenor Compensation is permitted in this proceeding.</w:t>
      </w:r>
      <w:r w:rsidR="00732E37">
        <w:t xml:space="preserve"> </w:t>
      </w:r>
      <w:r w:rsidRPr="00FC06F4">
        <w:t xml:space="preserve"> Any party that expects to claim intervenor compensation for its participation in this rulemaking shall file its notice of intent to claim intervenor compensation within 30 days after the filing of reply comments, except that notice may be filed within 30 days of a prehearing conference as well.</w:t>
      </w:r>
      <w:r w:rsidR="00476B64">
        <w:rPr>
          <w:rStyle w:val="FootnoteReference"/>
        </w:rPr>
        <w:footnoteReference w:id="59"/>
      </w:r>
      <w:r w:rsidR="00476B64">
        <w:t xml:space="preserve"> </w:t>
      </w:r>
      <w:r w:rsidRPr="00FC06F4">
        <w:t xml:space="preserve"> Intervenor compensation rules are governed by Section 1801 et seq.</w:t>
      </w:r>
      <w:r w:rsidR="00732E37">
        <w:t xml:space="preserve"> </w:t>
      </w:r>
      <w:r w:rsidRPr="00FC06F4">
        <w:t xml:space="preserve"> Parties new to participating in Commission proceedings may contact the Commission’s Public Advisor.</w:t>
      </w:r>
    </w:p>
    <w:bookmarkEnd w:id="29"/>
    <w:p w14:paraId="365C04CD" w14:textId="77777777" w:rsidR="004754F3" w:rsidRDefault="004754F3" w:rsidP="006E6574">
      <w:pPr>
        <w:pStyle w:val="Standard"/>
        <w:rPr>
          <w:b/>
          <w:bCs/>
        </w:rPr>
      </w:pPr>
    </w:p>
    <w:p w14:paraId="5D7AC5B5" w14:textId="0330F049" w:rsidR="005939A5" w:rsidRDefault="00D928BC" w:rsidP="006E6574">
      <w:pPr>
        <w:pStyle w:val="Standard"/>
      </w:pPr>
      <w:r>
        <w:rPr>
          <w:b/>
          <w:bCs/>
        </w:rPr>
        <w:t xml:space="preserve">IT IS ORDERED </w:t>
      </w:r>
      <w:r>
        <w:t>that:</w:t>
      </w:r>
    </w:p>
    <w:p w14:paraId="541F80CF" w14:textId="3BCC38FB" w:rsidR="00932865" w:rsidRDefault="000B37A6" w:rsidP="001E2A62">
      <w:pPr>
        <w:pStyle w:val="OP"/>
      </w:pPr>
      <w:r>
        <w:t>This rulemaking is initiated on the Com</w:t>
      </w:r>
      <w:r w:rsidR="00DA4FE0">
        <w:t xml:space="preserve">mission’s own motion to establish policies, processes and rules to ensure </w:t>
      </w:r>
      <w:r w:rsidR="00780584">
        <w:t xml:space="preserve">safe and </w:t>
      </w:r>
      <w:r w:rsidR="00DA4FE0">
        <w:t>reliable gas systems and perform long-term gas system planning</w:t>
      </w:r>
      <w:r w:rsidR="000A6E05" w:rsidRPr="001E2A62">
        <w:t>.</w:t>
      </w:r>
    </w:p>
    <w:p w14:paraId="579D6089" w14:textId="433E85DB" w:rsidR="00DA4FE0" w:rsidRDefault="00470260" w:rsidP="001E2A62">
      <w:pPr>
        <w:pStyle w:val="OP"/>
      </w:pPr>
      <w:r>
        <w:t xml:space="preserve">The following </w:t>
      </w:r>
      <w:r w:rsidR="0081615C">
        <w:t xml:space="preserve">gas </w:t>
      </w:r>
      <w:r>
        <w:t>public utilities</w:t>
      </w:r>
      <w:r w:rsidR="0081615C">
        <w:t xml:space="preserve"> and independent storage providers</w:t>
      </w:r>
      <w:r>
        <w:t xml:space="preserve"> are respondents to his proceeding: </w:t>
      </w:r>
      <w:r w:rsidR="0081615C">
        <w:t xml:space="preserve">Alpine Natural Gas, </w:t>
      </w:r>
      <w:r w:rsidR="009753EA">
        <w:t>Pacific Gas and Electric Company, San Diego Gas &amp; Electric Company, Southern California Gas Company, Southwest Gas Corporation</w:t>
      </w:r>
      <w:r w:rsidR="009F7359">
        <w:t xml:space="preserve">, </w:t>
      </w:r>
      <w:r w:rsidR="0081615C">
        <w:t xml:space="preserve">West Coast Gas Company, Inc., </w:t>
      </w:r>
      <w:r w:rsidR="008412AC" w:rsidRPr="001E579B">
        <w:t>Central Valley Gas Storage</w:t>
      </w:r>
      <w:r w:rsidR="008412AC">
        <w:t>,</w:t>
      </w:r>
      <w:r w:rsidR="008412AC" w:rsidRPr="001E579B">
        <w:t xml:space="preserve"> Gill Ranch Storage </w:t>
      </w:r>
      <w:r w:rsidR="009A3459" w:rsidRPr="001E579B">
        <w:t>Lodi Gas Storage, Sacramento Natural Gas Storage, LLC</w:t>
      </w:r>
      <w:r w:rsidR="00E10F3F">
        <w:t xml:space="preserve">, </w:t>
      </w:r>
      <w:r w:rsidR="008412AC">
        <w:t xml:space="preserve">and </w:t>
      </w:r>
      <w:r w:rsidR="008412AC" w:rsidRPr="001E579B">
        <w:t>Wild Goo</w:t>
      </w:r>
      <w:r w:rsidR="008412AC">
        <w:t>se</w:t>
      </w:r>
      <w:r w:rsidR="008412AC" w:rsidRPr="001E579B">
        <w:t xml:space="preserve"> Storage</w:t>
      </w:r>
      <w:r w:rsidR="008412AC">
        <w:t xml:space="preserve">. </w:t>
      </w:r>
    </w:p>
    <w:p w14:paraId="0784D38B" w14:textId="56B26497" w:rsidR="001B5F46" w:rsidRDefault="009A3459">
      <w:pPr>
        <w:pStyle w:val="OP"/>
      </w:pPr>
      <w:r w:rsidRPr="001E579B">
        <w:t>Wild Goo</w:t>
      </w:r>
      <w:r w:rsidR="00874294">
        <w:t>se</w:t>
      </w:r>
      <w:r w:rsidRPr="001E579B">
        <w:t xml:space="preserve"> Storage, Lodi Gas Storage, Gill Ranch Storage, Central Valley Gas Storage, </w:t>
      </w:r>
      <w:r w:rsidR="00E10F3F">
        <w:t xml:space="preserve">and </w:t>
      </w:r>
      <w:r w:rsidRPr="001E579B">
        <w:t>Sacramento Natural Gas Storage, LLC</w:t>
      </w:r>
      <w:r w:rsidR="00E10F3F">
        <w:t>,</w:t>
      </w:r>
      <w:r w:rsidR="008412AC">
        <w:t xml:space="preserve"> Alpine Natural Gas and </w:t>
      </w:r>
      <w:r w:rsidR="008412AC">
        <w:lastRenderedPageBreak/>
        <w:t>West Coast Gas Company, Inc.,</w:t>
      </w:r>
      <w:r>
        <w:t xml:space="preserve"> are not obligated to fund the Commission’s </w:t>
      </w:r>
      <w:r w:rsidR="0006392B">
        <w:t>intervenor compensation</w:t>
      </w:r>
      <w:r>
        <w:t xml:space="preserve"> program</w:t>
      </w:r>
      <w:r w:rsidR="0006392B">
        <w:t>.</w:t>
      </w:r>
    </w:p>
    <w:p w14:paraId="760F372A" w14:textId="143214D5" w:rsidR="008905D3" w:rsidRDefault="008905D3" w:rsidP="001E2A62">
      <w:pPr>
        <w:pStyle w:val="OP"/>
      </w:pPr>
      <w:r>
        <w:t>The Executive Director shall cause this Order Instituting Rulemaking to be served on the respondents to this proceeding</w:t>
      </w:r>
      <w:r w:rsidR="00BA3C1D">
        <w:t xml:space="preserve">, </w:t>
      </w:r>
      <w:r w:rsidR="00011467">
        <w:t xml:space="preserve">and </w:t>
      </w:r>
      <w:r>
        <w:t>the service list</w:t>
      </w:r>
      <w:r w:rsidR="00982E38">
        <w:t>s</w:t>
      </w:r>
      <w:r>
        <w:t xml:space="preserve"> for R</w:t>
      </w:r>
      <w:r w:rsidR="00AA3F28">
        <w:t>ulemaking  </w:t>
      </w:r>
      <w:r>
        <w:t>04-01-025</w:t>
      </w:r>
      <w:r w:rsidR="00982E38">
        <w:t xml:space="preserve"> and I</w:t>
      </w:r>
      <w:r w:rsidR="00AA3F28">
        <w:t xml:space="preserve">nvestigation </w:t>
      </w:r>
      <w:r w:rsidR="00982E38">
        <w:t>17-02-002</w:t>
      </w:r>
      <w:r w:rsidR="00011467">
        <w:t>.</w:t>
      </w:r>
      <w:r w:rsidR="00BA3C1D">
        <w:t xml:space="preserve"> </w:t>
      </w:r>
    </w:p>
    <w:p w14:paraId="5EF986D2" w14:textId="3424B320" w:rsidR="008F3EE2" w:rsidRDefault="001B5F46" w:rsidP="00227A61">
      <w:pPr>
        <w:pStyle w:val="OP"/>
      </w:pPr>
      <w:r>
        <w:t xml:space="preserve">The </w:t>
      </w:r>
      <w:r w:rsidR="00227A61">
        <w:t xml:space="preserve">preliminary </w:t>
      </w:r>
      <w:r>
        <w:t xml:space="preserve">category for </w:t>
      </w:r>
      <w:r w:rsidR="00227A61">
        <w:t xml:space="preserve">this proceeding is </w:t>
      </w:r>
      <w:r>
        <w:t>quasi-legislative</w:t>
      </w:r>
      <w:r w:rsidR="00DB305A">
        <w:t xml:space="preserve">.  </w:t>
      </w:r>
      <w:r w:rsidR="00DB305A">
        <w:rPr>
          <w:i/>
          <w:iCs/>
          <w:szCs w:val="26"/>
        </w:rPr>
        <w:t xml:space="preserve">Ex parte </w:t>
      </w:r>
      <w:r w:rsidR="00DB305A">
        <w:rPr>
          <w:szCs w:val="26"/>
        </w:rPr>
        <w:t>communications are permitted without restriction or reporting requirement.</w:t>
      </w:r>
      <w:r w:rsidR="00DB305A" w:rsidRPr="00DB305A">
        <w:t xml:space="preserve"> </w:t>
      </w:r>
    </w:p>
    <w:p w14:paraId="2F088E97" w14:textId="762FD187" w:rsidR="008F3EE2" w:rsidRDefault="008F3EE2" w:rsidP="007B74FE">
      <w:pPr>
        <w:pStyle w:val="OP"/>
      </w:pPr>
      <w:r>
        <w:t>Evidentiary hearings are anticipated</w:t>
      </w:r>
      <w:r w:rsidR="007B74FE">
        <w:t xml:space="preserve"> for Tracks 1A and 2</w:t>
      </w:r>
      <w:r>
        <w:t xml:space="preserve">. </w:t>
      </w:r>
    </w:p>
    <w:p w14:paraId="3F81FA9C" w14:textId="279481D1" w:rsidR="00006538" w:rsidRDefault="008905D3" w:rsidP="00006538">
      <w:pPr>
        <w:pStyle w:val="OP"/>
      </w:pPr>
      <w:r w:rsidRPr="008905D3">
        <w:t>Respondents</w:t>
      </w:r>
      <w:r w:rsidR="00982E38">
        <w:t xml:space="preserve"> </w:t>
      </w:r>
      <w:r w:rsidRPr="008905D3">
        <w:t>an</w:t>
      </w:r>
      <w:r w:rsidR="00874294">
        <w:t>d</w:t>
      </w:r>
      <w:r w:rsidRPr="008905D3">
        <w:t xml:space="preserve"> prospective parties may file and serve comments on the preliminary scope of this proceeding outlined in this document by no later than 30 days after the issuance of this order.</w:t>
      </w:r>
      <w:r w:rsidR="00732E37">
        <w:t xml:space="preserve"> </w:t>
      </w:r>
      <w:r w:rsidRPr="008905D3">
        <w:t xml:space="preserve"> </w:t>
      </w:r>
      <w:r w:rsidR="00982E38">
        <w:t xml:space="preserve">Reply comments may be filed no later than 45 after the issuance of this order. </w:t>
      </w:r>
      <w:r w:rsidRPr="008905D3">
        <w:t>Pursuant to Rule 6.2 of the Commission’s Rules of Practice and Procedure, parties shall include in their comments any objections regarding the category, need for hearing, issues to be considered, or schedule.</w:t>
      </w:r>
      <w:r w:rsidR="00732E37">
        <w:t xml:space="preserve"> </w:t>
      </w:r>
      <w:r w:rsidRPr="008905D3">
        <w:t xml:space="preserve"> Comments shall be limited to no more than 25 pages per party. </w:t>
      </w:r>
    </w:p>
    <w:p w14:paraId="52EBCD01" w14:textId="298C58CA" w:rsidR="00F94F3E" w:rsidRDefault="00006538" w:rsidP="00F94F3E">
      <w:pPr>
        <w:pStyle w:val="OP"/>
      </w:pPr>
      <w:r>
        <w:t xml:space="preserve">Any party that expects to claim intervenor compensation for its participation in this rulemaking shall file its notice of intent to claim intervenor compensation no later than 30 days after any of the prehearing conferences related to their contribution to this proceeding. </w:t>
      </w:r>
    </w:p>
    <w:p w14:paraId="0D3A7351" w14:textId="5624ECB6" w:rsidR="00F6397D" w:rsidRDefault="00F94F3E" w:rsidP="00A5278E">
      <w:pPr>
        <w:pStyle w:val="OP"/>
        <w:keepNext/>
        <w:keepLines/>
      </w:pPr>
      <w:r>
        <w:lastRenderedPageBreak/>
        <w:t>The assigned Commissioner or Administrative Law Judge may make any revisions to the scheduling and filing determinations made herein as necessary to facilitate the efficient management of the proceeding</w:t>
      </w:r>
      <w:r w:rsidR="00874294">
        <w:t>.</w:t>
      </w:r>
      <w:r>
        <w:t xml:space="preserve"> </w:t>
      </w:r>
    </w:p>
    <w:p w14:paraId="166691B1" w14:textId="77777777" w:rsidR="008F0116" w:rsidRDefault="008F0116" w:rsidP="00A5278E">
      <w:pPr>
        <w:keepNext/>
        <w:keepLines/>
      </w:pPr>
      <w:r>
        <w:t>This order is effective today.</w:t>
      </w:r>
    </w:p>
    <w:p w14:paraId="6242E244" w14:textId="622F80A7" w:rsidR="00426014" w:rsidRDefault="004754F3" w:rsidP="00A5278E">
      <w:pPr>
        <w:keepNext/>
        <w:keepLines/>
      </w:pPr>
      <w:r>
        <w:t>Dated January 16, 2020</w:t>
      </w:r>
      <w:r w:rsidR="008F0116">
        <w:t>, at San Francisco, Californ</w:t>
      </w:r>
      <w:r w:rsidR="008A2D21">
        <w:t>ia</w:t>
      </w:r>
      <w:r>
        <w:t>.</w:t>
      </w:r>
    </w:p>
    <w:p w14:paraId="57F675B5" w14:textId="77777777" w:rsidR="004754F3" w:rsidRDefault="004754F3" w:rsidP="00A5278E">
      <w:pPr>
        <w:keepNext/>
        <w:keepLines/>
      </w:pPr>
    </w:p>
    <w:p w14:paraId="250E88D5" w14:textId="5A084EAD" w:rsidR="004754F3" w:rsidRDefault="004754F3" w:rsidP="00A5278E">
      <w:pPr>
        <w:keepNext/>
        <w:keepLines/>
        <w:spacing w:line="240" w:lineRule="auto"/>
        <w:ind w:firstLine="5040"/>
      </w:pPr>
      <w:r>
        <w:t>MARYBEL BATJER</w:t>
      </w:r>
    </w:p>
    <w:p w14:paraId="39A41DC9" w14:textId="77777777" w:rsidR="004754F3" w:rsidRDefault="004754F3" w:rsidP="00A5278E">
      <w:pPr>
        <w:keepNext/>
        <w:keepLines/>
        <w:spacing w:line="240" w:lineRule="auto"/>
        <w:ind w:firstLine="5040"/>
      </w:pPr>
      <w:r>
        <w:t xml:space="preserve">                   President</w:t>
      </w:r>
    </w:p>
    <w:p w14:paraId="681769A8" w14:textId="77777777" w:rsidR="004754F3" w:rsidRDefault="004754F3" w:rsidP="00A5278E">
      <w:pPr>
        <w:keepNext/>
        <w:keepLines/>
        <w:spacing w:line="240" w:lineRule="auto"/>
        <w:ind w:firstLine="5040"/>
      </w:pPr>
      <w:r>
        <w:t>LIANE M. RANDOLPH</w:t>
      </w:r>
    </w:p>
    <w:p w14:paraId="653D305D" w14:textId="77777777" w:rsidR="004754F3" w:rsidRDefault="004754F3" w:rsidP="00A5278E">
      <w:pPr>
        <w:keepNext/>
        <w:keepLines/>
        <w:spacing w:line="240" w:lineRule="auto"/>
        <w:ind w:firstLine="5040"/>
      </w:pPr>
      <w:r>
        <w:t>MARTHA GUZMAN ACEVES</w:t>
      </w:r>
    </w:p>
    <w:p w14:paraId="777553EC" w14:textId="77777777" w:rsidR="004754F3" w:rsidRDefault="004754F3" w:rsidP="00A5278E">
      <w:pPr>
        <w:keepNext/>
        <w:keepLines/>
        <w:spacing w:line="240" w:lineRule="auto"/>
        <w:ind w:firstLine="5040"/>
      </w:pPr>
      <w:r>
        <w:t>CLIFFORD RECHTSCHAFFEN</w:t>
      </w:r>
    </w:p>
    <w:p w14:paraId="6B217367" w14:textId="77777777" w:rsidR="004754F3" w:rsidRDefault="004754F3" w:rsidP="00A5278E">
      <w:pPr>
        <w:keepNext/>
        <w:keepLines/>
        <w:spacing w:line="240" w:lineRule="auto"/>
        <w:ind w:firstLine="5040"/>
      </w:pPr>
      <w:r>
        <w:t>GENEVIEVE SHIROMA</w:t>
      </w:r>
    </w:p>
    <w:p w14:paraId="154C950C" w14:textId="7D551B31" w:rsidR="004754F3" w:rsidRDefault="004754F3" w:rsidP="00A5278E">
      <w:pPr>
        <w:spacing w:line="240" w:lineRule="auto"/>
        <w:ind w:firstLine="5040"/>
      </w:pPr>
      <w:r>
        <w:t xml:space="preserve">                             Commissioners</w:t>
      </w:r>
    </w:p>
    <w:p w14:paraId="5926AFF5" w14:textId="77777777" w:rsidR="00BC0EF1" w:rsidRDefault="00BC0EF1" w:rsidP="008F0116"/>
    <w:p w14:paraId="77EFEDAB" w14:textId="7536FA21" w:rsidR="00BC0EF1" w:rsidRDefault="00BC0EF1" w:rsidP="008F0116">
      <w:pPr>
        <w:sectPr w:rsidR="00BC0EF1" w:rsidSect="00D44DB6">
          <w:pgSz w:w="12240" w:h="15840"/>
          <w:pgMar w:top="1728" w:right="1440" w:bottom="1440" w:left="1440" w:header="720" w:footer="720" w:gutter="0"/>
          <w:pgNumType w:start="2"/>
          <w:cols w:space="720"/>
          <w:docGrid w:linePitch="360"/>
        </w:sectPr>
      </w:pPr>
    </w:p>
    <w:p w14:paraId="2C51C331" w14:textId="4A272BA0" w:rsidR="00714CF2" w:rsidRDefault="00AD60EE" w:rsidP="00492D01">
      <w:pPr>
        <w:pStyle w:val="Main"/>
        <w:spacing w:after="240"/>
      </w:pPr>
      <w:r>
        <w:lastRenderedPageBreak/>
        <w:t>Appendix A</w:t>
      </w:r>
      <w:r w:rsidR="00BF2DFE">
        <w:t xml:space="preserve"> – Core Transport agents</w:t>
      </w:r>
    </w:p>
    <w:p w14:paraId="4AB3D8E1" w14:textId="39402516" w:rsidR="00191ACE" w:rsidRDefault="00191ACE" w:rsidP="00191ACE">
      <w:r>
        <w:t xml:space="preserve">The Core Transport Agents include: </w:t>
      </w:r>
      <w:r w:rsidR="00962CA8">
        <w:t>Tiger Natural Gas, Inc.</w:t>
      </w:r>
      <w:r>
        <w:t xml:space="preserve">; </w:t>
      </w:r>
      <w:r w:rsidR="00962CA8">
        <w:t>Everyday Energy, LLC</w:t>
      </w:r>
      <w:r>
        <w:t xml:space="preserve">; </w:t>
      </w:r>
      <w:r w:rsidR="00962CA8">
        <w:t>Viridian Energy PA</w:t>
      </w:r>
      <w:r>
        <w:t xml:space="preserve">; </w:t>
      </w:r>
      <w:r w:rsidR="00962CA8">
        <w:t>Calpine Energy Solutions</w:t>
      </w:r>
      <w:r>
        <w:t>, LLC; United Energy Trading, LLC; Commercial Energy of California; Vista Energy Marketing, L.P.; North Star Gas Company, LLC; Just Energy Solutions Inc.; Spark Energy Gas, LLC; IGS Energy; Direct Energy Business</w:t>
      </w:r>
      <w:r w:rsidR="00DE7EE1">
        <w:t xml:space="preserve"> LLC; Entrust Energy, Inc.; SFE Energy California, Inc.; Peak Six Power and Gas, LLC; GHI Energy, LLC; Clean Energy Renewable Fuels, LLC; Agera Energy LLC; XOOM Energy California, LLC; Mansfield Power and Gas, LLC; Smart One Energy LLC; Shell Energy North America; Continuum Energy Services, LLC; Element Markets Renewable Energy, LLC; Greenwave Energy, LLC; Oasis Power LLC; CenterPoint Energy Services, Inc.; </w:t>
      </w:r>
      <w:r w:rsidR="00127EC5">
        <w:t>EDF Energy Services, LLC; BP Energy Company; Direct Energy Business Marketing, LLC; Constellation New Energy – Gas Division, LLC; AAA Natural Gas;  National Gas &amp; Electric, LLC; Trillium USA Company, LLC; StateWise Energy California, LLC; Ambit California, LLC; Pacific Summit Energy LLC; and Bold Energy Services LLC.</w:t>
      </w:r>
    </w:p>
    <w:p w14:paraId="6CDB8E23" w14:textId="3DE8CA0E" w:rsidR="00B11CF1" w:rsidRDefault="00B11CF1" w:rsidP="00191ACE"/>
    <w:p w14:paraId="269C3FF2" w14:textId="77777777" w:rsidR="00B11CF1" w:rsidRDefault="00B11CF1" w:rsidP="00191ACE"/>
    <w:p w14:paraId="7EDBCA64" w14:textId="077EE2C3" w:rsidR="00BC0EF1" w:rsidRDefault="00BC0EF1" w:rsidP="00492D01">
      <w:pPr>
        <w:jc w:val="center"/>
      </w:pPr>
      <w:r>
        <w:t>(End of Appendix A)</w:t>
      </w:r>
    </w:p>
    <w:p w14:paraId="29CDF5D6" w14:textId="77777777" w:rsidR="004754F3" w:rsidRPr="00AD60EE" w:rsidRDefault="004754F3" w:rsidP="00492D01">
      <w:pPr>
        <w:jc w:val="center"/>
      </w:pPr>
    </w:p>
    <w:sectPr w:rsidR="004754F3" w:rsidRPr="00AD60EE" w:rsidSect="00D44DB6">
      <w:footerReference w:type="default" r:id="rId16"/>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F006" w14:textId="77777777" w:rsidR="00AD6E89" w:rsidRDefault="00AD6E89" w:rsidP="0098138E">
      <w:pPr>
        <w:spacing w:line="240" w:lineRule="auto"/>
      </w:pPr>
      <w:r>
        <w:separator/>
      </w:r>
    </w:p>
  </w:endnote>
  <w:endnote w:type="continuationSeparator" w:id="0">
    <w:p w14:paraId="4F1220BA" w14:textId="77777777" w:rsidR="00AD6E89" w:rsidRDefault="00AD6E8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mbria"/>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20000A87" w:usb1="08000000" w:usb2="00000008" w:usb3="00000000" w:csb0="00000105" w:csb1="00000000"/>
  </w:font>
  <w:font w:name="Tahoma">
    <w:panose1 w:val="020B0604030504040204"/>
    <w:charset w:val="00"/>
    <w:family w:val="swiss"/>
    <w:pitch w:val="variable"/>
    <w:sig w:usb0="E1002EFF" w:usb1="C000605B" w:usb2="00000029" w:usb3="00000000" w:csb0="000101F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A9A1" w14:textId="77777777" w:rsidR="003A40A4" w:rsidRDefault="003A40A4"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4CAC" w14:textId="37169E45" w:rsidR="003A40A4" w:rsidRDefault="00374255" w:rsidP="00F90F2C">
    <w:pPr>
      <w:tabs>
        <w:tab w:val="center" w:pos="4680"/>
        <w:tab w:val="left" w:pos="5505"/>
      </w:tabs>
      <w:spacing w:line="240" w:lineRule="auto"/>
      <w:ind w:firstLine="0"/>
      <w:rPr>
        <w:noProof/>
      </w:rPr>
    </w:pPr>
    <w:sdt>
      <w:sdtPr>
        <w:id w:val="-1352874971"/>
        <w:docPartObj>
          <w:docPartGallery w:val="Page Numbers (Bottom of Page)"/>
          <w:docPartUnique/>
        </w:docPartObj>
      </w:sdtPr>
      <w:sdtEndPr>
        <w:rPr>
          <w:noProof/>
        </w:rPr>
      </w:sdtEndPr>
      <w:sdtContent>
        <w:r w:rsidR="004754F3">
          <w:rPr>
            <w:rFonts w:ascii="Tahoma" w:hAnsi="Tahoma" w:cs="Tahoma"/>
            <w:sz w:val="17"/>
            <w:szCs w:val="17"/>
          </w:rPr>
          <w:t>325641802</w:t>
        </w:r>
        <w:r w:rsidR="003A40A4">
          <w:rPr>
            <w:rFonts w:ascii="Arial" w:hAnsi="Arial" w:cs="Arial"/>
            <w:sz w:val="16"/>
            <w:szCs w:val="16"/>
          </w:rPr>
          <w:tab/>
        </w:r>
        <w:r w:rsidR="003A40A4">
          <w:t xml:space="preserve">- </w:t>
        </w:r>
        <w:r w:rsidR="003A40A4">
          <w:fldChar w:fldCharType="begin"/>
        </w:r>
        <w:r w:rsidR="003A40A4">
          <w:instrText xml:space="preserve"> PAGE   \* MERGEFORMAT </w:instrText>
        </w:r>
        <w:r w:rsidR="003A40A4">
          <w:fldChar w:fldCharType="separate"/>
        </w:r>
        <w:r>
          <w:rPr>
            <w:noProof/>
          </w:rPr>
          <w:t>1</w:t>
        </w:r>
        <w:r w:rsidR="003A40A4">
          <w:rPr>
            <w:noProof/>
          </w:rPr>
          <w:fldChar w:fldCharType="end"/>
        </w:r>
      </w:sdtContent>
    </w:sdt>
    <w:r w:rsidR="003A40A4">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B6CA" w14:textId="77777777" w:rsidR="003A40A4" w:rsidRDefault="003A40A4"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374255">
          <w:rPr>
            <w:noProof/>
          </w:rPr>
          <w:t>27</w:t>
        </w:r>
        <w:r>
          <w:rPr>
            <w:noProof/>
          </w:rPr>
          <w:fldChar w:fldCharType="end"/>
        </w:r>
        <w:r>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85BA" w14:textId="71EFD6AD" w:rsidR="003A40A4" w:rsidRDefault="003A40A4" w:rsidP="007E0FEE">
    <w:pPr>
      <w:ind w:firstLine="0"/>
      <w:jc w:val="center"/>
    </w:pPr>
    <w:r>
      <w:t>- A</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4255">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8B6E" w14:textId="77777777" w:rsidR="00AD6E89" w:rsidRDefault="00AD6E89" w:rsidP="00DF58E7">
      <w:pPr>
        <w:spacing w:line="240" w:lineRule="auto"/>
        <w:ind w:firstLine="0"/>
      </w:pPr>
      <w:r>
        <w:separator/>
      </w:r>
    </w:p>
  </w:footnote>
  <w:footnote w:type="continuationSeparator" w:id="0">
    <w:p w14:paraId="0A11C0F5" w14:textId="77777777" w:rsidR="00AD6E89" w:rsidRDefault="00AD6E89" w:rsidP="00DF58E7">
      <w:pPr>
        <w:spacing w:line="240" w:lineRule="auto"/>
        <w:ind w:firstLine="0"/>
      </w:pPr>
      <w:r>
        <w:continuationSeparator/>
      </w:r>
    </w:p>
  </w:footnote>
  <w:footnote w:type="continuationNotice" w:id="1">
    <w:p w14:paraId="14AC804A" w14:textId="77777777" w:rsidR="00AD6E89" w:rsidRDefault="00AD6E89" w:rsidP="00DF58E7">
      <w:pPr>
        <w:spacing w:line="240" w:lineRule="auto"/>
        <w:ind w:firstLine="0"/>
        <w:jc w:val="right"/>
        <w:rPr>
          <w:i/>
          <w:sz w:val="22"/>
        </w:rPr>
      </w:pPr>
    </w:p>
    <w:p w14:paraId="38C254B3" w14:textId="77777777" w:rsidR="00AD6E89" w:rsidRPr="00DF58E7" w:rsidRDefault="00AD6E89" w:rsidP="00DF58E7">
      <w:pPr>
        <w:spacing w:line="240" w:lineRule="auto"/>
        <w:ind w:firstLine="0"/>
        <w:jc w:val="right"/>
        <w:rPr>
          <w:i/>
          <w:sz w:val="22"/>
        </w:rPr>
      </w:pPr>
      <w:r w:rsidRPr="00DF58E7">
        <w:rPr>
          <w:i/>
          <w:sz w:val="22"/>
        </w:rPr>
        <w:t>Footnote continued on next page.</w:t>
      </w:r>
    </w:p>
  </w:footnote>
  <w:footnote w:id="2">
    <w:p w14:paraId="4B42053E" w14:textId="1E406544" w:rsidR="003A40A4" w:rsidRDefault="003A40A4" w:rsidP="00E4313D">
      <w:pPr>
        <w:pStyle w:val="FootnoteText"/>
      </w:pPr>
      <w:r>
        <w:rPr>
          <w:rStyle w:val="FootnoteReference"/>
        </w:rPr>
        <w:footnoteRef/>
      </w:r>
      <w:r>
        <w:t xml:space="preserve"> Order Instituting Rulemaking to Establish Policies and Rules to Ensure Reliable, Long</w:t>
      </w:r>
      <w:r>
        <w:noBreakHyphen/>
        <w:t>term Supplies of Natural Gas to California, R.04</w:t>
      </w:r>
      <w:r>
        <w:noBreakHyphen/>
        <w:t>01</w:t>
      </w:r>
      <w:r>
        <w:noBreakHyphen/>
        <w:t>036; Opinion on Phase I Issues, Decision (D.) 04</w:t>
      </w:r>
      <w:r>
        <w:noBreakHyphen/>
        <w:t>09</w:t>
      </w:r>
      <w:r>
        <w:noBreakHyphen/>
        <w:t>022, rehearing denied, D.05</w:t>
      </w:r>
      <w:r>
        <w:noBreakHyphen/>
        <w:t>10</w:t>
      </w:r>
      <w:r>
        <w:noBreakHyphen/>
        <w:t>045, modification granted, D.12</w:t>
      </w:r>
      <w:r>
        <w:noBreakHyphen/>
        <w:t>12</w:t>
      </w:r>
      <w:r>
        <w:noBreakHyphen/>
        <w:t>006 (Phase I Opinion); Opinion on Phase II Issues, D.06</w:t>
      </w:r>
      <w:r>
        <w:noBreakHyphen/>
        <w:t>09</w:t>
      </w:r>
      <w:r>
        <w:noBreakHyphen/>
        <w:t>039, correcting error, D.06</w:t>
      </w:r>
      <w:r>
        <w:noBreakHyphen/>
        <w:t>09</w:t>
      </w:r>
      <w:r>
        <w:noBreakHyphen/>
        <w:t>044, denying rehearing, D.07</w:t>
      </w:r>
      <w:r>
        <w:noBreakHyphen/>
        <w:t>02</w:t>
      </w:r>
      <w:r>
        <w:noBreakHyphen/>
        <w:t>032 (Phase II Opinion).</w:t>
      </w:r>
    </w:p>
  </w:footnote>
  <w:footnote w:id="3">
    <w:p w14:paraId="37EB4FA7" w14:textId="75175AFA" w:rsidR="003A40A4" w:rsidRDefault="003A40A4">
      <w:pPr>
        <w:pStyle w:val="FootnoteText"/>
      </w:pPr>
      <w:r>
        <w:rPr>
          <w:rStyle w:val="FootnoteReference"/>
        </w:rPr>
        <w:footnoteRef/>
      </w:r>
      <w:r>
        <w:t xml:space="preserve"> The following gas public utilities were respondents to R.04</w:t>
      </w:r>
      <w:r>
        <w:noBreakHyphen/>
        <w:t>01</w:t>
      </w:r>
      <w:r>
        <w:noBreakHyphen/>
        <w:t>025:  Pacific Gas &amp; Electric Company (PG&amp;E), San Diego Gas &amp; Electric Company (SDG&amp;E), Southern California Gas Company (SoCalGas), and Southwest Gas Corporation (Southwest Gas).</w:t>
      </w:r>
    </w:p>
  </w:footnote>
  <w:footnote w:id="4">
    <w:p w14:paraId="3F9CC366" w14:textId="1A96FBF2" w:rsidR="003A40A4" w:rsidRDefault="003A40A4" w:rsidP="00F961AA">
      <w:pPr>
        <w:pStyle w:val="FootnoteText"/>
      </w:pPr>
      <w:r>
        <w:rPr>
          <w:rStyle w:val="FootnoteReference"/>
        </w:rPr>
        <w:footnoteRef/>
      </w:r>
      <w:r>
        <w:t xml:space="preserve"> Phase II Opinion, D.06</w:t>
      </w:r>
      <w:r>
        <w:noBreakHyphen/>
        <w:t>09</w:t>
      </w:r>
      <w:r>
        <w:noBreakHyphen/>
        <w:t>039 at 27, Ordering Paragraph (OP) 1.</w:t>
      </w:r>
    </w:p>
  </w:footnote>
  <w:footnote w:id="5">
    <w:p w14:paraId="7C00E642" w14:textId="4AFFAFCF" w:rsidR="003A40A4" w:rsidRPr="006E4FA0" w:rsidRDefault="003A40A4" w:rsidP="00F961AA">
      <w:pPr>
        <w:pStyle w:val="FootnoteText"/>
        <w:rPr>
          <w:szCs w:val="22"/>
        </w:rPr>
      </w:pPr>
      <w:r>
        <w:rPr>
          <w:rStyle w:val="FootnoteReference"/>
        </w:rPr>
        <w:footnoteRef/>
      </w:r>
      <w:r>
        <w:t xml:space="preserve"> </w:t>
      </w:r>
      <w:r>
        <w:rPr>
          <w:i/>
          <w:iCs/>
          <w:szCs w:val="22"/>
        </w:rPr>
        <w:t>Id.</w:t>
      </w:r>
      <w:r w:rsidRPr="006E4FA0">
        <w:rPr>
          <w:szCs w:val="22"/>
        </w:rPr>
        <w:t xml:space="preserve"> at 27, note 20, OP 2.  SoCalGas’ </w:t>
      </w:r>
      <w:r>
        <w:rPr>
          <w:szCs w:val="22"/>
        </w:rPr>
        <w:t xml:space="preserve">peak day </w:t>
      </w:r>
      <w:r w:rsidRPr="006E4FA0">
        <w:rPr>
          <w:szCs w:val="22"/>
        </w:rPr>
        <w:t xml:space="preserve">planning standards for its local transmission system </w:t>
      </w:r>
      <w:r>
        <w:rPr>
          <w:szCs w:val="22"/>
        </w:rPr>
        <w:t>are</w:t>
      </w:r>
      <w:r w:rsidRPr="006E4FA0">
        <w:rPr>
          <w:szCs w:val="22"/>
        </w:rPr>
        <w:t xml:space="preserve"> one</w:t>
      </w:r>
      <w:r>
        <w:rPr>
          <w:szCs w:val="22"/>
        </w:rPr>
        <w:noBreakHyphen/>
      </w:r>
      <w:r w:rsidRPr="006E4FA0">
        <w:rPr>
          <w:szCs w:val="22"/>
        </w:rPr>
        <w:t>in</w:t>
      </w:r>
      <w:r>
        <w:rPr>
          <w:szCs w:val="22"/>
        </w:rPr>
        <w:noBreakHyphen/>
      </w:r>
      <w:r w:rsidRPr="006E4FA0">
        <w:rPr>
          <w:szCs w:val="22"/>
        </w:rPr>
        <w:t>35 years for core customers and one</w:t>
      </w:r>
      <w:r>
        <w:rPr>
          <w:szCs w:val="22"/>
        </w:rPr>
        <w:noBreakHyphen/>
      </w:r>
      <w:r w:rsidRPr="006E4FA0">
        <w:rPr>
          <w:szCs w:val="22"/>
        </w:rPr>
        <w:t>in</w:t>
      </w:r>
      <w:r>
        <w:rPr>
          <w:szCs w:val="22"/>
        </w:rPr>
        <w:noBreakHyphen/>
      </w:r>
      <w:r w:rsidRPr="006E4FA0">
        <w:rPr>
          <w:szCs w:val="22"/>
        </w:rPr>
        <w:t>ten years for non</w:t>
      </w:r>
      <w:r>
        <w:rPr>
          <w:szCs w:val="22"/>
        </w:rPr>
        <w:noBreakHyphen/>
      </w:r>
      <w:r w:rsidRPr="006E4FA0">
        <w:rPr>
          <w:szCs w:val="22"/>
        </w:rPr>
        <w:t xml:space="preserve">core customers, and PG&amp;E’s standard </w:t>
      </w:r>
      <w:r>
        <w:rPr>
          <w:szCs w:val="22"/>
        </w:rPr>
        <w:t>are</w:t>
      </w:r>
      <w:r w:rsidRPr="006E4FA0">
        <w:rPr>
          <w:szCs w:val="22"/>
        </w:rPr>
        <w:t xml:space="preserve"> one</w:t>
      </w:r>
      <w:r>
        <w:rPr>
          <w:szCs w:val="22"/>
        </w:rPr>
        <w:noBreakHyphen/>
      </w:r>
      <w:r w:rsidRPr="006E4FA0">
        <w:rPr>
          <w:szCs w:val="22"/>
        </w:rPr>
        <w:t>in</w:t>
      </w:r>
      <w:r>
        <w:rPr>
          <w:szCs w:val="22"/>
        </w:rPr>
        <w:noBreakHyphen/>
      </w:r>
      <w:r w:rsidRPr="006E4FA0">
        <w:rPr>
          <w:szCs w:val="22"/>
        </w:rPr>
        <w:t>90 years on an abnormal peak day for core customers and one</w:t>
      </w:r>
      <w:r>
        <w:rPr>
          <w:szCs w:val="22"/>
        </w:rPr>
        <w:noBreakHyphen/>
      </w:r>
      <w:r w:rsidRPr="006E4FA0">
        <w:rPr>
          <w:szCs w:val="22"/>
        </w:rPr>
        <w:t>in</w:t>
      </w:r>
      <w:r>
        <w:rPr>
          <w:szCs w:val="22"/>
        </w:rPr>
        <w:noBreakHyphen/>
      </w:r>
      <w:r w:rsidRPr="006E4FA0">
        <w:rPr>
          <w:szCs w:val="22"/>
        </w:rPr>
        <w:t>two years on a cold winter day for noncore customers.</w:t>
      </w:r>
    </w:p>
  </w:footnote>
  <w:footnote w:id="6">
    <w:p w14:paraId="498E79BF" w14:textId="62EF083A" w:rsidR="003A40A4" w:rsidRDefault="003A40A4" w:rsidP="00F961AA">
      <w:pPr>
        <w:pStyle w:val="FootnoteText"/>
      </w:pPr>
      <w:r>
        <w:rPr>
          <w:rStyle w:val="FootnoteReference"/>
        </w:rPr>
        <w:footnoteRef/>
      </w:r>
      <w:r>
        <w:t xml:space="preserve"> Phase II Opinion, D.06</w:t>
      </w:r>
      <w:r>
        <w:noBreakHyphen/>
        <w:t>09</w:t>
      </w:r>
      <w:r>
        <w:noBreakHyphen/>
        <w:t>039 at 20.</w:t>
      </w:r>
    </w:p>
  </w:footnote>
  <w:footnote w:id="7">
    <w:p w14:paraId="79E17351" w14:textId="4E086C1E" w:rsidR="003A40A4" w:rsidRDefault="003A40A4" w:rsidP="00F961AA">
      <w:pPr>
        <w:pStyle w:val="FootnoteText"/>
      </w:pPr>
      <w:r>
        <w:rPr>
          <w:rStyle w:val="FootnoteReference"/>
        </w:rPr>
        <w:footnoteRef/>
      </w:r>
      <w:r>
        <w:t xml:space="preserve"> </w:t>
      </w:r>
      <w:r>
        <w:rPr>
          <w:i/>
          <w:iCs/>
        </w:rPr>
        <w:t>Id.</w:t>
      </w:r>
      <w:r>
        <w:t xml:space="preserve"> at 26. </w:t>
      </w:r>
    </w:p>
  </w:footnote>
  <w:footnote w:id="8">
    <w:p w14:paraId="141F1E35" w14:textId="1662CB5E" w:rsidR="003A40A4" w:rsidRDefault="003A40A4" w:rsidP="00A20BD8">
      <w:pPr>
        <w:pStyle w:val="FootnoteText"/>
      </w:pPr>
      <w:r>
        <w:rPr>
          <w:rStyle w:val="FootnoteReference"/>
        </w:rPr>
        <w:footnoteRef/>
      </w:r>
      <w:r>
        <w:t xml:space="preserve"> Phase I Opinion, D.04-09-022 at 30.</w:t>
      </w:r>
    </w:p>
  </w:footnote>
  <w:footnote w:id="9">
    <w:p w14:paraId="7785199B" w14:textId="672085C6" w:rsidR="003A40A4" w:rsidRPr="00CB5DE8" w:rsidRDefault="003A40A4" w:rsidP="00924DD9">
      <w:pPr>
        <w:pStyle w:val="FootnoteText"/>
      </w:pPr>
      <w:r>
        <w:rPr>
          <w:rStyle w:val="FootnoteReference"/>
        </w:rPr>
        <w:footnoteRef/>
      </w:r>
      <w:r>
        <w:t xml:space="preserve"> The Commission initiated Rulemaking 13</w:t>
      </w:r>
      <w:r>
        <w:noBreakHyphen/>
        <w:t>11</w:t>
      </w:r>
      <w:r>
        <w:noBreakHyphen/>
        <w:t>006, Order Instituting Rulemaking to Develop a Risk</w:t>
      </w:r>
      <w:r>
        <w:noBreakHyphen/>
        <w:t>based Decision</w:t>
      </w:r>
      <w:r>
        <w:noBreakHyphen/>
        <w:t>Making Framework to Evaluate Safety and Reliability Improvements and Revise the General Rate Case Plan for Energy Utilities (R.13</w:t>
      </w:r>
      <w:r>
        <w:noBreakHyphen/>
        <w:t>11</w:t>
      </w:r>
      <w:r>
        <w:noBreakHyphen/>
        <w:t>006).  In R.13.11</w:t>
      </w:r>
      <w:r>
        <w:noBreakHyphen/>
        <w:t>006, the Commission established the following risk</w:t>
      </w:r>
      <w:r>
        <w:noBreakHyphen/>
        <w:t>based decision</w:t>
      </w:r>
      <w:r>
        <w:noBreakHyphen/>
        <w:t xml:space="preserve">making frameworks: The Safety Model Assessment proceeding and the Risk Assessment Management Plan.  </w:t>
      </w:r>
      <w:r>
        <w:rPr>
          <w:i/>
          <w:iCs/>
        </w:rPr>
        <w:t xml:space="preserve">See also </w:t>
      </w:r>
      <w:r>
        <w:t>D.14</w:t>
      </w:r>
      <w:r>
        <w:noBreakHyphen/>
        <w:t>12</w:t>
      </w:r>
      <w:r>
        <w:noBreakHyphen/>
        <w:t>025.</w:t>
      </w:r>
    </w:p>
  </w:footnote>
  <w:footnote w:id="10">
    <w:p w14:paraId="25FA855E" w14:textId="0E329738" w:rsidR="003A40A4" w:rsidRDefault="003A40A4">
      <w:pPr>
        <w:pStyle w:val="FootnoteText"/>
      </w:pPr>
      <w:r>
        <w:rPr>
          <w:rStyle w:val="FootnoteReference"/>
        </w:rPr>
        <w:footnoteRef/>
      </w:r>
      <w:r>
        <w:t xml:space="preserve"> Order Instituting Rulemaking on the Commission’s own Motion to Adopt New Safety and Reliability Regulations for Natural Gas Transmission and Distribution Pipelines and Related Ratemaking Mechanisms, R.11</w:t>
      </w:r>
      <w:r>
        <w:noBreakHyphen/>
        <w:t>02</w:t>
      </w:r>
      <w:r>
        <w:noBreakHyphen/>
        <w:t>019 at 1.</w:t>
      </w:r>
    </w:p>
  </w:footnote>
  <w:footnote w:id="11">
    <w:p w14:paraId="54F772CF" w14:textId="05D02E9C" w:rsidR="003A40A4" w:rsidRDefault="003A40A4">
      <w:pPr>
        <w:pStyle w:val="FootnoteText"/>
      </w:pPr>
      <w:r>
        <w:rPr>
          <w:rStyle w:val="FootnoteReference"/>
        </w:rPr>
        <w:footnoteRef/>
      </w:r>
      <w:r>
        <w:t xml:space="preserve"> All statutory references herein are to the California Public Utilities Code unless otherwise indicated.</w:t>
      </w:r>
    </w:p>
  </w:footnote>
  <w:footnote w:id="12">
    <w:p w14:paraId="634CC839" w14:textId="6318FF05" w:rsidR="003A40A4" w:rsidRPr="0065707C" w:rsidRDefault="003A40A4">
      <w:pPr>
        <w:pStyle w:val="FootnoteText"/>
      </w:pPr>
      <w:r>
        <w:rPr>
          <w:rStyle w:val="FootnoteReference"/>
        </w:rPr>
        <w:footnoteRef/>
      </w:r>
      <w:r>
        <w:t xml:space="preserve"> </w:t>
      </w:r>
      <w:r w:rsidRPr="00492D01">
        <w:t>Pacific Gas and Elec</w:t>
      </w:r>
      <w:r>
        <w:t>tric</w:t>
      </w:r>
      <w:r w:rsidRPr="00492D01">
        <w:t xml:space="preserve"> Co</w:t>
      </w:r>
      <w:r>
        <w:t>mpany</w:t>
      </w:r>
      <w:r>
        <w:rPr>
          <w:i/>
          <w:iCs/>
        </w:rPr>
        <w:t>,</w:t>
      </w:r>
      <w:r>
        <w:t xml:space="preserve"> Application 13-10-017, Settlement Agreement, Appendix I, Table E-4. </w:t>
      </w:r>
    </w:p>
  </w:footnote>
  <w:footnote w:id="13">
    <w:p w14:paraId="3EB5C1E9" w14:textId="2950A9E5" w:rsidR="003A40A4" w:rsidRDefault="003A40A4">
      <w:pPr>
        <w:pStyle w:val="FootnoteText"/>
      </w:pPr>
      <w:r>
        <w:rPr>
          <w:rStyle w:val="FootnoteReference"/>
        </w:rPr>
        <w:footnoteRef/>
      </w:r>
      <w:r>
        <w:t xml:space="preserve"> </w:t>
      </w:r>
      <w:r>
        <w:rPr>
          <w:i/>
          <w:iCs/>
        </w:rPr>
        <w:t xml:space="preserve">San Diego Gas &amp; Elec. et al, </w:t>
      </w:r>
      <w:r>
        <w:t>D.14</w:t>
      </w:r>
      <w:r>
        <w:noBreakHyphen/>
        <w:t>06</w:t>
      </w:r>
      <w:r>
        <w:noBreakHyphen/>
        <w:t xml:space="preserve">007 at 3, Findings of Fact 8 and 17, (finding, however, that SDG&amp;E must record the costs in a balancing account that will be subject to a reasonableness review); </w:t>
      </w:r>
      <w:r>
        <w:rPr>
          <w:i/>
          <w:iCs/>
        </w:rPr>
        <w:t>see also</w:t>
      </w:r>
      <w:r>
        <w:t xml:space="preserve"> D.19</w:t>
      </w:r>
      <w:r>
        <w:noBreakHyphen/>
        <w:t>03</w:t>
      </w:r>
      <w:r>
        <w:noBreakHyphen/>
        <w:t xml:space="preserve">025. </w:t>
      </w:r>
    </w:p>
  </w:footnote>
  <w:footnote w:id="14">
    <w:p w14:paraId="51EC9A2E" w14:textId="331458B7" w:rsidR="003A40A4" w:rsidRPr="00DC070C" w:rsidRDefault="003A40A4">
      <w:pPr>
        <w:pStyle w:val="FootnoteText"/>
      </w:pPr>
      <w:r>
        <w:rPr>
          <w:rStyle w:val="FootnoteReference"/>
        </w:rPr>
        <w:footnoteRef/>
      </w:r>
      <w:r>
        <w:t xml:space="preserve"> </w:t>
      </w:r>
      <w:r>
        <w:rPr>
          <w:i/>
          <w:iCs/>
        </w:rPr>
        <w:t>Id.</w:t>
      </w:r>
      <w:r>
        <w:t xml:space="preserve">  (finding, however, that SoCalGas must record the costs in a balancing account that will be subject to a reasonableness review).</w:t>
      </w:r>
    </w:p>
  </w:footnote>
  <w:footnote w:id="15">
    <w:p w14:paraId="50A62116" w14:textId="3F4DB60E" w:rsidR="003A40A4" w:rsidRDefault="003A40A4" w:rsidP="0065707C">
      <w:pPr>
        <w:pStyle w:val="FootnoteText"/>
      </w:pPr>
      <w:r>
        <w:rPr>
          <w:rStyle w:val="FootnoteReference"/>
        </w:rPr>
        <w:footnoteRef/>
      </w:r>
      <w:r>
        <w:t xml:space="preserve"> Pursuant to 49 CFR Parts 190</w:t>
      </w:r>
      <w:r>
        <w:noBreakHyphen/>
        <w:t>199, the Pipeline and Hazardous Materials Safety Administration (PHMSA) requires gas utilities to test and remediate certain pipelines located in High Consequence Areas, defined as a certain radius of buildings intended for human occupancy.  The gas utilities manage compliance activities for 49 CRF Parts 190</w:t>
      </w:r>
      <w:r>
        <w:noBreakHyphen/>
        <w:t>199 in their respective Transmission Integrity Management Plans.</w:t>
      </w:r>
    </w:p>
  </w:footnote>
  <w:footnote w:id="16">
    <w:p w14:paraId="5535C3F8" w14:textId="6CA61AA0" w:rsidR="003A40A4" w:rsidRDefault="003A40A4">
      <w:pPr>
        <w:pStyle w:val="FootnoteText"/>
      </w:pPr>
      <w:r>
        <w:rPr>
          <w:rStyle w:val="FootnoteReference"/>
        </w:rPr>
        <w:footnoteRef/>
      </w:r>
      <w:r>
        <w:t xml:space="preserve"> </w:t>
      </w:r>
      <w:r>
        <w:rPr>
          <w:i/>
          <w:iCs/>
        </w:rPr>
        <w:t>See</w:t>
      </w:r>
      <w:r>
        <w:t xml:space="preserve"> Blade Energy Partners, Root Cause Analysis of the Uncontrolled Hydrocarbon Release from Aliso Canyon SS-25  at 155 (published May 16, 2019) available at: </w:t>
      </w:r>
      <w:hyperlink r:id="rId1" w:history="1">
        <w:r w:rsidRPr="00CB3790">
          <w:rPr>
            <w:rStyle w:val="Hyperlink"/>
          </w:rPr>
          <w:t>ftp://ftp.cpuc.ca.gov/News_and_Outreach/SS-25%20RCA%20Final%20Report%20May%2016,%202019.pdf</w:t>
        </w:r>
      </w:hyperlink>
      <w:r>
        <w:t xml:space="preserve">. </w:t>
      </w:r>
    </w:p>
  </w:footnote>
  <w:footnote w:id="17">
    <w:p w14:paraId="6FA2F3C9" w14:textId="1FAE9E07" w:rsidR="003A40A4" w:rsidRDefault="003A40A4" w:rsidP="00F961AA">
      <w:pPr>
        <w:pStyle w:val="FootnoteText"/>
      </w:pPr>
      <w:r>
        <w:rPr>
          <w:rStyle w:val="FootnoteReference"/>
        </w:rPr>
        <w:footnoteRef/>
      </w:r>
      <w:r>
        <w:t xml:space="preserve"> Governor Edmund G Brown Jr., January 6, 2016 Proclamation, available at: </w:t>
      </w:r>
      <w:hyperlink r:id="rId2" w:history="1">
        <w:r w:rsidRPr="006E1F72">
          <w:rPr>
            <w:rStyle w:val="Hyperlink"/>
          </w:rPr>
          <w:t>https://www.ca.gov/archive/gov39/2016/01/06/news19263/index.html</w:t>
        </w:r>
      </w:hyperlink>
      <w:r>
        <w:t>.</w:t>
      </w:r>
    </w:p>
  </w:footnote>
  <w:footnote w:id="18">
    <w:p w14:paraId="23C4BE62" w14:textId="08A8177F" w:rsidR="003A40A4" w:rsidRDefault="003A40A4">
      <w:pPr>
        <w:pStyle w:val="FootnoteText"/>
      </w:pPr>
      <w:r>
        <w:rPr>
          <w:rStyle w:val="FootnoteReference"/>
        </w:rPr>
        <w:footnoteRef/>
      </w:r>
      <w:r>
        <w:t xml:space="preserve"> On January 1, 2020, DOGGR was renamed the California Geologic Energy Management Division.</w:t>
      </w:r>
    </w:p>
  </w:footnote>
  <w:footnote w:id="19">
    <w:p w14:paraId="483EAAEC" w14:textId="7631BBA1" w:rsidR="003A40A4" w:rsidRPr="00064B5B" w:rsidRDefault="003A40A4" w:rsidP="00F961AA">
      <w:pPr>
        <w:pStyle w:val="FootnoteText"/>
      </w:pPr>
      <w:r>
        <w:rPr>
          <w:rStyle w:val="FootnoteReference"/>
        </w:rPr>
        <w:footnoteRef/>
      </w:r>
      <w:r>
        <w:t xml:space="preserve"> As an example of the cost of compliance, </w:t>
      </w:r>
      <w:r w:rsidRPr="00051F0D">
        <w:rPr>
          <w:szCs w:val="22"/>
        </w:rPr>
        <w:t xml:space="preserve">PG&amp;E’s estimated capital expenditures for retrofitting its wells to comply with the new DOGGR rules include $58.8 million for 2019, $59.9 million for 2020, and $29.8 million for 2021. </w:t>
      </w:r>
      <w:r w:rsidRPr="00051F0D">
        <w:rPr>
          <w:i/>
          <w:iCs/>
          <w:szCs w:val="22"/>
        </w:rPr>
        <w:t xml:space="preserve">See </w:t>
      </w:r>
      <w:r>
        <w:rPr>
          <w:i/>
          <w:iCs/>
          <w:szCs w:val="22"/>
        </w:rPr>
        <w:t xml:space="preserve">Pacific Gas and Elec. Co., </w:t>
      </w:r>
      <w:r w:rsidRPr="00051F0D">
        <w:rPr>
          <w:szCs w:val="22"/>
        </w:rPr>
        <w:t>D.19</w:t>
      </w:r>
      <w:r>
        <w:rPr>
          <w:szCs w:val="22"/>
        </w:rPr>
        <w:noBreakHyphen/>
      </w:r>
      <w:r w:rsidRPr="00051F0D">
        <w:rPr>
          <w:szCs w:val="22"/>
        </w:rPr>
        <w:t>09</w:t>
      </w:r>
      <w:r>
        <w:rPr>
          <w:szCs w:val="22"/>
        </w:rPr>
        <w:noBreakHyphen/>
      </w:r>
      <w:r w:rsidRPr="00051F0D">
        <w:rPr>
          <w:szCs w:val="22"/>
        </w:rPr>
        <w:t>025 at 91.</w:t>
      </w:r>
      <w:r>
        <w:rPr>
          <w:szCs w:val="22"/>
        </w:rPr>
        <w:t xml:space="preserve"> </w:t>
      </w:r>
    </w:p>
  </w:footnote>
  <w:footnote w:id="20">
    <w:p w14:paraId="383711A6" w14:textId="24163D0F" w:rsidR="00E3287E" w:rsidRDefault="00E3287E">
      <w:pPr>
        <w:pStyle w:val="FootnoteText"/>
      </w:pPr>
      <w:r>
        <w:rPr>
          <w:rStyle w:val="FootnoteReference"/>
        </w:rPr>
        <w:footnoteRef/>
      </w:r>
      <w:r>
        <w:t xml:space="preserve"> SB 380, Pavley, Natural Gas Storage: Moratorium (Stats. 2016, Ch. 14). </w:t>
      </w:r>
    </w:p>
  </w:footnote>
  <w:footnote w:id="21">
    <w:p w14:paraId="4303D41F" w14:textId="2A56A894" w:rsidR="003A40A4" w:rsidRDefault="003A40A4">
      <w:pPr>
        <w:pStyle w:val="FootnoteText"/>
      </w:pPr>
      <w:r>
        <w:rPr>
          <w:rStyle w:val="FootnoteReference"/>
        </w:rPr>
        <w:footnoteRef/>
      </w:r>
      <w:r>
        <w:t xml:space="preserve"> SB 380 Concurrence Letter, available at:</w:t>
      </w:r>
      <w:r w:rsidRPr="00DF277E">
        <w:t xml:space="preserve"> </w:t>
      </w:r>
      <w:hyperlink r:id="rId3" w:history="1">
        <w:r w:rsidRPr="00E17C2A">
          <w:rPr>
            <w:rStyle w:val="Hyperlink"/>
          </w:rPr>
          <w:t>https://www.cpuc.ca.gov/uploadedFiles/CPUC_Public_Website/Content/News_Room/News_and_Updates/7-19-17_CPUCLtrtoKenHarrisDOGGRreSB380Concurrence.pdf</w:t>
        </w:r>
      </w:hyperlink>
      <w:r>
        <w:t>.</w:t>
      </w:r>
    </w:p>
  </w:footnote>
  <w:footnote w:id="22">
    <w:p w14:paraId="2264C76A" w14:textId="77777777" w:rsidR="003A40A4" w:rsidRDefault="003A40A4" w:rsidP="003B5C3A">
      <w:pPr>
        <w:pStyle w:val="FootnoteText"/>
      </w:pPr>
      <w:r>
        <w:rPr>
          <w:rStyle w:val="FootnoteReference"/>
        </w:rPr>
        <w:footnoteRef/>
      </w:r>
      <w:r>
        <w:t xml:space="preserve"> May 8, 2017 Letter from Timothy J. Sullivan, Executive Director, California Public Utilities Commission to Bret Lane, Chief Operating Officer, Southern California Gas Company, available at: </w:t>
      </w:r>
      <w:hyperlink r:id="rId4" w:history="1">
        <w:r w:rsidRPr="00514747">
          <w:rPr>
            <w:rStyle w:val="Hyperlink"/>
          </w:rPr>
          <w:t>https://www.cpuc.ca.gov/uploadedFiles/CPUC_Public_Website/Content/News_Room/News_and_Updates/5</w:t>
        </w:r>
        <w:r>
          <w:rPr>
            <w:rStyle w:val="Hyperlink"/>
          </w:rPr>
          <w:noBreakHyphen/>
        </w:r>
        <w:r w:rsidRPr="00514747">
          <w:rPr>
            <w:rStyle w:val="Hyperlink"/>
          </w:rPr>
          <w:t>8</w:t>
        </w:r>
        <w:r>
          <w:rPr>
            <w:rStyle w:val="Hyperlink"/>
          </w:rPr>
          <w:noBreakHyphen/>
        </w:r>
        <w:r w:rsidRPr="00514747">
          <w:rPr>
            <w:rStyle w:val="Hyperlink"/>
          </w:rPr>
          <w:t>17_Ltr%20to%20SoCal%20Gas%20re%20SoCalGas%20Summer%20Reliability%20and%20Storage%20Instructions_A1507014.pdf</w:t>
        </w:r>
      </w:hyperlink>
      <w:r>
        <w:t xml:space="preserve">.  </w:t>
      </w:r>
    </w:p>
  </w:footnote>
  <w:footnote w:id="23">
    <w:p w14:paraId="1AC0DB90" w14:textId="578E7B07" w:rsidR="003A40A4" w:rsidRDefault="003A40A4">
      <w:pPr>
        <w:pStyle w:val="FootnoteText"/>
      </w:pPr>
      <w:r>
        <w:rPr>
          <w:rStyle w:val="FootnoteReference"/>
        </w:rPr>
        <w:footnoteRef/>
      </w:r>
      <w:r>
        <w:t xml:space="preserve"> Aliso Canyon Withdrawal Protocol, June 23, 2019: </w:t>
      </w:r>
      <w:hyperlink r:id="rId5" w:history="1">
        <w:r w:rsidRPr="00E17C2A">
          <w:rPr>
            <w:rStyle w:val="Hyperlink"/>
          </w:rPr>
          <w:t>https://www.cpuc.ca.gov/uploadedFiles/CPUCWebsite/Content/News_Room/NewsUpdates/2019/UpdatedWithdrawalProtocol_2019-07-23%20-%20v2.pdf</w:t>
        </w:r>
      </w:hyperlink>
      <w:r>
        <w:t xml:space="preserve">. On September 19, 2019, Alice Stebbins, Executive Director of California Public Utilities Commission, issued a letter directing SoCalGas to increase injections at all of its natural gas storage fields. The letter is available at: </w:t>
      </w:r>
      <w:hyperlink r:id="rId6" w:history="1">
        <w:r w:rsidRPr="0006428B">
          <w:rPr>
            <w:rStyle w:val="Hyperlink"/>
          </w:rPr>
          <w:t>https://www.cpuc.ca.gov/uploadedFiles/CPUCWebsite/Content/News_Room/NewsUpdates/2019/Signed%20Letter%20to%20Bret%20Lane%20So%20Cal%20Gas%20Company%20re%20Injection%20Required%20for%20SCG%20Winter%20Reliability%20and%20Storage%20Inventory_v2.pdf</w:t>
        </w:r>
      </w:hyperlink>
      <w:r>
        <w:t xml:space="preserve">. </w:t>
      </w:r>
    </w:p>
  </w:footnote>
  <w:footnote w:id="24">
    <w:p w14:paraId="2AFC24C1" w14:textId="38AB5D02" w:rsidR="003A40A4" w:rsidRPr="00E5167F" w:rsidRDefault="003A40A4" w:rsidP="00F33B77">
      <w:pPr>
        <w:pStyle w:val="FootnoteText"/>
      </w:pPr>
      <w:r>
        <w:rPr>
          <w:rStyle w:val="FootnoteReference"/>
        </w:rPr>
        <w:footnoteRef/>
      </w:r>
      <w:r>
        <w:t xml:space="preserve"> SoCalGas’ winter peak demand of approximately 5.1 Bcf is served by its backbone pipeline system capacity of 3.87 Bcf (maximum) and gas storage capacity.  To balance its system on an hourly basis, SoCalGas relies on its gas storage fields, particularly Aliso Canyon because of its size and close proximity to Los Angeles.  </w:t>
      </w:r>
      <w:r>
        <w:rPr>
          <w:i/>
          <w:iCs/>
        </w:rPr>
        <w:t xml:space="preserve">See </w:t>
      </w:r>
      <w:r>
        <w:t>Aliso Canyon Action Plan to Preserve Gas and Electric Reliability for the Los Angeles Basin at 7</w:t>
      </w:r>
      <w:r>
        <w:noBreakHyphen/>
        <w:t xml:space="preserve">8, available at: </w:t>
      </w:r>
      <w:hyperlink r:id="rId7" w:history="1">
        <w:r w:rsidRPr="006E1F72">
          <w:rPr>
            <w:rStyle w:val="Hyperlink"/>
          </w:rPr>
          <w:t>https://ww2.energy.ca.gov/2016_energypolicy/documents/2016</w:t>
        </w:r>
        <w:r>
          <w:rPr>
            <w:rStyle w:val="Hyperlink"/>
          </w:rPr>
          <w:noBreakHyphen/>
        </w:r>
        <w:r w:rsidRPr="006E1F72">
          <w:rPr>
            <w:rStyle w:val="Hyperlink"/>
          </w:rPr>
          <w:t>04</w:t>
        </w:r>
        <w:r>
          <w:rPr>
            <w:rStyle w:val="Hyperlink"/>
          </w:rPr>
          <w:noBreakHyphen/>
        </w:r>
        <w:r w:rsidRPr="006E1F72">
          <w:rPr>
            <w:rStyle w:val="Hyperlink"/>
          </w:rPr>
          <w:t>08_joint_agency_workshop/Aliso_Canyon_Action_Plan_to_Preserve_Gas_and_Electric_Reliability_for_the_Los_Angeles_Basin.pdf</w:t>
        </w:r>
      </w:hyperlink>
      <w:r>
        <w:t>.</w:t>
      </w:r>
    </w:p>
  </w:footnote>
  <w:footnote w:id="25">
    <w:p w14:paraId="3804CD9C" w14:textId="373C77E4" w:rsidR="003A40A4" w:rsidRDefault="003A40A4">
      <w:pPr>
        <w:pStyle w:val="FootnoteText"/>
      </w:pPr>
      <w:r>
        <w:rPr>
          <w:rStyle w:val="FootnoteReference"/>
        </w:rPr>
        <w:footnoteRef/>
      </w:r>
      <w:r>
        <w:t xml:space="preserve"> </w:t>
      </w:r>
      <w:r>
        <w:rPr>
          <w:szCs w:val="26"/>
        </w:rPr>
        <w:t xml:space="preserve">SoCalGas’ </w:t>
      </w:r>
      <w:bookmarkStart w:id="9" w:name="_Hlk27669042"/>
      <w:r>
        <w:rPr>
          <w:szCs w:val="26"/>
        </w:rPr>
        <w:t>Line 3000 was also out of service from July 2016 until September 2018, for maintenance and repairs</w:t>
      </w:r>
      <w:bookmarkEnd w:id="9"/>
      <w:r>
        <w:rPr>
          <w:szCs w:val="26"/>
        </w:rPr>
        <w:t>.</w:t>
      </w:r>
    </w:p>
  </w:footnote>
  <w:footnote w:id="26">
    <w:p w14:paraId="4DAC530D" w14:textId="6F789B36" w:rsidR="003A40A4" w:rsidRDefault="003A40A4">
      <w:pPr>
        <w:pStyle w:val="FootnoteText"/>
      </w:pPr>
      <w:r>
        <w:rPr>
          <w:rStyle w:val="FootnoteReference"/>
        </w:rPr>
        <w:footnoteRef/>
      </w:r>
      <w:r>
        <w:t xml:space="preserve"> SoCalGas returned both lines to service during October 2019. </w:t>
      </w:r>
      <w:r>
        <w:rPr>
          <w:i/>
          <w:iCs/>
        </w:rPr>
        <w:t xml:space="preserve">See </w:t>
      </w:r>
      <w:r>
        <w:t xml:space="preserve">SoCalGas Envoy Maintenance Schedule, available at: </w:t>
      </w:r>
      <w:hyperlink r:id="rId8" w:anchor="nav=/Public/ViewExternalEbb.getMessageLedger%3FledgerType%3Dmessage%26Page%3Dfilter%26datePosted_from%3D10%252F09%252F2019%26datePosted_to%3D10%252F31%252F2019%26keyword%3D%26folderId%3D9%26rand%3D498" w:history="1">
        <w:r w:rsidRPr="00C66F6D">
          <w:rPr>
            <w:rStyle w:val="Hyperlink"/>
          </w:rPr>
          <w:t>https://scgenvoy.sempra.com/#nav=/Public/ViewExternalEbb.getMessageLedger%3FledgerType%3Dmessage%26Page%3Dfilter%26datePosted_from%3D10%252F09%252F2019%26datePosted_to%3D10%252F31%252F2019%26keyword%3D%26folderId%3D9%26rand%3D498</w:t>
        </w:r>
      </w:hyperlink>
      <w:r>
        <w:t xml:space="preserve">.   </w:t>
      </w:r>
    </w:p>
  </w:footnote>
  <w:footnote w:id="27">
    <w:p w14:paraId="234313F4" w14:textId="0A2A9889" w:rsidR="003A40A4" w:rsidRPr="00492D01" w:rsidRDefault="003A40A4" w:rsidP="00492D01">
      <w:pPr>
        <w:autoSpaceDE w:val="0"/>
        <w:autoSpaceDN w:val="0"/>
        <w:adjustRightInd w:val="0"/>
        <w:spacing w:after="120" w:line="240" w:lineRule="auto"/>
        <w:ind w:firstLine="0"/>
      </w:pPr>
      <w:r w:rsidRPr="00492D01">
        <w:rPr>
          <w:rStyle w:val="FootnoteReference"/>
          <w:sz w:val="22"/>
        </w:rPr>
        <w:footnoteRef/>
      </w:r>
      <w:r>
        <w:t xml:space="preserve"> </w:t>
      </w:r>
      <w:r w:rsidRPr="00492D01">
        <w:rPr>
          <w:i/>
          <w:iCs/>
          <w:sz w:val="22"/>
        </w:rPr>
        <w:t xml:space="preserve">See </w:t>
      </w:r>
      <w:r w:rsidRPr="00492D01">
        <w:rPr>
          <w:sz w:val="22"/>
        </w:rPr>
        <w:t xml:space="preserve">Commission Staff, Winter 2017-18 SoCalGas Condition and Operations Report, available at: </w:t>
      </w:r>
      <w:hyperlink r:id="rId9" w:history="1">
        <w:r w:rsidRPr="00492D01">
          <w:rPr>
            <w:rStyle w:val="Hyperlink"/>
            <w:sz w:val="22"/>
          </w:rPr>
          <w:t>https://www.cpuc.ca.gov/uploadedFiles/CPUCWebsite/Content/News_Room/NewsUpdates/2018/Winter2017-2018LookbackReportCleanFinal_2018-12-06%20-%20v2.pdf</w:t>
        </w:r>
      </w:hyperlink>
      <w:r>
        <w:rPr>
          <w:sz w:val="22"/>
        </w:rPr>
        <w:t xml:space="preserve">.  </w:t>
      </w:r>
      <w:r w:rsidRPr="00492D01">
        <w:rPr>
          <w:sz w:val="22"/>
        </w:rPr>
        <w:t xml:space="preserve">(“[A] </w:t>
      </w:r>
      <w:r w:rsidRPr="00492D01">
        <w:rPr>
          <w:rFonts w:cs="PalatinoLinotype"/>
          <w:sz w:val="22"/>
        </w:rPr>
        <w:t>a 15-day period of exceptionally cold weather (the cold snap) began on</w:t>
      </w:r>
      <w:r>
        <w:rPr>
          <w:rFonts w:cs="PalatinoLinotype"/>
          <w:sz w:val="22"/>
        </w:rPr>
        <w:t xml:space="preserve"> </w:t>
      </w:r>
      <w:r>
        <w:rPr>
          <w:rFonts w:ascii="PalatinoLinotype" w:hAnsi="PalatinoLinotype" w:cs="PalatinoLinotype"/>
          <w:sz w:val="22"/>
        </w:rPr>
        <w:t xml:space="preserve">February 19, 2018, which led SoCalGas to issue a systemwide [voluntary] curtailment of electric generation </w:t>
      </w:r>
      <w:r w:rsidRPr="00492D01">
        <w:rPr>
          <w:rFonts w:ascii="PalatinoLinotype" w:hAnsi="PalatinoLinotype" w:cs="PalatinoLinotype"/>
          <w:sz w:val="22"/>
        </w:rPr>
        <w:t>and to</w:t>
      </w:r>
      <w:r>
        <w:rPr>
          <w:rFonts w:ascii="PalatinoLinotype" w:hAnsi="PalatinoLinotype" w:cs="PalatinoLinotype"/>
        </w:rPr>
        <w:t xml:space="preserve"> </w:t>
      </w:r>
      <w:r w:rsidRPr="00492D01">
        <w:rPr>
          <w:rFonts w:cs="PalatinoLinotype"/>
          <w:sz w:val="22"/>
        </w:rPr>
        <w:t>withdraw 7.64 Bcf from its non-Aliso storage fields.”);</w:t>
      </w:r>
      <w:r w:rsidRPr="00492D01">
        <w:rPr>
          <w:sz w:val="22"/>
        </w:rPr>
        <w:t xml:space="preserve"> Commission Staff, Winter 2018-19 SoCalGas Condition and Operations Report ; Commission Staff, Winter 2018-19 SoCalGas Condition and Operations Report at 5, 7, 22, 26-27 Available at: </w:t>
      </w:r>
      <w:r>
        <w:rPr>
          <w:sz w:val="22"/>
        </w:rPr>
        <w:t xml:space="preserve"> </w:t>
      </w:r>
      <w:hyperlink r:id="rId10" w:history="1">
        <w:r w:rsidRPr="00492D01">
          <w:rPr>
            <w:rStyle w:val="Hyperlink"/>
            <w:sz w:val="22"/>
          </w:rPr>
          <w:t>https://www.cpuc.ca.gov/uploadedFiles/CPUCWebsite/Content/News_Room/NewsUpdates/2019/Winter2018-19LookbackReport_PublicDraft.pdf</w:t>
        </w:r>
      </w:hyperlink>
      <w:r w:rsidRPr="00492D01">
        <w:rPr>
          <w:i/>
          <w:iCs/>
          <w:sz w:val="22"/>
        </w:rPr>
        <w:t xml:space="preserve">. </w:t>
      </w:r>
    </w:p>
  </w:footnote>
  <w:footnote w:id="28">
    <w:p w14:paraId="272FFEBF" w14:textId="43816826" w:rsidR="003A40A4" w:rsidRDefault="003A40A4" w:rsidP="000435BB">
      <w:pPr>
        <w:pStyle w:val="FootnoteText"/>
      </w:pPr>
      <w:r>
        <w:rPr>
          <w:rStyle w:val="FootnoteReference"/>
        </w:rPr>
        <w:footnoteRef/>
      </w:r>
      <w:r>
        <w:t xml:space="preserve"> Pacific Gas and Electric Company, Gas Rule No. 14, Capacity Allocation and Constraint of Natural Gas Service at 1.a.</w:t>
      </w:r>
    </w:p>
  </w:footnote>
  <w:footnote w:id="29">
    <w:p w14:paraId="449ECF56" w14:textId="76112721" w:rsidR="003A40A4" w:rsidRDefault="003A40A4" w:rsidP="00E821FB">
      <w:pPr>
        <w:pStyle w:val="FootnoteText"/>
      </w:pPr>
      <w:r>
        <w:rPr>
          <w:rStyle w:val="FootnoteReference"/>
        </w:rPr>
        <w:footnoteRef/>
      </w:r>
      <w:r>
        <w:t xml:space="preserve"> California Independent System Operator, Department of Market Monitoring, 2018 Annual Report on Market Issues and Performance at 32 (2018 DMM Report). While this amount includes all gas</w:t>
      </w:r>
      <w:r>
        <w:noBreakHyphen/>
        <w:t>fired generation in California, most gas</w:t>
      </w:r>
      <w:r>
        <w:noBreakHyphen/>
        <w:t>fired generators are located in SoCalGas’ service territory.</w:t>
      </w:r>
    </w:p>
  </w:footnote>
  <w:footnote w:id="30">
    <w:p w14:paraId="208B6424" w14:textId="26D3FA07" w:rsidR="003A40A4" w:rsidRDefault="003A40A4">
      <w:pPr>
        <w:pStyle w:val="FootnoteText"/>
      </w:pPr>
      <w:r>
        <w:rPr>
          <w:rStyle w:val="FootnoteReference"/>
        </w:rPr>
        <w:footnoteRef/>
      </w:r>
      <w:r>
        <w:t xml:space="preserve"> That is, </w:t>
      </w:r>
      <w:r>
        <w:rPr>
          <w:szCs w:val="26"/>
        </w:rPr>
        <w:t>California Independent System Operator (CAISO) and Los Angeles Department of Water and Power (LADWP).</w:t>
      </w:r>
    </w:p>
  </w:footnote>
  <w:footnote w:id="31">
    <w:p w14:paraId="4163C115" w14:textId="025201B7" w:rsidR="003A40A4" w:rsidRDefault="003A40A4">
      <w:pPr>
        <w:pStyle w:val="FootnoteText"/>
      </w:pPr>
      <w:r>
        <w:rPr>
          <w:rStyle w:val="FootnoteReference"/>
        </w:rPr>
        <w:footnoteRef/>
      </w:r>
      <w:r>
        <w:t xml:space="preserve"> </w:t>
      </w:r>
      <w:r w:rsidRPr="00ED0076">
        <w:t>2018 IEPR at 216</w:t>
      </w:r>
      <w:r>
        <w:t>.</w:t>
      </w:r>
    </w:p>
  </w:footnote>
  <w:footnote w:id="32">
    <w:p w14:paraId="5A92A529" w14:textId="523B928B" w:rsidR="003A40A4" w:rsidRDefault="003A40A4" w:rsidP="003A608F">
      <w:pPr>
        <w:pStyle w:val="FootnoteText"/>
      </w:pPr>
      <w:r>
        <w:rPr>
          <w:rStyle w:val="FootnoteReference"/>
        </w:rPr>
        <w:footnoteRef/>
      </w:r>
      <w:r>
        <w:t xml:space="preserve"> Wood Mackenzie, Western Interconnection Gas-Electric Interface Study at 12 (published June 2018), available at:  </w:t>
      </w:r>
      <w:hyperlink r:id="rId11" w:history="1">
        <w:r>
          <w:rPr>
            <w:rStyle w:val="Hyperlink"/>
          </w:rPr>
          <w:t>https://www.wecc.org/Administrative/WECC%20Gas-Electric%20Study%20Public%20Report.pdf</w:t>
        </w:r>
      </w:hyperlink>
      <w:r>
        <w:t>.</w:t>
      </w:r>
    </w:p>
  </w:footnote>
  <w:footnote w:id="33">
    <w:p w14:paraId="743F7092" w14:textId="2054A04E" w:rsidR="003A40A4" w:rsidRPr="00F86770" w:rsidRDefault="003A40A4">
      <w:pPr>
        <w:pStyle w:val="FootnoteText"/>
      </w:pPr>
      <w:r>
        <w:rPr>
          <w:rStyle w:val="FootnoteReference"/>
        </w:rPr>
        <w:footnoteRef/>
      </w:r>
      <w:r>
        <w:t xml:space="preserve"> </w:t>
      </w:r>
      <w:r>
        <w:rPr>
          <w:i/>
          <w:iCs/>
        </w:rPr>
        <w:t xml:space="preserve">See </w:t>
      </w:r>
      <w:r>
        <w:t xml:space="preserve">Southern California Gas Company, Gas Rule 30, Section D; </w:t>
      </w:r>
      <w:r>
        <w:rPr>
          <w:i/>
          <w:iCs/>
        </w:rPr>
        <w:t xml:space="preserve">see generally, </w:t>
      </w:r>
      <w:r w:rsidRPr="00633A42">
        <w:rPr>
          <w:i/>
          <w:iCs/>
        </w:rPr>
        <w:t>So. Cali. Gas Co.</w:t>
      </w:r>
      <w:r>
        <w:t>, D.19</w:t>
      </w:r>
      <w:r>
        <w:noBreakHyphen/>
        <w:t>05</w:t>
      </w:r>
      <w:r>
        <w:noBreakHyphen/>
        <w:t xml:space="preserve">030 (granting in part petition to temporarily cap fees for noncompliance with Operational Flow Orders that were issued to resolve transmission system conditions outside of the noncore customers’ control). </w:t>
      </w:r>
    </w:p>
  </w:footnote>
  <w:footnote w:id="34">
    <w:p w14:paraId="528C983B" w14:textId="2860C600" w:rsidR="003A40A4" w:rsidRDefault="003A40A4">
      <w:pPr>
        <w:pStyle w:val="FootnoteText"/>
      </w:pPr>
      <w:r>
        <w:rPr>
          <w:rStyle w:val="FootnoteReference"/>
        </w:rPr>
        <w:footnoteRef/>
      </w:r>
      <w:r>
        <w:t xml:space="preserve"> California Independent System Operator, Department of Market Monitoring, 2017 Annual Report on Market Issues and Performance at 3 (2017 DMM Report).  </w:t>
      </w:r>
    </w:p>
  </w:footnote>
  <w:footnote w:id="35">
    <w:p w14:paraId="0E842B29" w14:textId="0E38500A" w:rsidR="003A40A4" w:rsidRPr="0039560C" w:rsidRDefault="003A40A4" w:rsidP="00513D3B">
      <w:pPr>
        <w:pStyle w:val="FootnoteText"/>
      </w:pPr>
      <w:r>
        <w:rPr>
          <w:rStyle w:val="FootnoteReference"/>
        </w:rPr>
        <w:footnoteRef/>
      </w:r>
      <w:r>
        <w:t xml:space="preserve">  2018 DMM Report at 3.  Approximately, four percent of the increase is attributable to factors other than natural gas prices.  </w:t>
      </w:r>
      <w:r>
        <w:rPr>
          <w:i/>
          <w:iCs/>
        </w:rPr>
        <w:t>Id.</w:t>
      </w:r>
      <w:r>
        <w:t xml:space="preserve"> at 65.</w:t>
      </w:r>
    </w:p>
  </w:footnote>
  <w:footnote w:id="36">
    <w:p w14:paraId="367A9A50" w14:textId="6D9E5AC5" w:rsidR="003A40A4" w:rsidRDefault="003A40A4">
      <w:pPr>
        <w:pStyle w:val="FootnoteText"/>
      </w:pPr>
      <w:r>
        <w:rPr>
          <w:rStyle w:val="FootnoteReference"/>
        </w:rPr>
        <w:footnoteRef/>
      </w:r>
      <w:r>
        <w:t xml:space="preserve"> Total estimated wholesale cost of service load in 2017 was $9.3 billion.  </w:t>
      </w:r>
      <w:r>
        <w:rPr>
          <w:i/>
          <w:iCs/>
        </w:rPr>
        <w:t xml:space="preserve">See </w:t>
      </w:r>
      <w:r>
        <w:t xml:space="preserve">2017 DMM Report at 3.  Total estimated wholesale cost of serving load in 2016 was $7.4 billion.  </w:t>
      </w:r>
      <w:r>
        <w:rPr>
          <w:i/>
          <w:iCs/>
        </w:rPr>
        <w:t xml:space="preserve">See </w:t>
      </w:r>
      <w:r>
        <w:t>2018 DMM Report at 3.  As stated in the note immediately above, four percent of the increase is attributable to factors other than natural gas price increases.</w:t>
      </w:r>
    </w:p>
  </w:footnote>
  <w:footnote w:id="37">
    <w:p w14:paraId="774CA526" w14:textId="2A62FC0C" w:rsidR="003A40A4" w:rsidRDefault="003A40A4" w:rsidP="00085535">
      <w:pPr>
        <w:pStyle w:val="FootnoteText"/>
      </w:pPr>
      <w:r>
        <w:rPr>
          <w:rStyle w:val="FootnoteReference"/>
        </w:rPr>
        <w:footnoteRef/>
      </w:r>
      <w:r>
        <w:t xml:space="preserve"> </w:t>
      </w:r>
      <w:r w:rsidRPr="003A40A4">
        <w:t>SB</w:t>
      </w:r>
      <w:r>
        <w:t xml:space="preserve"> 350, De Leon, Clean Energy and Pollution Reduction Act of (Stats. 2015, Ch. 547); SB 100, De Leon, California Renewables Portfolio Standard Program:  emissions of greenhouse gas (Stats. 2018, Ch. 312); </w:t>
      </w:r>
      <w:r>
        <w:rPr>
          <w:i/>
          <w:iCs/>
        </w:rPr>
        <w:t>see also</w:t>
      </w:r>
      <w:r>
        <w:t xml:space="preserve"> Pub. Util. Code </w:t>
      </w:r>
      <w:bookmarkStart w:id="11" w:name="_Hlk29742978"/>
      <w:r>
        <w:t>§</w:t>
      </w:r>
      <w:bookmarkEnd w:id="11"/>
      <w:r>
        <w:t xml:space="preserve"> 399.13; Order Instituting Rulemaking to Continue Implementation and Administration, and Consider Further Development of California Renewables Portfolio Standard Program, R.18</w:t>
      </w:r>
      <w:r>
        <w:noBreakHyphen/>
        <w:t>07</w:t>
      </w:r>
      <w:r>
        <w:noBreakHyphen/>
        <w:t xml:space="preserve">003. </w:t>
      </w:r>
    </w:p>
  </w:footnote>
  <w:footnote w:id="38">
    <w:p w14:paraId="3637DEF0" w14:textId="77777777" w:rsidR="008C7B66" w:rsidRPr="00412331" w:rsidRDefault="008C7B66" w:rsidP="008C7B66">
      <w:pPr>
        <w:pStyle w:val="FootnoteText"/>
      </w:pPr>
      <w:r>
        <w:rPr>
          <w:rStyle w:val="FootnoteReference"/>
        </w:rPr>
        <w:footnoteRef/>
      </w:r>
      <w:r>
        <w:t xml:space="preserve"> Assembly Bill (AB) 1900, Gatto, Renewable Energy Resources: Biomethane, (Stats. 2012, Ch. 602,); </w:t>
      </w:r>
      <w:r w:rsidRPr="002E3A1F">
        <w:rPr>
          <w:i/>
          <w:iCs/>
        </w:rPr>
        <w:t>see also</w:t>
      </w:r>
      <w:r>
        <w:t xml:space="preserve"> R.13-02-008, Order Instituting Rulemaking to Adopt Biomethane Standards and Requirements, Pipeline Open Access Rules, and Related Enforcement Provisions. </w:t>
      </w:r>
      <w:r>
        <w:rPr>
          <w:i/>
          <w:iCs/>
        </w:rPr>
        <w:t xml:space="preserve"> </w:t>
      </w:r>
      <w:r>
        <w:t xml:space="preserve">Senate Bill (SB) 1440, </w:t>
      </w:r>
      <w:r w:rsidRPr="00C81CFE">
        <w:t>Hueso, Energy, Bio</w:t>
      </w:r>
      <w:r w:rsidRPr="003B5C3A">
        <w:t xml:space="preserve">methane, Biomethane Procurement (Stats. 2018, </w:t>
      </w:r>
      <w:r w:rsidRPr="00627D3B">
        <w:t>Ch. 739).  Biomethane is biogas that meets the standards adopted pursuan</w:t>
      </w:r>
      <w:r w:rsidRPr="003A40A4">
        <w:t xml:space="preserve">t </w:t>
      </w:r>
      <w:r w:rsidRPr="002E3A1F">
        <w:rPr>
          <w:color w:val="333333"/>
          <w:shd w:val="clear" w:color="auto" w:fill="FFFFFF"/>
        </w:rPr>
        <w:t xml:space="preserve">subdivisions (c) and (d) of Section 25421 of the Health and Safety Code for injection into a common carrier pipeline.  Biogas is gas that is produced from the anaerobic decomposition of organic material.  Health and Safety Code </w:t>
      </w:r>
      <w:r w:rsidRPr="002E3A1F">
        <w:rPr>
          <w:rFonts w:hint="eastAsia"/>
          <w:color w:val="333333"/>
          <w:shd w:val="clear" w:color="auto" w:fill="FFFFFF"/>
        </w:rPr>
        <w:t>§</w:t>
      </w:r>
      <w:r w:rsidRPr="002E3A1F">
        <w:rPr>
          <w:color w:val="333333"/>
          <w:shd w:val="clear" w:color="auto" w:fill="FFFFFF"/>
        </w:rPr>
        <w:t xml:space="preserve"> 25420 (a).</w:t>
      </w:r>
    </w:p>
  </w:footnote>
  <w:footnote w:id="39">
    <w:p w14:paraId="187066C5" w14:textId="77777777" w:rsidR="008C7B66" w:rsidRDefault="008C7B66" w:rsidP="008C7B66">
      <w:pPr>
        <w:pStyle w:val="FootnoteText"/>
      </w:pPr>
      <w:r>
        <w:rPr>
          <w:rStyle w:val="FootnoteReference"/>
        </w:rPr>
        <w:footnoteRef/>
      </w:r>
      <w:r>
        <w:t xml:space="preserve"> SB 1369, Skinner, Energy: Green Electrolytic Hydrogen (Stats. 2018, Ch. 567).  Electrolytic hydrogen is gas produced through electrolysis.</w:t>
      </w:r>
    </w:p>
  </w:footnote>
  <w:footnote w:id="40">
    <w:p w14:paraId="42A976FF" w14:textId="692CD1CB" w:rsidR="003A40A4" w:rsidRPr="00FE6A33" w:rsidRDefault="003A40A4">
      <w:pPr>
        <w:pStyle w:val="FootnoteText"/>
      </w:pPr>
      <w:r>
        <w:rPr>
          <w:rStyle w:val="FootnoteReference"/>
        </w:rPr>
        <w:footnoteRef/>
      </w:r>
      <w:r>
        <w:t xml:space="preserve"> SB 3232, Friedman, Zero</w:t>
      </w:r>
      <w:r>
        <w:noBreakHyphen/>
        <w:t xml:space="preserve">Emissions buildings and sources of heat energy, Section 25403 of the Public Resources Code (Stats. 2018, Ch. 373); </w:t>
      </w:r>
      <w:r>
        <w:rPr>
          <w:i/>
          <w:iCs/>
        </w:rPr>
        <w:t>see also</w:t>
      </w:r>
      <w:r>
        <w:t xml:space="preserve"> Order Instituting Rulemaking Regarding Building Decarbonization, R.19</w:t>
      </w:r>
      <w:r>
        <w:noBreakHyphen/>
        <w:t>01</w:t>
      </w:r>
      <w:r>
        <w:noBreakHyphen/>
        <w:t>011.</w:t>
      </w:r>
    </w:p>
  </w:footnote>
  <w:footnote w:id="41">
    <w:p w14:paraId="364126F4" w14:textId="51441B46" w:rsidR="002703A3" w:rsidRDefault="002703A3">
      <w:pPr>
        <w:pStyle w:val="FootnoteText"/>
      </w:pPr>
      <w:r>
        <w:rPr>
          <w:rStyle w:val="FootnoteReference"/>
        </w:rPr>
        <w:footnoteRef/>
      </w:r>
      <w:r>
        <w:t xml:space="preserve"> The Commission instituted a rulemaking to, among other things, “develop a framework for extablishing future policies, rules, and procedures for reducing greenhouse gas emissions from buildings, in coordination with the CEC . . . and other stakeholders.”  R.19</w:t>
      </w:r>
      <w:r w:rsidRPr="00540A8D">
        <w:noBreakHyphen/>
      </w:r>
      <w:r>
        <w:t>01</w:t>
      </w:r>
      <w:r w:rsidRPr="00540A8D">
        <w:noBreakHyphen/>
      </w:r>
      <w:r>
        <w:t>011, Order Instituting Rulemaking Regarding Building Decarbonization.</w:t>
      </w:r>
    </w:p>
  </w:footnote>
  <w:footnote w:id="42">
    <w:p w14:paraId="50A2A0AF" w14:textId="7BAE6164" w:rsidR="003A40A4" w:rsidRDefault="003A40A4">
      <w:pPr>
        <w:pStyle w:val="FootnoteText"/>
      </w:pPr>
      <w:r>
        <w:rPr>
          <w:rStyle w:val="FootnoteReference"/>
        </w:rPr>
        <w:footnoteRef/>
      </w:r>
      <w:r>
        <w:t xml:space="preserve"> Southern California Gas Company et al, Application 19-02-015.</w:t>
      </w:r>
    </w:p>
  </w:footnote>
  <w:footnote w:id="43">
    <w:p w14:paraId="1B42C874" w14:textId="2F9FAF66" w:rsidR="003A40A4" w:rsidRDefault="003A40A4">
      <w:pPr>
        <w:pStyle w:val="FootnoteText"/>
      </w:pPr>
      <w:r>
        <w:rPr>
          <w:rStyle w:val="FootnoteReference"/>
        </w:rPr>
        <w:footnoteRef/>
      </w:r>
      <w:r>
        <w:t xml:space="preserve"> City of Berkeley, California, Ordinance No. 7,672</w:t>
      </w:r>
      <w:r>
        <w:noBreakHyphen/>
        <w:t>N.S, Chapter 12.80 Berkeley Municipal Code Prohibiting Natural Gas Infrastructure in New Buildings, July 9, 2019.  The scope of this law will extend after the California Energy Commission approves more all</w:t>
      </w:r>
      <w:r>
        <w:noBreakHyphen/>
        <w:t>electric building types.</w:t>
      </w:r>
    </w:p>
  </w:footnote>
  <w:footnote w:id="44">
    <w:p w14:paraId="4167C8DE" w14:textId="79EA50AA" w:rsidR="003A40A4" w:rsidRDefault="003A40A4" w:rsidP="00140526">
      <w:pPr>
        <w:pStyle w:val="FootnoteText"/>
      </w:pPr>
      <w:r>
        <w:rPr>
          <w:rStyle w:val="FootnoteReference"/>
        </w:rPr>
        <w:footnoteRef/>
      </w:r>
      <w:r>
        <w:t xml:space="preserve"> San Francisco Board of Supervisors, Ordinance No. 220</w:t>
      </w:r>
      <w:r>
        <w:noBreakHyphen/>
        <w:t>19, passed on September 24, 2019, approved on October 4, 2019.</w:t>
      </w:r>
    </w:p>
  </w:footnote>
  <w:footnote w:id="45">
    <w:p w14:paraId="14760D6E" w14:textId="5615AC82" w:rsidR="003A40A4" w:rsidRPr="00DC3700" w:rsidRDefault="003A40A4">
      <w:pPr>
        <w:pStyle w:val="FootnoteText"/>
      </w:pPr>
      <w:r>
        <w:rPr>
          <w:rStyle w:val="FootnoteReference"/>
        </w:rPr>
        <w:footnoteRef/>
      </w:r>
      <w:r>
        <w:t xml:space="preserve"> City of Los Angeles Building and Safety Department, Report on Recommendations for CF</w:t>
      </w:r>
      <w:r>
        <w:noBreakHyphen/>
        <w:t>18</w:t>
      </w:r>
      <w:r>
        <w:noBreakHyphen/>
        <w:t>0002</w:t>
      </w:r>
      <w:r>
        <w:noBreakHyphen/>
        <w:t>S7, filed May 2, 2018; City of Los Angeles, Motion CF</w:t>
      </w:r>
      <w:r>
        <w:noBreakHyphen/>
        <w:t>18</w:t>
      </w:r>
      <w:r>
        <w:noBreakHyphen/>
        <w:t>0002</w:t>
      </w:r>
      <w:r>
        <w:noBreakHyphen/>
        <w:t>S7, filed February 6, 2018 (Instructing the Building and Safety Department, in consultation with the Department of Water and Power, to submit a report on “recommendations that would be effective in reducing demand in buildings for natural gas.”); City of Los Angeles, Resolution G</w:t>
      </w:r>
      <w:r>
        <w:noBreakHyphen/>
        <w:t>3536, filed February 8, 2018 (motion opposing the California Public Utilities Commission (Commission) Resolution G</w:t>
      </w:r>
      <w:r>
        <w:noBreakHyphen/>
        <w:t xml:space="preserve">3536 establishing a temporary moratorium on all gas service connections for new commercial and industrial developments in Los Angeles County because of reliability concerns related to the natural gas supply in Southern California). </w:t>
      </w:r>
    </w:p>
  </w:footnote>
  <w:footnote w:id="46">
    <w:p w14:paraId="080AF9CB" w14:textId="2D055D0C" w:rsidR="003A40A4" w:rsidRDefault="003A40A4">
      <w:pPr>
        <w:pStyle w:val="FootnoteText"/>
      </w:pPr>
      <w:r>
        <w:rPr>
          <w:rStyle w:val="FootnoteReference"/>
        </w:rPr>
        <w:footnoteRef/>
      </w:r>
      <w:r>
        <w:t xml:space="preserve"> County of Riverside, Board of Supervisors, Resolution No. 2019-257, available at:  </w:t>
      </w:r>
      <w:hyperlink r:id="rId12" w:history="1">
        <w:r w:rsidRPr="00492D01">
          <w:rPr>
            <w:rStyle w:val="Hyperlink"/>
          </w:rPr>
          <w:t>http://riversidecountyca.iqm2.com/Citizens/Detail_LegiFile.aspx?Frame=&amp;MeetingID=2059&amp;MediaPosition=8346.854&amp;ID=11438&amp;CssClass=</w:t>
        </w:r>
      </w:hyperlink>
      <w:r>
        <w:t>.</w:t>
      </w:r>
    </w:p>
  </w:footnote>
  <w:footnote w:id="47">
    <w:p w14:paraId="5F9DBB3D" w14:textId="5E655159" w:rsidR="003A40A4" w:rsidRDefault="003A40A4">
      <w:pPr>
        <w:pStyle w:val="FootnoteText"/>
      </w:pPr>
      <w:r>
        <w:rPr>
          <w:rStyle w:val="FootnoteReference"/>
        </w:rPr>
        <w:footnoteRef/>
      </w:r>
      <w:r>
        <w:t xml:space="preserve"> Environmental Defense Fund, Managing the Transition: Proactive Solutions for Stranded Gas Asset Risk in California, 2019, available at:  </w:t>
      </w:r>
      <w:hyperlink r:id="rId13" w:history="1">
        <w:r w:rsidRPr="00492D01">
          <w:rPr>
            <w:rStyle w:val="Hyperlink"/>
          </w:rPr>
          <w:t>https://www.edf.org/sites/default/files/documents/Managing%20the%20Transition_1.pdf</w:t>
        </w:r>
      </w:hyperlink>
      <w:r>
        <w:t xml:space="preserve">; Gridworks, California’s Gas System in Transition: Equitable, Affordable, Decarbonized and Smaller, 2019, available at:  </w:t>
      </w:r>
      <w:hyperlink r:id="rId14" w:history="1">
        <w:r w:rsidRPr="00492D01">
          <w:rPr>
            <w:rStyle w:val="Hyperlink"/>
          </w:rPr>
          <w:t>https://gridworks.org/wp</w:t>
        </w:r>
        <w:r w:rsidRPr="00492D01">
          <w:rPr>
            <w:rStyle w:val="Hyperlink"/>
          </w:rPr>
          <w:noBreakHyphen/>
          <w:t>content/uploads/2019/09/CA_Gas_System_in_Transition.pdf</w:t>
        </w:r>
      </w:hyperlink>
      <w:r>
        <w:t xml:space="preserve">. </w:t>
      </w:r>
    </w:p>
  </w:footnote>
  <w:footnote w:id="48">
    <w:p w14:paraId="2B7E28DB" w14:textId="326C33D9" w:rsidR="003A40A4" w:rsidRPr="001C60EA" w:rsidRDefault="003A40A4" w:rsidP="00492D01">
      <w:pPr>
        <w:autoSpaceDE w:val="0"/>
        <w:autoSpaceDN w:val="0"/>
        <w:adjustRightInd w:val="0"/>
        <w:spacing w:after="120" w:line="240" w:lineRule="auto"/>
        <w:ind w:firstLine="0"/>
        <w:rPr>
          <w:rFonts w:cs="BookAntiqua"/>
        </w:rPr>
      </w:pPr>
      <w:r w:rsidRPr="00492D01">
        <w:rPr>
          <w:rStyle w:val="FootnoteReference"/>
          <w:sz w:val="22"/>
        </w:rPr>
        <w:footnoteRef/>
      </w:r>
      <w:r>
        <w:t xml:space="preserve"> </w:t>
      </w:r>
      <w:r w:rsidRPr="00492D01">
        <w:rPr>
          <w:sz w:val="22"/>
        </w:rPr>
        <w:t xml:space="preserve">2018 California Gas Report at 37 (“[I]n </w:t>
      </w:r>
      <w:r w:rsidRPr="00492D01">
        <w:rPr>
          <w:rFonts w:cs="BookAntiqua"/>
          <w:sz w:val="22"/>
        </w:rPr>
        <w:t>2022, total December/January heating</w:t>
      </w:r>
      <w:r>
        <w:rPr>
          <w:rFonts w:cs="BookAntiqua"/>
          <w:sz w:val="22"/>
        </w:rPr>
        <w:t xml:space="preserve"> </w:t>
      </w:r>
      <w:r w:rsidRPr="00492D01">
        <w:rPr>
          <w:rFonts w:cs="BookAntiqua"/>
          <w:sz w:val="22"/>
        </w:rPr>
        <w:t>degree days are only 2 percent below the 20-year average. By 2035, however, the impact is more</w:t>
      </w:r>
      <w:r>
        <w:rPr>
          <w:rFonts w:cs="BookAntiqua"/>
          <w:sz w:val="22"/>
        </w:rPr>
        <w:t xml:space="preserve"> </w:t>
      </w:r>
      <w:r w:rsidRPr="00492D01">
        <w:rPr>
          <w:rFonts w:cs="BookAntiqua"/>
          <w:sz w:val="22"/>
        </w:rPr>
        <w:t>significant, with the difference at 9 percent</w:t>
      </w:r>
      <w:r>
        <w:rPr>
          <w:rFonts w:cs="BookAntiqua"/>
        </w:rPr>
        <w:t>.</w:t>
      </w:r>
      <w:r w:rsidRPr="00492D01">
        <w:rPr>
          <w:rFonts w:cs="BookAntiqua"/>
          <w:sz w:val="22"/>
        </w:rPr>
        <w:t xml:space="preserve">”). </w:t>
      </w:r>
      <w:r>
        <w:rPr>
          <w:rFonts w:cs="BookAntiqua"/>
          <w:sz w:val="22"/>
        </w:rPr>
        <w:t xml:space="preserve"> </w:t>
      </w:r>
      <w:r w:rsidRPr="00492D01">
        <w:rPr>
          <w:sz w:val="22"/>
        </w:rPr>
        <w:t>Total gas demand by electric generators and cogenerations in Northern California is estimated to decrease at a rate of about 1.7 percent from 2019</w:t>
      </w:r>
      <w:r w:rsidRPr="00492D01">
        <w:rPr>
          <w:sz w:val="22"/>
        </w:rPr>
        <w:noBreakHyphen/>
        <w:t xml:space="preserve">2035.  This estimate excludes gas delivered by nonutility pipelines to electric generators and cogenerators in PG&amp;E’s service territory.  </w:t>
      </w:r>
      <w:r w:rsidRPr="001D1896">
        <w:rPr>
          <w:i/>
          <w:iCs/>
          <w:sz w:val="22"/>
        </w:rPr>
        <w:t>Id.</w:t>
      </w:r>
      <w:r w:rsidRPr="001D1896">
        <w:rPr>
          <w:sz w:val="22"/>
        </w:rPr>
        <w:t xml:space="preserve"> at</w:t>
      </w:r>
      <w:r w:rsidRPr="00492D01">
        <w:rPr>
          <w:sz w:val="22"/>
        </w:rPr>
        <w:t xml:space="preserve"> 36.</w:t>
      </w:r>
      <w:r>
        <w:rPr>
          <w:sz w:val="22"/>
        </w:rPr>
        <w:t xml:space="preserve">  </w:t>
      </w:r>
      <w:r>
        <w:rPr>
          <w:i/>
          <w:iCs/>
          <w:sz w:val="22"/>
        </w:rPr>
        <w:t xml:space="preserve">See also </w:t>
      </w:r>
      <w:r w:rsidRPr="00747356">
        <w:rPr>
          <w:sz w:val="22"/>
        </w:rPr>
        <w:t xml:space="preserve">Climate, Drought, and Sea level Rise Scenarios for </w:t>
      </w:r>
      <w:r w:rsidRPr="00086E30">
        <w:rPr>
          <w:sz w:val="22"/>
        </w:rPr>
        <w:t>California’s</w:t>
      </w:r>
      <w:r w:rsidRPr="00747356">
        <w:rPr>
          <w:sz w:val="22"/>
        </w:rPr>
        <w:t xml:space="preserve"> Fourth Climate Change Assessment at 10-20, 64, available at: </w:t>
      </w:r>
      <w:r>
        <w:rPr>
          <w:sz w:val="22"/>
        </w:rPr>
        <w:t xml:space="preserve"> </w:t>
      </w:r>
      <w:hyperlink r:id="rId15" w:history="1">
        <w:r w:rsidRPr="00492D01">
          <w:rPr>
            <w:rStyle w:val="Hyperlink"/>
            <w:sz w:val="22"/>
          </w:rPr>
          <w:t>https://www.energy.ca.gov/sites/default/files/2019-07/Projections_CCCA4-CEC-2018-006.pdf</w:t>
        </w:r>
      </w:hyperlink>
      <w:r>
        <w:rPr>
          <w:i/>
          <w:iCs/>
          <w:sz w:val="22"/>
        </w:rPr>
        <w:t>.</w:t>
      </w:r>
    </w:p>
  </w:footnote>
  <w:footnote w:id="49">
    <w:p w14:paraId="579A50E4" w14:textId="138455C5" w:rsidR="003A40A4" w:rsidRDefault="003A40A4">
      <w:pPr>
        <w:pStyle w:val="FootnoteText"/>
      </w:pPr>
      <w:r>
        <w:rPr>
          <w:rStyle w:val="FootnoteReference"/>
        </w:rPr>
        <w:footnoteRef/>
      </w:r>
      <w:r>
        <w:t xml:space="preserve"> Southern California Gas Company Winter 2019-20 Technical Assessment, Executive Summary (published October 8, 2019), available at:  </w:t>
      </w:r>
      <w:hyperlink r:id="rId16" w:history="1">
        <w:r w:rsidRPr="00492D01">
          <w:rPr>
            <w:rStyle w:val="Hyperlink"/>
          </w:rPr>
          <w:t>https://www.cpuc.ca.gov/uploadedFiles/CPUCWebsite/Content/News_Room/NewsUpdates/2019/SOCALGAS%20WINTER%202019-20%20TECHNICAL%20ASSESSMENT.pdf</w:t>
        </w:r>
      </w:hyperlink>
      <w:r>
        <w:t xml:space="preserve">. </w:t>
      </w:r>
    </w:p>
  </w:footnote>
  <w:footnote w:id="50">
    <w:p w14:paraId="4F004025" w14:textId="46950559" w:rsidR="003A40A4" w:rsidRDefault="003A40A4" w:rsidP="001F0942">
      <w:pPr>
        <w:pStyle w:val="FootnoteText"/>
      </w:pPr>
      <w:r>
        <w:rPr>
          <w:rStyle w:val="FootnoteReference"/>
        </w:rPr>
        <w:footnoteRef/>
      </w:r>
      <w:r>
        <w:t xml:space="preserve"> The proposed North Baja XPress Project, FERC Docket No. CP20-27, would deliver up to an incremental 495 MDth/d off the El Paso Southern Mainline System and could divert gas from the SoCalGas Southern Mainline System.</w:t>
      </w:r>
    </w:p>
  </w:footnote>
  <w:footnote w:id="51">
    <w:p w14:paraId="1FB0E0B8" w14:textId="6454B9D7" w:rsidR="003A40A4" w:rsidRDefault="003A40A4" w:rsidP="004E364E">
      <w:pPr>
        <w:pStyle w:val="FootnoteText"/>
      </w:pPr>
      <w:r>
        <w:rPr>
          <w:rStyle w:val="FootnoteReference"/>
        </w:rPr>
        <w:footnoteRef/>
      </w:r>
      <w:r>
        <w:t xml:space="preserve"> Order Instituting Rulemaking to Develop and Electricity Integrated Resource Planning Framework and to Coordinate and Refine Long-Term Procurement Planning Requirements, R.16-02-007; D.19</w:t>
      </w:r>
      <w:r>
        <w:noBreakHyphen/>
        <w:t>11</w:t>
      </w:r>
      <w:r>
        <w:noBreakHyphen/>
        <w:t>016 at 3, 30 and Conclusion of Law (COL) 21, 22, 23 (finding that, for reliability purposes, generation from all</w:t>
      </w:r>
      <w:r>
        <w:noBreakHyphen/>
        <w:t>sources, including gas</w:t>
      </w:r>
      <w:r>
        <w:noBreakHyphen/>
        <w:t xml:space="preserve">fired generation, will be needed for the incremental procurement requirements directed herein). </w:t>
      </w:r>
    </w:p>
  </w:footnote>
  <w:footnote w:id="52">
    <w:p w14:paraId="1C580A61" w14:textId="2F88C694" w:rsidR="003A40A4" w:rsidRDefault="003A40A4">
      <w:pPr>
        <w:pStyle w:val="FootnoteText"/>
      </w:pPr>
      <w:r>
        <w:rPr>
          <w:rStyle w:val="FootnoteReference"/>
        </w:rPr>
        <w:footnoteRef/>
      </w:r>
      <w:r>
        <w:t xml:space="preserve"> All references to “Rules” are to the Commission’s Rules of Practice and procedure unless otherwise indicated.</w:t>
      </w:r>
    </w:p>
  </w:footnote>
  <w:footnote w:id="53">
    <w:p w14:paraId="1BB28987" w14:textId="70B27FA1" w:rsidR="003A40A4" w:rsidRDefault="003A40A4">
      <w:pPr>
        <w:pStyle w:val="FootnoteText"/>
      </w:pPr>
      <w:r>
        <w:rPr>
          <w:rStyle w:val="FootnoteReference"/>
        </w:rPr>
        <w:footnoteRef/>
      </w:r>
      <w:r>
        <w:t xml:space="preserve"> Rule 7.1(a).</w:t>
      </w:r>
    </w:p>
  </w:footnote>
  <w:footnote w:id="54">
    <w:p w14:paraId="40816414" w14:textId="3A3AD7C1" w:rsidR="003A40A4" w:rsidRDefault="003A40A4">
      <w:pPr>
        <w:pStyle w:val="FootnoteText"/>
      </w:pPr>
      <w:r>
        <w:rPr>
          <w:rStyle w:val="FootnoteReference"/>
        </w:rPr>
        <w:footnoteRef/>
      </w:r>
      <w:r>
        <w:t xml:space="preserve"> Alpine Natural Gas and West Coast Gas, Inc., are not required to participate in the intervenor compensation program</w:t>
      </w:r>
    </w:p>
  </w:footnote>
  <w:footnote w:id="55">
    <w:p w14:paraId="7DE29FC7" w14:textId="57DA61EC" w:rsidR="003A40A4" w:rsidRDefault="003A40A4">
      <w:pPr>
        <w:pStyle w:val="FootnoteText"/>
      </w:pPr>
      <w:r>
        <w:rPr>
          <w:rStyle w:val="FootnoteReference"/>
        </w:rPr>
        <w:footnoteRef/>
      </w:r>
      <w:r>
        <w:t xml:space="preserve"> The Core Transport Agents are listed in Appendix A.</w:t>
      </w:r>
    </w:p>
  </w:footnote>
  <w:footnote w:id="56">
    <w:p w14:paraId="4EEAE0BE" w14:textId="436C79B3" w:rsidR="003A40A4" w:rsidRDefault="003A40A4">
      <w:pPr>
        <w:pStyle w:val="FootnoteText"/>
      </w:pPr>
      <w:r>
        <w:rPr>
          <w:rStyle w:val="FootnoteReference"/>
        </w:rPr>
        <w:footnoteRef/>
      </w:r>
      <w:r>
        <w:t xml:space="preserve"> S</w:t>
      </w:r>
      <w:r w:rsidRPr="00F52034">
        <w:rPr>
          <w:i/>
          <w:iCs/>
        </w:rPr>
        <w:t xml:space="preserve">ee </w:t>
      </w:r>
      <w:r w:rsidRPr="00F52034">
        <w:t>Rule 1.4(d)</w:t>
      </w:r>
    </w:p>
  </w:footnote>
  <w:footnote w:id="57">
    <w:p w14:paraId="46365885" w14:textId="64375994" w:rsidR="003A40A4" w:rsidRDefault="003A40A4">
      <w:pPr>
        <w:pStyle w:val="FootnoteText"/>
      </w:pPr>
      <w:r>
        <w:rPr>
          <w:rStyle w:val="FootnoteReference"/>
        </w:rPr>
        <w:footnoteRef/>
      </w:r>
      <w:r>
        <w:t xml:space="preserve"> </w:t>
      </w:r>
      <w:r w:rsidRPr="00492D01">
        <w:rPr>
          <w:i/>
          <w:iCs/>
        </w:rPr>
        <w:t>Id.</w:t>
      </w:r>
      <w:r>
        <w:t xml:space="preserve"> at</w:t>
      </w:r>
      <w:r w:rsidRPr="005B7C42">
        <w:t xml:space="preserve"> 1.4(a)(2)</w:t>
      </w:r>
    </w:p>
  </w:footnote>
  <w:footnote w:id="58">
    <w:p w14:paraId="7C780AB7" w14:textId="21BA6250" w:rsidR="003A40A4" w:rsidRDefault="003A40A4">
      <w:pPr>
        <w:pStyle w:val="FootnoteText"/>
      </w:pPr>
      <w:r>
        <w:rPr>
          <w:rStyle w:val="FootnoteReference"/>
        </w:rPr>
        <w:footnoteRef/>
      </w:r>
      <w:r>
        <w:t xml:space="preserve"> </w:t>
      </w:r>
      <w:r>
        <w:rPr>
          <w:i/>
          <w:iCs/>
        </w:rPr>
        <w:t xml:space="preserve">Id. </w:t>
      </w:r>
      <w:r>
        <w:t>at</w:t>
      </w:r>
      <w:r w:rsidRPr="00F52034">
        <w:t xml:space="preserve"> 1.9(f)</w:t>
      </w:r>
    </w:p>
  </w:footnote>
  <w:footnote w:id="59">
    <w:p w14:paraId="1FE6F9FB" w14:textId="534326C6" w:rsidR="003A40A4" w:rsidRDefault="003A40A4">
      <w:pPr>
        <w:pStyle w:val="FootnoteText"/>
      </w:pPr>
      <w:r w:rsidRPr="00492D01">
        <w:rPr>
          <w:rStyle w:val="FootnoteReference"/>
          <w:i/>
          <w:iCs/>
        </w:rPr>
        <w:footnoteRef/>
      </w:r>
      <w:r>
        <w:t xml:space="preserve"> </w:t>
      </w:r>
      <w:r>
        <w:rPr>
          <w:i/>
          <w:iCs/>
        </w:rPr>
        <w:t>Id</w:t>
      </w:r>
      <w:r w:rsidRPr="00492D01">
        <w:t>.</w:t>
      </w:r>
      <w:r>
        <w:rPr>
          <w:i/>
          <w:iCs/>
        </w:rPr>
        <w:t xml:space="preserve"> </w:t>
      </w:r>
      <w:r>
        <w:t>at</w:t>
      </w:r>
      <w:r w:rsidRPr="00FC06F4">
        <w:t xml:space="preserve"> 17.1(a)(2).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2FF7" w14:textId="6786A915" w:rsidR="003A40A4" w:rsidRDefault="003A40A4" w:rsidP="004754F3">
    <w:pPr>
      <w:pStyle w:val="Header"/>
      <w:tabs>
        <w:tab w:val="clear" w:pos="4680"/>
      </w:tabs>
      <w:ind w:firstLine="0"/>
      <w:rPr>
        <w:b/>
      </w:rPr>
    </w:pPr>
    <w:r>
      <w:t>R</w:t>
    </w:r>
    <w:r w:rsidR="004754F3">
      <w:t>.20</w:t>
    </w:r>
    <w:r w:rsidR="004754F3" w:rsidRPr="00540A8D">
      <w:noBreakHyphen/>
    </w:r>
    <w:r w:rsidR="004754F3">
      <w:t>01</w:t>
    </w:r>
    <w:r w:rsidR="004754F3" w:rsidRPr="00540A8D">
      <w:noBreakHyphen/>
    </w:r>
    <w:r w:rsidR="004754F3">
      <w:t xml:space="preserve">007  </w:t>
    </w:r>
    <w:r>
      <w:t>ALJ/</w:t>
    </w:r>
    <w:r w:rsidR="00DA351C">
      <w:t>CTP</w:t>
    </w:r>
    <w:r>
      <w:t>/jt2</w:t>
    </w:r>
  </w:p>
  <w:p w14:paraId="1961FB5D" w14:textId="78AD827B" w:rsidR="003A40A4" w:rsidRDefault="003A40A4" w:rsidP="00B37437">
    <w:pPr>
      <w:pStyle w:val="Header"/>
      <w:ind w:firstLine="0"/>
      <w:rPr>
        <w:b/>
      </w:rPr>
    </w:pPr>
  </w:p>
  <w:p w14:paraId="3373A597" w14:textId="77777777" w:rsidR="003A40A4" w:rsidRPr="00585390" w:rsidRDefault="003A40A4" w:rsidP="00B37437">
    <w:pPr>
      <w:pStyle w:val="Header"/>
      <w:ind w:firstLine="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3DF0" w14:textId="0F603B35" w:rsidR="003A40A4" w:rsidRDefault="003A40A4" w:rsidP="00F92385">
    <w:pPr>
      <w:pStyle w:val="Header"/>
      <w:ind w:firstLine="0"/>
      <w:rPr>
        <w:i/>
        <w:color w:val="FF0000"/>
      </w:rPr>
    </w:pPr>
  </w:p>
  <w:p w14:paraId="79CC2496" w14:textId="27A48182" w:rsidR="003A40A4" w:rsidRDefault="003A40A4" w:rsidP="00F92385">
    <w:pPr>
      <w:pStyle w:val="Header"/>
      <w:ind w:firstLine="0"/>
      <w:rPr>
        <w:i/>
        <w:color w:val="FF0000"/>
      </w:rPr>
    </w:pPr>
  </w:p>
  <w:p w14:paraId="6D092B2B" w14:textId="77777777" w:rsidR="003A40A4" w:rsidRPr="00F92385" w:rsidRDefault="003A40A4" w:rsidP="00F92385">
    <w:pPr>
      <w:pStyle w:val="Header"/>
      <w:ind w:firstLine="0"/>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nsid w:val="15F056CB"/>
    <w:multiLevelType w:val="multilevel"/>
    <w:tmpl w:val="18F4A5AC"/>
    <w:numStyleLink w:val="FoFCoLOP"/>
  </w:abstractNum>
  <w:abstractNum w:abstractNumId="3">
    <w:nsid w:val="1ABC5492"/>
    <w:multiLevelType w:val="hybridMultilevel"/>
    <w:tmpl w:val="A5F2BEF2"/>
    <w:lvl w:ilvl="0" w:tplc="D7F2F4D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242C9"/>
    <w:multiLevelType w:val="multilevel"/>
    <w:tmpl w:val="81169AF6"/>
    <w:numStyleLink w:val="Headings"/>
  </w:abstractNum>
  <w:abstractNum w:abstractNumId="5">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nsid w:val="33D542FA"/>
    <w:multiLevelType w:val="hybridMultilevel"/>
    <w:tmpl w:val="C592FEC2"/>
    <w:lvl w:ilvl="0" w:tplc="32A0A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042D7"/>
    <w:multiLevelType w:val="multilevel"/>
    <w:tmpl w:val="18F4A5AC"/>
    <w:numStyleLink w:val="FoFCoLOP"/>
  </w:abstractNum>
  <w:abstractNum w:abstractNumId="8">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DC2D7D"/>
    <w:multiLevelType w:val="hybridMultilevel"/>
    <w:tmpl w:val="A51C8E06"/>
    <w:lvl w:ilvl="0" w:tplc="1C3E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D4F94"/>
    <w:multiLevelType w:val="hybridMultilevel"/>
    <w:tmpl w:val="AED48D4E"/>
    <w:lvl w:ilvl="0" w:tplc="2700A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9A0AFE"/>
    <w:multiLevelType w:val="multilevel"/>
    <w:tmpl w:val="18F4A5AC"/>
    <w:numStyleLink w:val="FoFCoLOP"/>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12"/>
  </w:num>
  <w:num w:numId="6">
    <w:abstractNumId w:val="5"/>
  </w:num>
  <w:num w:numId="7">
    <w:abstractNumId w:val="4"/>
  </w:num>
  <w:num w:numId="8">
    <w:abstractNumId w:val="11"/>
  </w:num>
  <w:num w:numId="9">
    <w:abstractNumId w:val="0"/>
  </w:num>
  <w:num w:numId="10">
    <w:abstractNumId w:val="6"/>
  </w:num>
  <w:num w:numId="11">
    <w:abstractNumId w:val="10"/>
  </w:num>
  <w:num w:numId="12">
    <w:abstractNumId w:val="3"/>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D5"/>
    <w:rsid w:val="00000F6A"/>
    <w:rsid w:val="0000447C"/>
    <w:rsid w:val="00006538"/>
    <w:rsid w:val="00006567"/>
    <w:rsid w:val="00011467"/>
    <w:rsid w:val="00011A39"/>
    <w:rsid w:val="00012819"/>
    <w:rsid w:val="00013A85"/>
    <w:rsid w:val="00016696"/>
    <w:rsid w:val="00017F7D"/>
    <w:rsid w:val="00032EFC"/>
    <w:rsid w:val="00033DB0"/>
    <w:rsid w:val="00033E0B"/>
    <w:rsid w:val="00035FB5"/>
    <w:rsid w:val="00042277"/>
    <w:rsid w:val="000423BF"/>
    <w:rsid w:val="000432CF"/>
    <w:rsid w:val="000435BB"/>
    <w:rsid w:val="00051F0D"/>
    <w:rsid w:val="00060AC7"/>
    <w:rsid w:val="0006392B"/>
    <w:rsid w:val="000649E2"/>
    <w:rsid w:val="00064B5B"/>
    <w:rsid w:val="000652E9"/>
    <w:rsid w:val="00067E10"/>
    <w:rsid w:val="0007115A"/>
    <w:rsid w:val="00072470"/>
    <w:rsid w:val="00080CA4"/>
    <w:rsid w:val="000819CC"/>
    <w:rsid w:val="00085535"/>
    <w:rsid w:val="000859D4"/>
    <w:rsid w:val="00086E30"/>
    <w:rsid w:val="0008722C"/>
    <w:rsid w:val="00087998"/>
    <w:rsid w:val="00091D3C"/>
    <w:rsid w:val="000926BF"/>
    <w:rsid w:val="000926D5"/>
    <w:rsid w:val="0009287F"/>
    <w:rsid w:val="00094B3E"/>
    <w:rsid w:val="00096073"/>
    <w:rsid w:val="000969A7"/>
    <w:rsid w:val="00097149"/>
    <w:rsid w:val="000973C8"/>
    <w:rsid w:val="000A2AA9"/>
    <w:rsid w:val="000A4A51"/>
    <w:rsid w:val="000A56F2"/>
    <w:rsid w:val="000A6E05"/>
    <w:rsid w:val="000B01C8"/>
    <w:rsid w:val="000B12FA"/>
    <w:rsid w:val="000B1F89"/>
    <w:rsid w:val="000B24CA"/>
    <w:rsid w:val="000B37A6"/>
    <w:rsid w:val="000C08BF"/>
    <w:rsid w:val="000C0A03"/>
    <w:rsid w:val="000C3B9A"/>
    <w:rsid w:val="000D0C57"/>
    <w:rsid w:val="000D11C7"/>
    <w:rsid w:val="000D16B9"/>
    <w:rsid w:val="000D25A8"/>
    <w:rsid w:val="000E1467"/>
    <w:rsid w:val="000E4C53"/>
    <w:rsid w:val="000F2E94"/>
    <w:rsid w:val="000F5157"/>
    <w:rsid w:val="0010034E"/>
    <w:rsid w:val="00100DA8"/>
    <w:rsid w:val="001014B1"/>
    <w:rsid w:val="001040AC"/>
    <w:rsid w:val="00107911"/>
    <w:rsid w:val="0011099E"/>
    <w:rsid w:val="00112575"/>
    <w:rsid w:val="00112A2B"/>
    <w:rsid w:val="001140B4"/>
    <w:rsid w:val="00115923"/>
    <w:rsid w:val="00117868"/>
    <w:rsid w:val="00121089"/>
    <w:rsid w:val="00123ED7"/>
    <w:rsid w:val="00127EC5"/>
    <w:rsid w:val="00131963"/>
    <w:rsid w:val="0013507C"/>
    <w:rsid w:val="00140526"/>
    <w:rsid w:val="0014390B"/>
    <w:rsid w:val="00147F4E"/>
    <w:rsid w:val="00153012"/>
    <w:rsid w:val="00154BB0"/>
    <w:rsid w:val="00155A12"/>
    <w:rsid w:val="001609C8"/>
    <w:rsid w:val="00163457"/>
    <w:rsid w:val="00167E8C"/>
    <w:rsid w:val="00174064"/>
    <w:rsid w:val="0017610B"/>
    <w:rsid w:val="00176846"/>
    <w:rsid w:val="00185983"/>
    <w:rsid w:val="00185D74"/>
    <w:rsid w:val="00187FAD"/>
    <w:rsid w:val="00191ACE"/>
    <w:rsid w:val="001A0FA2"/>
    <w:rsid w:val="001A19CD"/>
    <w:rsid w:val="001A2541"/>
    <w:rsid w:val="001A6A46"/>
    <w:rsid w:val="001A76C5"/>
    <w:rsid w:val="001B06F4"/>
    <w:rsid w:val="001B12AA"/>
    <w:rsid w:val="001B392D"/>
    <w:rsid w:val="001B5D28"/>
    <w:rsid w:val="001B5F46"/>
    <w:rsid w:val="001C2D26"/>
    <w:rsid w:val="001C363F"/>
    <w:rsid w:val="001C57DE"/>
    <w:rsid w:val="001C60EA"/>
    <w:rsid w:val="001D1896"/>
    <w:rsid w:val="001D5657"/>
    <w:rsid w:val="001E0C6C"/>
    <w:rsid w:val="001E2A62"/>
    <w:rsid w:val="001E2E26"/>
    <w:rsid w:val="001E4B0C"/>
    <w:rsid w:val="001E579B"/>
    <w:rsid w:val="001E6EE7"/>
    <w:rsid w:val="001F0942"/>
    <w:rsid w:val="001F1998"/>
    <w:rsid w:val="001F2819"/>
    <w:rsid w:val="001F33A3"/>
    <w:rsid w:val="001F354B"/>
    <w:rsid w:val="001F3791"/>
    <w:rsid w:val="001F476A"/>
    <w:rsid w:val="001F770E"/>
    <w:rsid w:val="002043EC"/>
    <w:rsid w:val="00204AC6"/>
    <w:rsid w:val="0020736B"/>
    <w:rsid w:val="00211BE5"/>
    <w:rsid w:val="0022335D"/>
    <w:rsid w:val="00227A61"/>
    <w:rsid w:val="00230D52"/>
    <w:rsid w:val="002327E3"/>
    <w:rsid w:val="00232F7E"/>
    <w:rsid w:val="0024113D"/>
    <w:rsid w:val="0024248D"/>
    <w:rsid w:val="00243DC0"/>
    <w:rsid w:val="00245728"/>
    <w:rsid w:val="00245A22"/>
    <w:rsid w:val="00247477"/>
    <w:rsid w:val="00247CC0"/>
    <w:rsid w:val="00250A11"/>
    <w:rsid w:val="00251AD1"/>
    <w:rsid w:val="00253E2A"/>
    <w:rsid w:val="002564F9"/>
    <w:rsid w:val="002578A1"/>
    <w:rsid w:val="0026573A"/>
    <w:rsid w:val="002703A3"/>
    <w:rsid w:val="00270440"/>
    <w:rsid w:val="00271323"/>
    <w:rsid w:val="00280C49"/>
    <w:rsid w:val="00290F7B"/>
    <w:rsid w:val="00293DEE"/>
    <w:rsid w:val="00295A9D"/>
    <w:rsid w:val="00297293"/>
    <w:rsid w:val="002A0B5D"/>
    <w:rsid w:val="002A0B7F"/>
    <w:rsid w:val="002A15EA"/>
    <w:rsid w:val="002A40CE"/>
    <w:rsid w:val="002B20DC"/>
    <w:rsid w:val="002B346B"/>
    <w:rsid w:val="002C5C4F"/>
    <w:rsid w:val="002C7FE9"/>
    <w:rsid w:val="002D31CB"/>
    <w:rsid w:val="002D4EFD"/>
    <w:rsid w:val="002D6437"/>
    <w:rsid w:val="002D76FC"/>
    <w:rsid w:val="002D7F41"/>
    <w:rsid w:val="002E052F"/>
    <w:rsid w:val="002E3CD5"/>
    <w:rsid w:val="002E3D00"/>
    <w:rsid w:val="002E4D48"/>
    <w:rsid w:val="002E4E4A"/>
    <w:rsid w:val="002F4308"/>
    <w:rsid w:val="002F4ECA"/>
    <w:rsid w:val="002F665F"/>
    <w:rsid w:val="0030127B"/>
    <w:rsid w:val="003014F3"/>
    <w:rsid w:val="00302AF0"/>
    <w:rsid w:val="00305959"/>
    <w:rsid w:val="003060CF"/>
    <w:rsid w:val="00311876"/>
    <w:rsid w:val="003133B8"/>
    <w:rsid w:val="00313F4F"/>
    <w:rsid w:val="00316071"/>
    <w:rsid w:val="00320490"/>
    <w:rsid w:val="00320E43"/>
    <w:rsid w:val="00321784"/>
    <w:rsid w:val="003278EF"/>
    <w:rsid w:val="00333732"/>
    <w:rsid w:val="0033480C"/>
    <w:rsid w:val="0033554A"/>
    <w:rsid w:val="00336F79"/>
    <w:rsid w:val="00343E5C"/>
    <w:rsid w:val="00346F57"/>
    <w:rsid w:val="003510F9"/>
    <w:rsid w:val="00353C4E"/>
    <w:rsid w:val="00356231"/>
    <w:rsid w:val="0035702D"/>
    <w:rsid w:val="00357D65"/>
    <w:rsid w:val="0036017B"/>
    <w:rsid w:val="00362755"/>
    <w:rsid w:val="00363828"/>
    <w:rsid w:val="00366377"/>
    <w:rsid w:val="0036729F"/>
    <w:rsid w:val="00370688"/>
    <w:rsid w:val="00373B93"/>
    <w:rsid w:val="00374255"/>
    <w:rsid w:val="00374B74"/>
    <w:rsid w:val="0037770D"/>
    <w:rsid w:val="00380293"/>
    <w:rsid w:val="00382D15"/>
    <w:rsid w:val="00383B66"/>
    <w:rsid w:val="0038637C"/>
    <w:rsid w:val="0039148A"/>
    <w:rsid w:val="003923A6"/>
    <w:rsid w:val="0039363F"/>
    <w:rsid w:val="0039560C"/>
    <w:rsid w:val="003A0FBD"/>
    <w:rsid w:val="003A3683"/>
    <w:rsid w:val="003A38F0"/>
    <w:rsid w:val="003A40A4"/>
    <w:rsid w:val="003A5D66"/>
    <w:rsid w:val="003A608F"/>
    <w:rsid w:val="003B020D"/>
    <w:rsid w:val="003B334D"/>
    <w:rsid w:val="003B41F8"/>
    <w:rsid w:val="003B445E"/>
    <w:rsid w:val="003B483A"/>
    <w:rsid w:val="003B5419"/>
    <w:rsid w:val="003B5C3A"/>
    <w:rsid w:val="003C1604"/>
    <w:rsid w:val="003C6056"/>
    <w:rsid w:val="003C6B31"/>
    <w:rsid w:val="003D656F"/>
    <w:rsid w:val="003D6FE1"/>
    <w:rsid w:val="003E297D"/>
    <w:rsid w:val="003E2C31"/>
    <w:rsid w:val="003E400D"/>
    <w:rsid w:val="003E41E1"/>
    <w:rsid w:val="003F398B"/>
    <w:rsid w:val="003F4329"/>
    <w:rsid w:val="0040014C"/>
    <w:rsid w:val="0040234D"/>
    <w:rsid w:val="004038D9"/>
    <w:rsid w:val="00405F3D"/>
    <w:rsid w:val="00411907"/>
    <w:rsid w:val="00412331"/>
    <w:rsid w:val="00412534"/>
    <w:rsid w:val="00412C83"/>
    <w:rsid w:val="004146DA"/>
    <w:rsid w:val="00416155"/>
    <w:rsid w:val="0042416B"/>
    <w:rsid w:val="00426014"/>
    <w:rsid w:val="0043357E"/>
    <w:rsid w:val="004428EF"/>
    <w:rsid w:val="004464DA"/>
    <w:rsid w:val="00447FB7"/>
    <w:rsid w:val="004546F6"/>
    <w:rsid w:val="00455C1D"/>
    <w:rsid w:val="00460605"/>
    <w:rsid w:val="00460B7D"/>
    <w:rsid w:val="00465979"/>
    <w:rsid w:val="00467431"/>
    <w:rsid w:val="00470260"/>
    <w:rsid w:val="00471A4A"/>
    <w:rsid w:val="00472DD3"/>
    <w:rsid w:val="004754F3"/>
    <w:rsid w:val="00476AE2"/>
    <w:rsid w:val="00476B64"/>
    <w:rsid w:val="00480CB0"/>
    <w:rsid w:val="00481FC3"/>
    <w:rsid w:val="004832D5"/>
    <w:rsid w:val="0048629B"/>
    <w:rsid w:val="00487153"/>
    <w:rsid w:val="00491030"/>
    <w:rsid w:val="00492D01"/>
    <w:rsid w:val="00495EAB"/>
    <w:rsid w:val="00495FD9"/>
    <w:rsid w:val="004A3724"/>
    <w:rsid w:val="004A5D83"/>
    <w:rsid w:val="004B2155"/>
    <w:rsid w:val="004B29A1"/>
    <w:rsid w:val="004B34EA"/>
    <w:rsid w:val="004B5494"/>
    <w:rsid w:val="004B6273"/>
    <w:rsid w:val="004C586E"/>
    <w:rsid w:val="004C5E7B"/>
    <w:rsid w:val="004C7D3A"/>
    <w:rsid w:val="004D4651"/>
    <w:rsid w:val="004D57BD"/>
    <w:rsid w:val="004D6868"/>
    <w:rsid w:val="004D7307"/>
    <w:rsid w:val="004E030E"/>
    <w:rsid w:val="004E364E"/>
    <w:rsid w:val="004E56AF"/>
    <w:rsid w:val="004F0473"/>
    <w:rsid w:val="004F0AA4"/>
    <w:rsid w:val="004F2C4A"/>
    <w:rsid w:val="004F56F3"/>
    <w:rsid w:val="004F7115"/>
    <w:rsid w:val="004F78BA"/>
    <w:rsid w:val="00500245"/>
    <w:rsid w:val="005018A8"/>
    <w:rsid w:val="005053AA"/>
    <w:rsid w:val="00505A39"/>
    <w:rsid w:val="00506C7C"/>
    <w:rsid w:val="0051163A"/>
    <w:rsid w:val="00513D3B"/>
    <w:rsid w:val="005203EB"/>
    <w:rsid w:val="005240BF"/>
    <w:rsid w:val="005265F2"/>
    <w:rsid w:val="00527DBB"/>
    <w:rsid w:val="005311B1"/>
    <w:rsid w:val="00532D65"/>
    <w:rsid w:val="0053311A"/>
    <w:rsid w:val="005343C2"/>
    <w:rsid w:val="0053663F"/>
    <w:rsid w:val="005373D6"/>
    <w:rsid w:val="0053793D"/>
    <w:rsid w:val="005438A8"/>
    <w:rsid w:val="00543BCB"/>
    <w:rsid w:val="005508C9"/>
    <w:rsid w:val="0055593B"/>
    <w:rsid w:val="0056254E"/>
    <w:rsid w:val="00563AF9"/>
    <w:rsid w:val="005658DA"/>
    <w:rsid w:val="00567E0A"/>
    <w:rsid w:val="005707C6"/>
    <w:rsid w:val="00573724"/>
    <w:rsid w:val="0057534A"/>
    <w:rsid w:val="00576FDF"/>
    <w:rsid w:val="005778CC"/>
    <w:rsid w:val="00583D1D"/>
    <w:rsid w:val="00585390"/>
    <w:rsid w:val="005868EA"/>
    <w:rsid w:val="005902E1"/>
    <w:rsid w:val="005907F9"/>
    <w:rsid w:val="00590A21"/>
    <w:rsid w:val="005939A5"/>
    <w:rsid w:val="00593E15"/>
    <w:rsid w:val="00594EC0"/>
    <w:rsid w:val="005954F1"/>
    <w:rsid w:val="00597D41"/>
    <w:rsid w:val="005A0AB7"/>
    <w:rsid w:val="005A148C"/>
    <w:rsid w:val="005B0ADA"/>
    <w:rsid w:val="005B2FB6"/>
    <w:rsid w:val="005B42E7"/>
    <w:rsid w:val="005B569C"/>
    <w:rsid w:val="005B6D42"/>
    <w:rsid w:val="005B7C42"/>
    <w:rsid w:val="005C31B0"/>
    <w:rsid w:val="005C6356"/>
    <w:rsid w:val="005D6A49"/>
    <w:rsid w:val="005D7D50"/>
    <w:rsid w:val="005E2DB9"/>
    <w:rsid w:val="005E382B"/>
    <w:rsid w:val="005E5A20"/>
    <w:rsid w:val="005E67FC"/>
    <w:rsid w:val="005E6D58"/>
    <w:rsid w:val="005E7104"/>
    <w:rsid w:val="005F1C37"/>
    <w:rsid w:val="005F2AAD"/>
    <w:rsid w:val="005F3A1A"/>
    <w:rsid w:val="00604053"/>
    <w:rsid w:val="00610911"/>
    <w:rsid w:val="00612AB7"/>
    <w:rsid w:val="0061347C"/>
    <w:rsid w:val="006153AE"/>
    <w:rsid w:val="00616BF6"/>
    <w:rsid w:val="00620840"/>
    <w:rsid w:val="00627C7D"/>
    <w:rsid w:val="00627D3B"/>
    <w:rsid w:val="00630F3B"/>
    <w:rsid w:val="00631367"/>
    <w:rsid w:val="00632207"/>
    <w:rsid w:val="00633A42"/>
    <w:rsid w:val="0063428A"/>
    <w:rsid w:val="0063491C"/>
    <w:rsid w:val="00640B27"/>
    <w:rsid w:val="00650C69"/>
    <w:rsid w:val="006537A1"/>
    <w:rsid w:val="006549C7"/>
    <w:rsid w:val="0065707C"/>
    <w:rsid w:val="00657C21"/>
    <w:rsid w:val="0066051D"/>
    <w:rsid w:val="00661D86"/>
    <w:rsid w:val="00671856"/>
    <w:rsid w:val="00673DB3"/>
    <w:rsid w:val="00675D78"/>
    <w:rsid w:val="00681343"/>
    <w:rsid w:val="006867FB"/>
    <w:rsid w:val="00686C89"/>
    <w:rsid w:val="00694A86"/>
    <w:rsid w:val="006A1C6B"/>
    <w:rsid w:val="006A67D0"/>
    <w:rsid w:val="006A6B66"/>
    <w:rsid w:val="006A72F0"/>
    <w:rsid w:val="006B0670"/>
    <w:rsid w:val="006B3501"/>
    <w:rsid w:val="006B4E2C"/>
    <w:rsid w:val="006C029A"/>
    <w:rsid w:val="006C50EE"/>
    <w:rsid w:val="006C7A29"/>
    <w:rsid w:val="006D295F"/>
    <w:rsid w:val="006D3773"/>
    <w:rsid w:val="006D7162"/>
    <w:rsid w:val="006E366C"/>
    <w:rsid w:val="006E4FA0"/>
    <w:rsid w:val="006E5E28"/>
    <w:rsid w:val="006E60EF"/>
    <w:rsid w:val="006E6574"/>
    <w:rsid w:val="006F1689"/>
    <w:rsid w:val="006F692A"/>
    <w:rsid w:val="00701FD7"/>
    <w:rsid w:val="00710092"/>
    <w:rsid w:val="007141ED"/>
    <w:rsid w:val="00714960"/>
    <w:rsid w:val="00714CF2"/>
    <w:rsid w:val="007156B9"/>
    <w:rsid w:val="0071617F"/>
    <w:rsid w:val="00720817"/>
    <w:rsid w:val="00720822"/>
    <w:rsid w:val="00722850"/>
    <w:rsid w:val="00732146"/>
    <w:rsid w:val="00732E37"/>
    <w:rsid w:val="0073353F"/>
    <w:rsid w:val="00735548"/>
    <w:rsid w:val="0074217C"/>
    <w:rsid w:val="00742E45"/>
    <w:rsid w:val="00743EBF"/>
    <w:rsid w:val="007447AF"/>
    <w:rsid w:val="00750816"/>
    <w:rsid w:val="007527B2"/>
    <w:rsid w:val="00753646"/>
    <w:rsid w:val="00757DF2"/>
    <w:rsid w:val="00760ED8"/>
    <w:rsid w:val="00764D9F"/>
    <w:rsid w:val="007652E5"/>
    <w:rsid w:val="007657C1"/>
    <w:rsid w:val="007708D2"/>
    <w:rsid w:val="00774BB6"/>
    <w:rsid w:val="007751EA"/>
    <w:rsid w:val="00780584"/>
    <w:rsid w:val="00785A5B"/>
    <w:rsid w:val="007901AF"/>
    <w:rsid w:val="007A406D"/>
    <w:rsid w:val="007A62B0"/>
    <w:rsid w:val="007B0A48"/>
    <w:rsid w:val="007B4F4A"/>
    <w:rsid w:val="007B5D1B"/>
    <w:rsid w:val="007B74FE"/>
    <w:rsid w:val="007C0C42"/>
    <w:rsid w:val="007C5062"/>
    <w:rsid w:val="007C5A0C"/>
    <w:rsid w:val="007D45F6"/>
    <w:rsid w:val="007D7497"/>
    <w:rsid w:val="007D7851"/>
    <w:rsid w:val="007E0FEE"/>
    <w:rsid w:val="007E245A"/>
    <w:rsid w:val="007E2965"/>
    <w:rsid w:val="007F157F"/>
    <w:rsid w:val="007F2017"/>
    <w:rsid w:val="007F25E9"/>
    <w:rsid w:val="007F3082"/>
    <w:rsid w:val="007F36F3"/>
    <w:rsid w:val="007F571D"/>
    <w:rsid w:val="007F58A4"/>
    <w:rsid w:val="007F6DBE"/>
    <w:rsid w:val="007F6EF3"/>
    <w:rsid w:val="0080078D"/>
    <w:rsid w:val="0080407A"/>
    <w:rsid w:val="008062BB"/>
    <w:rsid w:val="00806F80"/>
    <w:rsid w:val="008075C0"/>
    <w:rsid w:val="00811840"/>
    <w:rsid w:val="00813F27"/>
    <w:rsid w:val="0081615C"/>
    <w:rsid w:val="00826C42"/>
    <w:rsid w:val="0082709C"/>
    <w:rsid w:val="0083027E"/>
    <w:rsid w:val="00830B03"/>
    <w:rsid w:val="008339BB"/>
    <w:rsid w:val="00833B2E"/>
    <w:rsid w:val="008347B0"/>
    <w:rsid w:val="008412AC"/>
    <w:rsid w:val="00841355"/>
    <w:rsid w:val="0084394E"/>
    <w:rsid w:val="00843B05"/>
    <w:rsid w:val="00843BF1"/>
    <w:rsid w:val="00844E82"/>
    <w:rsid w:val="0084538C"/>
    <w:rsid w:val="00845FD2"/>
    <w:rsid w:val="00860CD1"/>
    <w:rsid w:val="0086419A"/>
    <w:rsid w:val="008654FB"/>
    <w:rsid w:val="00865A0B"/>
    <w:rsid w:val="0087023B"/>
    <w:rsid w:val="008718E4"/>
    <w:rsid w:val="00871D21"/>
    <w:rsid w:val="00874294"/>
    <w:rsid w:val="00880962"/>
    <w:rsid w:val="00884287"/>
    <w:rsid w:val="008905D3"/>
    <w:rsid w:val="00893BBD"/>
    <w:rsid w:val="00896C2F"/>
    <w:rsid w:val="00896F02"/>
    <w:rsid w:val="00897E50"/>
    <w:rsid w:val="008A179F"/>
    <w:rsid w:val="008A2D21"/>
    <w:rsid w:val="008B0864"/>
    <w:rsid w:val="008B441C"/>
    <w:rsid w:val="008C3DAE"/>
    <w:rsid w:val="008C4172"/>
    <w:rsid w:val="008C5528"/>
    <w:rsid w:val="008C59EB"/>
    <w:rsid w:val="008C6106"/>
    <w:rsid w:val="008C664B"/>
    <w:rsid w:val="008C6D83"/>
    <w:rsid w:val="008C7413"/>
    <w:rsid w:val="008C77DF"/>
    <w:rsid w:val="008C7B66"/>
    <w:rsid w:val="008D16B7"/>
    <w:rsid w:val="008D6331"/>
    <w:rsid w:val="008E42B0"/>
    <w:rsid w:val="008E4B1A"/>
    <w:rsid w:val="008E59A1"/>
    <w:rsid w:val="008E6AE6"/>
    <w:rsid w:val="008E6C61"/>
    <w:rsid w:val="008F0116"/>
    <w:rsid w:val="008F143D"/>
    <w:rsid w:val="008F1DC2"/>
    <w:rsid w:val="008F3EE2"/>
    <w:rsid w:val="008F50BD"/>
    <w:rsid w:val="008F788E"/>
    <w:rsid w:val="0090313C"/>
    <w:rsid w:val="009135A1"/>
    <w:rsid w:val="00916091"/>
    <w:rsid w:val="00916C45"/>
    <w:rsid w:val="009175AE"/>
    <w:rsid w:val="009208C6"/>
    <w:rsid w:val="0092240C"/>
    <w:rsid w:val="00922B70"/>
    <w:rsid w:val="00924C9B"/>
    <w:rsid w:val="00924DD9"/>
    <w:rsid w:val="009252C1"/>
    <w:rsid w:val="00925CB1"/>
    <w:rsid w:val="0092628D"/>
    <w:rsid w:val="00932865"/>
    <w:rsid w:val="00942CA1"/>
    <w:rsid w:val="00950D80"/>
    <w:rsid w:val="00952E81"/>
    <w:rsid w:val="00953237"/>
    <w:rsid w:val="00955309"/>
    <w:rsid w:val="00956906"/>
    <w:rsid w:val="00956BAE"/>
    <w:rsid w:val="00962CA8"/>
    <w:rsid w:val="00974BDF"/>
    <w:rsid w:val="009753EA"/>
    <w:rsid w:val="0098138E"/>
    <w:rsid w:val="009818E5"/>
    <w:rsid w:val="00982E38"/>
    <w:rsid w:val="0098655A"/>
    <w:rsid w:val="009866E2"/>
    <w:rsid w:val="00991C44"/>
    <w:rsid w:val="009930BD"/>
    <w:rsid w:val="009939AC"/>
    <w:rsid w:val="009A3459"/>
    <w:rsid w:val="009A5779"/>
    <w:rsid w:val="009A5E48"/>
    <w:rsid w:val="009B34A9"/>
    <w:rsid w:val="009B7E85"/>
    <w:rsid w:val="009C0A09"/>
    <w:rsid w:val="009C351A"/>
    <w:rsid w:val="009C5F44"/>
    <w:rsid w:val="009C6C3D"/>
    <w:rsid w:val="009D34D4"/>
    <w:rsid w:val="009D3B9F"/>
    <w:rsid w:val="009D5557"/>
    <w:rsid w:val="009D63E8"/>
    <w:rsid w:val="009E2D4E"/>
    <w:rsid w:val="009E7C7F"/>
    <w:rsid w:val="009F0AD9"/>
    <w:rsid w:val="009F7359"/>
    <w:rsid w:val="00A028E8"/>
    <w:rsid w:val="00A06290"/>
    <w:rsid w:val="00A104A2"/>
    <w:rsid w:val="00A1283F"/>
    <w:rsid w:val="00A1318C"/>
    <w:rsid w:val="00A13EB7"/>
    <w:rsid w:val="00A17CE0"/>
    <w:rsid w:val="00A20BD8"/>
    <w:rsid w:val="00A24FD2"/>
    <w:rsid w:val="00A30934"/>
    <w:rsid w:val="00A33E73"/>
    <w:rsid w:val="00A42306"/>
    <w:rsid w:val="00A5278E"/>
    <w:rsid w:val="00A5495F"/>
    <w:rsid w:val="00A55ACD"/>
    <w:rsid w:val="00A56F49"/>
    <w:rsid w:val="00A60AF1"/>
    <w:rsid w:val="00A63E29"/>
    <w:rsid w:val="00A6790F"/>
    <w:rsid w:val="00A74A6A"/>
    <w:rsid w:val="00A8006F"/>
    <w:rsid w:val="00A80208"/>
    <w:rsid w:val="00A909D2"/>
    <w:rsid w:val="00A937AB"/>
    <w:rsid w:val="00A937E9"/>
    <w:rsid w:val="00A975F7"/>
    <w:rsid w:val="00A977F8"/>
    <w:rsid w:val="00A97DA0"/>
    <w:rsid w:val="00AA09E5"/>
    <w:rsid w:val="00AA3F28"/>
    <w:rsid w:val="00AA401B"/>
    <w:rsid w:val="00AA478B"/>
    <w:rsid w:val="00AA7651"/>
    <w:rsid w:val="00AB0CF4"/>
    <w:rsid w:val="00AB355E"/>
    <w:rsid w:val="00AB475C"/>
    <w:rsid w:val="00AB6263"/>
    <w:rsid w:val="00AB7730"/>
    <w:rsid w:val="00AC3D8E"/>
    <w:rsid w:val="00AD2B2A"/>
    <w:rsid w:val="00AD413A"/>
    <w:rsid w:val="00AD5809"/>
    <w:rsid w:val="00AD60EE"/>
    <w:rsid w:val="00AD6E89"/>
    <w:rsid w:val="00AD7CE7"/>
    <w:rsid w:val="00AE4361"/>
    <w:rsid w:val="00AE48A9"/>
    <w:rsid w:val="00AF6BB7"/>
    <w:rsid w:val="00AF70A7"/>
    <w:rsid w:val="00B01F7E"/>
    <w:rsid w:val="00B02123"/>
    <w:rsid w:val="00B079AA"/>
    <w:rsid w:val="00B111DF"/>
    <w:rsid w:val="00B11CF1"/>
    <w:rsid w:val="00B15286"/>
    <w:rsid w:val="00B15F52"/>
    <w:rsid w:val="00B174E4"/>
    <w:rsid w:val="00B24C24"/>
    <w:rsid w:val="00B3087D"/>
    <w:rsid w:val="00B311C7"/>
    <w:rsid w:val="00B3160C"/>
    <w:rsid w:val="00B34794"/>
    <w:rsid w:val="00B37437"/>
    <w:rsid w:val="00B378F2"/>
    <w:rsid w:val="00B40B8F"/>
    <w:rsid w:val="00B5082D"/>
    <w:rsid w:val="00B53C9D"/>
    <w:rsid w:val="00B55496"/>
    <w:rsid w:val="00B55847"/>
    <w:rsid w:val="00B55D32"/>
    <w:rsid w:val="00B57236"/>
    <w:rsid w:val="00B576C8"/>
    <w:rsid w:val="00B60421"/>
    <w:rsid w:val="00B62B51"/>
    <w:rsid w:val="00B6310E"/>
    <w:rsid w:val="00B64512"/>
    <w:rsid w:val="00B71199"/>
    <w:rsid w:val="00B758FE"/>
    <w:rsid w:val="00B8094F"/>
    <w:rsid w:val="00B80DB3"/>
    <w:rsid w:val="00B82398"/>
    <w:rsid w:val="00B8385D"/>
    <w:rsid w:val="00B8410E"/>
    <w:rsid w:val="00B92228"/>
    <w:rsid w:val="00B92965"/>
    <w:rsid w:val="00B949E9"/>
    <w:rsid w:val="00B95DA4"/>
    <w:rsid w:val="00B96F3E"/>
    <w:rsid w:val="00B97C2C"/>
    <w:rsid w:val="00BA1146"/>
    <w:rsid w:val="00BA1B95"/>
    <w:rsid w:val="00BA2489"/>
    <w:rsid w:val="00BA3A6F"/>
    <w:rsid w:val="00BA3C1D"/>
    <w:rsid w:val="00BA6BDE"/>
    <w:rsid w:val="00BA6C6B"/>
    <w:rsid w:val="00BB0243"/>
    <w:rsid w:val="00BB155A"/>
    <w:rsid w:val="00BB1A73"/>
    <w:rsid w:val="00BB3D04"/>
    <w:rsid w:val="00BB3D18"/>
    <w:rsid w:val="00BB415B"/>
    <w:rsid w:val="00BB7BDF"/>
    <w:rsid w:val="00BC0EF1"/>
    <w:rsid w:val="00BC24A1"/>
    <w:rsid w:val="00BC2E0F"/>
    <w:rsid w:val="00BD25E9"/>
    <w:rsid w:val="00BD3C05"/>
    <w:rsid w:val="00BE0C95"/>
    <w:rsid w:val="00BE3362"/>
    <w:rsid w:val="00BF1313"/>
    <w:rsid w:val="00BF27FA"/>
    <w:rsid w:val="00BF2DFE"/>
    <w:rsid w:val="00BF6649"/>
    <w:rsid w:val="00C00DEC"/>
    <w:rsid w:val="00C00F1D"/>
    <w:rsid w:val="00C05E3E"/>
    <w:rsid w:val="00C10B5F"/>
    <w:rsid w:val="00C11E57"/>
    <w:rsid w:val="00C12F85"/>
    <w:rsid w:val="00C15982"/>
    <w:rsid w:val="00C2292F"/>
    <w:rsid w:val="00C26867"/>
    <w:rsid w:val="00C3261F"/>
    <w:rsid w:val="00C35F74"/>
    <w:rsid w:val="00C40989"/>
    <w:rsid w:val="00C467F8"/>
    <w:rsid w:val="00C515B2"/>
    <w:rsid w:val="00C55A25"/>
    <w:rsid w:val="00C57B7A"/>
    <w:rsid w:val="00C623A3"/>
    <w:rsid w:val="00C72F1A"/>
    <w:rsid w:val="00C735A5"/>
    <w:rsid w:val="00C815EE"/>
    <w:rsid w:val="00C81CFE"/>
    <w:rsid w:val="00C85F05"/>
    <w:rsid w:val="00C8748D"/>
    <w:rsid w:val="00C90731"/>
    <w:rsid w:val="00C90C41"/>
    <w:rsid w:val="00C913A1"/>
    <w:rsid w:val="00CA1246"/>
    <w:rsid w:val="00CA2B90"/>
    <w:rsid w:val="00CA48F2"/>
    <w:rsid w:val="00CB4B75"/>
    <w:rsid w:val="00CB4CB0"/>
    <w:rsid w:val="00CB4F32"/>
    <w:rsid w:val="00CB5DE8"/>
    <w:rsid w:val="00CC06C2"/>
    <w:rsid w:val="00CC6A99"/>
    <w:rsid w:val="00CC749A"/>
    <w:rsid w:val="00CD3080"/>
    <w:rsid w:val="00CD3F1A"/>
    <w:rsid w:val="00CD5344"/>
    <w:rsid w:val="00CE38DA"/>
    <w:rsid w:val="00CE4A47"/>
    <w:rsid w:val="00CF13EA"/>
    <w:rsid w:val="00CF508C"/>
    <w:rsid w:val="00CF66FA"/>
    <w:rsid w:val="00D00158"/>
    <w:rsid w:val="00D00AA3"/>
    <w:rsid w:val="00D06414"/>
    <w:rsid w:val="00D07F73"/>
    <w:rsid w:val="00D10C94"/>
    <w:rsid w:val="00D16ADE"/>
    <w:rsid w:val="00D2041C"/>
    <w:rsid w:val="00D23683"/>
    <w:rsid w:val="00D2485E"/>
    <w:rsid w:val="00D25ADE"/>
    <w:rsid w:val="00D26287"/>
    <w:rsid w:val="00D31714"/>
    <w:rsid w:val="00D326B3"/>
    <w:rsid w:val="00D34252"/>
    <w:rsid w:val="00D40D23"/>
    <w:rsid w:val="00D411A6"/>
    <w:rsid w:val="00D412AF"/>
    <w:rsid w:val="00D4234F"/>
    <w:rsid w:val="00D424CA"/>
    <w:rsid w:val="00D42836"/>
    <w:rsid w:val="00D43297"/>
    <w:rsid w:val="00D44DB6"/>
    <w:rsid w:val="00D50119"/>
    <w:rsid w:val="00D50242"/>
    <w:rsid w:val="00D53B96"/>
    <w:rsid w:val="00D54793"/>
    <w:rsid w:val="00D557AE"/>
    <w:rsid w:val="00D57506"/>
    <w:rsid w:val="00D607F3"/>
    <w:rsid w:val="00D6593B"/>
    <w:rsid w:val="00D66DB0"/>
    <w:rsid w:val="00D70C78"/>
    <w:rsid w:val="00D714FC"/>
    <w:rsid w:val="00D71CA1"/>
    <w:rsid w:val="00D7570B"/>
    <w:rsid w:val="00D80DF0"/>
    <w:rsid w:val="00D82A43"/>
    <w:rsid w:val="00D85D89"/>
    <w:rsid w:val="00D928BC"/>
    <w:rsid w:val="00D9597A"/>
    <w:rsid w:val="00DA351C"/>
    <w:rsid w:val="00DA416A"/>
    <w:rsid w:val="00DA4A0C"/>
    <w:rsid w:val="00DA4FE0"/>
    <w:rsid w:val="00DA7B5D"/>
    <w:rsid w:val="00DA7F04"/>
    <w:rsid w:val="00DB0012"/>
    <w:rsid w:val="00DB2D6D"/>
    <w:rsid w:val="00DB305A"/>
    <w:rsid w:val="00DB3576"/>
    <w:rsid w:val="00DB6854"/>
    <w:rsid w:val="00DB7568"/>
    <w:rsid w:val="00DC070C"/>
    <w:rsid w:val="00DC1492"/>
    <w:rsid w:val="00DC217D"/>
    <w:rsid w:val="00DC3700"/>
    <w:rsid w:val="00DC372C"/>
    <w:rsid w:val="00DC78A1"/>
    <w:rsid w:val="00DD10D7"/>
    <w:rsid w:val="00DE13E1"/>
    <w:rsid w:val="00DE3D45"/>
    <w:rsid w:val="00DE3D59"/>
    <w:rsid w:val="00DE48EE"/>
    <w:rsid w:val="00DE5529"/>
    <w:rsid w:val="00DE64D6"/>
    <w:rsid w:val="00DE7EE1"/>
    <w:rsid w:val="00DF01BC"/>
    <w:rsid w:val="00DF58E7"/>
    <w:rsid w:val="00DF7756"/>
    <w:rsid w:val="00E0099E"/>
    <w:rsid w:val="00E01414"/>
    <w:rsid w:val="00E10F3F"/>
    <w:rsid w:val="00E11876"/>
    <w:rsid w:val="00E1251E"/>
    <w:rsid w:val="00E163A2"/>
    <w:rsid w:val="00E213F6"/>
    <w:rsid w:val="00E23CBB"/>
    <w:rsid w:val="00E268A6"/>
    <w:rsid w:val="00E268A8"/>
    <w:rsid w:val="00E30034"/>
    <w:rsid w:val="00E30265"/>
    <w:rsid w:val="00E30C55"/>
    <w:rsid w:val="00E3158C"/>
    <w:rsid w:val="00E3287E"/>
    <w:rsid w:val="00E3373B"/>
    <w:rsid w:val="00E33805"/>
    <w:rsid w:val="00E364AE"/>
    <w:rsid w:val="00E37B59"/>
    <w:rsid w:val="00E40DFC"/>
    <w:rsid w:val="00E41246"/>
    <w:rsid w:val="00E42CC0"/>
    <w:rsid w:val="00E4313D"/>
    <w:rsid w:val="00E47073"/>
    <w:rsid w:val="00E508D9"/>
    <w:rsid w:val="00E50BF2"/>
    <w:rsid w:val="00E514EA"/>
    <w:rsid w:val="00E5167F"/>
    <w:rsid w:val="00E53512"/>
    <w:rsid w:val="00E54F15"/>
    <w:rsid w:val="00E60F50"/>
    <w:rsid w:val="00E644A4"/>
    <w:rsid w:val="00E64802"/>
    <w:rsid w:val="00E7064B"/>
    <w:rsid w:val="00E70654"/>
    <w:rsid w:val="00E74928"/>
    <w:rsid w:val="00E821FB"/>
    <w:rsid w:val="00E8266F"/>
    <w:rsid w:val="00E8422A"/>
    <w:rsid w:val="00E84DA9"/>
    <w:rsid w:val="00E94E34"/>
    <w:rsid w:val="00E952E9"/>
    <w:rsid w:val="00E95598"/>
    <w:rsid w:val="00EA36C6"/>
    <w:rsid w:val="00EB0942"/>
    <w:rsid w:val="00EB134D"/>
    <w:rsid w:val="00EB460F"/>
    <w:rsid w:val="00EB63E1"/>
    <w:rsid w:val="00EC1E8C"/>
    <w:rsid w:val="00EC3D7F"/>
    <w:rsid w:val="00EC7308"/>
    <w:rsid w:val="00ED0076"/>
    <w:rsid w:val="00ED07D3"/>
    <w:rsid w:val="00ED2EDB"/>
    <w:rsid w:val="00ED5725"/>
    <w:rsid w:val="00ED5A86"/>
    <w:rsid w:val="00ED6ACE"/>
    <w:rsid w:val="00ED7031"/>
    <w:rsid w:val="00ED750D"/>
    <w:rsid w:val="00EE3060"/>
    <w:rsid w:val="00EE4315"/>
    <w:rsid w:val="00EE6214"/>
    <w:rsid w:val="00EF047C"/>
    <w:rsid w:val="00EF2A41"/>
    <w:rsid w:val="00EF36AE"/>
    <w:rsid w:val="00F03141"/>
    <w:rsid w:val="00F07E89"/>
    <w:rsid w:val="00F108C9"/>
    <w:rsid w:val="00F13065"/>
    <w:rsid w:val="00F13174"/>
    <w:rsid w:val="00F23737"/>
    <w:rsid w:val="00F23E41"/>
    <w:rsid w:val="00F24F6E"/>
    <w:rsid w:val="00F26ED3"/>
    <w:rsid w:val="00F276B2"/>
    <w:rsid w:val="00F31433"/>
    <w:rsid w:val="00F33B77"/>
    <w:rsid w:val="00F33F15"/>
    <w:rsid w:val="00F3444D"/>
    <w:rsid w:val="00F3780F"/>
    <w:rsid w:val="00F401E5"/>
    <w:rsid w:val="00F40E11"/>
    <w:rsid w:val="00F41992"/>
    <w:rsid w:val="00F4395C"/>
    <w:rsid w:val="00F4544A"/>
    <w:rsid w:val="00F52034"/>
    <w:rsid w:val="00F54C7B"/>
    <w:rsid w:val="00F566A9"/>
    <w:rsid w:val="00F60DE7"/>
    <w:rsid w:val="00F62B7A"/>
    <w:rsid w:val="00F6397D"/>
    <w:rsid w:val="00F655B8"/>
    <w:rsid w:val="00F71361"/>
    <w:rsid w:val="00F7293E"/>
    <w:rsid w:val="00F76650"/>
    <w:rsid w:val="00F83974"/>
    <w:rsid w:val="00F855BC"/>
    <w:rsid w:val="00F86770"/>
    <w:rsid w:val="00F90F2C"/>
    <w:rsid w:val="00F9187B"/>
    <w:rsid w:val="00F92385"/>
    <w:rsid w:val="00F94F3E"/>
    <w:rsid w:val="00F961AA"/>
    <w:rsid w:val="00F9663A"/>
    <w:rsid w:val="00FA02F6"/>
    <w:rsid w:val="00FA1B4F"/>
    <w:rsid w:val="00FA5E4C"/>
    <w:rsid w:val="00FA66BA"/>
    <w:rsid w:val="00FA7D62"/>
    <w:rsid w:val="00FB3722"/>
    <w:rsid w:val="00FB4D3B"/>
    <w:rsid w:val="00FB504E"/>
    <w:rsid w:val="00FC06F4"/>
    <w:rsid w:val="00FC183C"/>
    <w:rsid w:val="00FC201D"/>
    <w:rsid w:val="00FC2361"/>
    <w:rsid w:val="00FC45D2"/>
    <w:rsid w:val="00FC47F9"/>
    <w:rsid w:val="00FC7794"/>
    <w:rsid w:val="00FD01C5"/>
    <w:rsid w:val="00FE0E98"/>
    <w:rsid w:val="00FE36AE"/>
    <w:rsid w:val="00FE38E3"/>
    <w:rsid w:val="00FE4932"/>
    <w:rsid w:val="00FE5580"/>
    <w:rsid w:val="00FE6731"/>
    <w:rsid w:val="00FE6A33"/>
    <w:rsid w:val="00FF110C"/>
    <w:rsid w:val="00FF3A55"/>
    <w:rsid w:val="00FF45ED"/>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9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6"/>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6"/>
      </w:numPr>
      <w:outlineLvl w:val="1"/>
    </w:pPr>
  </w:style>
  <w:style w:type="paragraph" w:styleId="Heading3">
    <w:name w:val="heading 3"/>
    <w:basedOn w:val="Dummy"/>
    <w:next w:val="Standard"/>
    <w:link w:val="Heading3Char"/>
    <w:uiPriority w:val="4"/>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6"/>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6"/>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styleId="ListParagraph">
    <w:name w:val="List Paragraph"/>
    <w:basedOn w:val="Normal"/>
    <w:uiPriority w:val="34"/>
    <w:rsid w:val="00F961AA"/>
    <w:pPr>
      <w:ind w:left="720"/>
      <w:contextualSpacing/>
    </w:pPr>
  </w:style>
  <w:style w:type="character" w:customStyle="1" w:styleId="UnresolvedMention">
    <w:name w:val="Unresolved Mention"/>
    <w:basedOn w:val="DefaultParagraphFont"/>
    <w:uiPriority w:val="99"/>
    <w:semiHidden/>
    <w:unhideWhenUsed/>
    <w:rsid w:val="00416155"/>
    <w:rPr>
      <w:color w:val="605E5C"/>
      <w:shd w:val="clear" w:color="auto" w:fill="E1DFDD"/>
    </w:rPr>
  </w:style>
  <w:style w:type="character" w:styleId="CommentReference">
    <w:name w:val="annotation reference"/>
    <w:basedOn w:val="DefaultParagraphFont"/>
    <w:uiPriority w:val="99"/>
    <w:semiHidden/>
    <w:unhideWhenUsed/>
    <w:rsid w:val="00AE4361"/>
    <w:rPr>
      <w:sz w:val="16"/>
      <w:szCs w:val="16"/>
    </w:rPr>
  </w:style>
  <w:style w:type="paragraph" w:styleId="CommentText">
    <w:name w:val="annotation text"/>
    <w:basedOn w:val="Normal"/>
    <w:link w:val="CommentTextChar"/>
    <w:uiPriority w:val="99"/>
    <w:semiHidden/>
    <w:unhideWhenUsed/>
    <w:rsid w:val="00AE4361"/>
    <w:pPr>
      <w:spacing w:line="240" w:lineRule="auto"/>
    </w:pPr>
    <w:rPr>
      <w:sz w:val="20"/>
      <w:szCs w:val="20"/>
    </w:rPr>
  </w:style>
  <w:style w:type="character" w:customStyle="1" w:styleId="CommentTextChar">
    <w:name w:val="Comment Text Char"/>
    <w:basedOn w:val="DefaultParagraphFont"/>
    <w:link w:val="CommentText"/>
    <w:uiPriority w:val="99"/>
    <w:semiHidden/>
    <w:rsid w:val="00AE436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E4361"/>
    <w:rPr>
      <w:b/>
      <w:bCs/>
    </w:rPr>
  </w:style>
  <w:style w:type="character" w:customStyle="1" w:styleId="CommentSubjectChar">
    <w:name w:val="Comment Subject Char"/>
    <w:basedOn w:val="CommentTextChar"/>
    <w:link w:val="CommentSubject"/>
    <w:uiPriority w:val="99"/>
    <w:semiHidden/>
    <w:rsid w:val="00AE4361"/>
    <w:rPr>
      <w:rFonts w:ascii="Book Antiqua" w:hAnsi="Book Antiqua"/>
      <w:b/>
      <w:bCs/>
      <w:sz w:val="20"/>
      <w:szCs w:val="20"/>
    </w:rPr>
  </w:style>
  <w:style w:type="paragraph" w:styleId="Revision">
    <w:name w:val="Revision"/>
    <w:hidden/>
    <w:uiPriority w:val="99"/>
    <w:semiHidden/>
    <w:rsid w:val="00AE4361"/>
    <w:pPr>
      <w:spacing w:after="0" w:line="240" w:lineRule="auto"/>
    </w:pPr>
    <w:rPr>
      <w:rFonts w:ascii="Book Antiqua" w:hAnsi="Book Antiqua"/>
      <w:sz w:val="26"/>
    </w:rPr>
  </w:style>
  <w:style w:type="character" w:customStyle="1" w:styleId="A12">
    <w:name w:val="A12"/>
    <w:uiPriority w:val="99"/>
    <w:rsid w:val="005E67FC"/>
    <w:rPr>
      <w:rFonts w:cs="Swis721 BT"/>
      <w:color w:val="000000"/>
      <w:sz w:val="14"/>
      <w:szCs w:val="14"/>
    </w:rPr>
  </w:style>
  <w:style w:type="paragraph" w:customStyle="1" w:styleId="Default">
    <w:name w:val="Default"/>
    <w:rsid w:val="008F3EE2"/>
    <w:pPr>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826C42"/>
    <w:rPr>
      <w:color w:val="954F72" w:themeColor="followedHyperlink"/>
      <w:u w:val="single"/>
    </w:rPr>
  </w:style>
  <w:style w:type="paragraph" w:customStyle="1" w:styleId="standard0">
    <w:name w:val="standard"/>
    <w:basedOn w:val="Normal"/>
    <w:link w:val="standardChar"/>
    <w:rsid w:val="004754F3"/>
    <w:rPr>
      <w:rFonts w:ascii="Palatino" w:eastAsia="Times New Roman" w:hAnsi="Palatino" w:cs="Times New Roman"/>
      <w:sz w:val="24"/>
      <w:szCs w:val="20"/>
    </w:rPr>
  </w:style>
  <w:style w:type="character" w:customStyle="1" w:styleId="standardChar">
    <w:name w:val="standard Char"/>
    <w:link w:val="standard0"/>
    <w:rsid w:val="004754F3"/>
    <w:rPr>
      <w:rFonts w:ascii="Palatino" w:eastAsia="Times New Roman"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6"/>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6"/>
      </w:numPr>
      <w:outlineLvl w:val="1"/>
    </w:pPr>
  </w:style>
  <w:style w:type="paragraph" w:styleId="Heading3">
    <w:name w:val="heading 3"/>
    <w:basedOn w:val="Dummy"/>
    <w:next w:val="Standard"/>
    <w:link w:val="Heading3Char"/>
    <w:uiPriority w:val="4"/>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6"/>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6"/>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styleId="ListParagraph">
    <w:name w:val="List Paragraph"/>
    <w:basedOn w:val="Normal"/>
    <w:uiPriority w:val="34"/>
    <w:rsid w:val="00F961AA"/>
    <w:pPr>
      <w:ind w:left="720"/>
      <w:contextualSpacing/>
    </w:pPr>
  </w:style>
  <w:style w:type="character" w:customStyle="1" w:styleId="UnresolvedMention">
    <w:name w:val="Unresolved Mention"/>
    <w:basedOn w:val="DefaultParagraphFont"/>
    <w:uiPriority w:val="99"/>
    <w:semiHidden/>
    <w:unhideWhenUsed/>
    <w:rsid w:val="00416155"/>
    <w:rPr>
      <w:color w:val="605E5C"/>
      <w:shd w:val="clear" w:color="auto" w:fill="E1DFDD"/>
    </w:rPr>
  </w:style>
  <w:style w:type="character" w:styleId="CommentReference">
    <w:name w:val="annotation reference"/>
    <w:basedOn w:val="DefaultParagraphFont"/>
    <w:uiPriority w:val="99"/>
    <w:semiHidden/>
    <w:unhideWhenUsed/>
    <w:rsid w:val="00AE4361"/>
    <w:rPr>
      <w:sz w:val="16"/>
      <w:szCs w:val="16"/>
    </w:rPr>
  </w:style>
  <w:style w:type="paragraph" w:styleId="CommentText">
    <w:name w:val="annotation text"/>
    <w:basedOn w:val="Normal"/>
    <w:link w:val="CommentTextChar"/>
    <w:uiPriority w:val="99"/>
    <w:semiHidden/>
    <w:unhideWhenUsed/>
    <w:rsid w:val="00AE4361"/>
    <w:pPr>
      <w:spacing w:line="240" w:lineRule="auto"/>
    </w:pPr>
    <w:rPr>
      <w:sz w:val="20"/>
      <w:szCs w:val="20"/>
    </w:rPr>
  </w:style>
  <w:style w:type="character" w:customStyle="1" w:styleId="CommentTextChar">
    <w:name w:val="Comment Text Char"/>
    <w:basedOn w:val="DefaultParagraphFont"/>
    <w:link w:val="CommentText"/>
    <w:uiPriority w:val="99"/>
    <w:semiHidden/>
    <w:rsid w:val="00AE436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E4361"/>
    <w:rPr>
      <w:b/>
      <w:bCs/>
    </w:rPr>
  </w:style>
  <w:style w:type="character" w:customStyle="1" w:styleId="CommentSubjectChar">
    <w:name w:val="Comment Subject Char"/>
    <w:basedOn w:val="CommentTextChar"/>
    <w:link w:val="CommentSubject"/>
    <w:uiPriority w:val="99"/>
    <w:semiHidden/>
    <w:rsid w:val="00AE4361"/>
    <w:rPr>
      <w:rFonts w:ascii="Book Antiqua" w:hAnsi="Book Antiqua"/>
      <w:b/>
      <w:bCs/>
      <w:sz w:val="20"/>
      <w:szCs w:val="20"/>
    </w:rPr>
  </w:style>
  <w:style w:type="paragraph" w:styleId="Revision">
    <w:name w:val="Revision"/>
    <w:hidden/>
    <w:uiPriority w:val="99"/>
    <w:semiHidden/>
    <w:rsid w:val="00AE4361"/>
    <w:pPr>
      <w:spacing w:after="0" w:line="240" w:lineRule="auto"/>
    </w:pPr>
    <w:rPr>
      <w:rFonts w:ascii="Book Antiqua" w:hAnsi="Book Antiqua"/>
      <w:sz w:val="26"/>
    </w:rPr>
  </w:style>
  <w:style w:type="character" w:customStyle="1" w:styleId="A12">
    <w:name w:val="A12"/>
    <w:uiPriority w:val="99"/>
    <w:rsid w:val="005E67FC"/>
    <w:rPr>
      <w:rFonts w:cs="Swis721 BT"/>
      <w:color w:val="000000"/>
      <w:sz w:val="14"/>
      <w:szCs w:val="14"/>
    </w:rPr>
  </w:style>
  <w:style w:type="paragraph" w:customStyle="1" w:styleId="Default">
    <w:name w:val="Default"/>
    <w:rsid w:val="008F3EE2"/>
    <w:pPr>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826C42"/>
    <w:rPr>
      <w:color w:val="954F72" w:themeColor="followedHyperlink"/>
      <w:u w:val="single"/>
    </w:rPr>
  </w:style>
  <w:style w:type="paragraph" w:customStyle="1" w:styleId="standard0">
    <w:name w:val="standard"/>
    <w:basedOn w:val="Normal"/>
    <w:link w:val="standardChar"/>
    <w:rsid w:val="004754F3"/>
    <w:rPr>
      <w:rFonts w:ascii="Palatino" w:eastAsia="Times New Roman" w:hAnsi="Palatino" w:cs="Times New Roman"/>
      <w:sz w:val="24"/>
      <w:szCs w:val="20"/>
    </w:rPr>
  </w:style>
  <w:style w:type="character" w:customStyle="1" w:styleId="standardChar">
    <w:name w:val="standard Char"/>
    <w:link w:val="standard0"/>
    <w:rsid w:val="004754F3"/>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ublic.advisor@cpuc.ca.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bscribecpuc.cpuc.c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cgenvoy.sempra.com/" TargetMode="External"/><Relationship Id="rId13" Type="http://schemas.openxmlformats.org/officeDocument/2006/relationships/hyperlink" Target="https://www.edf.org/sites/default/files/documents/Managing%20the%20Transition_1.pdf" TargetMode="External"/><Relationship Id="rId3" Type="http://schemas.openxmlformats.org/officeDocument/2006/relationships/hyperlink" Target="https://www.cpuc.ca.gov/uploadedFiles/CPUC_Public_Website/Content/News_Room/News_and_Updates/7-19-17_CPUCLtrtoKenHarrisDOGGRreSB380Concurrence.pdf" TargetMode="External"/><Relationship Id="rId7" Type="http://schemas.openxmlformats.org/officeDocument/2006/relationships/hyperlink" Target="https://ww2.energy.ca.gov/2016_energypolicy/documents/2016-04-08_joint_agency_workshop/Aliso_Canyon_Action_Plan_to_Preserve_Gas_and_Electric_Reliability_for_the_Los_Angeles_Basin.pdf" TargetMode="External"/><Relationship Id="rId12" Type="http://schemas.openxmlformats.org/officeDocument/2006/relationships/hyperlink" Target="http://riversidecountyca.iqm2.com/Citizens/Detail_LegiFile.aspx?Frame=&amp;MeetingID=2059&amp;MediaPosition=8346.854&amp;ID=11438&amp;CssClass=" TargetMode="External"/><Relationship Id="rId2" Type="http://schemas.openxmlformats.org/officeDocument/2006/relationships/hyperlink" Target="https://www.ca.gov/archive/gov39/2016/01/06/news19263/index.html" TargetMode="External"/><Relationship Id="rId16" Type="http://schemas.openxmlformats.org/officeDocument/2006/relationships/hyperlink" Target="https://www.cpuc.ca.gov/uploadedFiles/CPUCWebsite/Content/News_Room/NewsUpdates/2019/SOCALGAS%20WINTER%202019-20%20TECHNICAL%20ASSESSMENT.pdf" TargetMode="External"/><Relationship Id="rId1" Type="http://schemas.openxmlformats.org/officeDocument/2006/relationships/hyperlink" Target="ftp://ftp.cpuc.ca.gov/News_and_Outreach/SS-25%20RCA%20Final%20Report%20May%2016,%202019.pdf" TargetMode="External"/><Relationship Id="rId6" Type="http://schemas.openxmlformats.org/officeDocument/2006/relationships/hyperlink" Target="https://www.cpuc.ca.gov/uploadedFiles/CPUCWebsite/Content/News_Room/NewsUpdates/2019/Signed%20Letter%20to%20Bret%20Lane%20So%20Cal%20Gas%20Company%20re%20Injection%20Required%20for%20SCG%20Winter%20Reliability%20and%20Storage%20Inventory_v2.pdf" TargetMode="External"/><Relationship Id="rId11" Type="http://schemas.openxmlformats.org/officeDocument/2006/relationships/hyperlink" Target="https://www.wecc.org/Administrative/WECC%20Gas-Electric%20Study%20Public%20Report.pdf" TargetMode="External"/><Relationship Id="rId5" Type="http://schemas.openxmlformats.org/officeDocument/2006/relationships/hyperlink" Target="https://www.cpuc.ca.gov/uploadedFiles/CPUCWebsite/Content/News_Room/NewsUpdates/2019/UpdatedWithdrawalProtocol_2019-07-23%20-%20v2.pdf" TargetMode="External"/><Relationship Id="rId15" Type="http://schemas.openxmlformats.org/officeDocument/2006/relationships/hyperlink" Target="https://www.energy.ca.gov/sites/default/files/2019-07/Projections_CCCA4-CEC-2018-006.pdf" TargetMode="External"/><Relationship Id="rId10" Type="http://schemas.openxmlformats.org/officeDocument/2006/relationships/hyperlink" Target="https://www.cpuc.ca.gov/uploadedFiles/CPUCWebsite/Content/News_Room/NewsUpdates/2019/Winter2018-19LookbackReport_PublicDraft.pdf" TargetMode="External"/><Relationship Id="rId4" Type="http://schemas.openxmlformats.org/officeDocument/2006/relationships/hyperlink" Target="https://www.cpuc.ca.gov/uploadedFiles/CPUC_Public_Website/Content/News_Room/News_and_Updates/5-8-17_Ltr%20to%20SoCal%20Gas%20re%20SoCalGas%20Summer%20Reliability%20and%20Storage%20Instructions_A1507014.pdf" TargetMode="External"/><Relationship Id="rId9" Type="http://schemas.openxmlformats.org/officeDocument/2006/relationships/hyperlink" Target="https://www.cpuc.ca.gov/uploadedFiles/CPUCWebsite/Content/News_Room/NewsUpdates/2018/Winter2017-2018LookbackReportCleanFinal_2018-12-06%20-%20v2.pdf" TargetMode="External"/><Relationship Id="rId14" Type="http://schemas.openxmlformats.org/officeDocument/2006/relationships/hyperlink" Target="https://gridworks.org/wpcontent/uploads/2019/09/CA_Gas_System_in_Trans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E88D-6AC0-4CBE-B662-68A042BC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2020-01-14T17:08:00Z</cp:lastPrinted>
  <dcterms:created xsi:type="dcterms:W3CDTF">2020-01-27T15:08:00Z</dcterms:created>
  <dcterms:modified xsi:type="dcterms:W3CDTF">2020-01-27T23:08:00Z</dcterms:modified>
</cp:coreProperties>
</file>