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86"/>
        <w:gridCol w:w="4374"/>
      </w:tblGrid>
      <w:tr w:rsidRPr="009617C9" w:rsidR="00A966DA" w:rsidTr="0009672F" w14:paraId="0C4337EB" w14:textId="77777777">
        <w:trPr>
          <w:jc w:val="center"/>
        </w:trPr>
        <w:tc>
          <w:tcPr>
            <w:tcW w:w="5135" w:type="dxa"/>
            <w:vAlign w:val="center"/>
          </w:tcPr>
          <w:p w:rsidRPr="009617C9" w:rsidR="00A966DA" w:rsidP="0009672F" w:rsidRDefault="00DE09FA" w14:paraId="2E001D6A" w14:textId="2D80242B">
            <w:pPr>
              <w:tabs>
                <w:tab w:val="right" w:pos="11070"/>
              </w:tabs>
              <w:spacing w:before="80"/>
              <w:rPr>
                <w:rFonts w:ascii="Palatino Linotype" w:hAnsi="Palatino Linotype"/>
                <w:sz w:val="20"/>
              </w:rPr>
            </w:pPr>
            <w:r>
              <w:rPr>
                <w:rFonts w:ascii="Palatino Linotype" w:hAnsi="Palatino Linotype"/>
                <w:sz w:val="20"/>
              </w:rPr>
              <w:t>February</w:t>
            </w:r>
            <w:r w:rsidR="00627E72">
              <w:rPr>
                <w:rFonts w:ascii="Palatino Linotype" w:hAnsi="Palatino Linotype"/>
                <w:sz w:val="20"/>
              </w:rPr>
              <w:t xml:space="preserve"> </w:t>
            </w:r>
            <w:r w:rsidR="0037729F">
              <w:rPr>
                <w:rFonts w:ascii="Palatino Linotype" w:hAnsi="Palatino Linotype"/>
                <w:sz w:val="20"/>
              </w:rPr>
              <w:t>2</w:t>
            </w:r>
            <w:r w:rsidR="00662EC9">
              <w:rPr>
                <w:rFonts w:ascii="Palatino Linotype" w:hAnsi="Palatino Linotype"/>
                <w:sz w:val="20"/>
              </w:rPr>
              <w:t>4</w:t>
            </w:r>
            <w:r w:rsidR="00627E72">
              <w:rPr>
                <w:rFonts w:ascii="Palatino Linotype" w:hAnsi="Palatino Linotype"/>
                <w:sz w:val="20"/>
              </w:rPr>
              <w:t>, 20</w:t>
            </w:r>
            <w:r w:rsidR="0037729F">
              <w:rPr>
                <w:rFonts w:ascii="Palatino Linotype" w:hAnsi="Palatino Linotype"/>
                <w:sz w:val="20"/>
              </w:rPr>
              <w:t>20</w:t>
            </w:r>
          </w:p>
        </w:tc>
        <w:tc>
          <w:tcPr>
            <w:tcW w:w="4471" w:type="dxa"/>
            <w:vAlign w:val="center"/>
          </w:tcPr>
          <w:p w:rsidRPr="009617C9" w:rsidR="00A966DA" w:rsidP="0009672F" w:rsidRDefault="00A966DA" w14:paraId="55753370" w14:textId="714D6F8E">
            <w:pPr>
              <w:tabs>
                <w:tab w:val="right" w:pos="11070"/>
              </w:tabs>
              <w:spacing w:before="80"/>
              <w:jc w:val="right"/>
              <w:rPr>
                <w:sz w:val="20"/>
              </w:rPr>
            </w:pPr>
            <w:r w:rsidRPr="009617C9">
              <w:rPr>
                <w:rFonts w:ascii="Palatino Linotype" w:hAnsi="Palatino Linotype"/>
                <w:sz w:val="20"/>
              </w:rPr>
              <w:t>Proposed Resolution W-</w:t>
            </w:r>
            <w:r w:rsidR="00E075FA">
              <w:rPr>
                <w:rFonts w:ascii="Palatino Linotype" w:hAnsi="Palatino Linotype"/>
                <w:sz w:val="20"/>
              </w:rPr>
              <w:t>5217</w:t>
            </w:r>
            <w:r w:rsidRPr="009617C9">
              <w:rPr>
                <w:rFonts w:ascii="Palatino Linotype" w:hAnsi="Palatino Linotype"/>
                <w:sz w:val="20"/>
              </w:rPr>
              <w:t xml:space="preserve"> </w:t>
            </w:r>
          </w:p>
        </w:tc>
      </w:tr>
      <w:tr w:rsidRPr="009617C9" w:rsidR="00A966DA" w:rsidTr="0009672F" w14:paraId="136FAA2C" w14:textId="77777777">
        <w:trPr>
          <w:jc w:val="center"/>
        </w:trPr>
        <w:tc>
          <w:tcPr>
            <w:tcW w:w="5135" w:type="dxa"/>
          </w:tcPr>
          <w:p w:rsidRPr="009617C9" w:rsidR="00A966DA" w:rsidP="0009672F" w:rsidRDefault="00A966DA" w14:paraId="09C4D8E3" w14:textId="77777777">
            <w:pPr>
              <w:tabs>
                <w:tab w:val="right" w:pos="11070"/>
              </w:tabs>
              <w:spacing w:before="80"/>
              <w:rPr>
                <w:sz w:val="20"/>
              </w:rPr>
            </w:pPr>
          </w:p>
        </w:tc>
        <w:tc>
          <w:tcPr>
            <w:tcW w:w="4471" w:type="dxa"/>
            <w:vAlign w:val="center"/>
          </w:tcPr>
          <w:p w:rsidRPr="009617C9" w:rsidR="00A966DA" w:rsidP="0009672F" w:rsidRDefault="00A966DA" w14:paraId="5FC13DE0" w14:textId="22A23C97">
            <w:pPr>
              <w:tabs>
                <w:tab w:val="right" w:pos="11070"/>
              </w:tabs>
              <w:spacing w:before="80"/>
              <w:ind w:left="860"/>
              <w:jc w:val="right"/>
              <w:rPr>
                <w:rFonts w:ascii="Palatino Linotype" w:hAnsi="Palatino Linotype"/>
                <w:sz w:val="20"/>
                <w:szCs w:val="20"/>
              </w:rPr>
            </w:pPr>
            <w:r w:rsidRPr="009617C9">
              <w:rPr>
                <w:rFonts w:ascii="Palatino Linotype" w:hAnsi="Palatino Linotype"/>
                <w:sz w:val="20"/>
                <w:szCs w:val="20"/>
              </w:rPr>
              <w:t xml:space="preserve">Agenda ID: </w:t>
            </w:r>
            <w:r w:rsidR="009C7583">
              <w:rPr>
                <w:rFonts w:ascii="Palatino Linotype" w:hAnsi="Palatino Linotype"/>
                <w:sz w:val="20"/>
              </w:rPr>
              <w:t>18194</w:t>
            </w:r>
            <w:r w:rsidRPr="009617C9">
              <w:rPr>
                <w:rFonts w:ascii="Palatino Linotype" w:hAnsi="Palatino Linotype"/>
                <w:sz w:val="20"/>
                <w:szCs w:val="20"/>
              </w:rPr>
              <w:t xml:space="preserve"> </w:t>
            </w:r>
          </w:p>
        </w:tc>
      </w:tr>
    </w:tbl>
    <w:p w:rsidR="000A21A2" w:rsidP="00A966DA" w:rsidRDefault="000A21A2" w14:paraId="686ED503" w14:textId="77777777">
      <w:pPr>
        <w:pStyle w:val="BlockText"/>
        <w:tabs>
          <w:tab w:val="left" w:pos="9360"/>
          <w:tab w:val="left" w:pos="11070"/>
        </w:tabs>
        <w:ind w:left="0" w:right="0"/>
        <w:rPr>
          <w:rFonts w:ascii="Palatino Linotype" w:hAnsi="Palatino Linotype"/>
        </w:rPr>
      </w:pPr>
    </w:p>
    <w:p w:rsidRPr="009617C9" w:rsidR="00A966DA" w:rsidP="00A966DA" w:rsidRDefault="00A966DA" w14:paraId="3DE00DC3" w14:textId="09A3B54C">
      <w:pPr>
        <w:pStyle w:val="BlockText"/>
        <w:tabs>
          <w:tab w:val="left" w:pos="9360"/>
          <w:tab w:val="left" w:pos="11070"/>
        </w:tabs>
        <w:ind w:left="0" w:right="0"/>
        <w:rPr>
          <w:rFonts w:ascii="Palatino Linotype" w:hAnsi="Palatino Linotype"/>
        </w:rPr>
      </w:pPr>
      <w:r w:rsidRPr="009617C9">
        <w:rPr>
          <w:rFonts w:ascii="Palatino Linotype" w:hAnsi="Palatino Linotype"/>
        </w:rPr>
        <w:t xml:space="preserve">To:  All Interested Persons </w:t>
      </w:r>
    </w:p>
    <w:p w:rsidRPr="009617C9" w:rsidR="00A966DA" w:rsidP="00A966DA" w:rsidRDefault="00A966DA" w14:paraId="577CB905" w14:textId="77777777">
      <w:pPr>
        <w:tabs>
          <w:tab w:val="left" w:pos="6930"/>
        </w:tabs>
        <w:ind w:firstLine="3150"/>
        <w:rPr>
          <w:rFonts w:ascii="Palatino Linotype" w:hAnsi="Palatino Linotype"/>
          <w:sz w:val="20"/>
        </w:rPr>
      </w:pPr>
    </w:p>
    <w:p w:rsidRPr="009617C9" w:rsidR="00A966DA" w:rsidP="00A966DA" w:rsidRDefault="00A966DA" w14:paraId="66D2E415" w14:textId="46887FA7">
      <w:pPr>
        <w:pStyle w:val="BlockText"/>
        <w:ind w:left="0" w:right="0"/>
        <w:rPr>
          <w:rFonts w:ascii="Palatino Linotype" w:hAnsi="Palatino Linotype"/>
        </w:rPr>
      </w:pPr>
      <w:r w:rsidRPr="009617C9">
        <w:rPr>
          <w:rFonts w:ascii="Palatino Linotype" w:hAnsi="Palatino Linotype"/>
        </w:rPr>
        <w:t>Enclosed is Proposed Resolution W-</w:t>
      </w:r>
      <w:r w:rsidR="00E075FA">
        <w:rPr>
          <w:rFonts w:ascii="Palatino Linotype" w:hAnsi="Palatino Linotype"/>
        </w:rPr>
        <w:t>5217</w:t>
      </w:r>
      <w:r w:rsidRPr="009617C9">
        <w:rPr>
          <w:rFonts w:ascii="Palatino Linotype" w:hAnsi="Palatino Linotype"/>
        </w:rPr>
        <w:t xml:space="preserve"> of the Water Division, which authorizes </w:t>
      </w:r>
      <w:r w:rsidR="003F0D42">
        <w:rPr>
          <w:rFonts w:ascii="Palatino Linotype" w:hAnsi="Palatino Linotype"/>
        </w:rPr>
        <w:t>Bakman</w:t>
      </w:r>
      <w:r w:rsidRPr="009617C9" w:rsidR="009617C9">
        <w:rPr>
          <w:rStyle w:val="HeaderChar"/>
          <w:rFonts w:ascii="Palatino Linotype" w:hAnsi="Palatino Linotype" w:eastAsia="Palatino Linotype" w:cs="Palatino Linotype"/>
          <w:bCs/>
        </w:rPr>
        <w:t xml:space="preserve"> Water Company a general rate increase producing an additional annual revenue of </w:t>
      </w:r>
      <w:r w:rsidR="009E499F">
        <w:rPr>
          <w:rStyle w:val="HeaderChar"/>
          <w:rFonts w:ascii="Palatino Linotype" w:hAnsi="Palatino Linotype" w:eastAsia="Palatino Linotype" w:cs="Palatino Linotype"/>
          <w:bCs/>
        </w:rPr>
        <w:t>$</w:t>
      </w:r>
      <w:r w:rsidR="003F0D42">
        <w:rPr>
          <w:rStyle w:val="HeaderChar"/>
          <w:rFonts w:ascii="Palatino Linotype" w:hAnsi="Palatino Linotype" w:eastAsia="Palatino Linotype" w:cs="Palatino Linotype"/>
          <w:bCs/>
        </w:rPr>
        <w:t>899</w:t>
      </w:r>
      <w:r w:rsidRPr="009617C9" w:rsidR="009617C9">
        <w:rPr>
          <w:rStyle w:val="HeaderChar"/>
          <w:rFonts w:ascii="Palatino Linotype" w:hAnsi="Palatino Linotype" w:eastAsia="Palatino Linotype" w:cs="Palatino Linotype"/>
          <w:bCs/>
        </w:rPr>
        <w:t>,</w:t>
      </w:r>
      <w:r w:rsidR="003F0D42">
        <w:rPr>
          <w:rStyle w:val="HeaderChar"/>
          <w:rFonts w:ascii="Palatino Linotype" w:hAnsi="Palatino Linotype" w:eastAsia="Palatino Linotype" w:cs="Palatino Linotype"/>
          <w:bCs/>
        </w:rPr>
        <w:t>091</w:t>
      </w:r>
      <w:r w:rsidRPr="009617C9" w:rsidR="009617C9">
        <w:rPr>
          <w:rStyle w:val="HeaderChar"/>
          <w:rFonts w:ascii="Palatino Linotype" w:hAnsi="Palatino Linotype" w:eastAsia="Palatino Linotype" w:cs="Palatino Linotype"/>
          <w:bCs/>
        </w:rPr>
        <w:t xml:space="preserve"> or</w:t>
      </w:r>
      <w:r w:rsidR="00ED7535">
        <w:rPr>
          <w:rStyle w:val="HeaderChar"/>
          <w:rFonts w:ascii="Palatino Linotype" w:hAnsi="Palatino Linotype" w:eastAsia="Palatino Linotype" w:cs="Palatino Linotype"/>
          <w:bCs/>
        </w:rPr>
        <w:t xml:space="preserve"> </w:t>
      </w:r>
      <w:r w:rsidR="003F0D42">
        <w:rPr>
          <w:rStyle w:val="HeaderChar"/>
          <w:rFonts w:ascii="Palatino Linotype" w:hAnsi="Palatino Linotype" w:eastAsia="Palatino Linotype" w:cs="Palatino Linotype"/>
          <w:bCs/>
        </w:rPr>
        <w:t>40</w:t>
      </w:r>
      <w:r w:rsidRPr="009617C9" w:rsidR="009617C9">
        <w:rPr>
          <w:rStyle w:val="HeaderChar"/>
          <w:rFonts w:ascii="Palatino Linotype" w:hAnsi="Palatino Linotype" w:eastAsia="Palatino Linotype" w:cs="Palatino Linotype"/>
          <w:bCs/>
        </w:rPr>
        <w:t>.</w:t>
      </w:r>
      <w:r w:rsidR="003F0D42">
        <w:rPr>
          <w:rStyle w:val="HeaderChar"/>
          <w:rFonts w:ascii="Palatino Linotype" w:hAnsi="Palatino Linotype" w:eastAsia="Palatino Linotype" w:cs="Palatino Linotype"/>
          <w:bCs/>
        </w:rPr>
        <w:t>00</w:t>
      </w:r>
      <w:r w:rsidRPr="009617C9" w:rsidR="009617C9">
        <w:rPr>
          <w:rStyle w:val="HeaderChar"/>
          <w:rFonts w:ascii="Palatino Linotype" w:hAnsi="Palatino Linotype" w:eastAsia="Palatino Linotype" w:cs="Palatino Linotype"/>
          <w:bCs/>
        </w:rPr>
        <w:t xml:space="preserve">%, for </w:t>
      </w:r>
      <w:r w:rsidR="00ED7535">
        <w:rPr>
          <w:rStyle w:val="HeaderChar"/>
          <w:rFonts w:ascii="Palatino Linotype" w:hAnsi="Palatino Linotype" w:eastAsia="Palatino Linotype" w:cs="Palatino Linotype"/>
          <w:bCs/>
        </w:rPr>
        <w:t>T</w:t>
      </w:r>
      <w:r w:rsidRPr="009617C9" w:rsidR="009617C9">
        <w:rPr>
          <w:rStyle w:val="HeaderChar"/>
          <w:rFonts w:ascii="Palatino Linotype" w:hAnsi="Palatino Linotype" w:eastAsia="Palatino Linotype" w:cs="Palatino Linotype"/>
          <w:bCs/>
        </w:rPr>
        <w:t xml:space="preserve">est </w:t>
      </w:r>
      <w:r w:rsidR="006C34D3">
        <w:rPr>
          <w:rStyle w:val="HeaderChar"/>
          <w:rFonts w:ascii="Palatino Linotype" w:hAnsi="Palatino Linotype" w:eastAsia="Palatino Linotype" w:cs="Palatino Linotype"/>
          <w:bCs/>
        </w:rPr>
        <w:t>Y</w:t>
      </w:r>
      <w:r w:rsidRPr="009617C9" w:rsidR="009617C9">
        <w:rPr>
          <w:rStyle w:val="HeaderChar"/>
          <w:rFonts w:ascii="Palatino Linotype" w:hAnsi="Palatino Linotype" w:eastAsia="Palatino Linotype" w:cs="Palatino Linotype"/>
          <w:bCs/>
        </w:rPr>
        <w:t>ear 201</w:t>
      </w:r>
      <w:r w:rsidR="009E499F">
        <w:rPr>
          <w:rStyle w:val="HeaderChar"/>
          <w:rFonts w:ascii="Palatino Linotype" w:hAnsi="Palatino Linotype" w:eastAsia="Palatino Linotype" w:cs="Palatino Linotype"/>
          <w:bCs/>
        </w:rPr>
        <w:t>9</w:t>
      </w:r>
      <w:r w:rsidRPr="009617C9" w:rsidR="009617C9">
        <w:rPr>
          <w:rStyle w:val="HeaderChar"/>
          <w:rFonts w:ascii="Palatino Linotype" w:hAnsi="Palatino Linotype" w:eastAsia="Palatino Linotype" w:cs="Palatino Linotype"/>
          <w:bCs/>
        </w:rPr>
        <w:t xml:space="preserve"> to be paid by the Ratepayers.</w:t>
      </w:r>
      <w:r w:rsidRPr="009617C9" w:rsidR="009617C9">
        <w:rPr>
          <w:rStyle w:val="HeaderChar"/>
          <w:rFonts w:ascii="Palatino Linotype" w:hAnsi="Palatino Linotype" w:eastAsia="Palatino Linotype" w:cs="Palatino Linotype"/>
          <w:b/>
          <w:bCs/>
        </w:rPr>
        <w:t xml:space="preserve"> </w:t>
      </w:r>
      <w:r w:rsidRPr="009617C9">
        <w:rPr>
          <w:rFonts w:ascii="Palatino Linotype" w:hAnsi="Palatino Linotype"/>
        </w:rPr>
        <w:t>Proposed Resolution W-</w:t>
      </w:r>
      <w:r w:rsidR="00E075FA">
        <w:rPr>
          <w:rFonts w:ascii="Palatino Linotype" w:hAnsi="Palatino Linotype"/>
        </w:rPr>
        <w:t>5217</w:t>
      </w:r>
      <w:r w:rsidRPr="009617C9">
        <w:rPr>
          <w:rFonts w:ascii="Palatino Linotype" w:hAnsi="Palatino Linotype"/>
        </w:rPr>
        <w:t xml:space="preserve"> is scheduled to appear on the </w:t>
      </w:r>
      <w:r w:rsidR="00DE09FA">
        <w:rPr>
          <w:rFonts w:ascii="Palatino Linotype" w:hAnsi="Palatino Linotype"/>
        </w:rPr>
        <w:t>March</w:t>
      </w:r>
      <w:r w:rsidR="00487141">
        <w:rPr>
          <w:rFonts w:ascii="Palatino Linotype" w:hAnsi="Palatino Linotype"/>
        </w:rPr>
        <w:t xml:space="preserve"> 2</w:t>
      </w:r>
      <w:r w:rsidR="00DE09FA">
        <w:rPr>
          <w:rFonts w:ascii="Palatino Linotype" w:hAnsi="Palatino Linotype"/>
        </w:rPr>
        <w:t>6</w:t>
      </w:r>
      <w:r w:rsidRPr="009617C9" w:rsidR="009617C9">
        <w:rPr>
          <w:rFonts w:ascii="Palatino Linotype" w:hAnsi="Palatino Linotype"/>
        </w:rPr>
        <w:t>, 20</w:t>
      </w:r>
      <w:r w:rsidR="003F0D42">
        <w:rPr>
          <w:rFonts w:ascii="Palatino Linotype" w:hAnsi="Palatino Linotype"/>
        </w:rPr>
        <w:t>20</w:t>
      </w:r>
      <w:r w:rsidRPr="009617C9">
        <w:rPr>
          <w:rFonts w:ascii="Palatino Linotype" w:hAnsi="Palatino Linotype"/>
        </w:rPr>
        <w:t xml:space="preserve"> Commission Meeting Agenda (ID#</w:t>
      </w:r>
      <w:r w:rsidRPr="009617C9" w:rsidR="009617C9">
        <w:rPr>
          <w:rFonts w:ascii="Palatino Linotype" w:hAnsi="Palatino Linotype"/>
        </w:rPr>
        <w:t xml:space="preserve"> </w:t>
      </w:r>
      <w:r w:rsidR="009C7583">
        <w:rPr>
          <w:rFonts w:ascii="Palatino Linotype" w:hAnsi="Palatino Linotype"/>
        </w:rPr>
        <w:t>18194</w:t>
      </w:r>
      <w:r w:rsidRPr="009617C9">
        <w:rPr>
          <w:rFonts w:ascii="Palatino Linotype" w:hAnsi="Palatino Linotype"/>
        </w:rPr>
        <w:t>).</w:t>
      </w:r>
    </w:p>
    <w:p w:rsidRPr="009617C9" w:rsidR="00A966DA" w:rsidP="00A966DA" w:rsidRDefault="00A966DA" w14:paraId="4384EFB7" w14:textId="77777777">
      <w:pPr>
        <w:pStyle w:val="BlockText"/>
        <w:ind w:left="0" w:right="0"/>
        <w:rPr>
          <w:rFonts w:ascii="Palatino Linotype" w:hAnsi="Palatino Linotype"/>
        </w:rPr>
      </w:pPr>
    </w:p>
    <w:p w:rsidRPr="009617C9" w:rsidR="00A966DA" w:rsidP="00A966DA" w:rsidRDefault="00A966DA" w14:paraId="5DED2382" w14:textId="77777777">
      <w:pPr>
        <w:pStyle w:val="BlockText"/>
        <w:ind w:left="0" w:right="0"/>
        <w:rPr>
          <w:rFonts w:ascii="Palatino Linotype" w:hAnsi="Palatino Linotype"/>
        </w:rPr>
      </w:pPr>
      <w:r w:rsidRPr="009617C9">
        <w:rPr>
          <w:rFonts w:ascii="Palatino Linotype" w:hAnsi="Palatino Linotype"/>
        </w:rPr>
        <w:t>The Commission may act on this resolution or it may postpone action until later. When the Commission acts on a proposed resolution, the Commission may adopt all or part of the proposed resolution, as written, or amend or modify the proposed resolution; or the Commission may set the proposed resolution aside and prepare a different resolution.  Only when the Commission acts does the resolution become binding.</w:t>
      </w:r>
    </w:p>
    <w:p w:rsidRPr="009617C9" w:rsidR="00A966DA" w:rsidP="00A966DA" w:rsidRDefault="00A966DA" w14:paraId="6D781EDF" w14:textId="77777777">
      <w:pPr>
        <w:tabs>
          <w:tab w:val="left" w:pos="6930"/>
        </w:tabs>
        <w:rPr>
          <w:rFonts w:ascii="Palatino Linotype" w:hAnsi="Palatino Linotype"/>
          <w:sz w:val="20"/>
        </w:rPr>
      </w:pPr>
    </w:p>
    <w:p w:rsidRPr="009617C9" w:rsidR="00A966DA" w:rsidP="00A966DA" w:rsidRDefault="00A966DA" w14:paraId="34453963" w14:textId="7BB698E0">
      <w:pPr>
        <w:tabs>
          <w:tab w:val="left" w:pos="6930"/>
        </w:tabs>
        <w:rPr>
          <w:rFonts w:ascii="Palatino Linotype" w:hAnsi="Palatino Linotype"/>
          <w:sz w:val="20"/>
          <w:szCs w:val="20"/>
        </w:rPr>
      </w:pPr>
      <w:r w:rsidRPr="009617C9">
        <w:rPr>
          <w:rFonts w:ascii="Palatino Linotype" w:hAnsi="Palatino Linotype"/>
          <w:sz w:val="20"/>
        </w:rPr>
        <w:t xml:space="preserve">Interested persons may submit comments on Proposed </w:t>
      </w:r>
      <w:r w:rsidRPr="009617C9">
        <w:rPr>
          <w:rFonts w:ascii="Palatino Linotype" w:hAnsi="Palatino Linotype"/>
          <w:sz w:val="20"/>
          <w:szCs w:val="20"/>
        </w:rPr>
        <w:t>Resolution W-</w:t>
      </w:r>
      <w:r w:rsidR="00E075FA">
        <w:rPr>
          <w:rFonts w:ascii="Palatino Linotype" w:hAnsi="Palatino Linotype"/>
          <w:sz w:val="20"/>
          <w:szCs w:val="20"/>
        </w:rPr>
        <w:t>5217</w:t>
      </w:r>
      <w:r w:rsidRPr="009617C9">
        <w:rPr>
          <w:rFonts w:ascii="Palatino Linotype" w:hAnsi="Palatino Linotype"/>
          <w:sz w:val="20"/>
          <w:szCs w:val="20"/>
        </w:rPr>
        <w:t xml:space="preserve"> via email to </w:t>
      </w:r>
      <w:hyperlink w:history="1" r:id="rId8">
        <w:r w:rsidRPr="009617C9">
          <w:rPr>
            <w:rStyle w:val="Hyperlink"/>
            <w:rFonts w:ascii="Palatino Linotype" w:hAnsi="Palatino Linotype"/>
            <w:sz w:val="20"/>
            <w:szCs w:val="20"/>
          </w:rPr>
          <w:t>Water.Division@cpuc.ca.gov</w:t>
        </w:r>
      </w:hyperlink>
      <w:r w:rsidRPr="009617C9">
        <w:rPr>
          <w:rFonts w:ascii="Palatino Linotype" w:hAnsi="Palatino Linotype"/>
          <w:sz w:val="20"/>
          <w:szCs w:val="20"/>
        </w:rPr>
        <w:t xml:space="preserve"> on or before </w:t>
      </w:r>
      <w:r w:rsidR="00D66426">
        <w:rPr>
          <w:rFonts w:ascii="Palatino Linotype" w:hAnsi="Palatino Linotype"/>
          <w:b/>
          <w:sz w:val="20"/>
          <w:szCs w:val="20"/>
        </w:rPr>
        <w:t>March 16</w:t>
      </w:r>
      <w:r w:rsidRPr="009617C9" w:rsidR="009617C9">
        <w:rPr>
          <w:rFonts w:ascii="Palatino Linotype" w:hAnsi="Palatino Linotype"/>
          <w:b/>
          <w:sz w:val="20"/>
          <w:szCs w:val="20"/>
        </w:rPr>
        <w:t>, 20</w:t>
      </w:r>
      <w:r w:rsidR="003F0D42">
        <w:rPr>
          <w:rFonts w:ascii="Palatino Linotype" w:hAnsi="Palatino Linotype"/>
          <w:b/>
          <w:sz w:val="20"/>
          <w:szCs w:val="20"/>
        </w:rPr>
        <w:t>20</w:t>
      </w:r>
      <w:r w:rsidRPr="009617C9">
        <w:rPr>
          <w:rFonts w:ascii="Palatino Linotype" w:hAnsi="Palatino Linotype"/>
          <w:sz w:val="20"/>
          <w:szCs w:val="20"/>
        </w:rPr>
        <w:t xml:space="preserve">. </w:t>
      </w:r>
      <w:r w:rsidRPr="009617C9">
        <w:rPr>
          <w:rFonts w:ascii="Palatino Linotype" w:hAnsi="Palatino Linotype"/>
          <w:b/>
          <w:sz w:val="20"/>
          <w:szCs w:val="20"/>
        </w:rPr>
        <w:t xml:space="preserve">Please reference “Proposed Resolution </w:t>
      </w:r>
      <w:r w:rsidRPr="009617C9" w:rsidR="009617C9">
        <w:rPr>
          <w:rFonts w:ascii="Palatino Linotype" w:hAnsi="Palatino Linotype"/>
          <w:b/>
          <w:sz w:val="20"/>
          <w:szCs w:val="20"/>
        </w:rPr>
        <w:br/>
      </w:r>
      <w:r w:rsidRPr="009617C9">
        <w:rPr>
          <w:rFonts w:ascii="Palatino Linotype" w:hAnsi="Palatino Linotype"/>
          <w:b/>
          <w:sz w:val="20"/>
          <w:szCs w:val="20"/>
        </w:rPr>
        <w:t>W-</w:t>
      </w:r>
      <w:r w:rsidR="00E075FA">
        <w:rPr>
          <w:rFonts w:ascii="Palatino Linotype" w:hAnsi="Palatino Linotype"/>
          <w:b/>
          <w:sz w:val="20"/>
          <w:szCs w:val="20"/>
        </w:rPr>
        <w:t>5217</w:t>
      </w:r>
      <w:r w:rsidRPr="009617C9">
        <w:rPr>
          <w:rFonts w:ascii="Palatino Linotype" w:hAnsi="Palatino Linotype"/>
          <w:b/>
          <w:sz w:val="20"/>
          <w:szCs w:val="20"/>
        </w:rPr>
        <w:t>” in the subject line.</w:t>
      </w:r>
      <w:r w:rsidRPr="009617C9">
        <w:rPr>
          <w:rFonts w:ascii="Palatino Linotype" w:hAnsi="Palatino Linotype"/>
          <w:sz w:val="20"/>
          <w:szCs w:val="20"/>
        </w:rPr>
        <w:t xml:space="preserve"> </w:t>
      </w:r>
    </w:p>
    <w:p w:rsidRPr="009617C9" w:rsidR="00A966DA" w:rsidP="00A966DA" w:rsidRDefault="00A966DA" w14:paraId="5EB765DA" w14:textId="77777777">
      <w:pPr>
        <w:tabs>
          <w:tab w:val="left" w:pos="6930"/>
        </w:tabs>
        <w:rPr>
          <w:rFonts w:ascii="Palatino Linotype" w:hAnsi="Palatino Linotype"/>
          <w:sz w:val="20"/>
          <w:szCs w:val="20"/>
        </w:rPr>
      </w:pPr>
    </w:p>
    <w:p w:rsidRPr="009617C9" w:rsidR="00A966DA" w:rsidP="00A966DA" w:rsidRDefault="00A966DA" w14:paraId="3CCB42B3" w14:textId="77777777">
      <w:pPr>
        <w:tabs>
          <w:tab w:val="left" w:pos="6930"/>
        </w:tabs>
        <w:rPr>
          <w:rFonts w:ascii="Palatino Linotype" w:hAnsi="Palatino Linotype"/>
          <w:sz w:val="20"/>
          <w:szCs w:val="20"/>
        </w:rPr>
      </w:pPr>
      <w:r w:rsidRPr="009617C9">
        <w:rPr>
          <w:rFonts w:ascii="Palatino Linotype" w:hAnsi="Palatino Linotype"/>
          <w:sz w:val="20"/>
          <w:szCs w:val="20"/>
        </w:rPr>
        <w:t>Interested persons must also serve a copy of their comments on the utility on the same date that the comments are submitted to the Water Division. If email is unavailable, please submit comments to:</w:t>
      </w:r>
    </w:p>
    <w:p w:rsidRPr="009617C9" w:rsidR="00A966DA" w:rsidP="00A966DA" w:rsidRDefault="00A966DA" w14:paraId="5CCA9315" w14:textId="77777777">
      <w:pPr>
        <w:tabs>
          <w:tab w:val="left" w:pos="6930"/>
        </w:tabs>
        <w:rPr>
          <w:rFonts w:ascii="Palatino Linotype" w:hAnsi="Palatino Linotype"/>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26"/>
      </w:tblGrid>
      <w:tr w:rsidRPr="009617C9" w:rsidR="00A966DA" w:rsidTr="0009672F" w14:paraId="6B28440B" w14:textId="77777777">
        <w:trPr>
          <w:jc w:val="center"/>
        </w:trPr>
        <w:tc>
          <w:tcPr>
            <w:tcW w:w="3726" w:type="dxa"/>
            <w:vAlign w:val="bottom"/>
          </w:tcPr>
          <w:p w:rsidRPr="009617C9" w:rsidR="00A966DA" w:rsidP="0009672F" w:rsidRDefault="00A966DA" w14:paraId="62798676" w14:textId="77777777">
            <w:pPr>
              <w:tabs>
                <w:tab w:val="right" w:pos="11070"/>
              </w:tabs>
              <w:rPr>
                <w:sz w:val="20"/>
                <w:szCs w:val="20"/>
              </w:rPr>
            </w:pPr>
            <w:r w:rsidRPr="009617C9">
              <w:rPr>
                <w:rFonts w:ascii="Palatino Linotype" w:hAnsi="Palatino Linotype"/>
                <w:sz w:val="20"/>
                <w:szCs w:val="20"/>
              </w:rPr>
              <w:t>California Public Utilities Commission</w:t>
            </w:r>
          </w:p>
        </w:tc>
      </w:tr>
      <w:tr w:rsidRPr="009617C9" w:rsidR="00A966DA" w:rsidTr="0009672F" w14:paraId="2FCBC287" w14:textId="77777777">
        <w:trPr>
          <w:jc w:val="center"/>
        </w:trPr>
        <w:tc>
          <w:tcPr>
            <w:tcW w:w="3726" w:type="dxa"/>
            <w:vAlign w:val="bottom"/>
          </w:tcPr>
          <w:p w:rsidRPr="009617C9" w:rsidR="00A966DA" w:rsidP="0009672F" w:rsidRDefault="00A966DA" w14:paraId="02C73869" w14:textId="77777777">
            <w:pPr>
              <w:tabs>
                <w:tab w:val="right" w:pos="11070"/>
              </w:tabs>
              <w:rPr>
                <w:sz w:val="20"/>
                <w:szCs w:val="20"/>
              </w:rPr>
            </w:pPr>
            <w:r w:rsidRPr="009617C9">
              <w:rPr>
                <w:rFonts w:ascii="Palatino Linotype" w:hAnsi="Palatino Linotype"/>
                <w:sz w:val="20"/>
                <w:szCs w:val="20"/>
              </w:rPr>
              <w:t>Water Division</w:t>
            </w:r>
          </w:p>
        </w:tc>
      </w:tr>
      <w:tr w:rsidRPr="009617C9" w:rsidR="00A966DA" w:rsidTr="0009672F" w14:paraId="0F21A228" w14:textId="77777777">
        <w:trPr>
          <w:jc w:val="center"/>
        </w:trPr>
        <w:tc>
          <w:tcPr>
            <w:tcW w:w="3726" w:type="dxa"/>
            <w:vAlign w:val="bottom"/>
          </w:tcPr>
          <w:p w:rsidRPr="009617C9" w:rsidR="00A966DA" w:rsidP="0009672F" w:rsidRDefault="00A966DA" w14:paraId="36F2793B" w14:textId="77777777">
            <w:pPr>
              <w:tabs>
                <w:tab w:val="right" w:pos="11070"/>
              </w:tabs>
              <w:rPr>
                <w:sz w:val="20"/>
                <w:szCs w:val="20"/>
              </w:rPr>
            </w:pPr>
            <w:r w:rsidRPr="009617C9">
              <w:rPr>
                <w:rFonts w:ascii="Palatino Linotype" w:hAnsi="Palatino Linotype"/>
                <w:sz w:val="20"/>
                <w:szCs w:val="20"/>
              </w:rPr>
              <w:t>505 Van Ness Avenue</w:t>
            </w:r>
          </w:p>
        </w:tc>
      </w:tr>
      <w:tr w:rsidRPr="009617C9" w:rsidR="00A966DA" w:rsidTr="0009672F" w14:paraId="4A1B07D9" w14:textId="77777777">
        <w:trPr>
          <w:jc w:val="center"/>
        </w:trPr>
        <w:tc>
          <w:tcPr>
            <w:tcW w:w="3726" w:type="dxa"/>
            <w:vAlign w:val="bottom"/>
          </w:tcPr>
          <w:p w:rsidRPr="009617C9" w:rsidR="00A966DA" w:rsidP="0009672F" w:rsidRDefault="00A966DA" w14:paraId="18568438" w14:textId="77777777">
            <w:pPr>
              <w:tabs>
                <w:tab w:val="right" w:pos="11070"/>
              </w:tabs>
              <w:rPr>
                <w:rFonts w:ascii="Palatino Linotype" w:hAnsi="Palatino Linotype"/>
                <w:sz w:val="20"/>
                <w:szCs w:val="20"/>
              </w:rPr>
            </w:pPr>
            <w:r w:rsidRPr="009617C9">
              <w:rPr>
                <w:rFonts w:ascii="Palatino Linotype" w:hAnsi="Palatino Linotype"/>
                <w:sz w:val="20"/>
                <w:szCs w:val="20"/>
              </w:rPr>
              <w:t>San Francisco, CA  94102</w:t>
            </w:r>
          </w:p>
        </w:tc>
      </w:tr>
    </w:tbl>
    <w:p w:rsidRPr="009617C9" w:rsidR="00A966DA" w:rsidP="00A966DA" w:rsidRDefault="00A966DA" w14:paraId="0A08EFD2" w14:textId="77777777">
      <w:pPr>
        <w:tabs>
          <w:tab w:val="left" w:pos="6930"/>
        </w:tabs>
        <w:rPr>
          <w:rFonts w:ascii="Palatino Linotype" w:hAnsi="Palatino Linotype"/>
          <w:sz w:val="20"/>
          <w:szCs w:val="20"/>
        </w:rPr>
      </w:pPr>
    </w:p>
    <w:p w:rsidRPr="009617C9" w:rsidR="00A966DA" w:rsidP="00A966DA" w:rsidRDefault="00A966DA" w14:paraId="13E4F28E" w14:textId="77777777">
      <w:pPr>
        <w:tabs>
          <w:tab w:val="left" w:pos="6930"/>
        </w:tabs>
        <w:rPr>
          <w:rFonts w:ascii="Palatino Linotype" w:hAnsi="Palatino Linotype"/>
          <w:sz w:val="20"/>
        </w:rPr>
      </w:pPr>
      <w:r w:rsidRPr="009617C9">
        <w:rPr>
          <w:rFonts w:ascii="Palatino Linotype" w:hAnsi="Palatino Linotype"/>
          <w:sz w:val="20"/>
        </w:rPr>
        <w:t xml:space="preserve">Comments should focus on factual, legal, technical errors, or policy issues in the proposed resolution.  </w:t>
      </w:r>
    </w:p>
    <w:p w:rsidRPr="009617C9" w:rsidR="00A966DA" w:rsidP="00A966DA" w:rsidRDefault="00A966DA" w14:paraId="5139EBF4" w14:textId="77777777">
      <w:pPr>
        <w:tabs>
          <w:tab w:val="left" w:pos="6930"/>
        </w:tabs>
        <w:rPr>
          <w:rFonts w:ascii="Palatino Linotype" w:hAnsi="Palatino Linotype"/>
          <w:sz w:val="20"/>
        </w:rPr>
      </w:pPr>
    </w:p>
    <w:p w:rsidRPr="009617C9" w:rsidR="00A966DA" w:rsidP="00A966DA" w:rsidRDefault="00A966DA" w14:paraId="361DDC96" w14:textId="3F9E1728">
      <w:pPr>
        <w:tabs>
          <w:tab w:val="left" w:pos="6930"/>
        </w:tabs>
        <w:rPr>
          <w:rFonts w:ascii="Palatino Linotype" w:hAnsi="Palatino Linotype"/>
          <w:sz w:val="20"/>
        </w:rPr>
      </w:pPr>
      <w:r w:rsidRPr="009617C9">
        <w:rPr>
          <w:rFonts w:ascii="Palatino Linotype" w:hAnsi="Palatino Linotype"/>
          <w:sz w:val="20"/>
        </w:rPr>
        <w:t xml:space="preserve">Persons interested in receiving comments submitted may contact the Water Division at </w:t>
      </w:r>
      <w:hyperlink w:history="1" r:id="rId9">
        <w:r w:rsidRPr="009617C9">
          <w:rPr>
            <w:rStyle w:val="Hyperlink"/>
            <w:rFonts w:ascii="Palatino Linotype" w:hAnsi="Palatino Linotype"/>
            <w:sz w:val="20"/>
          </w:rPr>
          <w:t>Water.Division@cpuc.ca.gov</w:t>
        </w:r>
      </w:hyperlink>
      <w:r w:rsidRPr="009617C9">
        <w:rPr>
          <w:rFonts w:ascii="Palatino Linotype" w:hAnsi="Palatino Linotype"/>
          <w:sz w:val="20"/>
        </w:rPr>
        <w:t xml:space="preserve"> or (415) 703-1133.</w:t>
      </w:r>
      <w:r w:rsidRPr="009617C9">
        <w:rPr>
          <w:rFonts w:ascii="Palatino Linotype" w:hAnsi="Palatino Linotype"/>
          <w:b/>
          <w:sz w:val="20"/>
          <w:szCs w:val="20"/>
        </w:rPr>
        <w:t xml:space="preserve"> </w:t>
      </w:r>
      <w:r w:rsidRPr="009617C9">
        <w:rPr>
          <w:rFonts w:ascii="Palatino Linotype" w:hAnsi="Palatino Linotype"/>
          <w:sz w:val="20"/>
          <w:szCs w:val="20"/>
        </w:rPr>
        <w:t>Please reference “Proposed Resolution W-</w:t>
      </w:r>
      <w:r w:rsidR="00E075FA">
        <w:rPr>
          <w:rFonts w:ascii="Palatino Linotype" w:hAnsi="Palatino Linotype"/>
          <w:sz w:val="20"/>
          <w:szCs w:val="20"/>
        </w:rPr>
        <w:t>5217</w:t>
      </w:r>
      <w:r w:rsidRPr="009617C9">
        <w:rPr>
          <w:rFonts w:ascii="Palatino Linotype" w:hAnsi="Palatino Linotype"/>
          <w:sz w:val="20"/>
          <w:szCs w:val="20"/>
        </w:rPr>
        <w:t>.”</w:t>
      </w:r>
    </w:p>
    <w:p w:rsidRPr="009617C9" w:rsidR="00A966DA" w:rsidP="00A966DA" w:rsidRDefault="00A966DA" w14:paraId="32A44461" w14:textId="77777777">
      <w:pPr>
        <w:tabs>
          <w:tab w:val="left" w:pos="2700"/>
        </w:tabs>
        <w:rPr>
          <w:rFonts w:ascii="Palatino Linotype" w:hAnsi="Palatino Linotype"/>
          <w:sz w:val="20"/>
          <w:u w:val="single"/>
        </w:rPr>
      </w:pPr>
    </w:p>
    <w:p w:rsidRPr="009617C9" w:rsidR="00A966DA" w:rsidP="00A966DA" w:rsidRDefault="00A966DA" w14:paraId="62E00791" w14:textId="77777777">
      <w:pPr>
        <w:tabs>
          <w:tab w:val="left" w:pos="2700"/>
        </w:tabs>
        <w:rPr>
          <w:rFonts w:ascii="Palatino Linotype" w:hAnsi="Palatino Linotype"/>
          <w:sz w:val="20"/>
          <w:u w:val="single"/>
        </w:rPr>
      </w:pPr>
    </w:p>
    <w:p w:rsidRPr="009617C9" w:rsidR="00A966DA" w:rsidP="00A966DA" w:rsidRDefault="00A966DA" w14:paraId="478F26B5" w14:textId="77777777">
      <w:pPr>
        <w:tabs>
          <w:tab w:val="left" w:pos="2700"/>
        </w:tabs>
        <w:rPr>
          <w:rFonts w:ascii="Palatino Linotype" w:hAnsi="Palatino Linotype"/>
          <w:sz w:val="20"/>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58"/>
      </w:tblGrid>
      <w:tr w:rsidRPr="009617C9" w:rsidR="00A966DA" w:rsidTr="0009672F" w14:paraId="215C7505" w14:textId="77777777">
        <w:tc>
          <w:tcPr>
            <w:tcW w:w="3258" w:type="dxa"/>
            <w:tcBorders>
              <w:bottom w:val="single" w:color="auto" w:sz="4" w:space="0"/>
            </w:tcBorders>
          </w:tcPr>
          <w:p w:rsidRPr="009617C9" w:rsidR="00A966DA" w:rsidP="0009672F" w:rsidRDefault="00A966DA" w14:paraId="59CCD035" w14:textId="585460FE">
            <w:pPr>
              <w:tabs>
                <w:tab w:val="left" w:pos="6930"/>
              </w:tabs>
              <w:rPr>
                <w:rFonts w:ascii="Palatino Linotype" w:hAnsi="Palatino Linotype"/>
                <w:sz w:val="20"/>
              </w:rPr>
            </w:pPr>
            <w:r w:rsidRPr="009617C9">
              <w:rPr>
                <w:rFonts w:ascii="Palatino Linotype" w:hAnsi="Palatino Linotype"/>
                <w:sz w:val="20"/>
              </w:rPr>
              <w:t>/s/</w:t>
            </w:r>
            <w:r w:rsidR="00487141">
              <w:rPr>
                <w:rFonts w:ascii="Palatino Linotype" w:hAnsi="Palatino Linotype"/>
                <w:sz w:val="20"/>
              </w:rPr>
              <w:t xml:space="preserve"> BRUCE DEBERRY</w:t>
            </w:r>
          </w:p>
        </w:tc>
      </w:tr>
      <w:tr w:rsidRPr="009617C9" w:rsidR="00A966DA" w:rsidTr="0009672F" w14:paraId="4E12294D" w14:textId="77777777">
        <w:trPr>
          <w:trHeight w:val="593"/>
        </w:trPr>
        <w:tc>
          <w:tcPr>
            <w:tcW w:w="3258" w:type="dxa"/>
            <w:tcBorders>
              <w:top w:val="single" w:color="auto" w:sz="4" w:space="0"/>
            </w:tcBorders>
          </w:tcPr>
          <w:p w:rsidRPr="009617C9" w:rsidR="00A966DA" w:rsidP="0009672F" w:rsidRDefault="00487141" w14:paraId="73020CA4" w14:textId="688AB76C">
            <w:pPr>
              <w:tabs>
                <w:tab w:val="left" w:pos="6930"/>
              </w:tabs>
              <w:rPr>
                <w:rFonts w:ascii="Palatino Linotype" w:hAnsi="Palatino Linotype"/>
                <w:sz w:val="20"/>
                <w:szCs w:val="20"/>
              </w:rPr>
            </w:pPr>
            <w:r>
              <w:rPr>
                <w:rFonts w:ascii="Palatino Linotype" w:hAnsi="Palatino Linotype"/>
                <w:sz w:val="20"/>
                <w:szCs w:val="20"/>
              </w:rPr>
              <w:t>Bruce DeBerry</w:t>
            </w:r>
            <w:r w:rsidRPr="009617C9" w:rsidR="00A966DA">
              <w:rPr>
                <w:rFonts w:ascii="Palatino Linotype" w:hAnsi="Palatino Linotype"/>
                <w:sz w:val="20"/>
                <w:szCs w:val="20"/>
              </w:rPr>
              <w:t xml:space="preserve">, </w:t>
            </w:r>
            <w:r>
              <w:rPr>
                <w:rFonts w:ascii="Palatino Linotype" w:hAnsi="Palatino Linotype"/>
                <w:sz w:val="20"/>
                <w:szCs w:val="20"/>
              </w:rPr>
              <w:t>Program Manager</w:t>
            </w:r>
          </w:p>
          <w:p w:rsidRPr="009617C9" w:rsidR="00A966DA" w:rsidP="0009672F" w:rsidRDefault="00A966DA" w14:paraId="30ABE8E3" w14:textId="77777777">
            <w:pPr>
              <w:tabs>
                <w:tab w:val="left" w:pos="6930"/>
              </w:tabs>
              <w:rPr>
                <w:rFonts w:ascii="Palatino Linotype" w:hAnsi="Palatino Linotype"/>
                <w:sz w:val="20"/>
                <w:szCs w:val="20"/>
              </w:rPr>
            </w:pPr>
            <w:r w:rsidRPr="009617C9">
              <w:rPr>
                <w:rFonts w:ascii="Palatino Linotype" w:hAnsi="Palatino Linotype"/>
                <w:sz w:val="20"/>
                <w:szCs w:val="20"/>
              </w:rPr>
              <w:t>Water Division</w:t>
            </w:r>
          </w:p>
        </w:tc>
      </w:tr>
    </w:tbl>
    <w:p w:rsidRPr="009617C9" w:rsidR="00A966DA" w:rsidP="00A966DA" w:rsidRDefault="00A966DA" w14:paraId="29C74AD6" w14:textId="77777777">
      <w:pPr>
        <w:rPr>
          <w:rFonts w:ascii="Palatino Linotype" w:hAnsi="Palatino Linotype"/>
          <w:sz w:val="20"/>
          <w:szCs w:val="20"/>
        </w:rPr>
      </w:pPr>
    </w:p>
    <w:p w:rsidRPr="009617C9" w:rsidR="00A966DA" w:rsidP="00A966DA" w:rsidRDefault="00A966DA" w14:paraId="5D8EC1BE" w14:textId="7F28140A">
      <w:pPr>
        <w:rPr>
          <w:rFonts w:ascii="Palatino Linotype" w:hAnsi="Palatino Linotype"/>
          <w:sz w:val="20"/>
          <w:szCs w:val="20"/>
        </w:rPr>
      </w:pPr>
      <w:r w:rsidRPr="009617C9">
        <w:rPr>
          <w:rFonts w:ascii="Palatino Linotype" w:hAnsi="Palatino Linotype"/>
          <w:sz w:val="20"/>
          <w:szCs w:val="20"/>
        </w:rPr>
        <w:t>Enclosures:</w:t>
      </w:r>
      <w:r w:rsidRPr="009617C9">
        <w:rPr>
          <w:rFonts w:ascii="Palatino Linotype" w:hAnsi="Palatino Linotype"/>
          <w:sz w:val="20"/>
          <w:szCs w:val="20"/>
        </w:rPr>
        <w:tab/>
        <w:t>Proposed Resolution W-</w:t>
      </w:r>
      <w:r w:rsidR="00E075FA">
        <w:rPr>
          <w:rFonts w:ascii="Palatino Linotype" w:hAnsi="Palatino Linotype"/>
          <w:sz w:val="20"/>
          <w:szCs w:val="20"/>
        </w:rPr>
        <w:t>5217</w:t>
      </w:r>
    </w:p>
    <w:p w:rsidRPr="009617C9" w:rsidR="00A966DA" w:rsidP="00A966DA" w:rsidRDefault="00A966DA" w14:paraId="48AB733C" w14:textId="77777777">
      <w:pPr>
        <w:ind w:left="720" w:firstLine="720"/>
        <w:rPr>
          <w:rFonts w:ascii="Palatino Linotype" w:hAnsi="Palatino Linotype"/>
          <w:sz w:val="20"/>
          <w:szCs w:val="20"/>
        </w:rPr>
      </w:pPr>
      <w:r w:rsidRPr="009617C9">
        <w:rPr>
          <w:rFonts w:ascii="Palatino Linotype" w:hAnsi="Palatino Linotype"/>
          <w:sz w:val="20"/>
          <w:szCs w:val="20"/>
        </w:rPr>
        <w:t>Certificate of Service</w:t>
      </w:r>
    </w:p>
    <w:p w:rsidRPr="009617C9" w:rsidR="00A966DA" w:rsidP="00A966DA" w:rsidRDefault="00A966DA" w14:paraId="74709D22" w14:textId="77777777">
      <w:pPr>
        <w:pStyle w:val="titlebar"/>
        <w:ind w:left="720" w:firstLine="720"/>
        <w:jc w:val="left"/>
      </w:pPr>
      <w:r w:rsidRPr="009617C9">
        <w:rPr>
          <w:rFonts w:ascii="Palatino Linotype" w:hAnsi="Palatino Linotype"/>
          <w:b w:val="0"/>
          <w:sz w:val="20"/>
        </w:rPr>
        <w:t>Service List</w:t>
      </w:r>
    </w:p>
    <w:p w:rsidRPr="009617C9" w:rsidR="00A966DA" w:rsidP="003561D1" w:rsidRDefault="00A966DA" w14:paraId="438981CD" w14:textId="77777777">
      <w:pPr>
        <w:jc w:val="center"/>
        <w:rPr>
          <w:rFonts w:ascii="Palatino Linotype" w:hAnsi="Palatino Linotype" w:eastAsia="Calibri"/>
          <w:b/>
          <w:sz w:val="28"/>
          <w:szCs w:val="28"/>
        </w:rPr>
        <w:sectPr w:rsidRPr="009617C9" w:rsidR="00A966DA" w:rsidSect="005B3A7D">
          <w:headerReference w:type="default" r:id="rId10"/>
          <w:footerReference w:type="default" r:id="rId11"/>
          <w:headerReference w:type="first" r:id="rId12"/>
          <w:pgSz w:w="12240" w:h="15840"/>
          <w:pgMar w:top="1440" w:right="1440" w:bottom="1440" w:left="1440" w:header="720" w:footer="720" w:gutter="0"/>
          <w:cols w:space="720"/>
          <w:titlePg/>
          <w:docGrid w:linePitch="326"/>
        </w:sectPr>
      </w:pPr>
    </w:p>
    <w:tbl>
      <w:tblPr>
        <w:tblW w:w="9606" w:type="dxa"/>
        <w:jc w:val="center"/>
        <w:tblLook w:val="04A0" w:firstRow="1" w:lastRow="0" w:firstColumn="1" w:lastColumn="0" w:noHBand="0" w:noVBand="1"/>
      </w:tblPr>
      <w:tblGrid>
        <w:gridCol w:w="4857"/>
        <w:gridCol w:w="4749"/>
      </w:tblGrid>
      <w:tr w:rsidRPr="009617C9" w:rsidR="00CC3212" w:rsidTr="003561D1" w14:paraId="742230CA" w14:textId="77777777">
        <w:trPr>
          <w:trHeight w:val="946"/>
          <w:jc w:val="center"/>
        </w:trPr>
        <w:tc>
          <w:tcPr>
            <w:tcW w:w="9606" w:type="dxa"/>
            <w:gridSpan w:val="2"/>
            <w:shd w:val="clear" w:color="auto" w:fill="auto"/>
            <w:vAlign w:val="center"/>
          </w:tcPr>
          <w:p w:rsidRPr="009617C9" w:rsidR="00CC3212" w:rsidP="003561D1" w:rsidRDefault="00CC3212" w14:paraId="65F14648" w14:textId="7305E0AF">
            <w:pPr>
              <w:jc w:val="center"/>
              <w:rPr>
                <w:rFonts w:ascii="Palatino Linotype" w:hAnsi="Palatino Linotype" w:eastAsia="Calibri"/>
                <w:b/>
                <w:sz w:val="28"/>
                <w:szCs w:val="28"/>
              </w:rPr>
            </w:pPr>
            <w:r w:rsidRPr="009617C9">
              <w:rPr>
                <w:rFonts w:ascii="Palatino Linotype" w:hAnsi="Palatino Linotype" w:eastAsia="Calibri"/>
                <w:b/>
                <w:sz w:val="28"/>
                <w:szCs w:val="28"/>
              </w:rPr>
              <w:lastRenderedPageBreak/>
              <w:t>PUBLIC UTILITIES COMMISSION OF THE STATE OF CALIFORNIA</w:t>
            </w:r>
          </w:p>
        </w:tc>
      </w:tr>
      <w:tr w:rsidRPr="009617C9" w:rsidR="00CC3212" w:rsidTr="003561D1" w14:paraId="4D9B70CA" w14:textId="77777777">
        <w:trPr>
          <w:jc w:val="center"/>
        </w:trPr>
        <w:tc>
          <w:tcPr>
            <w:tcW w:w="4857" w:type="dxa"/>
            <w:shd w:val="clear" w:color="auto" w:fill="auto"/>
            <w:vAlign w:val="center"/>
          </w:tcPr>
          <w:p w:rsidRPr="009617C9" w:rsidR="00CC3212" w:rsidP="003561D1" w:rsidRDefault="00CC3212" w14:paraId="5EB6A027" w14:textId="77777777">
            <w:pPr>
              <w:rPr>
                <w:rFonts w:ascii="Palatino Linotype" w:hAnsi="Palatino Linotype" w:eastAsia="Calibri"/>
                <w:b/>
              </w:rPr>
            </w:pPr>
            <w:r w:rsidRPr="009617C9">
              <w:rPr>
                <w:rFonts w:ascii="Palatino Linotype" w:hAnsi="Palatino Linotype" w:eastAsia="Calibri"/>
                <w:b/>
              </w:rPr>
              <w:t>WATER DIVISION</w:t>
            </w:r>
          </w:p>
        </w:tc>
        <w:tc>
          <w:tcPr>
            <w:tcW w:w="4749" w:type="dxa"/>
            <w:shd w:val="clear" w:color="auto" w:fill="auto"/>
            <w:vAlign w:val="center"/>
          </w:tcPr>
          <w:p w:rsidRPr="009617C9" w:rsidR="00CC3212" w:rsidP="004F1F0E" w:rsidRDefault="00E30E25" w14:paraId="1F2AF23A" w14:textId="1255F261">
            <w:pPr>
              <w:jc w:val="right"/>
              <w:rPr>
                <w:rFonts w:ascii="Palatino Linotype" w:hAnsi="Palatino Linotype" w:eastAsia="Calibri"/>
                <w:b/>
              </w:rPr>
            </w:pPr>
            <w:r w:rsidRPr="009617C9">
              <w:rPr>
                <w:rFonts w:ascii="Palatino Linotype" w:hAnsi="Palatino Linotype" w:eastAsia="Calibri"/>
                <w:b/>
              </w:rPr>
              <w:t>RESOLUTION W-</w:t>
            </w:r>
            <w:r w:rsidR="00E075FA">
              <w:rPr>
                <w:rFonts w:ascii="Palatino Linotype" w:hAnsi="Palatino Linotype" w:eastAsia="Calibri"/>
                <w:b/>
              </w:rPr>
              <w:t>5217</w:t>
            </w:r>
          </w:p>
        </w:tc>
      </w:tr>
      <w:tr w:rsidRPr="009617C9" w:rsidR="00CC3212" w:rsidTr="003561D1" w14:paraId="603250FF" w14:textId="77777777">
        <w:trPr>
          <w:jc w:val="center"/>
        </w:trPr>
        <w:tc>
          <w:tcPr>
            <w:tcW w:w="4857" w:type="dxa"/>
            <w:shd w:val="clear" w:color="auto" w:fill="auto"/>
            <w:vAlign w:val="center"/>
          </w:tcPr>
          <w:p w:rsidRPr="009617C9" w:rsidR="00CC3212" w:rsidP="003561D1" w:rsidRDefault="00CC3212" w14:paraId="5F42C76D" w14:textId="77777777">
            <w:pPr>
              <w:rPr>
                <w:rFonts w:ascii="Palatino Linotype" w:hAnsi="Palatino Linotype" w:eastAsia="Calibri"/>
                <w:b/>
              </w:rPr>
            </w:pPr>
          </w:p>
        </w:tc>
        <w:tc>
          <w:tcPr>
            <w:tcW w:w="4749" w:type="dxa"/>
            <w:shd w:val="clear" w:color="auto" w:fill="auto"/>
            <w:vAlign w:val="center"/>
          </w:tcPr>
          <w:p w:rsidRPr="002A6FAB" w:rsidR="00CC3212" w:rsidP="00075B50" w:rsidRDefault="00DE09FA" w14:paraId="1FE99CD5" w14:textId="799C1F8C">
            <w:pPr>
              <w:jc w:val="right"/>
              <w:rPr>
                <w:rFonts w:ascii="Palatino Linotype" w:hAnsi="Palatino Linotype" w:eastAsia="Calibri"/>
                <w:b/>
                <w:highlight w:val="yellow"/>
              </w:rPr>
            </w:pPr>
            <w:r>
              <w:rPr>
                <w:rFonts w:ascii="Palatino Linotype" w:hAnsi="Palatino Linotype" w:eastAsia="Calibri"/>
                <w:b/>
              </w:rPr>
              <w:t>March</w:t>
            </w:r>
            <w:r w:rsidR="00487141">
              <w:rPr>
                <w:rFonts w:ascii="Palatino Linotype" w:hAnsi="Palatino Linotype" w:eastAsia="Calibri"/>
                <w:b/>
              </w:rPr>
              <w:t xml:space="preserve"> 2</w:t>
            </w:r>
            <w:r>
              <w:rPr>
                <w:rFonts w:ascii="Palatino Linotype" w:hAnsi="Palatino Linotype" w:eastAsia="Calibri"/>
                <w:b/>
              </w:rPr>
              <w:t>6</w:t>
            </w:r>
            <w:r w:rsidRPr="00B876E0" w:rsidR="00E963B4">
              <w:rPr>
                <w:rFonts w:ascii="Palatino Linotype" w:hAnsi="Palatino Linotype" w:eastAsia="Calibri"/>
                <w:b/>
              </w:rPr>
              <w:t>, 20</w:t>
            </w:r>
            <w:r w:rsidR="00E333FB">
              <w:rPr>
                <w:rFonts w:ascii="Palatino Linotype" w:hAnsi="Palatino Linotype" w:eastAsia="Calibri"/>
                <w:b/>
              </w:rPr>
              <w:t>20</w:t>
            </w:r>
          </w:p>
        </w:tc>
      </w:tr>
    </w:tbl>
    <w:p w:rsidRPr="009617C9" w:rsidR="001E2FB4" w:rsidRDefault="001E2FB4" w14:paraId="055A3AA1" w14:textId="77777777">
      <w:pPr>
        <w:pStyle w:val="Body"/>
        <w:spacing w:after="0"/>
        <w:rPr>
          <w:rFonts w:ascii="Palatino Linotype" w:hAnsi="Palatino Linotype" w:eastAsia="Palatino Linotype" w:cs="Palatino Linotype"/>
        </w:rPr>
      </w:pPr>
    </w:p>
    <w:tbl>
      <w:tblPr>
        <w:tblW w:w="6998" w:type="dxa"/>
        <w:jc w:val="center"/>
        <w:tblLook w:val="04A0" w:firstRow="1" w:lastRow="0" w:firstColumn="1" w:lastColumn="0" w:noHBand="0" w:noVBand="1"/>
      </w:tblPr>
      <w:tblGrid>
        <w:gridCol w:w="6998"/>
      </w:tblGrid>
      <w:tr w:rsidRPr="009617C9" w:rsidR="00CC3212" w:rsidTr="003561D1" w14:paraId="06967A82" w14:textId="77777777">
        <w:trPr>
          <w:jc w:val="center"/>
        </w:trPr>
        <w:tc>
          <w:tcPr>
            <w:tcW w:w="6998" w:type="dxa"/>
            <w:shd w:val="clear" w:color="auto" w:fill="auto"/>
            <w:vAlign w:val="center"/>
          </w:tcPr>
          <w:p w:rsidRPr="009617C9" w:rsidR="00CC3212" w:rsidP="003561D1" w:rsidRDefault="00CC3212" w14:paraId="7187ECDB" w14:textId="77777777">
            <w:pPr>
              <w:spacing w:after="120"/>
              <w:jc w:val="center"/>
              <w:rPr>
                <w:rFonts w:ascii="Palatino Linotype" w:hAnsi="Palatino Linotype" w:eastAsia="Calibri"/>
                <w:b/>
                <w:sz w:val="28"/>
                <w:szCs w:val="28"/>
                <w:u w:val="single"/>
              </w:rPr>
            </w:pPr>
            <w:r w:rsidRPr="009617C9">
              <w:rPr>
                <w:rFonts w:ascii="Palatino Linotype" w:hAnsi="Palatino Linotype" w:eastAsia="Calibri"/>
                <w:b/>
                <w:sz w:val="28"/>
                <w:szCs w:val="28"/>
                <w:u w:val="single"/>
              </w:rPr>
              <w:t>R E S O L U T I O N</w:t>
            </w:r>
          </w:p>
        </w:tc>
      </w:tr>
      <w:tr w:rsidRPr="009617C9" w:rsidR="00CC3212" w:rsidTr="003561D1" w14:paraId="078543D3" w14:textId="77777777">
        <w:trPr>
          <w:jc w:val="center"/>
        </w:trPr>
        <w:tc>
          <w:tcPr>
            <w:tcW w:w="6998" w:type="dxa"/>
            <w:tcBorders>
              <w:bottom w:val="single" w:color="auto" w:sz="4" w:space="0"/>
            </w:tcBorders>
            <w:shd w:val="clear" w:color="auto" w:fill="auto"/>
          </w:tcPr>
          <w:p w:rsidRPr="009617C9" w:rsidR="00CC3212" w:rsidP="004F1F0E" w:rsidRDefault="00D06E0B" w14:paraId="55E684E6" w14:textId="00AD9BCF">
            <w:pPr>
              <w:rPr>
                <w:rFonts w:ascii="Palatino Linotype" w:hAnsi="Palatino Linotype" w:cs="Palatino Linotype"/>
                <w:color w:val="000000"/>
              </w:rPr>
            </w:pPr>
            <w:r w:rsidRPr="009617C9">
              <w:rPr>
                <w:rStyle w:val="HeaderChar"/>
                <w:rFonts w:ascii="Palatino Linotype" w:hAnsi="Palatino Linotype" w:eastAsia="Palatino Linotype" w:cs="Palatino Linotype"/>
                <w:b/>
                <w:bCs/>
              </w:rPr>
              <w:t>(RES. W-</w:t>
            </w:r>
            <w:r w:rsidR="002A6FAB">
              <w:rPr>
                <w:rStyle w:val="HeaderChar"/>
                <w:rFonts w:ascii="Palatino Linotype" w:hAnsi="Palatino Linotype" w:eastAsia="Palatino Linotype" w:cs="Palatino Linotype"/>
                <w:b/>
                <w:bCs/>
              </w:rPr>
              <w:t>XXXX</w:t>
            </w:r>
            <w:r w:rsidRPr="009617C9" w:rsidR="00CC3212">
              <w:rPr>
                <w:rStyle w:val="HeaderChar"/>
                <w:rFonts w:ascii="Palatino Linotype" w:hAnsi="Palatino Linotype" w:eastAsia="Palatino Linotype" w:cs="Palatino Linotype"/>
                <w:b/>
                <w:bCs/>
              </w:rPr>
              <w:t>)</w:t>
            </w:r>
            <w:bookmarkStart w:name="_Hlk515964891" w:id="0"/>
            <w:r w:rsidR="002A6FAB">
              <w:rPr>
                <w:rStyle w:val="HeaderChar"/>
                <w:rFonts w:ascii="Palatino Linotype" w:hAnsi="Palatino Linotype" w:eastAsia="Palatino Linotype" w:cs="Palatino Linotype"/>
                <w:b/>
                <w:bCs/>
              </w:rPr>
              <w:t xml:space="preserve"> </w:t>
            </w:r>
            <w:r w:rsidRPr="00702637" w:rsidR="003F0D42">
              <w:rPr>
                <w:rStyle w:val="HeaderChar"/>
                <w:rFonts w:ascii="Palatino Linotype" w:hAnsi="Palatino Linotype" w:eastAsia="Palatino Linotype" w:cs="Palatino Linotype"/>
                <w:b/>
                <w:bCs/>
              </w:rPr>
              <w:t>B</w:t>
            </w:r>
            <w:r w:rsidRPr="00702637" w:rsidR="003F0D42">
              <w:rPr>
                <w:rStyle w:val="HeaderChar"/>
                <w:rFonts w:eastAsia="Palatino Linotype" w:cs="Palatino Linotype"/>
                <w:b/>
                <w:bCs/>
              </w:rPr>
              <w:t>AKMAN</w:t>
            </w:r>
            <w:r w:rsidRPr="009617C9" w:rsidR="004F1F0E">
              <w:rPr>
                <w:rStyle w:val="HeaderChar"/>
                <w:rFonts w:ascii="Palatino Linotype" w:hAnsi="Palatino Linotype" w:eastAsia="Palatino Linotype" w:cs="Palatino Linotype"/>
                <w:b/>
                <w:bCs/>
              </w:rPr>
              <w:t xml:space="preserve"> WATER COMPANY</w:t>
            </w:r>
            <w:r w:rsidR="002F4800">
              <w:rPr>
                <w:rStyle w:val="HeaderChar"/>
                <w:rFonts w:ascii="Palatino Linotype" w:hAnsi="Palatino Linotype" w:eastAsia="Palatino Linotype" w:cs="Palatino Linotype"/>
                <w:b/>
                <w:bCs/>
              </w:rPr>
              <w:t>, INC.</w:t>
            </w:r>
            <w:r w:rsidRPr="009617C9" w:rsidR="00CC3212">
              <w:rPr>
                <w:rStyle w:val="HeaderChar"/>
                <w:rFonts w:ascii="Palatino Linotype" w:hAnsi="Palatino Linotype" w:eastAsia="Palatino Linotype" w:cs="Palatino Linotype"/>
                <w:b/>
                <w:bCs/>
              </w:rPr>
              <w:t xml:space="preserve"> ORDER AUTHORIZING A </w:t>
            </w:r>
            <w:r w:rsidRPr="009617C9" w:rsidR="0082427A">
              <w:rPr>
                <w:rStyle w:val="HeaderChar"/>
                <w:rFonts w:ascii="Palatino Linotype" w:hAnsi="Palatino Linotype" w:eastAsia="Palatino Linotype" w:cs="Palatino Linotype"/>
                <w:b/>
                <w:bCs/>
              </w:rPr>
              <w:t xml:space="preserve">GENERAL </w:t>
            </w:r>
            <w:r w:rsidRPr="009617C9" w:rsidR="00CC3212">
              <w:rPr>
                <w:rStyle w:val="HeaderChar"/>
                <w:rFonts w:ascii="Palatino Linotype" w:hAnsi="Palatino Linotype" w:eastAsia="Palatino Linotype" w:cs="Palatino Linotype"/>
                <w:b/>
                <w:bCs/>
              </w:rPr>
              <w:t>RATE INCREASE PRODUCING AN ADDI</w:t>
            </w:r>
            <w:r w:rsidRPr="009617C9" w:rsidR="007D39E2">
              <w:rPr>
                <w:rStyle w:val="HeaderChar"/>
                <w:rFonts w:ascii="Palatino Linotype" w:hAnsi="Palatino Linotype" w:eastAsia="Palatino Linotype" w:cs="Palatino Linotype"/>
                <w:b/>
                <w:bCs/>
              </w:rPr>
              <w:t xml:space="preserve">TIONAL ANNUAL REVENUE OF </w:t>
            </w:r>
            <w:r w:rsidRPr="00B876E0" w:rsidR="007D39E2">
              <w:rPr>
                <w:rStyle w:val="HeaderChar"/>
                <w:rFonts w:ascii="Palatino Linotype" w:hAnsi="Palatino Linotype" w:eastAsia="Palatino Linotype" w:cs="Palatino Linotype"/>
                <w:b/>
                <w:bCs/>
              </w:rPr>
              <w:t>$</w:t>
            </w:r>
            <w:r w:rsidR="00DD0847">
              <w:rPr>
                <w:rStyle w:val="HeaderChar"/>
                <w:rFonts w:ascii="Palatino Linotype" w:hAnsi="Palatino Linotype" w:eastAsia="Palatino Linotype" w:cs="Palatino Linotype"/>
                <w:b/>
                <w:bCs/>
              </w:rPr>
              <w:t>886</w:t>
            </w:r>
            <w:r w:rsidRPr="00B876E0" w:rsidR="00B06FB4">
              <w:rPr>
                <w:rStyle w:val="HeaderChar"/>
                <w:rFonts w:ascii="Palatino Linotype" w:hAnsi="Palatino Linotype" w:eastAsia="Palatino Linotype" w:cs="Palatino Linotype"/>
                <w:b/>
                <w:bCs/>
              </w:rPr>
              <w:t>,</w:t>
            </w:r>
            <w:r w:rsidR="00DD0847">
              <w:rPr>
                <w:rStyle w:val="HeaderChar"/>
                <w:rFonts w:ascii="Palatino Linotype" w:hAnsi="Palatino Linotype" w:eastAsia="Palatino Linotype" w:cs="Palatino Linotype"/>
                <w:b/>
                <w:bCs/>
              </w:rPr>
              <w:t>707</w:t>
            </w:r>
            <w:r w:rsidRPr="00B876E0" w:rsidR="00730EF2">
              <w:rPr>
                <w:rStyle w:val="HeaderChar"/>
                <w:rFonts w:ascii="Palatino Linotype" w:hAnsi="Palatino Linotype" w:eastAsia="Palatino Linotype" w:cs="Palatino Linotype"/>
                <w:b/>
                <w:bCs/>
              </w:rPr>
              <w:t xml:space="preserve"> </w:t>
            </w:r>
            <w:r w:rsidRPr="00B876E0" w:rsidR="00B72B6A">
              <w:rPr>
                <w:rStyle w:val="HeaderChar"/>
                <w:rFonts w:ascii="Palatino Linotype" w:hAnsi="Palatino Linotype" w:eastAsia="Palatino Linotype" w:cs="Palatino Linotype"/>
                <w:b/>
                <w:bCs/>
              </w:rPr>
              <w:t xml:space="preserve">OR </w:t>
            </w:r>
            <w:r w:rsidR="00DD0847">
              <w:rPr>
                <w:rStyle w:val="HeaderChar"/>
                <w:rFonts w:ascii="Palatino Linotype" w:hAnsi="Palatino Linotype" w:eastAsia="Palatino Linotype" w:cs="Palatino Linotype"/>
                <w:b/>
                <w:bCs/>
              </w:rPr>
              <w:t>39</w:t>
            </w:r>
            <w:r w:rsidRPr="00B876E0" w:rsidR="00C17830">
              <w:rPr>
                <w:rStyle w:val="HeaderChar"/>
                <w:rFonts w:ascii="Palatino Linotype" w:hAnsi="Palatino Linotype" w:eastAsia="Palatino Linotype" w:cs="Palatino Linotype"/>
                <w:b/>
                <w:bCs/>
              </w:rPr>
              <w:t>.</w:t>
            </w:r>
            <w:r w:rsidR="00DD0847">
              <w:rPr>
                <w:rStyle w:val="HeaderChar"/>
                <w:rFonts w:ascii="Palatino Linotype" w:hAnsi="Palatino Linotype" w:eastAsia="Palatino Linotype" w:cs="Palatino Linotype"/>
                <w:b/>
                <w:bCs/>
              </w:rPr>
              <w:t>45</w:t>
            </w:r>
            <w:r w:rsidRPr="00B876E0" w:rsidR="001C0F52">
              <w:rPr>
                <w:rStyle w:val="HeaderChar"/>
                <w:rFonts w:ascii="Palatino Linotype" w:hAnsi="Palatino Linotype" w:eastAsia="Palatino Linotype" w:cs="Palatino Linotype"/>
                <w:b/>
                <w:bCs/>
              </w:rPr>
              <w:t>%</w:t>
            </w:r>
            <w:r w:rsidRPr="00B876E0">
              <w:rPr>
                <w:rStyle w:val="HeaderChar"/>
                <w:rFonts w:ascii="Palatino Linotype" w:hAnsi="Palatino Linotype" w:eastAsia="Palatino Linotype" w:cs="Palatino Linotype"/>
                <w:b/>
                <w:bCs/>
              </w:rPr>
              <w:t>,</w:t>
            </w:r>
            <w:r w:rsidRPr="009617C9">
              <w:rPr>
                <w:rStyle w:val="HeaderChar"/>
                <w:rFonts w:ascii="Palatino Linotype" w:hAnsi="Palatino Linotype" w:eastAsia="Palatino Linotype" w:cs="Palatino Linotype"/>
                <w:b/>
                <w:bCs/>
              </w:rPr>
              <w:t xml:space="preserve"> FOR TEST YEAR 201</w:t>
            </w:r>
            <w:r w:rsidR="002A6FAB">
              <w:rPr>
                <w:rStyle w:val="HeaderChar"/>
                <w:rFonts w:ascii="Palatino Linotype" w:hAnsi="Palatino Linotype" w:eastAsia="Palatino Linotype" w:cs="Palatino Linotype"/>
                <w:b/>
                <w:bCs/>
              </w:rPr>
              <w:t>9</w:t>
            </w:r>
            <w:bookmarkEnd w:id="0"/>
            <w:r w:rsidR="002F4800">
              <w:rPr>
                <w:rStyle w:val="HeaderChar"/>
                <w:rFonts w:ascii="Palatino Linotype" w:hAnsi="Palatino Linotype" w:eastAsia="Palatino Linotype" w:cs="Palatino Linotype"/>
                <w:b/>
                <w:bCs/>
              </w:rPr>
              <w:t>.</w:t>
            </w:r>
          </w:p>
        </w:tc>
      </w:tr>
      <w:tr w:rsidRPr="009617C9" w:rsidR="00CC3212" w:rsidTr="003561D1" w14:paraId="5547EA78" w14:textId="77777777">
        <w:trPr>
          <w:trHeight w:val="258"/>
          <w:jc w:val="center"/>
        </w:trPr>
        <w:tc>
          <w:tcPr>
            <w:tcW w:w="6998" w:type="dxa"/>
            <w:tcBorders>
              <w:top w:val="single" w:color="auto" w:sz="4" w:space="0"/>
            </w:tcBorders>
            <w:shd w:val="clear" w:color="auto" w:fill="auto"/>
          </w:tcPr>
          <w:p w:rsidRPr="009617C9" w:rsidR="00CC3212" w:rsidP="003561D1" w:rsidRDefault="00CC3212" w14:paraId="1E87A815" w14:textId="77777777">
            <w:pPr>
              <w:rPr>
                <w:rFonts w:ascii="Palatino Linotype" w:hAnsi="Palatino Linotype" w:eastAsia="Calibri"/>
                <w:b/>
              </w:rPr>
            </w:pPr>
          </w:p>
        </w:tc>
      </w:tr>
    </w:tbl>
    <w:p w:rsidRPr="009617C9" w:rsidR="001E2FB4" w:rsidP="006A66BD" w:rsidRDefault="00AE57DD" w14:paraId="42FAEA51"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SUMMARY</w:t>
      </w:r>
    </w:p>
    <w:p w:rsidRPr="009617C9" w:rsidR="001E2FB4" w:rsidP="006A66BD" w:rsidRDefault="001E2FB4" w14:paraId="2EFBEE68" w14:textId="77777777">
      <w:pPr>
        <w:pStyle w:val="Body"/>
        <w:spacing w:after="0" w:line="240" w:lineRule="auto"/>
        <w:rPr>
          <w:rFonts w:ascii="Palatino Linotype" w:hAnsi="Palatino Linotype" w:eastAsia="Palatino Linotype" w:cs="Palatino Linotype"/>
        </w:rPr>
      </w:pPr>
    </w:p>
    <w:p w:rsidRPr="009617C9" w:rsidR="00D05891" w:rsidP="006A66BD" w:rsidRDefault="00E963B4" w14:paraId="11F5E27A" w14:textId="02AEAF85">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By Advice Letter </w:t>
      </w:r>
      <w:r w:rsidRPr="009617C9" w:rsidR="00570C79">
        <w:rPr>
          <w:rStyle w:val="HeaderChar"/>
          <w:rFonts w:ascii="Palatino Linotype" w:hAnsi="Palatino Linotype" w:eastAsia="Palatino Linotype" w:cs="Palatino Linotype"/>
          <w:sz w:val="24"/>
          <w:szCs w:val="24"/>
        </w:rPr>
        <w:t xml:space="preserve">(AL) </w:t>
      </w:r>
      <w:r w:rsidR="003F0D42">
        <w:rPr>
          <w:rStyle w:val="HeaderChar"/>
          <w:rFonts w:ascii="Palatino Linotype" w:hAnsi="Palatino Linotype" w:eastAsia="Palatino Linotype" w:cs="Palatino Linotype"/>
          <w:sz w:val="24"/>
          <w:szCs w:val="24"/>
        </w:rPr>
        <w:t>94</w:t>
      </w:r>
      <w:r w:rsidRPr="009617C9" w:rsidR="003156CC">
        <w:rPr>
          <w:rStyle w:val="HeaderChar"/>
          <w:rFonts w:ascii="Palatino Linotype" w:hAnsi="Palatino Linotype" w:eastAsia="Palatino Linotype" w:cs="Palatino Linotype"/>
          <w:sz w:val="24"/>
          <w:szCs w:val="24"/>
        </w:rPr>
        <w:t>-</w:t>
      </w:r>
      <w:r w:rsidRPr="009617C9" w:rsidR="00A76300">
        <w:rPr>
          <w:rStyle w:val="HeaderChar"/>
          <w:rFonts w:ascii="Palatino Linotype" w:hAnsi="Palatino Linotype" w:eastAsia="Palatino Linotype" w:cs="Palatino Linotype"/>
          <w:sz w:val="24"/>
          <w:szCs w:val="24"/>
        </w:rPr>
        <w:t>W</w:t>
      </w:r>
      <w:r w:rsidRPr="009617C9" w:rsidR="00AE57DD">
        <w:rPr>
          <w:rStyle w:val="HeaderChar"/>
          <w:rFonts w:ascii="Palatino Linotype" w:hAnsi="Palatino Linotype" w:eastAsia="Palatino Linotype" w:cs="Palatino Linotype"/>
          <w:sz w:val="24"/>
          <w:szCs w:val="24"/>
        </w:rPr>
        <w:t xml:space="preserve">, filed on </w:t>
      </w:r>
      <w:r w:rsidR="003F0D42">
        <w:rPr>
          <w:rStyle w:val="HeaderChar"/>
          <w:rFonts w:ascii="Palatino Linotype" w:hAnsi="Palatino Linotype" w:eastAsia="Palatino Linotype" w:cs="Palatino Linotype"/>
          <w:sz w:val="24"/>
          <w:szCs w:val="24"/>
        </w:rPr>
        <w:t>June 25</w:t>
      </w:r>
      <w:r w:rsidRPr="009617C9" w:rsidR="00781F7D">
        <w:rPr>
          <w:rStyle w:val="HeaderChar"/>
          <w:rFonts w:ascii="Palatino Linotype" w:hAnsi="Palatino Linotype" w:eastAsia="Palatino Linotype" w:cs="Palatino Linotype"/>
          <w:sz w:val="24"/>
          <w:szCs w:val="24"/>
        </w:rPr>
        <w:t>, 201</w:t>
      </w:r>
      <w:r w:rsidR="002A6FAB">
        <w:rPr>
          <w:rStyle w:val="HeaderChar"/>
          <w:rFonts w:ascii="Palatino Linotype" w:hAnsi="Palatino Linotype" w:eastAsia="Palatino Linotype" w:cs="Palatino Linotype"/>
          <w:sz w:val="24"/>
          <w:szCs w:val="24"/>
        </w:rPr>
        <w:t>9</w:t>
      </w:r>
      <w:r w:rsidRPr="009617C9">
        <w:rPr>
          <w:rStyle w:val="HeaderChar"/>
          <w:rFonts w:ascii="Palatino Linotype" w:hAnsi="Palatino Linotype" w:eastAsia="Palatino Linotype" w:cs="Palatino Linotype"/>
          <w:sz w:val="24"/>
          <w:szCs w:val="24"/>
        </w:rPr>
        <w:t xml:space="preserve">, </w:t>
      </w:r>
      <w:r w:rsidR="003F0D42">
        <w:rPr>
          <w:rStyle w:val="HeaderChar"/>
          <w:rFonts w:ascii="Palatino Linotype" w:hAnsi="Palatino Linotype" w:eastAsia="Palatino Linotype" w:cs="Palatino Linotype"/>
          <w:sz w:val="24"/>
          <w:szCs w:val="24"/>
        </w:rPr>
        <w:t>Bakman</w:t>
      </w:r>
      <w:r w:rsidRPr="009617C9" w:rsidR="004F1F0E">
        <w:rPr>
          <w:rStyle w:val="HeaderChar"/>
          <w:rFonts w:ascii="Palatino Linotype" w:hAnsi="Palatino Linotype" w:eastAsia="Palatino Linotype" w:cs="Palatino Linotype"/>
          <w:sz w:val="24"/>
          <w:szCs w:val="24"/>
        </w:rPr>
        <w:t xml:space="preserve"> Water Company (</w:t>
      </w:r>
      <w:r w:rsidR="003F0D42">
        <w:rPr>
          <w:rStyle w:val="HeaderChar"/>
          <w:rFonts w:ascii="Palatino Linotype" w:hAnsi="Palatino Linotype" w:eastAsia="Palatino Linotype" w:cs="Palatino Linotype"/>
          <w:sz w:val="24"/>
          <w:szCs w:val="24"/>
        </w:rPr>
        <w:t>BWC</w:t>
      </w:r>
      <w:r w:rsidRPr="009617C9" w:rsidR="00D06E0B">
        <w:rPr>
          <w:rStyle w:val="HeaderChar"/>
          <w:rFonts w:ascii="Palatino Linotype" w:hAnsi="Palatino Linotype" w:eastAsia="Palatino Linotype" w:cs="Palatino Linotype"/>
          <w:sz w:val="24"/>
          <w:szCs w:val="24"/>
        </w:rPr>
        <w:t>)</w:t>
      </w:r>
      <w:r w:rsidRPr="009617C9" w:rsidR="00AE57DD">
        <w:rPr>
          <w:rStyle w:val="HeaderChar"/>
          <w:rFonts w:ascii="Palatino Linotype" w:hAnsi="Palatino Linotype" w:eastAsia="Palatino Linotype" w:cs="Palatino Linotype"/>
          <w:sz w:val="24"/>
          <w:szCs w:val="24"/>
        </w:rPr>
        <w:t xml:space="preserve"> </w:t>
      </w:r>
      <w:r w:rsidRPr="009617C9" w:rsidR="00340AFA">
        <w:rPr>
          <w:rFonts w:ascii="Palatino Linotype" w:hAnsi="Palatino Linotype"/>
          <w:sz w:val="24"/>
          <w:szCs w:val="24"/>
        </w:rPr>
        <w:t xml:space="preserve">seeks a </w:t>
      </w:r>
      <w:r w:rsidRPr="009617C9" w:rsidR="0082427A">
        <w:rPr>
          <w:rFonts w:ascii="Palatino Linotype" w:hAnsi="Palatino Linotype"/>
          <w:sz w:val="24"/>
          <w:szCs w:val="24"/>
        </w:rPr>
        <w:t xml:space="preserve">general </w:t>
      </w:r>
      <w:r w:rsidRPr="009617C9" w:rsidR="00340AFA">
        <w:rPr>
          <w:rFonts w:ascii="Palatino Linotype" w:hAnsi="Palatino Linotype"/>
          <w:sz w:val="24"/>
          <w:szCs w:val="24"/>
        </w:rPr>
        <w:t xml:space="preserve">rate increase </w:t>
      </w:r>
      <w:r w:rsidRPr="009617C9" w:rsidR="00F84BC9">
        <w:rPr>
          <w:rFonts w:ascii="Palatino Linotype" w:hAnsi="Palatino Linotype"/>
          <w:sz w:val="24"/>
          <w:szCs w:val="24"/>
        </w:rPr>
        <w:t xml:space="preserve">producing additional </w:t>
      </w:r>
      <w:r w:rsidRPr="009617C9" w:rsidR="006C37F4">
        <w:rPr>
          <w:rFonts w:ascii="Palatino Linotype" w:hAnsi="Palatino Linotype"/>
          <w:sz w:val="24"/>
          <w:szCs w:val="24"/>
        </w:rPr>
        <w:t xml:space="preserve">annual </w:t>
      </w:r>
      <w:r w:rsidRPr="009617C9" w:rsidR="00340AFA">
        <w:rPr>
          <w:rFonts w:ascii="Palatino Linotype" w:hAnsi="Palatino Linotype"/>
          <w:sz w:val="24"/>
          <w:szCs w:val="24"/>
        </w:rPr>
        <w:t>revenues of $</w:t>
      </w:r>
      <w:r w:rsidR="003F0D42">
        <w:rPr>
          <w:rFonts w:ascii="Palatino Linotype" w:hAnsi="Palatino Linotype"/>
          <w:sz w:val="24"/>
          <w:szCs w:val="24"/>
        </w:rPr>
        <w:t>899</w:t>
      </w:r>
      <w:r w:rsidR="002A6FAB">
        <w:rPr>
          <w:rFonts w:ascii="Palatino Linotype" w:hAnsi="Palatino Linotype"/>
          <w:sz w:val="24"/>
          <w:szCs w:val="24"/>
        </w:rPr>
        <w:t>,</w:t>
      </w:r>
      <w:r w:rsidR="003F0D42">
        <w:rPr>
          <w:rFonts w:ascii="Palatino Linotype" w:hAnsi="Palatino Linotype"/>
          <w:sz w:val="24"/>
          <w:szCs w:val="24"/>
        </w:rPr>
        <w:t>091</w:t>
      </w:r>
      <w:r w:rsidRPr="009617C9" w:rsidR="00EE36E6">
        <w:rPr>
          <w:rFonts w:ascii="Palatino Linotype" w:hAnsi="Palatino Linotype"/>
          <w:sz w:val="24"/>
          <w:szCs w:val="24"/>
        </w:rPr>
        <w:t>,</w:t>
      </w:r>
      <w:r w:rsidRPr="009617C9" w:rsidR="00012712">
        <w:rPr>
          <w:rFonts w:ascii="Palatino Linotype" w:hAnsi="Palatino Linotype"/>
          <w:sz w:val="24"/>
          <w:szCs w:val="24"/>
        </w:rPr>
        <w:t xml:space="preserve"> </w:t>
      </w:r>
      <w:r w:rsidRPr="009617C9" w:rsidR="00340AFA">
        <w:rPr>
          <w:rFonts w:ascii="Palatino Linotype" w:hAnsi="Palatino Linotype"/>
          <w:sz w:val="24"/>
          <w:szCs w:val="24"/>
        </w:rPr>
        <w:t xml:space="preserve">or </w:t>
      </w:r>
      <w:r w:rsidR="003F0D42">
        <w:rPr>
          <w:rFonts w:ascii="Palatino Linotype" w:hAnsi="Palatino Linotype"/>
          <w:sz w:val="24"/>
          <w:szCs w:val="24"/>
        </w:rPr>
        <w:t>40</w:t>
      </w:r>
      <w:r w:rsidR="002A6FAB">
        <w:rPr>
          <w:rFonts w:ascii="Palatino Linotype" w:hAnsi="Palatino Linotype"/>
          <w:sz w:val="24"/>
          <w:szCs w:val="24"/>
        </w:rPr>
        <w:t>.</w:t>
      </w:r>
      <w:r w:rsidR="003F0D42">
        <w:rPr>
          <w:rFonts w:ascii="Palatino Linotype" w:hAnsi="Palatino Linotype"/>
          <w:sz w:val="24"/>
          <w:szCs w:val="24"/>
        </w:rPr>
        <w:t>00</w:t>
      </w:r>
      <w:r w:rsidRPr="009617C9" w:rsidR="00340AFA">
        <w:rPr>
          <w:rFonts w:ascii="Palatino Linotype" w:hAnsi="Palatino Linotype"/>
          <w:sz w:val="24"/>
          <w:szCs w:val="24"/>
        </w:rPr>
        <w:t xml:space="preserve">%, to recover increased operating expenses and </w:t>
      </w:r>
      <w:r w:rsidR="002A6FAB">
        <w:rPr>
          <w:rFonts w:ascii="Palatino Linotype" w:hAnsi="Palatino Linotype"/>
          <w:sz w:val="24"/>
          <w:szCs w:val="24"/>
        </w:rPr>
        <w:t>earn an adequate return on margin over current rates.</w:t>
      </w:r>
    </w:p>
    <w:p w:rsidRPr="009617C9" w:rsidR="00D05891" w:rsidP="006A66BD" w:rsidRDefault="00D05891" w14:paraId="20FE1BDE" w14:textId="77777777">
      <w:pPr>
        <w:pStyle w:val="Body"/>
        <w:spacing w:after="0" w:line="240" w:lineRule="auto"/>
        <w:rPr>
          <w:rStyle w:val="HeaderChar"/>
          <w:rFonts w:ascii="Palatino Linotype" w:hAnsi="Palatino Linotype" w:eastAsia="Palatino Linotype" w:cs="Palatino Linotype"/>
          <w:sz w:val="24"/>
          <w:szCs w:val="24"/>
        </w:rPr>
      </w:pPr>
    </w:p>
    <w:p w:rsidR="00FB79A7" w:rsidP="006A66BD" w:rsidRDefault="00AE57DD" w14:paraId="4F7FDA4E" w14:textId="51F641D0">
      <w:pPr>
        <w:pStyle w:val="Body"/>
        <w:spacing w:after="0" w:line="240" w:lineRule="auto"/>
        <w:rPr>
          <w:rStyle w:val="HeaderChar"/>
          <w:rFonts w:ascii="Palatino Linotype" w:hAnsi="Palatino Linotype" w:eastAsia="Palatino Linotype" w:cs="Palatino Linotype"/>
          <w:sz w:val="24"/>
          <w:szCs w:val="24"/>
        </w:rPr>
      </w:pPr>
      <w:r w:rsidRPr="002F4800">
        <w:rPr>
          <w:rStyle w:val="HeaderChar"/>
          <w:rFonts w:ascii="Palatino Linotype" w:hAnsi="Palatino Linotype" w:eastAsia="Palatino Linotype" w:cs="Palatino Linotype"/>
          <w:sz w:val="24"/>
          <w:szCs w:val="24"/>
        </w:rPr>
        <w:t>This Resolution grants</w:t>
      </w:r>
      <w:r w:rsidRPr="002F4800" w:rsidR="00BC5FB1">
        <w:rPr>
          <w:rStyle w:val="HeaderChar"/>
          <w:rFonts w:ascii="Palatino Linotype" w:hAnsi="Palatino Linotype" w:eastAsia="Palatino Linotype" w:cs="Palatino Linotype"/>
          <w:sz w:val="24"/>
          <w:szCs w:val="24"/>
        </w:rPr>
        <w:t xml:space="preserve"> </w:t>
      </w:r>
      <w:r w:rsidR="003F0D42">
        <w:rPr>
          <w:rStyle w:val="HeaderChar"/>
          <w:rFonts w:ascii="Palatino Linotype" w:hAnsi="Palatino Linotype" w:eastAsia="Palatino Linotype" w:cs="Palatino Linotype"/>
          <w:sz w:val="24"/>
          <w:szCs w:val="24"/>
        </w:rPr>
        <w:t>B</w:t>
      </w:r>
      <w:r w:rsidR="00D5328E">
        <w:rPr>
          <w:rStyle w:val="HeaderChar"/>
          <w:rFonts w:ascii="Palatino Linotype" w:hAnsi="Palatino Linotype" w:eastAsia="Palatino Linotype" w:cs="Palatino Linotype"/>
          <w:sz w:val="24"/>
          <w:szCs w:val="24"/>
        </w:rPr>
        <w:t>akman</w:t>
      </w:r>
      <w:r w:rsidRPr="002F4800" w:rsidR="00D05891">
        <w:rPr>
          <w:rStyle w:val="HeaderChar"/>
          <w:rFonts w:ascii="Palatino Linotype" w:hAnsi="Palatino Linotype" w:eastAsia="Palatino Linotype" w:cs="Palatino Linotype"/>
          <w:sz w:val="24"/>
          <w:szCs w:val="24"/>
        </w:rPr>
        <w:t xml:space="preserve"> </w:t>
      </w:r>
      <w:r w:rsidRPr="002F4800">
        <w:rPr>
          <w:rStyle w:val="HeaderChar"/>
          <w:rFonts w:ascii="Palatino Linotype" w:hAnsi="Palatino Linotype" w:eastAsia="Palatino Linotype" w:cs="Palatino Linotype"/>
          <w:sz w:val="24"/>
          <w:szCs w:val="24"/>
        </w:rPr>
        <w:t>an increa</w:t>
      </w:r>
      <w:r w:rsidRPr="002F4800" w:rsidR="00E10A1C">
        <w:rPr>
          <w:rStyle w:val="HeaderChar"/>
          <w:rFonts w:ascii="Palatino Linotype" w:hAnsi="Palatino Linotype" w:eastAsia="Palatino Linotype" w:cs="Palatino Linotype"/>
          <w:sz w:val="24"/>
          <w:szCs w:val="24"/>
        </w:rPr>
        <w:t xml:space="preserve">se in gross annual revenues of </w:t>
      </w:r>
      <w:r w:rsidRPr="002F4800" w:rsidR="00730EF2">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886</w:t>
      </w:r>
      <w:r w:rsidRPr="002F4800" w:rsidR="00EE36E6">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707</w:t>
      </w:r>
      <w:r w:rsidRPr="002F4800" w:rsidR="00394585">
        <w:rPr>
          <w:rStyle w:val="HeaderChar"/>
          <w:rFonts w:ascii="Palatino Linotype" w:hAnsi="Palatino Linotype" w:eastAsia="Palatino Linotype" w:cs="Palatino Linotype"/>
          <w:sz w:val="24"/>
          <w:szCs w:val="24"/>
        </w:rPr>
        <w:t xml:space="preserve"> </w:t>
      </w:r>
      <w:r w:rsidRPr="002F4800">
        <w:rPr>
          <w:rStyle w:val="HeaderChar"/>
          <w:rFonts w:ascii="Palatino Linotype" w:hAnsi="Palatino Linotype" w:eastAsia="Palatino Linotype" w:cs="Palatino Linotype"/>
          <w:sz w:val="24"/>
          <w:szCs w:val="24"/>
        </w:rPr>
        <w:t xml:space="preserve">or </w:t>
      </w:r>
      <w:r w:rsidR="00DD0847">
        <w:rPr>
          <w:rStyle w:val="HeaderChar"/>
          <w:rFonts w:ascii="Palatino Linotype" w:hAnsi="Palatino Linotype" w:eastAsia="Palatino Linotype" w:cs="Palatino Linotype"/>
          <w:sz w:val="24"/>
          <w:szCs w:val="24"/>
        </w:rPr>
        <w:t>39</w:t>
      </w:r>
      <w:r w:rsidRPr="002F4800" w:rsidR="00B06FB4">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45</w:t>
      </w:r>
      <w:r w:rsidRPr="002F4800">
        <w:rPr>
          <w:rStyle w:val="HeaderChar"/>
          <w:rFonts w:ascii="Palatino Linotype" w:hAnsi="Palatino Linotype" w:eastAsia="Palatino Linotype" w:cs="Palatino Linotype"/>
          <w:sz w:val="24"/>
          <w:szCs w:val="24"/>
        </w:rPr>
        <w:t>%</w:t>
      </w:r>
      <w:r w:rsidRPr="002F4800" w:rsidR="00F83A66">
        <w:rPr>
          <w:rStyle w:val="HeaderChar"/>
          <w:rFonts w:ascii="Palatino Linotype" w:hAnsi="Palatino Linotype" w:eastAsia="Palatino Linotype" w:cs="Palatino Linotype"/>
          <w:sz w:val="24"/>
          <w:szCs w:val="24"/>
        </w:rPr>
        <w:t>,</w:t>
      </w:r>
      <w:r w:rsidRPr="002F4800">
        <w:rPr>
          <w:rStyle w:val="HeaderChar"/>
          <w:rFonts w:ascii="Palatino Linotype" w:hAnsi="Palatino Linotype" w:eastAsia="Palatino Linotype" w:cs="Palatino Linotype"/>
          <w:sz w:val="24"/>
          <w:szCs w:val="24"/>
        </w:rPr>
        <w:t xml:space="preserve"> for Test Year </w:t>
      </w:r>
      <w:r w:rsidRPr="002F4800" w:rsidR="009D4795">
        <w:rPr>
          <w:rStyle w:val="HeaderChar"/>
          <w:rFonts w:ascii="Palatino Linotype" w:hAnsi="Palatino Linotype" w:eastAsia="Palatino Linotype" w:cs="Palatino Linotype"/>
          <w:sz w:val="24"/>
          <w:szCs w:val="24"/>
        </w:rPr>
        <w:t xml:space="preserve">(TY) </w:t>
      </w:r>
      <w:r w:rsidRPr="002F4800">
        <w:rPr>
          <w:rStyle w:val="HeaderChar"/>
          <w:rFonts w:ascii="Palatino Linotype" w:hAnsi="Palatino Linotype" w:eastAsia="Palatino Linotype" w:cs="Palatino Linotype"/>
          <w:sz w:val="24"/>
          <w:szCs w:val="24"/>
        </w:rPr>
        <w:t>201</w:t>
      </w:r>
      <w:r w:rsidRPr="002F4800" w:rsidR="00BC5FB1">
        <w:rPr>
          <w:rStyle w:val="HeaderChar"/>
          <w:rFonts w:ascii="Palatino Linotype" w:hAnsi="Palatino Linotype" w:eastAsia="Palatino Linotype" w:cs="Palatino Linotype"/>
          <w:sz w:val="24"/>
          <w:szCs w:val="24"/>
        </w:rPr>
        <w:t>9</w:t>
      </w:r>
      <w:r w:rsidRPr="002F4800">
        <w:rPr>
          <w:rStyle w:val="HeaderChar"/>
          <w:rFonts w:ascii="Palatino Linotype" w:hAnsi="Palatino Linotype" w:eastAsia="Palatino Linotype" w:cs="Palatino Linotype"/>
          <w:sz w:val="24"/>
          <w:szCs w:val="24"/>
        </w:rPr>
        <w:t xml:space="preserve">, which is estimated to provide a </w:t>
      </w:r>
      <w:r w:rsidRPr="002F4800" w:rsidR="00D06E0B">
        <w:rPr>
          <w:rStyle w:val="HeaderChar"/>
          <w:rFonts w:ascii="Palatino Linotype" w:hAnsi="Palatino Linotype" w:eastAsia="Palatino Linotype" w:cs="Palatino Linotype"/>
          <w:sz w:val="24"/>
          <w:szCs w:val="24"/>
        </w:rPr>
        <w:t>R</w:t>
      </w:r>
      <w:r w:rsidR="007B4655">
        <w:rPr>
          <w:rStyle w:val="HeaderChar"/>
          <w:rFonts w:ascii="Palatino Linotype" w:hAnsi="Palatino Linotype" w:eastAsia="Palatino Linotype" w:cs="Palatino Linotype"/>
          <w:sz w:val="24"/>
          <w:szCs w:val="24"/>
        </w:rPr>
        <w:t>ate</w:t>
      </w:r>
      <w:r w:rsidR="00C16644">
        <w:rPr>
          <w:rStyle w:val="HeaderChar"/>
          <w:rFonts w:ascii="Palatino Linotype" w:hAnsi="Palatino Linotype" w:eastAsia="Palatino Linotype" w:cs="Palatino Linotype"/>
          <w:sz w:val="24"/>
          <w:szCs w:val="24"/>
        </w:rPr>
        <w:t xml:space="preserve"> </w:t>
      </w:r>
      <w:r w:rsidRPr="002F4800" w:rsidR="00D06E0B">
        <w:rPr>
          <w:rStyle w:val="HeaderChar"/>
          <w:rFonts w:ascii="Palatino Linotype" w:hAnsi="Palatino Linotype" w:eastAsia="Palatino Linotype" w:cs="Palatino Linotype"/>
          <w:sz w:val="24"/>
          <w:szCs w:val="24"/>
        </w:rPr>
        <w:t>o</w:t>
      </w:r>
      <w:r w:rsidR="007B4655">
        <w:rPr>
          <w:rStyle w:val="HeaderChar"/>
          <w:rFonts w:ascii="Palatino Linotype" w:hAnsi="Palatino Linotype" w:eastAsia="Palatino Linotype" w:cs="Palatino Linotype"/>
          <w:sz w:val="24"/>
          <w:szCs w:val="24"/>
        </w:rPr>
        <w:t xml:space="preserve">f </w:t>
      </w:r>
      <w:r w:rsidR="00C16644">
        <w:rPr>
          <w:rStyle w:val="HeaderChar"/>
          <w:rFonts w:ascii="Palatino Linotype" w:hAnsi="Palatino Linotype" w:eastAsia="Palatino Linotype" w:cs="Palatino Linotype"/>
          <w:sz w:val="24"/>
          <w:szCs w:val="24"/>
        </w:rPr>
        <w:t xml:space="preserve">Margin </w:t>
      </w:r>
      <w:r w:rsidRPr="002F4800" w:rsidR="00530EF9">
        <w:rPr>
          <w:rStyle w:val="HeaderChar"/>
          <w:rFonts w:ascii="Palatino Linotype" w:hAnsi="Palatino Linotype" w:eastAsia="Palatino Linotype" w:cs="Palatino Linotype"/>
          <w:sz w:val="24"/>
          <w:szCs w:val="24"/>
        </w:rPr>
        <w:t>(RO</w:t>
      </w:r>
      <w:r w:rsidR="009A4840">
        <w:rPr>
          <w:rStyle w:val="HeaderChar"/>
          <w:rFonts w:ascii="Palatino Linotype" w:hAnsi="Palatino Linotype" w:eastAsia="Palatino Linotype" w:cs="Palatino Linotype"/>
          <w:sz w:val="24"/>
          <w:szCs w:val="24"/>
        </w:rPr>
        <w:t>M</w:t>
      </w:r>
      <w:r w:rsidRPr="002F4800" w:rsidR="00530EF9">
        <w:rPr>
          <w:rStyle w:val="HeaderChar"/>
          <w:rFonts w:ascii="Palatino Linotype" w:hAnsi="Palatino Linotype" w:eastAsia="Palatino Linotype" w:cs="Palatino Linotype"/>
          <w:sz w:val="24"/>
          <w:szCs w:val="24"/>
        </w:rPr>
        <w:t xml:space="preserve">) </w:t>
      </w:r>
      <w:r w:rsidRPr="002F4800">
        <w:rPr>
          <w:rStyle w:val="HeaderChar"/>
          <w:rFonts w:ascii="Palatino Linotype" w:hAnsi="Palatino Linotype" w:eastAsia="Palatino Linotype" w:cs="Palatino Linotype"/>
          <w:sz w:val="24"/>
          <w:szCs w:val="24"/>
        </w:rPr>
        <w:t xml:space="preserve">of </w:t>
      </w:r>
      <w:r w:rsidR="003F0D42">
        <w:rPr>
          <w:rStyle w:val="HeaderChar"/>
          <w:rFonts w:ascii="Palatino Linotype" w:hAnsi="Palatino Linotype" w:eastAsia="Palatino Linotype" w:cs="Palatino Linotype"/>
          <w:sz w:val="24"/>
          <w:szCs w:val="24"/>
        </w:rPr>
        <w:t>21</w:t>
      </w:r>
      <w:r w:rsidR="00C16644">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60</w:t>
      </w:r>
      <w:r w:rsidRPr="002F4800" w:rsidR="00D05891">
        <w:rPr>
          <w:rStyle w:val="HeaderChar"/>
          <w:rFonts w:ascii="Palatino Linotype" w:hAnsi="Palatino Linotype" w:eastAsia="Palatino Linotype" w:cs="Palatino Linotype"/>
          <w:sz w:val="24"/>
          <w:szCs w:val="24"/>
        </w:rPr>
        <w:t>%</w:t>
      </w:r>
      <w:r w:rsidRPr="002F4800" w:rsidR="00012712">
        <w:rPr>
          <w:rStyle w:val="HeaderChar"/>
          <w:rFonts w:ascii="Palatino Linotype" w:hAnsi="Palatino Linotype" w:eastAsia="Palatino Linotype" w:cs="Palatino Linotype"/>
          <w:sz w:val="24"/>
          <w:szCs w:val="24"/>
        </w:rPr>
        <w:t>.</w:t>
      </w:r>
      <w:r w:rsidRPr="002F4800" w:rsidR="00A571E7">
        <w:rPr>
          <w:rStyle w:val="HeaderChar"/>
          <w:rFonts w:ascii="Palatino Linotype" w:hAnsi="Palatino Linotype" w:eastAsia="Palatino Linotype" w:cs="Palatino Linotype"/>
          <w:sz w:val="24"/>
          <w:szCs w:val="24"/>
        </w:rPr>
        <w:t xml:space="preserve"> </w:t>
      </w:r>
    </w:p>
    <w:p w:rsidRPr="009617C9" w:rsidR="006C34D3" w:rsidP="006A66BD" w:rsidRDefault="006C34D3" w14:paraId="6CA268B3" w14:textId="77777777">
      <w:pPr>
        <w:pStyle w:val="Body"/>
        <w:spacing w:after="0" w:line="240" w:lineRule="auto"/>
        <w:rPr>
          <w:rStyle w:val="HeaderChar"/>
          <w:rFonts w:ascii="Palatino Linotype" w:hAnsi="Palatino Linotype" w:eastAsia="Palatino Linotype" w:cs="Palatino Linotype"/>
          <w:b/>
          <w:bCs/>
          <w:sz w:val="28"/>
          <w:szCs w:val="28"/>
          <w:u w:val="single"/>
        </w:rPr>
      </w:pPr>
    </w:p>
    <w:p w:rsidRPr="009617C9" w:rsidR="001E2FB4" w:rsidP="006A66BD" w:rsidRDefault="00AE57DD" w14:paraId="0E746903" w14:textId="77777777">
      <w:pPr>
        <w:pStyle w:val="Body"/>
        <w:spacing w:after="0" w:line="240" w:lineRule="auto"/>
        <w:rPr>
          <w:rFonts w:ascii="Palatino Linotype" w:hAnsi="Palatino Linotype"/>
        </w:rPr>
      </w:pPr>
      <w:r w:rsidRPr="00824D94">
        <w:rPr>
          <w:rStyle w:val="HeaderChar"/>
          <w:rFonts w:ascii="Palatino Linotype" w:hAnsi="Palatino Linotype" w:eastAsia="Palatino Linotype" w:cs="Palatino Linotype"/>
          <w:b/>
          <w:bCs/>
          <w:sz w:val="28"/>
          <w:szCs w:val="28"/>
          <w:u w:val="single"/>
        </w:rPr>
        <w:t>BACKGROUND</w:t>
      </w:r>
      <w:r w:rsidRPr="009617C9" w:rsidR="00934C0A">
        <w:rPr>
          <w:rStyle w:val="HeaderChar"/>
          <w:rFonts w:ascii="Palatino Linotype" w:hAnsi="Palatino Linotype" w:eastAsia="Palatino Linotype" w:cs="Palatino Linotype"/>
          <w:b/>
          <w:bCs/>
          <w:sz w:val="28"/>
          <w:szCs w:val="28"/>
          <w:u w:val="single"/>
        </w:rPr>
        <w:br/>
      </w:r>
    </w:p>
    <w:p w:rsidR="002A6FAB" w:rsidP="006A66BD" w:rsidRDefault="003F0D42" w14:paraId="5E311066" w14:textId="292199F4">
      <w:pPr>
        <w:pStyle w:val="Quote"/>
        <w:rPr>
          <w:rStyle w:val="HeaderChar"/>
          <w:rFonts w:ascii="Palatino Linotype" w:hAnsi="Palatino Linotype" w:eastAsia="Palatino Linotype" w:cs="Palatino Linotype"/>
          <w:i w:val="0"/>
          <w:iCs w:val="0"/>
          <w:color w:val="000000"/>
          <w:u w:color="000000"/>
        </w:rPr>
      </w:pPr>
      <w:r>
        <w:rPr>
          <w:rStyle w:val="HeaderChar"/>
          <w:rFonts w:ascii="Palatino Linotype" w:hAnsi="Palatino Linotype" w:eastAsia="Palatino Linotype" w:cs="Palatino Linotype"/>
          <w:i w:val="0"/>
          <w:iCs w:val="0"/>
          <w:color w:val="000000"/>
          <w:u w:color="000000"/>
        </w:rPr>
        <w:t>B</w:t>
      </w:r>
      <w:r w:rsidR="00D5328E">
        <w:rPr>
          <w:rStyle w:val="HeaderChar"/>
          <w:rFonts w:ascii="Palatino Linotype" w:hAnsi="Palatino Linotype" w:eastAsia="Palatino Linotype" w:cs="Palatino Linotype"/>
          <w:i w:val="0"/>
          <w:iCs w:val="0"/>
          <w:color w:val="000000"/>
          <w:u w:color="000000"/>
        </w:rPr>
        <w:t>akman</w:t>
      </w:r>
      <w:r w:rsidRPr="009617C9" w:rsidR="00485CF4">
        <w:rPr>
          <w:rStyle w:val="HeaderChar"/>
          <w:rFonts w:ascii="Palatino Linotype" w:hAnsi="Palatino Linotype" w:eastAsia="Palatino Linotype" w:cs="Palatino Linotype"/>
          <w:i w:val="0"/>
          <w:iCs w:val="0"/>
          <w:color w:val="000000"/>
          <w:u w:color="000000"/>
        </w:rPr>
        <w:t xml:space="preserve"> </w:t>
      </w:r>
      <w:r w:rsidRPr="009617C9" w:rsidR="00C9321E">
        <w:rPr>
          <w:rStyle w:val="HeaderChar"/>
          <w:rFonts w:ascii="Palatino Linotype" w:hAnsi="Palatino Linotype" w:eastAsia="Palatino Linotype" w:cs="Palatino Linotype"/>
          <w:i w:val="0"/>
          <w:iCs w:val="0"/>
          <w:color w:val="000000"/>
          <w:u w:color="000000"/>
        </w:rPr>
        <w:t xml:space="preserve">has requested authority under General Order (GO) 96-B, Water Industry Rule 7.3.3(5), and Section 454 of the Public Utilities Code to increase its </w:t>
      </w:r>
      <w:r w:rsidRPr="009617C9" w:rsidR="00485CF4">
        <w:rPr>
          <w:rStyle w:val="HeaderChar"/>
          <w:rFonts w:ascii="Palatino Linotype" w:hAnsi="Palatino Linotype" w:eastAsia="Palatino Linotype" w:cs="Palatino Linotype"/>
          <w:i w:val="0"/>
          <w:iCs w:val="0"/>
          <w:color w:val="000000"/>
          <w:u w:color="000000"/>
        </w:rPr>
        <w:t>water</w:t>
      </w:r>
      <w:r w:rsidRPr="009617C9" w:rsidR="00986DCE">
        <w:rPr>
          <w:rStyle w:val="HeaderChar"/>
          <w:rFonts w:ascii="Palatino Linotype" w:hAnsi="Palatino Linotype" w:eastAsia="Palatino Linotype" w:cs="Palatino Linotype"/>
          <w:i w:val="0"/>
          <w:iCs w:val="0"/>
          <w:color w:val="000000"/>
          <w:u w:color="000000"/>
        </w:rPr>
        <w:t xml:space="preserve"> </w:t>
      </w:r>
      <w:r w:rsidRPr="009617C9" w:rsidR="00C9321E">
        <w:rPr>
          <w:rStyle w:val="HeaderChar"/>
          <w:rFonts w:ascii="Palatino Linotype" w:hAnsi="Palatino Linotype" w:eastAsia="Palatino Linotype" w:cs="Palatino Linotype"/>
          <w:i w:val="0"/>
          <w:iCs w:val="0"/>
          <w:color w:val="000000"/>
          <w:u w:color="000000"/>
        </w:rPr>
        <w:t>rates by $</w:t>
      </w:r>
      <w:r>
        <w:rPr>
          <w:rStyle w:val="HeaderChar"/>
          <w:rFonts w:ascii="Palatino Linotype" w:hAnsi="Palatino Linotype" w:eastAsia="Palatino Linotype" w:cs="Palatino Linotype"/>
          <w:i w:val="0"/>
          <w:iCs w:val="0"/>
          <w:color w:val="000000"/>
          <w:u w:color="000000"/>
        </w:rPr>
        <w:t>899</w:t>
      </w:r>
      <w:r w:rsidR="002A6FAB">
        <w:rPr>
          <w:rStyle w:val="HeaderChar"/>
          <w:rFonts w:ascii="Palatino Linotype" w:hAnsi="Palatino Linotype" w:eastAsia="Palatino Linotype" w:cs="Palatino Linotype"/>
          <w:i w:val="0"/>
          <w:iCs w:val="0"/>
          <w:color w:val="000000"/>
          <w:u w:color="000000"/>
        </w:rPr>
        <w:t>,</w:t>
      </w:r>
      <w:r>
        <w:rPr>
          <w:rStyle w:val="HeaderChar"/>
          <w:rFonts w:ascii="Palatino Linotype" w:hAnsi="Palatino Linotype" w:eastAsia="Palatino Linotype" w:cs="Palatino Linotype"/>
          <w:i w:val="0"/>
          <w:iCs w:val="0"/>
          <w:color w:val="000000"/>
          <w:u w:color="000000"/>
        </w:rPr>
        <w:t>091</w:t>
      </w:r>
      <w:r w:rsidRPr="009617C9" w:rsidR="00C9321E">
        <w:rPr>
          <w:rStyle w:val="HeaderChar"/>
          <w:rFonts w:ascii="Palatino Linotype" w:hAnsi="Palatino Linotype" w:eastAsia="Palatino Linotype" w:cs="Palatino Linotype"/>
          <w:i w:val="0"/>
          <w:iCs w:val="0"/>
          <w:color w:val="000000"/>
          <w:u w:color="000000"/>
        </w:rPr>
        <w:t xml:space="preserve"> or </w:t>
      </w:r>
      <w:r>
        <w:rPr>
          <w:rStyle w:val="HeaderChar"/>
          <w:rFonts w:ascii="Palatino Linotype" w:hAnsi="Palatino Linotype" w:eastAsia="Palatino Linotype" w:cs="Palatino Linotype"/>
          <w:i w:val="0"/>
          <w:iCs w:val="0"/>
          <w:color w:val="000000"/>
          <w:u w:color="000000"/>
        </w:rPr>
        <w:t>40</w:t>
      </w:r>
      <w:r w:rsidRPr="009617C9" w:rsidR="00012712">
        <w:rPr>
          <w:rStyle w:val="HeaderChar"/>
          <w:rFonts w:ascii="Palatino Linotype" w:hAnsi="Palatino Linotype" w:eastAsia="Palatino Linotype" w:cs="Palatino Linotype"/>
          <w:i w:val="0"/>
          <w:iCs w:val="0"/>
          <w:color w:val="000000"/>
          <w:u w:color="000000"/>
        </w:rPr>
        <w:t>.</w:t>
      </w:r>
      <w:r>
        <w:rPr>
          <w:rStyle w:val="HeaderChar"/>
          <w:rFonts w:ascii="Palatino Linotype" w:hAnsi="Palatino Linotype" w:eastAsia="Palatino Linotype" w:cs="Palatino Linotype"/>
          <w:i w:val="0"/>
          <w:iCs w:val="0"/>
          <w:color w:val="000000"/>
          <w:u w:color="000000"/>
        </w:rPr>
        <w:t>00%</w:t>
      </w:r>
      <w:r w:rsidRPr="009617C9" w:rsidR="00C9321E">
        <w:rPr>
          <w:rStyle w:val="HeaderChar"/>
          <w:rFonts w:ascii="Palatino Linotype" w:hAnsi="Palatino Linotype" w:eastAsia="Palatino Linotype" w:cs="Palatino Linotype"/>
          <w:i w:val="0"/>
          <w:iCs w:val="0"/>
          <w:color w:val="000000"/>
          <w:u w:color="000000"/>
        </w:rPr>
        <w:t xml:space="preserve"> for TY 201</w:t>
      </w:r>
      <w:r w:rsidR="002A6FAB">
        <w:rPr>
          <w:rStyle w:val="HeaderChar"/>
          <w:rFonts w:ascii="Palatino Linotype" w:hAnsi="Palatino Linotype" w:eastAsia="Palatino Linotype" w:cs="Palatino Linotype"/>
          <w:i w:val="0"/>
          <w:iCs w:val="0"/>
          <w:color w:val="000000"/>
          <w:u w:color="000000"/>
        </w:rPr>
        <w:t>9</w:t>
      </w:r>
      <w:r w:rsidRPr="009617C9" w:rsidR="00C9321E">
        <w:rPr>
          <w:rStyle w:val="HeaderChar"/>
          <w:rFonts w:ascii="Palatino Linotype" w:hAnsi="Palatino Linotype" w:eastAsia="Palatino Linotype" w:cs="Palatino Linotype"/>
          <w:i w:val="0"/>
          <w:iCs w:val="0"/>
          <w:color w:val="000000"/>
          <w:u w:color="000000"/>
        </w:rPr>
        <w:t xml:space="preserve"> which is estimated to </w:t>
      </w:r>
      <w:r w:rsidRPr="009617C9" w:rsidR="00000ABE">
        <w:rPr>
          <w:rStyle w:val="HeaderChar"/>
          <w:rFonts w:ascii="Palatino Linotype" w:hAnsi="Palatino Linotype" w:eastAsia="Palatino Linotype" w:cs="Palatino Linotype"/>
          <w:i w:val="0"/>
          <w:iCs w:val="0"/>
          <w:color w:val="000000"/>
          <w:u w:color="000000"/>
        </w:rPr>
        <w:t xml:space="preserve">provide </w:t>
      </w:r>
      <w:r w:rsidRPr="009617C9" w:rsidR="00C9321E">
        <w:rPr>
          <w:rStyle w:val="HeaderChar"/>
          <w:rFonts w:ascii="Palatino Linotype" w:hAnsi="Palatino Linotype" w:eastAsia="Palatino Linotype" w:cs="Palatino Linotype"/>
          <w:i w:val="0"/>
          <w:iCs w:val="0"/>
          <w:color w:val="000000"/>
          <w:u w:color="000000"/>
        </w:rPr>
        <w:t xml:space="preserve">a </w:t>
      </w:r>
      <w:r w:rsidRPr="009617C9" w:rsidR="00530EF9">
        <w:rPr>
          <w:rStyle w:val="HeaderChar"/>
          <w:rFonts w:ascii="Palatino Linotype" w:hAnsi="Palatino Linotype" w:eastAsia="Palatino Linotype" w:cs="Palatino Linotype"/>
          <w:i w:val="0"/>
          <w:iCs w:val="0"/>
          <w:color w:val="000000"/>
          <w:u w:color="000000"/>
        </w:rPr>
        <w:t>RO</w:t>
      </w:r>
      <w:r w:rsidR="00FF3912">
        <w:rPr>
          <w:rStyle w:val="HeaderChar"/>
          <w:rFonts w:ascii="Palatino Linotype" w:hAnsi="Palatino Linotype" w:eastAsia="Palatino Linotype" w:cs="Palatino Linotype"/>
          <w:i w:val="0"/>
          <w:iCs w:val="0"/>
          <w:color w:val="000000"/>
          <w:u w:color="000000"/>
        </w:rPr>
        <w:t>M</w:t>
      </w:r>
      <w:r w:rsidRPr="009617C9" w:rsidR="00C9321E">
        <w:rPr>
          <w:rStyle w:val="HeaderChar"/>
          <w:rFonts w:ascii="Palatino Linotype" w:hAnsi="Palatino Linotype" w:eastAsia="Palatino Linotype" w:cs="Palatino Linotype"/>
          <w:i w:val="0"/>
          <w:iCs w:val="0"/>
          <w:color w:val="000000"/>
          <w:u w:color="000000"/>
        </w:rPr>
        <w:t xml:space="preserve"> of </w:t>
      </w:r>
      <w:r w:rsidR="006E5B24">
        <w:rPr>
          <w:rStyle w:val="HeaderChar"/>
          <w:rFonts w:ascii="Palatino Linotype" w:hAnsi="Palatino Linotype" w:eastAsia="Palatino Linotype" w:cs="Palatino Linotype"/>
          <w:i w:val="0"/>
          <w:iCs w:val="0"/>
          <w:color w:val="000000"/>
          <w:u w:color="000000"/>
        </w:rPr>
        <w:t>2</w:t>
      </w:r>
      <w:r>
        <w:rPr>
          <w:rStyle w:val="HeaderChar"/>
          <w:rFonts w:ascii="Palatino Linotype" w:hAnsi="Palatino Linotype" w:eastAsia="Palatino Linotype" w:cs="Palatino Linotype"/>
          <w:i w:val="0"/>
          <w:iCs w:val="0"/>
          <w:color w:val="000000"/>
          <w:u w:color="000000"/>
        </w:rPr>
        <w:t>1</w:t>
      </w:r>
      <w:r w:rsidR="002A6FAB">
        <w:rPr>
          <w:rStyle w:val="HeaderChar"/>
          <w:rFonts w:ascii="Palatino Linotype" w:hAnsi="Palatino Linotype" w:eastAsia="Palatino Linotype" w:cs="Palatino Linotype"/>
          <w:i w:val="0"/>
          <w:iCs w:val="0"/>
          <w:color w:val="000000"/>
          <w:u w:color="000000"/>
        </w:rPr>
        <w:t>.</w:t>
      </w:r>
      <w:r>
        <w:rPr>
          <w:rStyle w:val="HeaderChar"/>
          <w:rFonts w:ascii="Palatino Linotype" w:hAnsi="Palatino Linotype" w:eastAsia="Palatino Linotype" w:cs="Palatino Linotype"/>
          <w:i w:val="0"/>
          <w:iCs w:val="0"/>
          <w:color w:val="000000"/>
          <w:u w:color="000000"/>
        </w:rPr>
        <w:t>86</w:t>
      </w:r>
      <w:r w:rsidRPr="009617C9" w:rsidR="00C9321E">
        <w:rPr>
          <w:rStyle w:val="HeaderChar"/>
          <w:rFonts w:ascii="Palatino Linotype" w:hAnsi="Palatino Linotype" w:eastAsia="Palatino Linotype" w:cs="Palatino Linotype"/>
          <w:i w:val="0"/>
          <w:iCs w:val="0"/>
          <w:color w:val="000000"/>
          <w:u w:color="000000"/>
        </w:rPr>
        <w:t>%.</w:t>
      </w:r>
    </w:p>
    <w:p w:rsidR="002A6FAB" w:rsidP="006A66BD" w:rsidRDefault="002A6FAB" w14:paraId="32548C49" w14:textId="77777777">
      <w:pPr>
        <w:pStyle w:val="Quote"/>
        <w:rPr>
          <w:rStyle w:val="HeaderChar"/>
          <w:rFonts w:ascii="Palatino Linotype" w:hAnsi="Palatino Linotype" w:eastAsia="Palatino Linotype" w:cs="Palatino Linotype"/>
          <w:i w:val="0"/>
          <w:iCs w:val="0"/>
          <w:color w:val="000000"/>
          <w:u w:color="000000"/>
        </w:rPr>
      </w:pPr>
    </w:p>
    <w:p w:rsidR="00C9321E" w:rsidP="006A66BD" w:rsidRDefault="002A6FAB" w14:paraId="22ED5336" w14:textId="6F83925F">
      <w:pPr>
        <w:pStyle w:val="Quote"/>
        <w:rPr>
          <w:rStyle w:val="HeaderChar"/>
          <w:rFonts w:ascii="Palatino Linotype" w:hAnsi="Palatino Linotype" w:eastAsia="Palatino Linotype" w:cs="Palatino Linotype"/>
          <w:i w:val="0"/>
          <w:iCs w:val="0"/>
          <w:color w:val="000000"/>
          <w:u w:color="000000"/>
        </w:rPr>
      </w:pPr>
      <w:r>
        <w:rPr>
          <w:rStyle w:val="HeaderChar"/>
          <w:rFonts w:ascii="Palatino Linotype" w:hAnsi="Palatino Linotype" w:eastAsia="Palatino Linotype" w:cs="Palatino Linotype"/>
          <w:i w:val="0"/>
          <w:iCs w:val="0"/>
          <w:color w:val="000000"/>
          <w:u w:color="000000"/>
        </w:rPr>
        <w:t>The</w:t>
      </w:r>
      <w:r w:rsidRPr="009617C9" w:rsidR="00C9321E">
        <w:rPr>
          <w:rStyle w:val="HeaderChar"/>
          <w:rFonts w:ascii="Palatino Linotype" w:hAnsi="Palatino Linotype" w:eastAsia="Palatino Linotype" w:cs="Palatino Linotype"/>
          <w:i w:val="0"/>
          <w:iCs w:val="0"/>
          <w:color w:val="000000"/>
          <w:u w:color="000000"/>
        </w:rPr>
        <w:t xml:space="preserve"> last </w:t>
      </w:r>
      <w:r w:rsidRPr="009617C9" w:rsidR="00485CF4">
        <w:rPr>
          <w:rStyle w:val="HeaderChar"/>
          <w:rFonts w:ascii="Palatino Linotype" w:hAnsi="Palatino Linotype" w:eastAsia="Palatino Linotype" w:cs="Palatino Linotype"/>
          <w:i w:val="0"/>
          <w:iCs w:val="0"/>
          <w:color w:val="000000"/>
          <w:u w:color="000000"/>
        </w:rPr>
        <w:t xml:space="preserve">general rate increase </w:t>
      </w:r>
      <w:r w:rsidRPr="009617C9" w:rsidR="00C9321E">
        <w:rPr>
          <w:rStyle w:val="HeaderChar"/>
          <w:rFonts w:ascii="Palatino Linotype" w:hAnsi="Palatino Linotype" w:eastAsia="Palatino Linotype" w:cs="Palatino Linotype"/>
          <w:i w:val="0"/>
          <w:iCs w:val="0"/>
          <w:color w:val="000000"/>
          <w:u w:color="000000"/>
        </w:rPr>
        <w:t xml:space="preserve">was granted on </w:t>
      </w:r>
      <w:bookmarkStart w:name="_Hlk17105250" w:id="1"/>
      <w:r w:rsidR="00E333FB">
        <w:rPr>
          <w:rStyle w:val="HeaderChar"/>
          <w:rFonts w:ascii="Palatino Linotype" w:hAnsi="Palatino Linotype" w:eastAsia="Palatino Linotype" w:cs="Palatino Linotype"/>
          <w:i w:val="0"/>
          <w:iCs w:val="0"/>
          <w:color w:val="000000"/>
          <w:u w:color="000000"/>
        </w:rPr>
        <w:t>May 3</w:t>
      </w:r>
      <w:r w:rsidRPr="009617C9" w:rsidR="00C9321E">
        <w:rPr>
          <w:rStyle w:val="HeaderChar"/>
          <w:rFonts w:ascii="Palatino Linotype" w:hAnsi="Palatino Linotype" w:eastAsia="Palatino Linotype" w:cs="Palatino Linotype"/>
          <w:i w:val="0"/>
          <w:iCs w:val="0"/>
          <w:color w:val="000000"/>
          <w:u w:color="000000"/>
        </w:rPr>
        <w:t>, 20</w:t>
      </w:r>
      <w:r w:rsidR="00E333FB">
        <w:rPr>
          <w:rStyle w:val="HeaderChar"/>
          <w:rFonts w:ascii="Palatino Linotype" w:hAnsi="Palatino Linotype" w:eastAsia="Palatino Linotype" w:cs="Palatino Linotype"/>
          <w:i w:val="0"/>
          <w:iCs w:val="0"/>
          <w:color w:val="000000"/>
          <w:u w:color="000000"/>
        </w:rPr>
        <w:t>07</w:t>
      </w:r>
      <w:r w:rsidRPr="009617C9" w:rsidR="00C9321E">
        <w:rPr>
          <w:rStyle w:val="HeaderChar"/>
          <w:rFonts w:ascii="Palatino Linotype" w:hAnsi="Palatino Linotype" w:eastAsia="Palatino Linotype" w:cs="Palatino Linotype"/>
          <w:i w:val="0"/>
          <w:iCs w:val="0"/>
          <w:color w:val="000000"/>
          <w:u w:color="000000"/>
        </w:rPr>
        <w:t xml:space="preserve"> </w:t>
      </w:r>
      <w:bookmarkEnd w:id="1"/>
      <w:r w:rsidRPr="009617C9" w:rsidR="00C9321E">
        <w:rPr>
          <w:rStyle w:val="HeaderChar"/>
          <w:rFonts w:ascii="Palatino Linotype" w:hAnsi="Palatino Linotype" w:eastAsia="Palatino Linotype" w:cs="Palatino Linotype"/>
          <w:i w:val="0"/>
          <w:iCs w:val="0"/>
          <w:color w:val="000000"/>
          <w:u w:color="000000"/>
        </w:rPr>
        <w:t>by Commission Resolution (Res.) W-</w:t>
      </w:r>
      <w:r w:rsidR="00E333FB">
        <w:rPr>
          <w:rStyle w:val="HeaderChar"/>
          <w:rFonts w:ascii="Palatino Linotype" w:hAnsi="Palatino Linotype" w:eastAsia="Palatino Linotype" w:cs="Palatino Linotype"/>
          <w:i w:val="0"/>
          <w:iCs w:val="0"/>
          <w:color w:val="000000"/>
          <w:u w:color="000000"/>
        </w:rPr>
        <w:t>4640</w:t>
      </w:r>
      <w:r>
        <w:rPr>
          <w:rStyle w:val="HeaderChar"/>
          <w:rFonts w:ascii="Palatino Linotype" w:hAnsi="Palatino Linotype" w:eastAsia="Palatino Linotype" w:cs="Palatino Linotype"/>
          <w:i w:val="0"/>
          <w:iCs w:val="0"/>
          <w:color w:val="000000"/>
          <w:u w:color="000000"/>
        </w:rPr>
        <w:t>,</w:t>
      </w:r>
      <w:r w:rsidRPr="009617C9" w:rsidR="00C9321E">
        <w:rPr>
          <w:rStyle w:val="HeaderChar"/>
          <w:rFonts w:ascii="Palatino Linotype" w:hAnsi="Palatino Linotype" w:eastAsia="Palatino Linotype" w:cs="Palatino Linotype"/>
          <w:i w:val="0"/>
          <w:iCs w:val="0"/>
          <w:color w:val="000000"/>
          <w:u w:color="000000"/>
        </w:rPr>
        <w:t xml:space="preserve"> which authorized a</w:t>
      </w:r>
      <w:r w:rsidRPr="009617C9" w:rsidR="00573A16">
        <w:rPr>
          <w:rStyle w:val="HeaderChar"/>
          <w:rFonts w:ascii="Palatino Linotype" w:hAnsi="Palatino Linotype" w:eastAsia="Palatino Linotype" w:cs="Palatino Linotype"/>
          <w:i w:val="0"/>
          <w:iCs w:val="0"/>
          <w:color w:val="000000"/>
          <w:u w:color="000000"/>
        </w:rPr>
        <w:t xml:space="preserve"> </w:t>
      </w:r>
      <w:r w:rsidRPr="009617C9" w:rsidR="00C9321E">
        <w:rPr>
          <w:rStyle w:val="HeaderChar"/>
          <w:rFonts w:ascii="Palatino Linotype" w:hAnsi="Palatino Linotype" w:eastAsia="Palatino Linotype" w:cs="Palatino Linotype"/>
          <w:i w:val="0"/>
          <w:iCs w:val="0"/>
          <w:color w:val="000000"/>
          <w:u w:color="000000"/>
        </w:rPr>
        <w:t>rate increase of $</w:t>
      </w:r>
      <w:r w:rsidR="00E333FB">
        <w:rPr>
          <w:rStyle w:val="HeaderChar"/>
          <w:rFonts w:ascii="Palatino Linotype" w:hAnsi="Palatino Linotype" w:eastAsia="Palatino Linotype" w:cs="Palatino Linotype"/>
          <w:i w:val="0"/>
          <w:iCs w:val="0"/>
          <w:color w:val="000000"/>
          <w:u w:color="000000"/>
        </w:rPr>
        <w:t>419</w:t>
      </w:r>
      <w:r w:rsidRPr="009617C9" w:rsidR="00C9321E">
        <w:rPr>
          <w:rStyle w:val="HeaderChar"/>
          <w:rFonts w:ascii="Palatino Linotype" w:hAnsi="Palatino Linotype" w:eastAsia="Palatino Linotype" w:cs="Palatino Linotype"/>
          <w:i w:val="0"/>
          <w:iCs w:val="0"/>
          <w:color w:val="000000"/>
          <w:u w:color="000000"/>
        </w:rPr>
        <w:t>,</w:t>
      </w:r>
      <w:r>
        <w:rPr>
          <w:rStyle w:val="HeaderChar"/>
          <w:rFonts w:ascii="Palatino Linotype" w:hAnsi="Palatino Linotype" w:eastAsia="Palatino Linotype" w:cs="Palatino Linotype"/>
          <w:i w:val="0"/>
          <w:iCs w:val="0"/>
          <w:color w:val="000000"/>
          <w:u w:color="000000"/>
        </w:rPr>
        <w:t>5</w:t>
      </w:r>
      <w:r w:rsidR="00E333FB">
        <w:rPr>
          <w:rStyle w:val="HeaderChar"/>
          <w:rFonts w:ascii="Palatino Linotype" w:hAnsi="Palatino Linotype" w:eastAsia="Palatino Linotype" w:cs="Palatino Linotype"/>
          <w:i w:val="0"/>
          <w:iCs w:val="0"/>
          <w:color w:val="000000"/>
          <w:u w:color="000000"/>
        </w:rPr>
        <w:t>48</w:t>
      </w:r>
      <w:r w:rsidRPr="009617C9" w:rsidR="00522F11">
        <w:rPr>
          <w:rStyle w:val="HeaderChar"/>
          <w:rFonts w:ascii="Palatino Linotype" w:hAnsi="Palatino Linotype" w:eastAsia="Palatino Linotype" w:cs="Palatino Linotype"/>
          <w:i w:val="0"/>
          <w:iCs w:val="0"/>
          <w:color w:val="000000"/>
          <w:u w:color="000000"/>
        </w:rPr>
        <w:t>,</w:t>
      </w:r>
      <w:r w:rsidRPr="009617C9" w:rsidR="00C9321E">
        <w:rPr>
          <w:rStyle w:val="HeaderChar"/>
          <w:rFonts w:ascii="Palatino Linotype" w:hAnsi="Palatino Linotype" w:eastAsia="Palatino Linotype" w:cs="Palatino Linotype"/>
          <w:i w:val="0"/>
          <w:iCs w:val="0"/>
          <w:color w:val="000000"/>
          <w:u w:color="000000"/>
        </w:rPr>
        <w:t xml:space="preserve"> or </w:t>
      </w:r>
      <w:r w:rsidR="00E333FB">
        <w:rPr>
          <w:rStyle w:val="HeaderChar"/>
          <w:rFonts w:ascii="Palatino Linotype" w:hAnsi="Palatino Linotype" w:eastAsia="Palatino Linotype" w:cs="Palatino Linotype"/>
          <w:i w:val="0"/>
          <w:iCs w:val="0"/>
          <w:color w:val="000000"/>
          <w:u w:color="000000"/>
        </w:rPr>
        <w:t>37</w:t>
      </w:r>
      <w:r>
        <w:rPr>
          <w:rStyle w:val="HeaderChar"/>
          <w:rFonts w:ascii="Palatino Linotype" w:hAnsi="Palatino Linotype" w:eastAsia="Palatino Linotype" w:cs="Palatino Linotype"/>
          <w:i w:val="0"/>
          <w:iCs w:val="0"/>
          <w:color w:val="000000"/>
          <w:u w:color="000000"/>
        </w:rPr>
        <w:t>.</w:t>
      </w:r>
      <w:r w:rsidR="00E333FB">
        <w:rPr>
          <w:rStyle w:val="HeaderChar"/>
          <w:rFonts w:ascii="Palatino Linotype" w:hAnsi="Palatino Linotype" w:eastAsia="Palatino Linotype" w:cs="Palatino Linotype"/>
          <w:i w:val="0"/>
          <w:iCs w:val="0"/>
          <w:color w:val="000000"/>
          <w:u w:color="000000"/>
        </w:rPr>
        <w:t>80</w:t>
      </w:r>
      <w:r w:rsidRPr="009617C9" w:rsidR="00C9321E">
        <w:rPr>
          <w:rStyle w:val="HeaderChar"/>
          <w:rFonts w:ascii="Palatino Linotype" w:hAnsi="Palatino Linotype" w:eastAsia="Palatino Linotype" w:cs="Palatino Linotype"/>
          <w:i w:val="0"/>
          <w:iCs w:val="0"/>
          <w:color w:val="000000"/>
          <w:u w:color="000000"/>
        </w:rPr>
        <w:t>%</w:t>
      </w:r>
      <w:r w:rsidRPr="009617C9" w:rsidR="00F83A66">
        <w:rPr>
          <w:rStyle w:val="HeaderChar"/>
          <w:rFonts w:ascii="Palatino Linotype" w:hAnsi="Palatino Linotype" w:eastAsia="Palatino Linotype" w:cs="Palatino Linotype"/>
          <w:i w:val="0"/>
          <w:iCs w:val="0"/>
          <w:color w:val="000000"/>
          <w:u w:color="000000"/>
        </w:rPr>
        <w:t>,</w:t>
      </w:r>
      <w:r w:rsidRPr="009617C9" w:rsidR="00C9321E">
        <w:rPr>
          <w:rStyle w:val="HeaderChar"/>
          <w:rFonts w:ascii="Palatino Linotype" w:hAnsi="Palatino Linotype" w:eastAsia="Palatino Linotype" w:cs="Palatino Linotype"/>
          <w:i w:val="0"/>
          <w:iCs w:val="0"/>
          <w:color w:val="000000"/>
          <w:u w:color="000000"/>
        </w:rPr>
        <w:t xml:space="preserve"> </w:t>
      </w:r>
      <w:r>
        <w:rPr>
          <w:rStyle w:val="HeaderChar"/>
          <w:rFonts w:ascii="Palatino Linotype" w:hAnsi="Palatino Linotype" w:eastAsia="Palatino Linotype" w:cs="Palatino Linotype"/>
          <w:i w:val="0"/>
          <w:iCs w:val="0"/>
          <w:color w:val="000000"/>
          <w:u w:color="000000"/>
        </w:rPr>
        <w:t xml:space="preserve">resulting in a </w:t>
      </w:r>
      <w:r w:rsidR="00E333FB">
        <w:rPr>
          <w:rStyle w:val="HeaderChar"/>
          <w:rFonts w:ascii="Palatino Linotype" w:hAnsi="Palatino Linotype" w:eastAsia="Palatino Linotype" w:cs="Palatino Linotype"/>
          <w:i w:val="0"/>
          <w:iCs w:val="0"/>
          <w:color w:val="000000"/>
          <w:u w:color="000000"/>
        </w:rPr>
        <w:t>ROM</w:t>
      </w:r>
      <w:r>
        <w:rPr>
          <w:rStyle w:val="HeaderChar"/>
          <w:rFonts w:ascii="Palatino Linotype" w:hAnsi="Palatino Linotype" w:eastAsia="Palatino Linotype" w:cs="Palatino Linotype"/>
          <w:i w:val="0"/>
          <w:iCs w:val="0"/>
          <w:color w:val="000000"/>
          <w:u w:color="000000"/>
        </w:rPr>
        <w:t xml:space="preserve"> of </w:t>
      </w:r>
      <w:r w:rsidR="00E333FB">
        <w:rPr>
          <w:rStyle w:val="HeaderChar"/>
          <w:rFonts w:ascii="Palatino Linotype" w:hAnsi="Palatino Linotype" w:eastAsia="Palatino Linotype" w:cs="Palatino Linotype"/>
          <w:i w:val="0"/>
          <w:iCs w:val="0"/>
          <w:color w:val="000000"/>
          <w:u w:color="000000"/>
        </w:rPr>
        <w:t>23</w:t>
      </w:r>
      <w:r>
        <w:rPr>
          <w:rStyle w:val="HeaderChar"/>
          <w:rFonts w:ascii="Palatino Linotype" w:hAnsi="Palatino Linotype" w:eastAsia="Palatino Linotype" w:cs="Palatino Linotype"/>
          <w:i w:val="0"/>
          <w:iCs w:val="0"/>
          <w:color w:val="000000"/>
          <w:u w:color="000000"/>
        </w:rPr>
        <w:t>.</w:t>
      </w:r>
      <w:r w:rsidR="00E333FB">
        <w:rPr>
          <w:rStyle w:val="HeaderChar"/>
          <w:rFonts w:ascii="Palatino Linotype" w:hAnsi="Palatino Linotype" w:eastAsia="Palatino Linotype" w:cs="Palatino Linotype"/>
          <w:i w:val="0"/>
          <w:iCs w:val="0"/>
          <w:color w:val="000000"/>
          <w:u w:color="000000"/>
        </w:rPr>
        <w:t>0</w:t>
      </w:r>
      <w:r w:rsidR="00B307C0">
        <w:rPr>
          <w:rStyle w:val="HeaderChar"/>
          <w:rFonts w:ascii="Palatino Linotype" w:hAnsi="Palatino Linotype" w:eastAsia="Palatino Linotype" w:cs="Palatino Linotype"/>
          <w:i w:val="0"/>
          <w:iCs w:val="0"/>
          <w:color w:val="000000"/>
          <w:u w:color="000000"/>
        </w:rPr>
        <w:t>0</w:t>
      </w:r>
      <w:r>
        <w:rPr>
          <w:rStyle w:val="HeaderChar"/>
          <w:rFonts w:ascii="Palatino Linotype" w:hAnsi="Palatino Linotype" w:eastAsia="Palatino Linotype" w:cs="Palatino Linotype"/>
          <w:i w:val="0"/>
          <w:iCs w:val="0"/>
          <w:color w:val="000000"/>
          <w:u w:color="000000"/>
        </w:rPr>
        <w:t>% for TY 20</w:t>
      </w:r>
      <w:r w:rsidR="00E333FB">
        <w:rPr>
          <w:rStyle w:val="HeaderChar"/>
          <w:rFonts w:ascii="Palatino Linotype" w:hAnsi="Palatino Linotype" w:eastAsia="Palatino Linotype" w:cs="Palatino Linotype"/>
          <w:i w:val="0"/>
          <w:iCs w:val="0"/>
          <w:color w:val="000000"/>
          <w:u w:color="000000"/>
        </w:rPr>
        <w:t>07</w:t>
      </w:r>
      <w:r w:rsidRPr="009617C9" w:rsidR="00C9321E">
        <w:rPr>
          <w:rStyle w:val="HeaderChar"/>
          <w:rFonts w:ascii="Palatino Linotype" w:hAnsi="Palatino Linotype" w:eastAsia="Palatino Linotype" w:cs="Palatino Linotype"/>
          <w:i w:val="0"/>
          <w:iCs w:val="0"/>
          <w:color w:val="000000"/>
          <w:u w:color="000000"/>
        </w:rPr>
        <w:t xml:space="preserve">.  </w:t>
      </w:r>
      <w:r w:rsidR="008372DD">
        <w:rPr>
          <w:rStyle w:val="HeaderChar"/>
          <w:rFonts w:ascii="Palatino Linotype" w:hAnsi="Palatino Linotype" w:eastAsia="Palatino Linotype" w:cs="Palatino Linotype"/>
          <w:i w:val="0"/>
          <w:iCs w:val="0"/>
          <w:color w:val="000000"/>
          <w:u w:color="000000"/>
        </w:rPr>
        <w:t>The</w:t>
      </w:r>
      <w:r w:rsidRPr="009617C9" w:rsidR="00B72B6A">
        <w:rPr>
          <w:rStyle w:val="HeaderChar"/>
          <w:rFonts w:ascii="Palatino Linotype" w:hAnsi="Palatino Linotype" w:eastAsia="Palatino Linotype" w:cs="Palatino Linotype"/>
          <w:i w:val="0"/>
          <w:iCs w:val="0"/>
          <w:color w:val="000000"/>
          <w:u w:color="000000"/>
        </w:rPr>
        <w:t xml:space="preserve"> present</w:t>
      </w:r>
      <w:r w:rsidRPr="009617C9" w:rsidR="00E94FF8">
        <w:rPr>
          <w:rStyle w:val="HeaderChar"/>
          <w:rFonts w:ascii="Palatino Linotype" w:hAnsi="Palatino Linotype" w:eastAsia="Palatino Linotype" w:cs="Palatino Linotype"/>
          <w:i w:val="0"/>
          <w:iCs w:val="0"/>
          <w:color w:val="000000"/>
          <w:u w:color="000000"/>
        </w:rPr>
        <w:t xml:space="preserve"> </w:t>
      </w:r>
      <w:r w:rsidRPr="009617C9" w:rsidR="000E0714">
        <w:rPr>
          <w:rStyle w:val="HeaderChar"/>
          <w:rFonts w:ascii="Palatino Linotype" w:hAnsi="Palatino Linotype" w:eastAsia="Palatino Linotype" w:cs="Palatino Linotype"/>
          <w:i w:val="0"/>
          <w:iCs w:val="0"/>
          <w:color w:val="000000"/>
          <w:u w:color="000000"/>
        </w:rPr>
        <w:t xml:space="preserve">rates </w:t>
      </w:r>
      <w:r w:rsidRPr="009617C9" w:rsidR="00E94FF8">
        <w:rPr>
          <w:rStyle w:val="HeaderChar"/>
          <w:rFonts w:ascii="Palatino Linotype" w:hAnsi="Palatino Linotype" w:eastAsia="Palatino Linotype" w:cs="Palatino Linotype"/>
          <w:i w:val="0"/>
          <w:iCs w:val="0"/>
          <w:color w:val="000000"/>
          <w:u w:color="000000"/>
        </w:rPr>
        <w:t>became eff</w:t>
      </w:r>
      <w:r w:rsidRPr="009617C9" w:rsidR="00522F11">
        <w:rPr>
          <w:rStyle w:val="HeaderChar"/>
          <w:rFonts w:ascii="Palatino Linotype" w:hAnsi="Palatino Linotype" w:eastAsia="Palatino Linotype" w:cs="Palatino Linotype"/>
          <w:i w:val="0"/>
          <w:iCs w:val="0"/>
          <w:color w:val="000000"/>
          <w:u w:color="000000"/>
        </w:rPr>
        <w:t>ective</w:t>
      </w:r>
      <w:r w:rsidRPr="009617C9" w:rsidR="00B72B6A">
        <w:rPr>
          <w:rStyle w:val="HeaderChar"/>
          <w:rFonts w:ascii="Palatino Linotype" w:hAnsi="Palatino Linotype" w:eastAsia="Palatino Linotype" w:cs="Palatino Linotype"/>
          <w:i w:val="0"/>
          <w:iCs w:val="0"/>
          <w:color w:val="000000"/>
          <w:u w:color="000000"/>
        </w:rPr>
        <w:t xml:space="preserve"> on </w:t>
      </w:r>
      <w:r w:rsidR="00297814">
        <w:rPr>
          <w:rStyle w:val="HeaderChar"/>
          <w:rFonts w:ascii="Palatino Linotype" w:hAnsi="Palatino Linotype" w:eastAsia="Palatino Linotype" w:cs="Palatino Linotype"/>
          <w:i w:val="0"/>
          <w:iCs w:val="0"/>
          <w:color w:val="000000"/>
          <w:u w:color="000000"/>
        </w:rPr>
        <w:t>July 12</w:t>
      </w:r>
      <w:r w:rsidRPr="009617C9" w:rsidR="00B72B6A">
        <w:rPr>
          <w:rStyle w:val="HeaderChar"/>
          <w:rFonts w:ascii="Palatino Linotype" w:hAnsi="Palatino Linotype" w:eastAsia="Palatino Linotype" w:cs="Palatino Linotype"/>
          <w:i w:val="0"/>
          <w:iCs w:val="0"/>
          <w:color w:val="000000"/>
          <w:u w:color="000000"/>
        </w:rPr>
        <w:t>, 201</w:t>
      </w:r>
      <w:r w:rsidR="00297814">
        <w:rPr>
          <w:rStyle w:val="HeaderChar"/>
          <w:rFonts w:ascii="Palatino Linotype" w:hAnsi="Palatino Linotype" w:eastAsia="Palatino Linotype" w:cs="Palatino Linotype"/>
          <w:i w:val="0"/>
          <w:iCs w:val="0"/>
          <w:color w:val="000000"/>
          <w:u w:color="000000"/>
        </w:rPr>
        <w:t>9</w:t>
      </w:r>
      <w:r w:rsidRPr="009617C9" w:rsidR="00B72B6A">
        <w:rPr>
          <w:rStyle w:val="HeaderChar"/>
          <w:rFonts w:ascii="Palatino Linotype" w:hAnsi="Palatino Linotype" w:eastAsia="Palatino Linotype" w:cs="Palatino Linotype"/>
          <w:i w:val="0"/>
          <w:iCs w:val="0"/>
          <w:color w:val="000000"/>
          <w:u w:color="000000"/>
        </w:rPr>
        <w:t xml:space="preserve">, </w:t>
      </w:r>
      <w:r w:rsidRPr="009617C9" w:rsidR="005646AD">
        <w:rPr>
          <w:rStyle w:val="HeaderChar"/>
          <w:rFonts w:ascii="Palatino Linotype" w:hAnsi="Palatino Linotype" w:eastAsia="Palatino Linotype" w:cs="Palatino Linotype"/>
          <w:i w:val="0"/>
          <w:iCs w:val="0"/>
          <w:color w:val="000000"/>
          <w:u w:color="000000"/>
        </w:rPr>
        <w:t xml:space="preserve">by Advice Letter </w:t>
      </w:r>
      <w:r w:rsidR="00297814">
        <w:rPr>
          <w:rStyle w:val="HeaderChar"/>
          <w:rFonts w:ascii="Palatino Linotype" w:hAnsi="Palatino Linotype" w:eastAsia="Palatino Linotype" w:cs="Palatino Linotype"/>
          <w:i w:val="0"/>
          <w:iCs w:val="0"/>
          <w:color w:val="000000"/>
          <w:u w:color="000000"/>
        </w:rPr>
        <w:t>95</w:t>
      </w:r>
      <w:r w:rsidRPr="009617C9" w:rsidR="00410B53">
        <w:rPr>
          <w:rStyle w:val="HeaderChar"/>
          <w:rFonts w:ascii="Palatino Linotype" w:hAnsi="Palatino Linotype" w:eastAsia="Palatino Linotype" w:cs="Palatino Linotype"/>
          <w:i w:val="0"/>
          <w:iCs w:val="0"/>
          <w:color w:val="000000"/>
          <w:u w:color="000000"/>
        </w:rPr>
        <w:t>-W</w:t>
      </w:r>
      <w:r w:rsidR="008372DD">
        <w:rPr>
          <w:rStyle w:val="HeaderChar"/>
          <w:rFonts w:ascii="Palatino Linotype" w:hAnsi="Palatino Linotype" w:eastAsia="Palatino Linotype" w:cs="Palatino Linotype"/>
          <w:i w:val="0"/>
          <w:iCs w:val="0"/>
          <w:color w:val="000000"/>
          <w:u w:color="000000"/>
        </w:rPr>
        <w:t>,</w:t>
      </w:r>
      <w:r w:rsidRPr="009617C9" w:rsidR="00410B53">
        <w:rPr>
          <w:rStyle w:val="HeaderChar"/>
          <w:rFonts w:ascii="Palatino Linotype" w:hAnsi="Palatino Linotype" w:eastAsia="Palatino Linotype" w:cs="Palatino Linotype"/>
          <w:i w:val="0"/>
          <w:iCs w:val="0"/>
          <w:color w:val="000000"/>
          <w:u w:color="000000"/>
        </w:rPr>
        <w:t xml:space="preserve"> </w:t>
      </w:r>
      <w:r w:rsidRPr="009617C9" w:rsidR="005646AD">
        <w:rPr>
          <w:rStyle w:val="HeaderChar"/>
          <w:rFonts w:ascii="Palatino Linotype" w:hAnsi="Palatino Linotype" w:eastAsia="Palatino Linotype" w:cs="Palatino Linotype"/>
          <w:i w:val="0"/>
          <w:iCs w:val="0"/>
          <w:color w:val="000000"/>
          <w:u w:color="000000"/>
        </w:rPr>
        <w:t>which authorized</w:t>
      </w:r>
      <w:r w:rsidRPr="009617C9" w:rsidR="00B72B6A">
        <w:rPr>
          <w:rStyle w:val="HeaderChar"/>
          <w:rFonts w:ascii="Palatino Linotype" w:hAnsi="Palatino Linotype" w:eastAsia="Palatino Linotype" w:cs="Palatino Linotype"/>
          <w:i w:val="0"/>
          <w:iCs w:val="0"/>
          <w:color w:val="000000"/>
          <w:u w:color="000000"/>
        </w:rPr>
        <w:t xml:space="preserve"> </w:t>
      </w:r>
      <w:r w:rsidRPr="009617C9" w:rsidR="00522F11">
        <w:rPr>
          <w:rStyle w:val="HeaderChar"/>
          <w:rFonts w:ascii="Palatino Linotype" w:hAnsi="Palatino Linotype" w:eastAsia="Palatino Linotype" w:cs="Palatino Linotype"/>
          <w:i w:val="0"/>
          <w:iCs w:val="0"/>
          <w:color w:val="000000"/>
          <w:u w:color="000000"/>
        </w:rPr>
        <w:t>a</w:t>
      </w:r>
      <w:r w:rsidR="00E333FB">
        <w:rPr>
          <w:rStyle w:val="HeaderChar"/>
          <w:rFonts w:ascii="Palatino Linotype" w:hAnsi="Palatino Linotype" w:eastAsia="Palatino Linotype" w:cs="Palatino Linotype"/>
          <w:i w:val="0"/>
          <w:iCs w:val="0"/>
          <w:color w:val="000000"/>
          <w:u w:color="000000"/>
        </w:rPr>
        <w:t xml:space="preserve"> 201</w:t>
      </w:r>
      <w:r w:rsidR="00297814">
        <w:rPr>
          <w:rStyle w:val="HeaderChar"/>
          <w:rFonts w:ascii="Palatino Linotype" w:hAnsi="Palatino Linotype" w:eastAsia="Palatino Linotype" w:cs="Palatino Linotype"/>
          <w:i w:val="0"/>
          <w:iCs w:val="0"/>
          <w:color w:val="000000"/>
          <w:u w:color="000000"/>
        </w:rPr>
        <w:t>8</w:t>
      </w:r>
      <w:r w:rsidRPr="009617C9" w:rsidR="00522F11">
        <w:rPr>
          <w:rStyle w:val="HeaderChar"/>
          <w:rFonts w:ascii="Palatino Linotype" w:hAnsi="Palatino Linotype" w:eastAsia="Palatino Linotype" w:cs="Palatino Linotype"/>
          <w:i w:val="0"/>
          <w:iCs w:val="0"/>
          <w:color w:val="000000"/>
          <w:u w:color="000000"/>
        </w:rPr>
        <w:t xml:space="preserve"> </w:t>
      </w:r>
      <w:r w:rsidRPr="009617C9" w:rsidR="00B72B6A">
        <w:rPr>
          <w:rStyle w:val="HeaderChar"/>
          <w:rFonts w:ascii="Palatino Linotype" w:hAnsi="Palatino Linotype" w:eastAsia="Palatino Linotype" w:cs="Palatino Linotype"/>
          <w:i w:val="0"/>
          <w:iCs w:val="0"/>
          <w:color w:val="000000"/>
          <w:u w:color="000000"/>
        </w:rPr>
        <w:t>Consumer</w:t>
      </w:r>
      <w:r w:rsidRPr="009617C9" w:rsidR="00986DCE">
        <w:rPr>
          <w:rStyle w:val="HeaderChar"/>
          <w:rFonts w:ascii="Palatino Linotype" w:hAnsi="Palatino Linotype" w:eastAsia="Palatino Linotype" w:cs="Palatino Linotype"/>
          <w:i w:val="0"/>
          <w:iCs w:val="0"/>
          <w:color w:val="000000"/>
          <w:u w:color="000000"/>
        </w:rPr>
        <w:t xml:space="preserve"> Price Index</w:t>
      </w:r>
      <w:r w:rsidR="008372DD">
        <w:rPr>
          <w:rStyle w:val="HeaderChar"/>
          <w:rFonts w:ascii="Palatino Linotype" w:hAnsi="Palatino Linotype" w:eastAsia="Palatino Linotype" w:cs="Palatino Linotype"/>
          <w:i w:val="0"/>
          <w:iCs w:val="0"/>
          <w:color w:val="000000"/>
          <w:u w:color="000000"/>
        </w:rPr>
        <w:t xml:space="preserve"> (CPI) </w:t>
      </w:r>
      <w:r w:rsidRPr="009617C9" w:rsidR="00986DCE">
        <w:rPr>
          <w:rStyle w:val="HeaderChar"/>
          <w:rFonts w:ascii="Palatino Linotype" w:hAnsi="Palatino Linotype" w:eastAsia="Palatino Linotype" w:cs="Palatino Linotype"/>
          <w:i w:val="0"/>
          <w:iCs w:val="0"/>
          <w:color w:val="000000"/>
          <w:u w:color="000000"/>
        </w:rPr>
        <w:t>rate increase of $</w:t>
      </w:r>
      <w:r w:rsidR="00297814">
        <w:rPr>
          <w:rStyle w:val="HeaderChar"/>
          <w:rFonts w:ascii="Palatino Linotype" w:hAnsi="Palatino Linotype" w:eastAsia="Palatino Linotype" w:cs="Palatino Linotype"/>
          <w:i w:val="0"/>
          <w:iCs w:val="0"/>
          <w:color w:val="000000"/>
          <w:u w:color="000000"/>
        </w:rPr>
        <w:t>29,037</w:t>
      </w:r>
      <w:r w:rsidRPr="009617C9" w:rsidR="00EE36E6">
        <w:rPr>
          <w:rStyle w:val="HeaderChar"/>
          <w:rFonts w:ascii="Palatino Linotype" w:hAnsi="Palatino Linotype" w:eastAsia="Palatino Linotype" w:cs="Palatino Linotype"/>
          <w:i w:val="0"/>
          <w:iCs w:val="0"/>
          <w:color w:val="000000"/>
          <w:u w:color="000000"/>
        </w:rPr>
        <w:t>,</w:t>
      </w:r>
      <w:r w:rsidRPr="009617C9" w:rsidR="00B72B6A">
        <w:rPr>
          <w:rStyle w:val="HeaderChar"/>
          <w:rFonts w:ascii="Palatino Linotype" w:hAnsi="Palatino Linotype" w:eastAsia="Palatino Linotype" w:cs="Palatino Linotype"/>
          <w:i w:val="0"/>
          <w:iCs w:val="0"/>
          <w:color w:val="000000"/>
          <w:u w:color="000000"/>
        </w:rPr>
        <w:t xml:space="preserve"> or </w:t>
      </w:r>
      <w:r w:rsidR="00297814">
        <w:rPr>
          <w:rStyle w:val="HeaderChar"/>
          <w:rFonts w:ascii="Palatino Linotype" w:hAnsi="Palatino Linotype" w:eastAsia="Palatino Linotype" w:cs="Palatino Linotype"/>
          <w:i w:val="0"/>
          <w:iCs w:val="0"/>
          <w:color w:val="000000"/>
          <w:u w:color="000000"/>
        </w:rPr>
        <w:t>1</w:t>
      </w:r>
      <w:r w:rsidRPr="009617C9" w:rsidR="00B72B6A">
        <w:rPr>
          <w:rStyle w:val="HeaderChar"/>
          <w:rFonts w:ascii="Palatino Linotype" w:hAnsi="Palatino Linotype" w:eastAsia="Palatino Linotype" w:cs="Palatino Linotype"/>
          <w:i w:val="0"/>
          <w:iCs w:val="0"/>
          <w:color w:val="000000"/>
          <w:u w:color="000000"/>
        </w:rPr>
        <w:t>.</w:t>
      </w:r>
      <w:r w:rsidR="00297814">
        <w:rPr>
          <w:rStyle w:val="HeaderChar"/>
          <w:rFonts w:ascii="Palatino Linotype" w:hAnsi="Palatino Linotype" w:eastAsia="Palatino Linotype" w:cs="Palatino Linotype"/>
          <w:i w:val="0"/>
          <w:iCs w:val="0"/>
          <w:color w:val="000000"/>
          <w:u w:color="000000"/>
        </w:rPr>
        <w:t>9</w:t>
      </w:r>
      <w:r w:rsidR="00B307C0">
        <w:rPr>
          <w:rStyle w:val="HeaderChar"/>
          <w:rFonts w:ascii="Palatino Linotype" w:hAnsi="Palatino Linotype" w:eastAsia="Palatino Linotype" w:cs="Palatino Linotype"/>
          <w:i w:val="0"/>
          <w:iCs w:val="0"/>
          <w:color w:val="000000"/>
          <w:u w:color="000000"/>
        </w:rPr>
        <w:t>0</w:t>
      </w:r>
      <w:r w:rsidRPr="009617C9" w:rsidR="00B72B6A">
        <w:rPr>
          <w:rStyle w:val="HeaderChar"/>
          <w:rFonts w:ascii="Palatino Linotype" w:hAnsi="Palatino Linotype" w:eastAsia="Palatino Linotype" w:cs="Palatino Linotype"/>
          <w:i w:val="0"/>
          <w:iCs w:val="0"/>
          <w:color w:val="000000"/>
          <w:u w:color="000000"/>
        </w:rPr>
        <w:t>%</w:t>
      </w:r>
      <w:r w:rsidRPr="009617C9" w:rsidR="00C9321E">
        <w:rPr>
          <w:rStyle w:val="HeaderChar"/>
          <w:rFonts w:ascii="Palatino Linotype" w:hAnsi="Palatino Linotype" w:eastAsia="Palatino Linotype" w:cs="Palatino Linotype"/>
          <w:i w:val="0"/>
          <w:iCs w:val="0"/>
          <w:color w:val="000000"/>
          <w:u w:color="000000"/>
        </w:rPr>
        <w:t>.</w:t>
      </w:r>
    </w:p>
    <w:p w:rsidRPr="008372DD" w:rsidR="008372DD" w:rsidP="006A66BD" w:rsidRDefault="008372DD" w14:paraId="2D90FDCD" w14:textId="77777777"/>
    <w:p w:rsidRPr="009617C9" w:rsidR="005C748B" w:rsidP="006A66BD" w:rsidRDefault="00E333FB" w14:paraId="192C1F92" w14:textId="70CDBCE9">
      <w:pPr>
        <w:rPr>
          <w:rStyle w:val="HeaderChar"/>
          <w:rFonts w:ascii="Palatino Linotype" w:hAnsi="Palatino Linotype" w:eastAsia="Palatino Linotype" w:cs="Palatino Linotype"/>
        </w:rPr>
      </w:pPr>
      <w:r>
        <w:rPr>
          <w:rStyle w:val="HeaderChar"/>
          <w:rFonts w:ascii="Palatino Linotype" w:hAnsi="Palatino Linotype" w:eastAsia="Palatino Linotype" w:cs="Palatino Linotype"/>
          <w:iCs/>
          <w:color w:val="000000"/>
          <w:u w:color="000000"/>
        </w:rPr>
        <w:t>B</w:t>
      </w:r>
      <w:r w:rsidR="00D5328E">
        <w:rPr>
          <w:rStyle w:val="HeaderChar"/>
          <w:rFonts w:ascii="Palatino Linotype" w:hAnsi="Palatino Linotype" w:eastAsia="Palatino Linotype" w:cs="Palatino Linotype"/>
          <w:iCs/>
          <w:color w:val="000000"/>
          <w:u w:color="000000"/>
        </w:rPr>
        <w:t>akman</w:t>
      </w:r>
      <w:r w:rsidR="008372DD">
        <w:rPr>
          <w:rStyle w:val="HeaderChar"/>
          <w:rFonts w:ascii="Palatino Linotype" w:hAnsi="Palatino Linotype" w:eastAsia="Palatino Linotype" w:cs="Palatino Linotype"/>
          <w:iCs/>
          <w:color w:val="000000"/>
          <w:u w:color="000000"/>
        </w:rPr>
        <w:t xml:space="preserve"> is a Class </w:t>
      </w:r>
      <w:r>
        <w:rPr>
          <w:rStyle w:val="HeaderChar"/>
          <w:rFonts w:ascii="Palatino Linotype" w:hAnsi="Palatino Linotype" w:eastAsia="Palatino Linotype" w:cs="Palatino Linotype"/>
          <w:iCs/>
          <w:color w:val="000000"/>
          <w:u w:color="000000"/>
        </w:rPr>
        <w:t>B</w:t>
      </w:r>
      <w:r w:rsidR="008372DD">
        <w:rPr>
          <w:rStyle w:val="HeaderChar"/>
          <w:rFonts w:ascii="Palatino Linotype" w:hAnsi="Palatino Linotype" w:eastAsia="Palatino Linotype" w:cs="Palatino Linotype"/>
          <w:iCs/>
          <w:color w:val="000000"/>
          <w:u w:color="000000"/>
        </w:rPr>
        <w:t xml:space="preserve"> water utility which provides domestic water service to </w:t>
      </w:r>
      <w:r w:rsidR="00377621">
        <w:rPr>
          <w:rStyle w:val="HeaderChar"/>
          <w:rFonts w:ascii="Palatino Linotype" w:hAnsi="Palatino Linotype" w:eastAsia="Palatino Linotype" w:cs="Palatino Linotype"/>
          <w:iCs/>
          <w:color w:val="000000"/>
          <w:u w:color="000000"/>
        </w:rPr>
        <w:t>97</w:t>
      </w:r>
      <w:r w:rsidR="008372DD">
        <w:rPr>
          <w:rStyle w:val="HeaderChar"/>
          <w:rFonts w:ascii="Palatino Linotype" w:hAnsi="Palatino Linotype" w:eastAsia="Palatino Linotype" w:cs="Palatino Linotype"/>
          <w:iCs/>
          <w:color w:val="000000"/>
          <w:u w:color="000000"/>
        </w:rPr>
        <w:t xml:space="preserve"> flat rate connections and </w:t>
      </w:r>
      <w:r w:rsidR="00C34809">
        <w:rPr>
          <w:rStyle w:val="HeaderChar"/>
          <w:rFonts w:ascii="Palatino Linotype" w:hAnsi="Palatino Linotype" w:eastAsia="Palatino Linotype" w:cs="Palatino Linotype"/>
          <w:iCs/>
          <w:color w:val="000000"/>
          <w:u w:color="000000"/>
        </w:rPr>
        <w:t>2,528</w:t>
      </w:r>
      <w:r w:rsidR="008372DD">
        <w:rPr>
          <w:rStyle w:val="HeaderChar"/>
          <w:rFonts w:ascii="Palatino Linotype" w:hAnsi="Palatino Linotype" w:eastAsia="Palatino Linotype" w:cs="Palatino Linotype"/>
          <w:iCs/>
          <w:color w:val="000000"/>
          <w:u w:color="000000"/>
        </w:rPr>
        <w:t xml:space="preserve"> metered customers. </w:t>
      </w:r>
      <w:r>
        <w:rPr>
          <w:rStyle w:val="HeaderChar"/>
          <w:rFonts w:ascii="Palatino Linotype" w:hAnsi="Palatino Linotype" w:eastAsia="Palatino Linotype" w:cs="Palatino Linotype"/>
          <w:iCs/>
          <w:color w:val="000000"/>
          <w:u w:color="000000"/>
        </w:rPr>
        <w:t>Bakman</w:t>
      </w:r>
      <w:r w:rsidR="008372DD">
        <w:rPr>
          <w:rStyle w:val="HeaderChar"/>
          <w:rFonts w:ascii="Palatino Linotype" w:hAnsi="Palatino Linotype" w:eastAsia="Palatino Linotype" w:cs="Palatino Linotype"/>
          <w:iCs/>
          <w:color w:val="000000"/>
          <w:u w:color="000000"/>
        </w:rPr>
        <w:t xml:space="preserve"> also provides </w:t>
      </w:r>
      <w:r w:rsidR="00C34809">
        <w:rPr>
          <w:rStyle w:val="HeaderChar"/>
          <w:rFonts w:ascii="Palatino Linotype" w:hAnsi="Palatino Linotype" w:eastAsia="Palatino Linotype" w:cs="Palatino Linotype"/>
          <w:iCs/>
          <w:color w:val="000000"/>
          <w:u w:color="000000"/>
        </w:rPr>
        <w:t xml:space="preserve">private and </w:t>
      </w:r>
      <w:r w:rsidR="008372DD">
        <w:rPr>
          <w:rStyle w:val="HeaderChar"/>
          <w:rFonts w:ascii="Palatino Linotype" w:hAnsi="Palatino Linotype" w:eastAsia="Palatino Linotype" w:cs="Palatino Linotype"/>
          <w:iCs/>
          <w:color w:val="000000"/>
          <w:u w:color="000000"/>
        </w:rPr>
        <w:t xml:space="preserve">public fire </w:t>
      </w:r>
      <w:r w:rsidR="008372DD">
        <w:rPr>
          <w:rStyle w:val="HeaderChar"/>
          <w:rFonts w:ascii="Palatino Linotype" w:hAnsi="Palatino Linotype" w:eastAsia="Palatino Linotype" w:cs="Palatino Linotype"/>
          <w:iCs/>
          <w:color w:val="000000"/>
          <w:u w:color="000000"/>
        </w:rPr>
        <w:lastRenderedPageBreak/>
        <w:t xml:space="preserve">protection water service to </w:t>
      </w:r>
      <w:r w:rsidR="00C34809">
        <w:rPr>
          <w:rStyle w:val="HeaderChar"/>
          <w:rFonts w:ascii="Palatino Linotype" w:hAnsi="Palatino Linotype" w:eastAsia="Palatino Linotype" w:cs="Palatino Linotype"/>
          <w:iCs/>
          <w:color w:val="000000"/>
          <w:u w:color="000000"/>
        </w:rPr>
        <w:t>1</w:t>
      </w:r>
      <w:r w:rsidR="00377621">
        <w:rPr>
          <w:rStyle w:val="HeaderChar"/>
          <w:rFonts w:ascii="Palatino Linotype" w:hAnsi="Palatino Linotype" w:eastAsia="Palatino Linotype" w:cs="Palatino Linotype"/>
          <w:iCs/>
          <w:color w:val="000000"/>
          <w:u w:color="000000"/>
        </w:rPr>
        <w:t>81</w:t>
      </w:r>
      <w:r w:rsidR="00C34809">
        <w:rPr>
          <w:rStyle w:val="HeaderChar"/>
          <w:rFonts w:ascii="Palatino Linotype" w:hAnsi="Palatino Linotype" w:eastAsia="Palatino Linotype" w:cs="Palatino Linotype"/>
          <w:iCs/>
          <w:color w:val="000000"/>
          <w:u w:color="000000"/>
        </w:rPr>
        <w:t xml:space="preserve"> and </w:t>
      </w:r>
      <w:r w:rsidR="00377621">
        <w:rPr>
          <w:rStyle w:val="HeaderChar"/>
          <w:rFonts w:ascii="Palatino Linotype" w:hAnsi="Palatino Linotype" w:eastAsia="Palatino Linotype" w:cs="Palatino Linotype"/>
          <w:iCs/>
          <w:color w:val="000000"/>
          <w:u w:color="000000"/>
        </w:rPr>
        <w:t>171</w:t>
      </w:r>
      <w:r w:rsidR="008372DD">
        <w:rPr>
          <w:rStyle w:val="HeaderChar"/>
          <w:rFonts w:ascii="Palatino Linotype" w:hAnsi="Palatino Linotype" w:eastAsia="Palatino Linotype" w:cs="Palatino Linotype"/>
          <w:iCs/>
          <w:color w:val="000000"/>
          <w:u w:color="000000"/>
        </w:rPr>
        <w:t xml:space="preserve"> fire hydrants</w:t>
      </w:r>
      <w:r w:rsidR="00C34809">
        <w:rPr>
          <w:rStyle w:val="HeaderChar"/>
          <w:rFonts w:ascii="Palatino Linotype" w:hAnsi="Palatino Linotype" w:eastAsia="Palatino Linotype" w:cs="Palatino Linotype"/>
          <w:iCs/>
          <w:color w:val="000000"/>
          <w:u w:color="000000"/>
        </w:rPr>
        <w:t>, respectively</w:t>
      </w:r>
      <w:r w:rsidR="008372DD">
        <w:rPr>
          <w:rStyle w:val="HeaderChar"/>
          <w:rFonts w:ascii="Palatino Linotype" w:hAnsi="Palatino Linotype" w:eastAsia="Palatino Linotype" w:cs="Palatino Linotype"/>
          <w:iCs/>
          <w:color w:val="000000"/>
          <w:u w:color="000000"/>
        </w:rPr>
        <w:t xml:space="preserve">. The </w:t>
      </w:r>
      <w:r>
        <w:rPr>
          <w:rStyle w:val="HeaderChar"/>
          <w:rFonts w:ascii="Palatino Linotype" w:hAnsi="Palatino Linotype" w:eastAsia="Palatino Linotype" w:cs="Palatino Linotype"/>
          <w:iCs/>
          <w:color w:val="000000"/>
          <w:u w:color="000000"/>
        </w:rPr>
        <w:t>Bakman</w:t>
      </w:r>
      <w:r w:rsidR="0098616F">
        <w:rPr>
          <w:rStyle w:val="HeaderChar"/>
          <w:rFonts w:ascii="Palatino Linotype" w:hAnsi="Palatino Linotype" w:eastAsia="Palatino Linotype" w:cs="Palatino Linotype"/>
          <w:iCs/>
          <w:color w:val="000000"/>
          <w:u w:color="000000"/>
        </w:rPr>
        <w:t xml:space="preserve"> </w:t>
      </w:r>
      <w:r w:rsidR="008372DD">
        <w:rPr>
          <w:rStyle w:val="HeaderChar"/>
          <w:rFonts w:ascii="Palatino Linotype" w:hAnsi="Palatino Linotype" w:eastAsia="Palatino Linotype" w:cs="Palatino Linotype"/>
          <w:iCs/>
          <w:color w:val="000000"/>
          <w:u w:color="000000"/>
        </w:rPr>
        <w:t xml:space="preserve">service territory is </w:t>
      </w:r>
      <w:r w:rsidR="006D6F2F">
        <w:rPr>
          <w:rStyle w:val="HeaderChar"/>
          <w:rFonts w:ascii="Palatino Linotype" w:hAnsi="Palatino Linotype" w:eastAsia="Palatino Linotype" w:cs="Palatino Linotype"/>
          <w:iCs/>
          <w:color w:val="000000"/>
          <w:u w:color="000000"/>
        </w:rPr>
        <w:t>located approximately 1.5 miles east of t</w:t>
      </w:r>
      <w:r w:rsidR="008372DD">
        <w:rPr>
          <w:rStyle w:val="HeaderChar"/>
          <w:rFonts w:ascii="Palatino Linotype" w:hAnsi="Palatino Linotype" w:eastAsia="Palatino Linotype" w:cs="Palatino Linotype"/>
          <w:iCs/>
          <w:color w:val="000000"/>
          <w:u w:color="000000"/>
        </w:rPr>
        <w:t xml:space="preserve">he City of </w:t>
      </w:r>
      <w:r w:rsidR="00C34809">
        <w:rPr>
          <w:rStyle w:val="HeaderChar"/>
          <w:rFonts w:ascii="Palatino Linotype" w:hAnsi="Palatino Linotype" w:eastAsia="Palatino Linotype" w:cs="Palatino Linotype"/>
          <w:iCs/>
          <w:color w:val="000000"/>
          <w:u w:color="000000"/>
        </w:rPr>
        <w:t>Fresno</w:t>
      </w:r>
      <w:r w:rsidR="008372DD">
        <w:rPr>
          <w:rStyle w:val="HeaderChar"/>
          <w:rFonts w:ascii="Palatino Linotype" w:hAnsi="Palatino Linotype" w:eastAsia="Palatino Linotype" w:cs="Palatino Linotype"/>
          <w:iCs/>
          <w:color w:val="000000"/>
          <w:u w:color="000000"/>
        </w:rPr>
        <w:t xml:space="preserve"> in </w:t>
      </w:r>
      <w:r w:rsidR="00C34809">
        <w:rPr>
          <w:rStyle w:val="HeaderChar"/>
          <w:rFonts w:ascii="Palatino Linotype" w:hAnsi="Palatino Linotype" w:eastAsia="Palatino Linotype" w:cs="Palatino Linotype"/>
          <w:iCs/>
          <w:color w:val="000000"/>
          <w:u w:color="000000"/>
        </w:rPr>
        <w:t>Fresno</w:t>
      </w:r>
      <w:r w:rsidR="008372DD">
        <w:rPr>
          <w:rStyle w:val="HeaderChar"/>
          <w:rFonts w:ascii="Palatino Linotype" w:hAnsi="Palatino Linotype" w:eastAsia="Palatino Linotype" w:cs="Palatino Linotype"/>
          <w:iCs/>
          <w:color w:val="000000"/>
          <w:u w:color="000000"/>
        </w:rPr>
        <w:t xml:space="preserve"> County</w:t>
      </w:r>
      <w:r w:rsidR="006D6F2F">
        <w:rPr>
          <w:rStyle w:val="HeaderChar"/>
          <w:rFonts w:ascii="Palatino Linotype" w:hAnsi="Palatino Linotype" w:eastAsia="Palatino Linotype" w:cs="Palatino Linotype"/>
          <w:iCs/>
          <w:color w:val="000000"/>
          <w:u w:color="000000"/>
        </w:rPr>
        <w:t>.</w:t>
      </w:r>
      <w:r w:rsidR="00C34809">
        <w:rPr>
          <w:rStyle w:val="FootnoteReference"/>
          <w:rFonts w:ascii="Palatino Linotype" w:hAnsi="Palatino Linotype" w:eastAsia="Palatino Linotype" w:cs="Palatino Linotype"/>
          <w:iCs/>
          <w:color w:val="000000"/>
          <w:u w:color="000000"/>
        </w:rPr>
        <w:footnoteReference w:id="2"/>
      </w:r>
      <w:r w:rsidR="00702637">
        <w:rPr>
          <w:rStyle w:val="HeaderChar"/>
          <w:rFonts w:ascii="Palatino Linotype" w:hAnsi="Palatino Linotype" w:eastAsia="Palatino Linotype" w:cs="Palatino Linotype"/>
          <w:iCs/>
          <w:color w:val="000000"/>
          <w:u w:color="000000"/>
        </w:rPr>
        <w:t xml:space="preserve"> California Assembly Bill 2572 (AB-2572), effective September 29, 2004, requires water utilities to install water meters on all customer connections by January 2025. </w:t>
      </w:r>
      <w:r w:rsidR="001C0521">
        <w:rPr>
          <w:rStyle w:val="HeaderChar"/>
          <w:rFonts w:ascii="Palatino Linotype" w:hAnsi="Palatino Linotype" w:eastAsia="Palatino Linotype" w:cs="Palatino Linotype"/>
          <w:iCs/>
          <w:color w:val="000000"/>
          <w:u w:color="000000"/>
        </w:rPr>
        <w:t xml:space="preserve">Bakman </w:t>
      </w:r>
      <w:r w:rsidR="000B7E10">
        <w:rPr>
          <w:rStyle w:val="HeaderChar"/>
          <w:rFonts w:ascii="Palatino Linotype" w:hAnsi="Palatino Linotype" w:eastAsia="Palatino Linotype" w:cs="Palatino Linotype"/>
          <w:iCs/>
          <w:color w:val="000000"/>
          <w:u w:color="000000"/>
        </w:rPr>
        <w:t xml:space="preserve">is in the process of converting the 97 flat rate connections to metered and </w:t>
      </w:r>
      <w:r w:rsidR="001C0521">
        <w:rPr>
          <w:rStyle w:val="HeaderChar"/>
          <w:rFonts w:ascii="Palatino Linotype" w:hAnsi="Palatino Linotype" w:eastAsia="Palatino Linotype" w:cs="Palatino Linotype"/>
          <w:iCs/>
          <w:color w:val="000000"/>
          <w:u w:color="000000"/>
        </w:rPr>
        <w:t xml:space="preserve">intends to </w:t>
      </w:r>
      <w:r w:rsidR="000B7E10">
        <w:rPr>
          <w:rStyle w:val="HeaderChar"/>
          <w:rFonts w:ascii="Palatino Linotype" w:hAnsi="Palatino Linotype" w:eastAsia="Palatino Linotype" w:cs="Palatino Linotype"/>
          <w:iCs/>
          <w:color w:val="000000"/>
          <w:u w:color="000000"/>
        </w:rPr>
        <w:t xml:space="preserve">meet </w:t>
      </w:r>
      <w:r w:rsidR="001C0521">
        <w:rPr>
          <w:rStyle w:val="HeaderChar"/>
          <w:rFonts w:ascii="Palatino Linotype" w:hAnsi="Palatino Linotype" w:eastAsia="Palatino Linotype" w:cs="Palatino Linotype"/>
          <w:iCs/>
          <w:color w:val="000000"/>
          <w:u w:color="000000"/>
        </w:rPr>
        <w:t>the January 2025 deadline</w:t>
      </w:r>
      <w:r w:rsidR="000B7E10">
        <w:rPr>
          <w:rStyle w:val="HeaderChar"/>
          <w:rFonts w:ascii="Palatino Linotype" w:hAnsi="Palatino Linotype" w:eastAsia="Palatino Linotype" w:cs="Palatino Linotype"/>
          <w:iCs/>
          <w:color w:val="000000"/>
          <w:u w:color="000000"/>
        </w:rPr>
        <w:t>.</w:t>
      </w:r>
    </w:p>
    <w:p w:rsidRPr="009617C9" w:rsidR="007C419C" w:rsidP="006A66BD" w:rsidRDefault="007C419C" w14:paraId="4CC3F21D" w14:textId="77777777">
      <w:pPr>
        <w:rPr>
          <w:rStyle w:val="HeaderChar"/>
          <w:rFonts w:ascii="Palatino Linotype" w:hAnsi="Palatino Linotype" w:eastAsia="Palatino Linotype" w:cs="Palatino Linotype"/>
        </w:rPr>
      </w:pPr>
    </w:p>
    <w:p w:rsidR="002B6D84" w:rsidP="006A66BD" w:rsidRDefault="008372DD" w14:paraId="7CD60EB2" w14:textId="258A0CE1">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The system began </w:t>
      </w:r>
      <w:r w:rsidR="00C01675">
        <w:rPr>
          <w:rStyle w:val="HeaderChar"/>
          <w:rFonts w:ascii="Palatino Linotype" w:hAnsi="Palatino Linotype" w:eastAsia="Palatino Linotype" w:cs="Palatino Linotype"/>
          <w:sz w:val="24"/>
          <w:szCs w:val="24"/>
        </w:rPr>
        <w:t xml:space="preserve">its operations </w:t>
      </w:r>
      <w:r>
        <w:rPr>
          <w:rStyle w:val="HeaderChar"/>
          <w:rFonts w:ascii="Palatino Linotype" w:hAnsi="Palatino Linotype" w:eastAsia="Palatino Linotype" w:cs="Palatino Linotype"/>
          <w:sz w:val="24"/>
          <w:szCs w:val="24"/>
        </w:rPr>
        <w:t xml:space="preserve">in the 1940s to serve seasonal and annual residents in the Subdivision. In 1953, when </w:t>
      </w:r>
      <w:r w:rsidR="00E333FB">
        <w:rPr>
          <w:rStyle w:val="HeaderChar"/>
          <w:rFonts w:ascii="Palatino Linotype" w:hAnsi="Palatino Linotype" w:eastAsia="Palatino Linotype" w:cs="Palatino Linotype"/>
          <w:sz w:val="24"/>
          <w:szCs w:val="24"/>
        </w:rPr>
        <w:t>Bakman</w:t>
      </w:r>
      <w:r>
        <w:rPr>
          <w:rStyle w:val="HeaderChar"/>
          <w:rFonts w:ascii="Palatino Linotype" w:hAnsi="Palatino Linotype" w:eastAsia="Palatino Linotype" w:cs="Palatino Linotype"/>
          <w:sz w:val="24"/>
          <w:szCs w:val="24"/>
        </w:rPr>
        <w:t xml:space="preserve"> was granted a Certificate of Public Convenience and Necessity, the system’s 20 customers were served by two wells through </w:t>
      </w:r>
      <w:r w:rsidR="009022F0">
        <w:rPr>
          <w:rStyle w:val="HeaderChar"/>
          <w:rFonts w:ascii="Palatino Linotype" w:hAnsi="Palatino Linotype" w:eastAsia="Palatino Linotype" w:cs="Palatino Linotype"/>
          <w:sz w:val="24"/>
          <w:szCs w:val="24"/>
        </w:rPr>
        <w:t>2-</w:t>
      </w:r>
      <w:r>
        <w:rPr>
          <w:rStyle w:val="HeaderChar"/>
          <w:rFonts w:ascii="Palatino Linotype" w:hAnsi="Palatino Linotype" w:eastAsia="Palatino Linotype" w:cs="Palatino Linotype"/>
          <w:sz w:val="24"/>
          <w:szCs w:val="24"/>
        </w:rPr>
        <w:t xml:space="preserve">inch and </w:t>
      </w:r>
      <w:r w:rsidR="009022F0">
        <w:rPr>
          <w:rStyle w:val="HeaderChar"/>
          <w:rFonts w:ascii="Palatino Linotype" w:hAnsi="Palatino Linotype" w:eastAsia="Palatino Linotype" w:cs="Palatino Linotype"/>
          <w:sz w:val="24"/>
          <w:szCs w:val="24"/>
        </w:rPr>
        <w:t>4</w:t>
      </w:r>
      <w:r>
        <w:rPr>
          <w:rStyle w:val="HeaderChar"/>
          <w:rFonts w:ascii="Palatino Linotype" w:hAnsi="Palatino Linotype" w:eastAsia="Palatino Linotype" w:cs="Palatino Linotype"/>
          <w:sz w:val="24"/>
          <w:szCs w:val="24"/>
        </w:rPr>
        <w:t>-inch mains. The system now includes</w:t>
      </w:r>
      <w:r w:rsidR="009022F0">
        <w:rPr>
          <w:rStyle w:val="HeaderChar"/>
          <w:rFonts w:ascii="Palatino Linotype" w:hAnsi="Palatino Linotype" w:eastAsia="Palatino Linotype" w:cs="Palatino Linotype"/>
          <w:sz w:val="24"/>
          <w:szCs w:val="24"/>
        </w:rPr>
        <w:t xml:space="preserve"> approximately </w:t>
      </w:r>
      <w:r w:rsidR="002F4800">
        <w:rPr>
          <w:rStyle w:val="HeaderChar"/>
          <w:rFonts w:ascii="Palatino Linotype" w:hAnsi="Palatino Linotype" w:eastAsia="Palatino Linotype" w:cs="Palatino Linotype"/>
          <w:sz w:val="24"/>
          <w:szCs w:val="24"/>
        </w:rPr>
        <w:t>366</w:t>
      </w:r>
      <w:r w:rsidR="009022F0">
        <w:rPr>
          <w:rStyle w:val="HeaderChar"/>
          <w:rFonts w:ascii="Palatino Linotype" w:hAnsi="Palatino Linotype" w:eastAsia="Palatino Linotype" w:cs="Palatino Linotype"/>
          <w:sz w:val="24"/>
          <w:szCs w:val="24"/>
        </w:rPr>
        <w:t xml:space="preserve"> feet of two-inch mains, </w:t>
      </w:r>
      <w:r w:rsidR="002F4800">
        <w:rPr>
          <w:rStyle w:val="HeaderChar"/>
          <w:rFonts w:ascii="Palatino Linotype" w:hAnsi="Palatino Linotype" w:eastAsia="Palatino Linotype" w:cs="Palatino Linotype"/>
          <w:sz w:val="24"/>
          <w:szCs w:val="24"/>
        </w:rPr>
        <w:t>40,326</w:t>
      </w:r>
      <w:r w:rsidR="009022F0">
        <w:rPr>
          <w:rStyle w:val="HeaderChar"/>
          <w:rFonts w:ascii="Palatino Linotype" w:hAnsi="Palatino Linotype" w:eastAsia="Palatino Linotype" w:cs="Palatino Linotype"/>
          <w:sz w:val="24"/>
          <w:szCs w:val="24"/>
        </w:rPr>
        <w:t xml:space="preserve"> feet of 4-inch mains, </w:t>
      </w:r>
      <w:r w:rsidR="00B876E0">
        <w:rPr>
          <w:rStyle w:val="HeaderChar"/>
          <w:rFonts w:ascii="Palatino Linotype" w:hAnsi="Palatino Linotype" w:eastAsia="Palatino Linotype" w:cs="Palatino Linotype"/>
          <w:sz w:val="24"/>
          <w:szCs w:val="24"/>
        </w:rPr>
        <w:t>5,340</w:t>
      </w:r>
      <w:r w:rsidR="009022F0">
        <w:rPr>
          <w:rStyle w:val="HeaderChar"/>
          <w:rFonts w:ascii="Palatino Linotype" w:hAnsi="Palatino Linotype" w:eastAsia="Palatino Linotype" w:cs="Palatino Linotype"/>
          <w:sz w:val="24"/>
          <w:szCs w:val="24"/>
        </w:rPr>
        <w:t xml:space="preserve"> feet of 6-inch mains, </w:t>
      </w:r>
      <w:r w:rsidR="00B876E0">
        <w:rPr>
          <w:rStyle w:val="HeaderChar"/>
          <w:rFonts w:ascii="Palatino Linotype" w:hAnsi="Palatino Linotype" w:eastAsia="Palatino Linotype" w:cs="Palatino Linotype"/>
          <w:sz w:val="24"/>
          <w:szCs w:val="24"/>
        </w:rPr>
        <w:t>2,112</w:t>
      </w:r>
      <w:r w:rsidR="009022F0">
        <w:rPr>
          <w:rStyle w:val="HeaderChar"/>
          <w:rFonts w:ascii="Palatino Linotype" w:hAnsi="Palatino Linotype" w:eastAsia="Palatino Linotype" w:cs="Palatino Linotype"/>
          <w:sz w:val="24"/>
          <w:szCs w:val="24"/>
        </w:rPr>
        <w:t xml:space="preserve"> feet of 8-inch mains, </w:t>
      </w:r>
      <w:r w:rsidR="00B876E0">
        <w:rPr>
          <w:rStyle w:val="HeaderChar"/>
          <w:rFonts w:ascii="Palatino Linotype" w:hAnsi="Palatino Linotype" w:eastAsia="Palatino Linotype" w:cs="Palatino Linotype"/>
          <w:sz w:val="24"/>
          <w:szCs w:val="24"/>
        </w:rPr>
        <w:t>40</w:t>
      </w:r>
      <w:r w:rsidR="009022F0">
        <w:rPr>
          <w:rStyle w:val="HeaderChar"/>
          <w:rFonts w:ascii="Palatino Linotype" w:hAnsi="Palatino Linotype" w:eastAsia="Palatino Linotype" w:cs="Palatino Linotype"/>
          <w:sz w:val="24"/>
          <w:szCs w:val="24"/>
        </w:rPr>
        <w:t xml:space="preserve"> feet of 10-inch mains, and </w:t>
      </w:r>
      <w:r w:rsidR="00B876E0">
        <w:rPr>
          <w:rStyle w:val="HeaderChar"/>
          <w:rFonts w:ascii="Palatino Linotype" w:hAnsi="Palatino Linotype" w:eastAsia="Palatino Linotype" w:cs="Palatino Linotype"/>
          <w:sz w:val="24"/>
          <w:szCs w:val="24"/>
        </w:rPr>
        <w:t>5,925</w:t>
      </w:r>
      <w:r w:rsidR="009022F0">
        <w:rPr>
          <w:rStyle w:val="HeaderChar"/>
          <w:rFonts w:ascii="Palatino Linotype" w:hAnsi="Palatino Linotype" w:eastAsia="Palatino Linotype" w:cs="Palatino Linotype"/>
          <w:sz w:val="24"/>
          <w:szCs w:val="24"/>
        </w:rPr>
        <w:t xml:space="preserve"> feet of 12-inch mains.</w:t>
      </w:r>
    </w:p>
    <w:p w:rsidR="006922DC" w:rsidP="006A66BD" w:rsidRDefault="006922DC" w14:paraId="279A038A" w14:textId="77777777">
      <w:pPr>
        <w:pStyle w:val="Body"/>
        <w:spacing w:after="0" w:line="240" w:lineRule="auto"/>
        <w:rPr>
          <w:rStyle w:val="HeaderChar"/>
          <w:rFonts w:ascii="Palatino Linotype" w:hAnsi="Palatino Linotype" w:eastAsia="Palatino Linotype" w:cs="Palatino Linotype"/>
          <w:sz w:val="24"/>
          <w:szCs w:val="24"/>
        </w:rPr>
      </w:pPr>
    </w:p>
    <w:p w:rsidR="00305B14" w:rsidP="006A66BD" w:rsidRDefault="006D6F2F" w14:paraId="3EEA62E4" w14:textId="77777777">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Bakman obtains its water from a groundwater basin that is not adjudicated or restricted. The system has a total of 12 wells with five currently active and seven on standby. The active wells are Well #4A, 7, 8, 12, and 16 while the standby wells are Well #8A, 9, 10, 11, 13A, 14, and 15A</w:t>
      </w:r>
      <w:r w:rsidR="00305B14">
        <w:rPr>
          <w:rStyle w:val="HeaderChar"/>
          <w:rFonts w:ascii="Palatino Linotype" w:hAnsi="Palatino Linotype" w:eastAsia="Palatino Linotype" w:cs="Palatino Linotype"/>
          <w:sz w:val="24"/>
          <w:szCs w:val="24"/>
        </w:rPr>
        <w:t>. Wells #1, #2, #6, and #13 are inactive sources but locked out from the distribution system. Bakman has retained the wells due to possible redevelopment in the future</w:t>
      </w:r>
      <w:r>
        <w:rPr>
          <w:rStyle w:val="HeaderChar"/>
          <w:rFonts w:ascii="Palatino Linotype" w:hAnsi="Palatino Linotype" w:eastAsia="Palatino Linotype" w:cs="Palatino Linotype"/>
          <w:sz w:val="24"/>
          <w:szCs w:val="24"/>
        </w:rPr>
        <w:t xml:space="preserve">. </w:t>
      </w:r>
    </w:p>
    <w:p w:rsidR="00305B14" w:rsidP="006A66BD" w:rsidRDefault="00305B14" w14:paraId="059E0780" w14:textId="77777777">
      <w:pPr>
        <w:pStyle w:val="Body"/>
        <w:spacing w:after="0" w:line="240" w:lineRule="auto"/>
        <w:rPr>
          <w:rStyle w:val="HeaderChar"/>
          <w:rFonts w:ascii="Palatino Linotype" w:hAnsi="Palatino Linotype" w:eastAsia="Palatino Linotype" w:cs="Palatino Linotype"/>
          <w:sz w:val="24"/>
          <w:szCs w:val="24"/>
        </w:rPr>
      </w:pPr>
    </w:p>
    <w:p w:rsidR="006D6F2F" w:rsidP="006A66BD" w:rsidRDefault="006D6F2F" w14:paraId="1AF9AE84" w14:textId="40E0A81C">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In the system’s current configuration, the total capacity of the system is 4,510 </w:t>
      </w:r>
      <w:r w:rsidR="000D1F9B">
        <w:rPr>
          <w:rStyle w:val="HeaderChar"/>
          <w:rFonts w:ascii="Palatino Linotype" w:hAnsi="Palatino Linotype" w:eastAsia="Palatino Linotype" w:cs="Palatino Linotype"/>
          <w:sz w:val="24"/>
          <w:szCs w:val="24"/>
        </w:rPr>
        <w:t>gallons per minute (</w:t>
      </w:r>
      <w:proofErr w:type="spellStart"/>
      <w:r w:rsidR="000D1F9B">
        <w:rPr>
          <w:rStyle w:val="HeaderChar"/>
          <w:rFonts w:ascii="Palatino Linotype" w:hAnsi="Palatino Linotype" w:eastAsia="Palatino Linotype" w:cs="Palatino Linotype"/>
          <w:sz w:val="24"/>
          <w:szCs w:val="24"/>
        </w:rPr>
        <w:t>gpm</w:t>
      </w:r>
      <w:proofErr w:type="spellEnd"/>
      <w:r w:rsidR="000D1F9B">
        <w:rPr>
          <w:rStyle w:val="HeaderChar"/>
          <w:rFonts w:ascii="Palatino Linotype" w:hAnsi="Palatino Linotype" w:eastAsia="Palatino Linotype" w:cs="Palatino Linotype"/>
          <w:sz w:val="24"/>
          <w:szCs w:val="24"/>
        </w:rPr>
        <w:t xml:space="preserve">) with an additional 4,737 </w:t>
      </w:r>
      <w:proofErr w:type="spellStart"/>
      <w:r w:rsidR="000D1F9B">
        <w:rPr>
          <w:rStyle w:val="HeaderChar"/>
          <w:rFonts w:ascii="Palatino Linotype" w:hAnsi="Palatino Linotype" w:eastAsia="Palatino Linotype" w:cs="Palatino Linotype"/>
          <w:sz w:val="24"/>
          <w:szCs w:val="24"/>
        </w:rPr>
        <w:t>gpm</w:t>
      </w:r>
      <w:proofErr w:type="spellEnd"/>
      <w:r w:rsidR="000D1F9B">
        <w:rPr>
          <w:rStyle w:val="HeaderChar"/>
          <w:rFonts w:ascii="Palatino Linotype" w:hAnsi="Palatino Linotype" w:eastAsia="Palatino Linotype" w:cs="Palatino Linotype"/>
          <w:sz w:val="24"/>
          <w:szCs w:val="24"/>
        </w:rPr>
        <w:t xml:space="preserve"> including standby sources</w:t>
      </w:r>
      <w:r w:rsidR="00536128">
        <w:rPr>
          <w:rStyle w:val="HeaderChar"/>
          <w:rFonts w:ascii="Palatino Linotype" w:hAnsi="Palatino Linotype" w:eastAsia="Palatino Linotype" w:cs="Palatino Linotype"/>
          <w:sz w:val="24"/>
          <w:szCs w:val="24"/>
        </w:rPr>
        <w:t>.</w:t>
      </w:r>
      <w:r w:rsidR="000D1F9B">
        <w:rPr>
          <w:rStyle w:val="FootnoteReference"/>
          <w:rFonts w:ascii="Palatino Linotype" w:hAnsi="Palatino Linotype" w:eastAsia="Palatino Linotype" w:cs="Palatino Linotype"/>
          <w:sz w:val="24"/>
          <w:szCs w:val="24"/>
        </w:rPr>
        <w:footnoteReference w:id="3"/>
      </w:r>
      <w:r w:rsidR="00536128">
        <w:rPr>
          <w:rStyle w:val="HeaderChar"/>
          <w:rFonts w:ascii="Palatino Linotype" w:hAnsi="Palatino Linotype" w:eastAsia="Palatino Linotype" w:cs="Palatino Linotype"/>
          <w:sz w:val="24"/>
          <w:szCs w:val="24"/>
        </w:rPr>
        <w:t xml:space="preserve"> </w:t>
      </w:r>
      <w:r w:rsidR="00595175">
        <w:rPr>
          <w:rStyle w:val="HeaderChar"/>
          <w:rFonts w:ascii="Palatino Linotype" w:hAnsi="Palatino Linotype" w:eastAsia="Palatino Linotype" w:cs="Palatino Linotype"/>
          <w:sz w:val="24"/>
          <w:szCs w:val="24"/>
        </w:rPr>
        <w:t xml:space="preserve">The system is able to meet the maximum day demand (MDD) of approximately 4,125 </w:t>
      </w:r>
      <w:proofErr w:type="spellStart"/>
      <w:r w:rsidR="00595175">
        <w:rPr>
          <w:rStyle w:val="HeaderChar"/>
          <w:rFonts w:ascii="Palatino Linotype" w:hAnsi="Palatino Linotype" w:eastAsia="Palatino Linotype" w:cs="Palatino Linotype"/>
          <w:sz w:val="24"/>
          <w:szCs w:val="24"/>
        </w:rPr>
        <w:t>gpm</w:t>
      </w:r>
      <w:proofErr w:type="spellEnd"/>
      <w:r w:rsidR="00595175">
        <w:rPr>
          <w:rStyle w:val="HeaderChar"/>
          <w:rFonts w:ascii="Palatino Linotype" w:hAnsi="Palatino Linotype" w:eastAsia="Palatino Linotype" w:cs="Palatino Linotype"/>
          <w:sz w:val="24"/>
          <w:szCs w:val="24"/>
        </w:rPr>
        <w:t xml:space="preserve"> on active sources alone. California Water Works Standards require a system supplying more than 1,000 service connections must be able to meet four hours of peak hour demand (PHD) using active sources, standby sources, and storage.</w:t>
      </w:r>
      <w:r w:rsidR="00595175">
        <w:rPr>
          <w:rStyle w:val="FootnoteReference"/>
          <w:rFonts w:ascii="Palatino Linotype" w:hAnsi="Palatino Linotype" w:eastAsia="Palatino Linotype" w:cs="Palatino Linotype"/>
          <w:sz w:val="24"/>
          <w:szCs w:val="24"/>
        </w:rPr>
        <w:footnoteReference w:id="4"/>
      </w:r>
      <w:r w:rsidR="00595175">
        <w:rPr>
          <w:rStyle w:val="HeaderChar"/>
          <w:rFonts w:ascii="Palatino Linotype" w:hAnsi="Palatino Linotype" w:eastAsia="Palatino Linotype" w:cs="Palatino Linotype"/>
          <w:sz w:val="24"/>
          <w:szCs w:val="24"/>
        </w:rPr>
        <w:t xml:space="preserve"> The system is able to meet the calculated PHD of 6,187 </w:t>
      </w:r>
      <w:proofErr w:type="spellStart"/>
      <w:r w:rsidR="00595175">
        <w:rPr>
          <w:rStyle w:val="HeaderChar"/>
          <w:rFonts w:ascii="Palatino Linotype" w:hAnsi="Palatino Linotype" w:eastAsia="Palatino Linotype" w:cs="Palatino Linotype"/>
          <w:sz w:val="24"/>
          <w:szCs w:val="24"/>
        </w:rPr>
        <w:t>gpm</w:t>
      </w:r>
      <w:proofErr w:type="spellEnd"/>
      <w:r w:rsidR="00595175">
        <w:rPr>
          <w:rStyle w:val="HeaderChar"/>
          <w:rFonts w:ascii="Palatino Linotype" w:hAnsi="Palatino Linotype" w:eastAsia="Palatino Linotype" w:cs="Palatino Linotype"/>
          <w:sz w:val="24"/>
          <w:szCs w:val="24"/>
        </w:rPr>
        <w:t xml:space="preserve"> utilizing active and standby sources.</w:t>
      </w:r>
      <w:r w:rsidR="00595175">
        <w:rPr>
          <w:rStyle w:val="FootnoteReference"/>
          <w:rFonts w:ascii="Palatino Linotype" w:hAnsi="Palatino Linotype" w:eastAsia="Palatino Linotype" w:cs="Palatino Linotype"/>
          <w:sz w:val="24"/>
          <w:szCs w:val="24"/>
        </w:rPr>
        <w:footnoteReference w:id="5"/>
      </w:r>
      <w:r w:rsidR="00595175">
        <w:rPr>
          <w:rStyle w:val="HeaderChar"/>
          <w:rFonts w:ascii="Palatino Linotype" w:hAnsi="Palatino Linotype" w:eastAsia="Palatino Linotype" w:cs="Palatino Linotype"/>
          <w:sz w:val="24"/>
          <w:szCs w:val="24"/>
        </w:rPr>
        <w:t xml:space="preserve"> </w:t>
      </w:r>
      <w:r w:rsidR="000D1F9B">
        <w:rPr>
          <w:rStyle w:val="HeaderChar"/>
          <w:rFonts w:ascii="Palatino Linotype" w:hAnsi="Palatino Linotype" w:eastAsia="Palatino Linotype" w:cs="Palatino Linotype"/>
          <w:sz w:val="24"/>
          <w:szCs w:val="24"/>
        </w:rPr>
        <w:t xml:space="preserve"> </w:t>
      </w:r>
    </w:p>
    <w:p w:rsidR="006922DC" w:rsidP="006A66BD" w:rsidRDefault="006922DC" w14:paraId="089387A1" w14:textId="61C60EA0">
      <w:pPr>
        <w:pStyle w:val="Body"/>
        <w:spacing w:after="0" w:line="240" w:lineRule="auto"/>
        <w:rPr>
          <w:rStyle w:val="HeaderChar"/>
          <w:rFonts w:ascii="Palatino Linotype" w:hAnsi="Palatino Linotype" w:eastAsia="Palatino Linotype" w:cs="Palatino Linotype"/>
          <w:sz w:val="24"/>
          <w:szCs w:val="24"/>
        </w:rPr>
      </w:pPr>
    </w:p>
    <w:p w:rsidR="008E6E8D" w:rsidP="006A66BD" w:rsidRDefault="008E6E8D" w14:paraId="062BF642" w14:textId="4340561B">
      <w:pPr>
        <w:pStyle w:val="Body"/>
        <w:spacing w:after="0" w:line="240" w:lineRule="auto"/>
        <w:rPr>
          <w:rStyle w:val="HeaderChar"/>
          <w:rFonts w:ascii="Palatino Linotype" w:hAnsi="Palatino Linotype" w:eastAsia="Palatino Linotype" w:cs="Palatino Linotype"/>
          <w:sz w:val="24"/>
          <w:szCs w:val="24"/>
        </w:rPr>
      </w:pPr>
      <w:r w:rsidRPr="00F07D4B">
        <w:rPr>
          <w:rStyle w:val="HeaderChar"/>
          <w:rFonts w:ascii="Palatino Linotype" w:hAnsi="Palatino Linotype" w:eastAsia="Palatino Linotype" w:cs="Palatino Linotype"/>
          <w:sz w:val="24"/>
          <w:szCs w:val="24"/>
        </w:rPr>
        <w:t xml:space="preserve">Commission Res. W-5184, issued on January 31, 2019, granted Bakman the authority to acquire the Rolling Hills Water System (Rolling Hills) and related assets under the </w:t>
      </w:r>
      <w:r w:rsidRPr="00F07D4B">
        <w:rPr>
          <w:rStyle w:val="HeaderChar"/>
          <w:rFonts w:ascii="Palatino Linotype" w:hAnsi="Palatino Linotype" w:eastAsia="Palatino Linotype" w:cs="Palatino Linotype"/>
          <w:sz w:val="24"/>
          <w:szCs w:val="24"/>
        </w:rPr>
        <w:lastRenderedPageBreak/>
        <w:t>terms and conditions set forth in the October 23, 2018 Asset Purchase and Sale Agreement (APSA) between Bakman and Madera County and to add the new district, Rolling Hills, to its utility service tariffs.</w:t>
      </w:r>
      <w:r w:rsidR="00722D85">
        <w:rPr>
          <w:rStyle w:val="HeaderChar"/>
          <w:rFonts w:ascii="Palatino Linotype" w:hAnsi="Palatino Linotype" w:eastAsia="Palatino Linotype" w:cs="Palatino Linotype"/>
          <w:sz w:val="24"/>
          <w:szCs w:val="24"/>
        </w:rPr>
        <w:t xml:space="preserve"> The Rolling Hills distribution system serves approximately 361 lots and consists of two supply sources: Wells #2 and #3. The system also utilizes a 330,000 gallon storage tank equipped with booster pumps. Well #3 supplies water to an Arsenic Treatment Plant.</w:t>
      </w:r>
    </w:p>
    <w:p w:rsidR="001A5800" w:rsidP="006A66BD" w:rsidRDefault="001A5800" w14:paraId="7DF1E287" w14:textId="438C48E2">
      <w:pPr>
        <w:pStyle w:val="Body"/>
        <w:spacing w:after="0" w:line="240" w:lineRule="auto"/>
        <w:rPr>
          <w:rStyle w:val="HeaderChar"/>
          <w:rFonts w:ascii="Palatino Linotype" w:hAnsi="Palatino Linotype" w:eastAsia="Palatino Linotype" w:cs="Palatino Linotype"/>
          <w:sz w:val="24"/>
          <w:szCs w:val="24"/>
        </w:rPr>
      </w:pPr>
    </w:p>
    <w:p w:rsidR="00F07D4B" w:rsidP="006A66BD" w:rsidRDefault="001A5800" w14:paraId="0F8D9427" w14:textId="04C1285D">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Under the APSA, Bakman intends to operate Rolling Hills as a separate subsystem until meters are installed with customers subject to a metered rate schedule once the conversion is complete. The </w:t>
      </w:r>
      <w:r w:rsidR="004B0CEB">
        <w:rPr>
          <w:rStyle w:val="HeaderChar"/>
          <w:rFonts w:ascii="Palatino Linotype" w:hAnsi="Palatino Linotype" w:eastAsia="Palatino Linotype" w:cs="Palatino Linotype"/>
          <w:sz w:val="24"/>
          <w:szCs w:val="24"/>
        </w:rPr>
        <w:t>estimated</w:t>
      </w:r>
      <w:r>
        <w:rPr>
          <w:rStyle w:val="HeaderChar"/>
          <w:rFonts w:ascii="Palatino Linotype" w:hAnsi="Palatino Linotype" w:eastAsia="Palatino Linotype" w:cs="Palatino Linotype"/>
          <w:sz w:val="24"/>
          <w:szCs w:val="24"/>
        </w:rPr>
        <w:t xml:space="preserve"> completion date for the meter conversion is</w:t>
      </w:r>
      <w:r w:rsidR="004B0CEB">
        <w:rPr>
          <w:rStyle w:val="HeaderChar"/>
          <w:rFonts w:ascii="Palatino Linotype" w:hAnsi="Palatino Linotype" w:eastAsia="Palatino Linotype" w:cs="Palatino Linotype"/>
          <w:sz w:val="24"/>
          <w:szCs w:val="24"/>
        </w:rPr>
        <w:t xml:space="preserve"> December 2021.</w:t>
      </w:r>
      <w:r>
        <w:rPr>
          <w:rStyle w:val="HeaderChar"/>
          <w:rFonts w:ascii="Palatino Linotype" w:hAnsi="Palatino Linotype" w:eastAsia="Palatino Linotype" w:cs="Palatino Linotype"/>
          <w:sz w:val="24"/>
          <w:szCs w:val="24"/>
        </w:rPr>
        <w:t xml:space="preserve"> </w:t>
      </w:r>
    </w:p>
    <w:p w:rsidR="00F07D4B" w:rsidP="006A66BD" w:rsidRDefault="00F07D4B" w14:paraId="5B1C3129" w14:textId="77777777">
      <w:pPr>
        <w:pStyle w:val="Body"/>
        <w:spacing w:after="0" w:line="240" w:lineRule="auto"/>
        <w:rPr>
          <w:rStyle w:val="HeaderChar"/>
          <w:rFonts w:ascii="Palatino Linotype" w:hAnsi="Palatino Linotype" w:eastAsia="Palatino Linotype" w:cs="Palatino Linotype"/>
          <w:sz w:val="24"/>
          <w:szCs w:val="24"/>
        </w:rPr>
      </w:pPr>
    </w:p>
    <w:p w:rsidR="001A5800" w:rsidP="006A66BD" w:rsidRDefault="00F07D4B" w14:paraId="77D4D90B" w14:textId="2805161B">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As specified in the APSA, Bakman is using the agreed upon “Full Purchase Price,” which is the sum of the Purchase Price of </w:t>
      </w:r>
      <w:r w:rsidR="00AF7B0F">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1.00 and the Debt Payoff Payment, approximately $297,170.93 when the APSA was established, as Rolling Hills’ rate base amount. For the purpose of this GRC, the Rolling Hills subsystem is excluded from rate base</w:t>
      </w:r>
      <w:r w:rsidR="00E66ECA">
        <w:rPr>
          <w:rStyle w:val="HeaderChar"/>
          <w:rFonts w:ascii="Palatino Linotype" w:hAnsi="Palatino Linotype" w:eastAsia="Palatino Linotype" w:cs="Palatino Linotype"/>
          <w:sz w:val="24"/>
          <w:szCs w:val="24"/>
        </w:rPr>
        <w:t>. In addition,</w:t>
      </w:r>
      <w:r>
        <w:rPr>
          <w:rStyle w:val="HeaderChar"/>
          <w:rFonts w:ascii="Palatino Linotype" w:hAnsi="Palatino Linotype" w:eastAsia="Palatino Linotype" w:cs="Palatino Linotype"/>
          <w:sz w:val="24"/>
          <w:szCs w:val="24"/>
        </w:rPr>
        <w:t xml:space="preserve"> any revenues, expenses, plant and depreciation</w:t>
      </w:r>
      <w:r w:rsidR="00E66ECA">
        <w:rPr>
          <w:rStyle w:val="HeaderChar"/>
          <w:rFonts w:ascii="Palatino Linotype" w:hAnsi="Palatino Linotype" w:eastAsia="Palatino Linotype" w:cs="Palatino Linotype"/>
          <w:sz w:val="24"/>
          <w:szCs w:val="24"/>
        </w:rPr>
        <w:t xml:space="preserve"> associated with the Rolling Hills subsystem are excluded.</w:t>
      </w:r>
    </w:p>
    <w:p w:rsidR="00091C3A" w:rsidP="006A66BD" w:rsidRDefault="00091C3A" w14:paraId="662DD9D4" w14:textId="080A99EC">
      <w:pPr>
        <w:pStyle w:val="Body"/>
        <w:spacing w:after="0" w:line="240" w:lineRule="auto"/>
        <w:rPr>
          <w:rStyle w:val="HeaderChar"/>
          <w:rFonts w:ascii="Palatino Linotype" w:hAnsi="Palatino Linotype" w:eastAsia="Palatino Linotype" w:cs="Palatino Linotype"/>
          <w:sz w:val="24"/>
          <w:szCs w:val="24"/>
        </w:rPr>
      </w:pPr>
    </w:p>
    <w:p w:rsidRPr="009617C9" w:rsidR="00091C3A" w:rsidP="00091C3A" w:rsidRDefault="00091C3A" w14:paraId="68B15347"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UTILITY SAFETY</w:t>
      </w:r>
    </w:p>
    <w:p w:rsidRPr="00C17DFF" w:rsidR="00091C3A" w:rsidP="00091C3A" w:rsidRDefault="00091C3A" w14:paraId="75D4BDE1" w14:textId="77777777">
      <w:pPr>
        <w:pStyle w:val="Body"/>
        <w:spacing w:after="0" w:line="240" w:lineRule="auto"/>
        <w:rPr>
          <w:rStyle w:val="HeaderChar"/>
          <w:rFonts w:ascii="Palatino Linotype" w:hAnsi="Palatino Linotype" w:eastAsia="Palatino Linotype" w:cs="Palatino Linotype"/>
          <w:b/>
          <w:bCs/>
          <w:sz w:val="24"/>
          <w:szCs w:val="24"/>
          <w:u w:val="single"/>
        </w:rPr>
      </w:pPr>
    </w:p>
    <w:p w:rsidR="00091C3A" w:rsidP="00091C3A" w:rsidRDefault="00091C3A" w14:paraId="7D8560F0" w14:textId="77777777">
      <w:pPr>
        <w:pStyle w:val="Body"/>
        <w:spacing w:after="0" w:line="240" w:lineRule="auto"/>
        <w:rPr>
          <w:rFonts w:ascii="Palatino Linotype" w:hAnsi="Palatino Linotype"/>
          <w:snapToGrid w:val="0"/>
          <w:sz w:val="24"/>
          <w:szCs w:val="24"/>
        </w:rPr>
      </w:pPr>
      <w:r>
        <w:rPr>
          <w:rFonts w:ascii="Palatino Linotype" w:hAnsi="Palatino Linotype"/>
          <w:snapToGrid w:val="0"/>
          <w:sz w:val="24"/>
          <w:szCs w:val="24"/>
        </w:rPr>
        <w:t xml:space="preserve">Bakman has several water sources on standby or inactive due to groundwater contamination. The utility is actively implementing water treatment and increased monitoring, reporting, and sampling as required by DDW. </w:t>
      </w:r>
    </w:p>
    <w:p w:rsidR="00091C3A" w:rsidP="00091C3A" w:rsidRDefault="00091C3A" w14:paraId="00E4CF4D" w14:textId="77777777">
      <w:pPr>
        <w:pStyle w:val="Body"/>
        <w:spacing w:after="0" w:line="240" w:lineRule="auto"/>
        <w:rPr>
          <w:rFonts w:ascii="Palatino Linotype" w:hAnsi="Palatino Linotype"/>
          <w:snapToGrid w:val="0"/>
          <w:sz w:val="24"/>
          <w:szCs w:val="24"/>
        </w:rPr>
      </w:pPr>
    </w:p>
    <w:p w:rsidR="00091C3A" w:rsidP="00091C3A" w:rsidRDefault="00091C3A" w14:paraId="1E70B212" w14:textId="2B224F7F">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Well #8 produces water with 1,2-Dibromo-3-chloropropane (DBCP) and 1,2,3-Trichloropropane (TCP)</w:t>
      </w:r>
      <w:r>
        <w:rPr>
          <w:rStyle w:val="FootnoteReference"/>
          <w:rFonts w:ascii="Palatino Linotype" w:hAnsi="Palatino Linotype" w:eastAsia="Palatino Linotype" w:cs="Palatino Linotype"/>
          <w:sz w:val="24"/>
          <w:szCs w:val="24"/>
        </w:rPr>
        <w:footnoteReference w:id="6"/>
      </w:r>
      <w:r>
        <w:rPr>
          <w:rStyle w:val="HeaderChar"/>
          <w:rFonts w:ascii="Palatino Linotype" w:hAnsi="Palatino Linotype" w:eastAsia="Palatino Linotype" w:cs="Palatino Linotype"/>
          <w:sz w:val="24"/>
          <w:szCs w:val="24"/>
        </w:rPr>
        <w:t xml:space="preserve"> concentrations exceeding Maximum Contaminant Levels (MCL).</w:t>
      </w:r>
      <w:r>
        <w:rPr>
          <w:rStyle w:val="FootnoteReference"/>
          <w:rFonts w:ascii="Palatino Linotype" w:hAnsi="Palatino Linotype" w:eastAsia="Palatino Linotype" w:cs="Palatino Linotype"/>
          <w:sz w:val="24"/>
          <w:szCs w:val="24"/>
        </w:rPr>
        <w:footnoteReference w:id="7"/>
      </w:r>
      <w:r>
        <w:rPr>
          <w:rStyle w:val="HeaderChar"/>
          <w:rFonts w:ascii="Palatino Linotype" w:hAnsi="Palatino Linotype" w:eastAsia="Palatino Linotype" w:cs="Palatino Linotype"/>
          <w:sz w:val="24"/>
          <w:szCs w:val="24"/>
        </w:rPr>
        <w:t xml:space="preserve"> Bakman utilizes Granular Activated Carbon (GAC) treatment</w:t>
      </w:r>
      <w:r>
        <w:rPr>
          <w:rStyle w:val="FootnoteReference"/>
          <w:rFonts w:ascii="Palatino Linotype" w:hAnsi="Palatino Linotype" w:eastAsia="Palatino Linotype" w:cs="Palatino Linotype"/>
          <w:sz w:val="24"/>
          <w:szCs w:val="24"/>
        </w:rPr>
        <w:footnoteReference w:id="8"/>
      </w:r>
      <w:r>
        <w:rPr>
          <w:rStyle w:val="HeaderChar"/>
          <w:rFonts w:ascii="Palatino Linotype" w:hAnsi="Palatino Linotype" w:eastAsia="Palatino Linotype" w:cs="Palatino Linotype"/>
          <w:sz w:val="24"/>
          <w:szCs w:val="24"/>
        </w:rPr>
        <w:t xml:space="preserve"> to reduce the DBCP to within the MCL. The treated water is then subjected to chlorination treatment </w:t>
      </w:r>
      <w:r>
        <w:rPr>
          <w:rStyle w:val="HeaderChar"/>
          <w:rFonts w:ascii="Palatino Linotype" w:hAnsi="Palatino Linotype" w:eastAsia="Palatino Linotype" w:cs="Palatino Linotype"/>
          <w:sz w:val="24"/>
          <w:szCs w:val="24"/>
        </w:rPr>
        <w:lastRenderedPageBreak/>
        <w:t xml:space="preserve">and nitrate removal. Nitrate removal is performed using an ion exchange system called the </w:t>
      </w:r>
      <w:proofErr w:type="spellStart"/>
      <w:r>
        <w:rPr>
          <w:rStyle w:val="HeaderChar"/>
          <w:rFonts w:ascii="Palatino Linotype" w:hAnsi="Palatino Linotype" w:eastAsia="Palatino Linotype" w:cs="Palatino Linotype"/>
          <w:sz w:val="24"/>
          <w:szCs w:val="24"/>
        </w:rPr>
        <w:t>Ionex</w:t>
      </w:r>
      <w:proofErr w:type="spellEnd"/>
      <w:r>
        <w:rPr>
          <w:rStyle w:val="HeaderChar"/>
          <w:rFonts w:ascii="Palatino Linotype" w:hAnsi="Palatino Linotype" w:eastAsia="Palatino Linotype" w:cs="Palatino Linotype"/>
          <w:sz w:val="24"/>
          <w:szCs w:val="24"/>
        </w:rPr>
        <w:t xml:space="preserve"> treatment plant</w:t>
      </w:r>
      <w:r w:rsidR="00D20FF7">
        <w:rPr>
          <w:rStyle w:val="HeaderChar"/>
          <w:rFonts w:ascii="Palatino Linotype" w:hAnsi="Palatino Linotype" w:eastAsia="Palatino Linotype" w:cs="Palatino Linotype"/>
          <w:sz w:val="24"/>
          <w:szCs w:val="24"/>
        </w:rPr>
        <w:t>.</w:t>
      </w:r>
      <w:r>
        <w:rPr>
          <w:rStyle w:val="FootnoteReference"/>
          <w:rFonts w:ascii="Palatino Linotype" w:hAnsi="Palatino Linotype" w:eastAsia="Palatino Linotype" w:cs="Palatino Linotype"/>
          <w:sz w:val="24"/>
          <w:szCs w:val="24"/>
        </w:rPr>
        <w:footnoteReference w:id="9"/>
      </w:r>
      <w:r>
        <w:rPr>
          <w:rStyle w:val="HeaderChar"/>
          <w:rFonts w:ascii="Palatino Linotype" w:hAnsi="Palatino Linotype" w:eastAsia="Palatino Linotype" w:cs="Palatino Linotype"/>
          <w:sz w:val="24"/>
          <w:szCs w:val="24"/>
        </w:rPr>
        <w:t xml:space="preserve"> Well #8 is the only source in the system to undergo GAC and chlorination treatment and nitrate removal.</w:t>
      </w:r>
    </w:p>
    <w:p w:rsidR="00A855DB" w:rsidP="00091C3A" w:rsidRDefault="00A855DB" w14:paraId="1A80B100" w14:textId="77777777">
      <w:pPr>
        <w:pStyle w:val="Body"/>
        <w:spacing w:after="0" w:line="240" w:lineRule="auto"/>
        <w:rPr>
          <w:rStyle w:val="HeaderChar"/>
          <w:rFonts w:ascii="Palatino Linotype" w:hAnsi="Palatino Linotype" w:eastAsia="Palatino Linotype" w:cs="Palatino Linotype"/>
          <w:sz w:val="24"/>
          <w:szCs w:val="24"/>
        </w:rPr>
      </w:pPr>
    </w:p>
    <w:p w:rsidR="00091C3A" w:rsidP="00091C3A" w:rsidRDefault="00091C3A" w14:paraId="646C3002" w14:textId="0D49D5ED">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Wells #8A, #9, 13A, and 14 were placed on standby in 2018 due to concentrations of TCP exceeding the MCL detected during sampling. Wells #9, #15A, and #16 showed detections for TCP, but were not yet determined to be out of compliance. These were placed on standby in 2019 due to being mechanically down and unable to be sampled. Presently, </w:t>
      </w:r>
      <w:proofErr w:type="gramStart"/>
      <w:r>
        <w:rPr>
          <w:rStyle w:val="HeaderChar"/>
          <w:rFonts w:ascii="Palatino Linotype" w:hAnsi="Palatino Linotype" w:eastAsia="Palatino Linotype" w:cs="Palatino Linotype"/>
          <w:sz w:val="24"/>
          <w:szCs w:val="24"/>
        </w:rPr>
        <w:t>Well</w:t>
      </w:r>
      <w:proofErr w:type="gramEnd"/>
      <w:r>
        <w:rPr>
          <w:rStyle w:val="HeaderChar"/>
          <w:rFonts w:ascii="Palatino Linotype" w:hAnsi="Palatino Linotype" w:eastAsia="Palatino Linotype" w:cs="Palatino Linotype"/>
          <w:sz w:val="24"/>
          <w:szCs w:val="24"/>
        </w:rPr>
        <w:t xml:space="preserve"> #16 is an active supply source.</w:t>
      </w:r>
      <w:r w:rsidR="005109CB">
        <w:rPr>
          <w:rStyle w:val="HeaderChar"/>
          <w:rFonts w:ascii="Palatino Linotype" w:hAnsi="Palatino Linotype" w:eastAsia="Palatino Linotype" w:cs="Palatino Linotype"/>
          <w:sz w:val="24"/>
          <w:szCs w:val="24"/>
        </w:rPr>
        <w:t xml:space="preserve"> </w:t>
      </w:r>
    </w:p>
    <w:p w:rsidR="00091C3A" w:rsidP="00091C3A" w:rsidRDefault="00091C3A" w14:paraId="7A7C59FA" w14:textId="0F94D88A">
      <w:pPr>
        <w:pStyle w:val="Body"/>
        <w:spacing w:after="0" w:line="240" w:lineRule="auto"/>
        <w:rPr>
          <w:rStyle w:val="HeaderChar"/>
          <w:rFonts w:ascii="Palatino Linotype" w:hAnsi="Palatino Linotype" w:eastAsia="Palatino Linotype" w:cs="Palatino Linotype"/>
          <w:sz w:val="24"/>
          <w:szCs w:val="24"/>
        </w:rPr>
      </w:pPr>
    </w:p>
    <w:p w:rsidR="007E39FA" w:rsidP="00091C3A" w:rsidRDefault="007E39FA" w14:paraId="36847735" w14:textId="2033020F">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On March 19, 2019, the SRWCB Division of Drinking Water (DDW) issued Order No. 03 12 19M 001 1010001 to Bakman requiring testing for Per- and polyfluoroalkyl substances (PFAS), specifically </w:t>
      </w:r>
      <w:proofErr w:type="spellStart"/>
      <w:r>
        <w:rPr>
          <w:rStyle w:val="HeaderChar"/>
          <w:rFonts w:ascii="Palatino Linotype" w:hAnsi="Palatino Linotype" w:eastAsia="Palatino Linotype" w:cs="Palatino Linotype"/>
          <w:sz w:val="24"/>
          <w:szCs w:val="24"/>
        </w:rPr>
        <w:t>perfluorooctane</w:t>
      </w:r>
      <w:proofErr w:type="spellEnd"/>
      <w:r>
        <w:rPr>
          <w:rStyle w:val="HeaderChar"/>
          <w:rFonts w:ascii="Palatino Linotype" w:hAnsi="Palatino Linotype" w:eastAsia="Palatino Linotype" w:cs="Palatino Linotype"/>
          <w:sz w:val="24"/>
          <w:szCs w:val="24"/>
        </w:rPr>
        <w:t xml:space="preserve"> sulfonic acid (PFOS) and perfluorooctanoic acid (PFOA)</w:t>
      </w:r>
      <w:r w:rsidR="00D20FF7">
        <w:rPr>
          <w:rStyle w:val="HeaderChar"/>
          <w:rFonts w:ascii="Palatino Linotype" w:hAnsi="Palatino Linotype" w:eastAsia="Palatino Linotype" w:cs="Palatino Linotype"/>
          <w:sz w:val="24"/>
          <w:szCs w:val="24"/>
        </w:rPr>
        <w:t>.</w:t>
      </w:r>
      <w:r w:rsidRPr="007E39FA">
        <w:rPr>
          <w:rStyle w:val="FootnoteReference"/>
          <w:rFonts w:ascii="Palatino Linotype" w:hAnsi="Palatino Linotype" w:eastAsia="Palatino Linotype" w:cs="Palatino Linotype"/>
          <w:sz w:val="24"/>
          <w:szCs w:val="24"/>
        </w:rPr>
        <w:t xml:space="preserve"> </w:t>
      </w:r>
      <w:r>
        <w:rPr>
          <w:rStyle w:val="FootnoteReference"/>
          <w:rFonts w:ascii="Palatino Linotype" w:hAnsi="Palatino Linotype" w:eastAsia="Palatino Linotype" w:cs="Palatino Linotype"/>
          <w:sz w:val="24"/>
          <w:szCs w:val="24"/>
        </w:rPr>
        <w:footnoteReference w:id="10"/>
      </w:r>
      <w:r>
        <w:rPr>
          <w:rStyle w:val="HeaderChar"/>
          <w:rFonts w:ascii="Palatino Linotype" w:hAnsi="Palatino Linotype" w:eastAsia="Palatino Linotype" w:cs="Palatino Linotype"/>
          <w:sz w:val="24"/>
          <w:szCs w:val="24"/>
        </w:rPr>
        <w:t xml:space="preserve"> The order was issued due to the utility’s proximity with an airport which is known to have used aqueous film forming foams, which contain PFAS, for fire suppression and training</w:t>
      </w:r>
      <w:r w:rsidR="00371A97">
        <w:rPr>
          <w:rStyle w:val="HeaderChar"/>
          <w:rFonts w:ascii="Palatino Linotype" w:hAnsi="Palatino Linotype" w:eastAsia="Palatino Linotype" w:cs="Palatino Linotype"/>
          <w:sz w:val="24"/>
          <w:szCs w:val="24"/>
        </w:rPr>
        <w:t>. DDW believes that the PFAS migrated to the groundwater aquifers near the airport.</w:t>
      </w:r>
    </w:p>
    <w:p w:rsidR="00371A97" w:rsidP="00091C3A" w:rsidRDefault="00371A97" w14:paraId="658F551A" w14:textId="77777777">
      <w:pPr>
        <w:pStyle w:val="Body"/>
        <w:spacing w:after="0" w:line="240" w:lineRule="auto"/>
        <w:rPr>
          <w:rStyle w:val="HeaderChar"/>
          <w:rFonts w:ascii="Palatino Linotype" w:hAnsi="Palatino Linotype" w:eastAsia="Palatino Linotype" w:cs="Palatino Linotype"/>
          <w:sz w:val="24"/>
          <w:szCs w:val="24"/>
        </w:rPr>
      </w:pPr>
    </w:p>
    <w:p w:rsidR="00091C3A" w:rsidP="00091C3A" w:rsidRDefault="00091C3A" w14:paraId="5C43DE67" w14:textId="0D7B0838">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In April 2019, six of </w:t>
      </w:r>
      <w:proofErr w:type="spellStart"/>
      <w:r>
        <w:rPr>
          <w:rStyle w:val="HeaderChar"/>
          <w:rFonts w:ascii="Palatino Linotype" w:hAnsi="Palatino Linotype" w:eastAsia="Palatino Linotype" w:cs="Palatino Linotype"/>
          <w:sz w:val="24"/>
          <w:szCs w:val="24"/>
        </w:rPr>
        <w:t>Bakman’s</w:t>
      </w:r>
      <w:proofErr w:type="spellEnd"/>
      <w:r>
        <w:rPr>
          <w:rStyle w:val="HeaderChar"/>
          <w:rFonts w:ascii="Palatino Linotype" w:hAnsi="Palatino Linotype" w:eastAsia="Palatino Linotype" w:cs="Palatino Linotype"/>
          <w:sz w:val="24"/>
          <w:szCs w:val="24"/>
        </w:rPr>
        <w:t xml:space="preserve"> wells were selected by the </w:t>
      </w:r>
      <w:r w:rsidR="00371A97">
        <w:rPr>
          <w:rStyle w:val="HeaderChar"/>
          <w:rFonts w:ascii="Palatino Linotype" w:hAnsi="Palatino Linotype" w:eastAsia="Palatino Linotype" w:cs="Palatino Linotype"/>
          <w:sz w:val="24"/>
          <w:szCs w:val="24"/>
        </w:rPr>
        <w:t>DDW a</w:t>
      </w:r>
      <w:r>
        <w:rPr>
          <w:rStyle w:val="HeaderChar"/>
          <w:rFonts w:ascii="Palatino Linotype" w:hAnsi="Palatino Linotype" w:eastAsia="Palatino Linotype" w:cs="Palatino Linotype"/>
          <w:sz w:val="24"/>
          <w:szCs w:val="24"/>
        </w:rPr>
        <w:t xml:space="preserve">s part of its Phase I investigation of </w:t>
      </w:r>
      <w:r w:rsidR="00371A97">
        <w:rPr>
          <w:rStyle w:val="HeaderChar"/>
          <w:rFonts w:ascii="Palatino Linotype" w:hAnsi="Palatino Linotype" w:eastAsia="Palatino Linotype" w:cs="Palatino Linotype"/>
          <w:sz w:val="24"/>
          <w:szCs w:val="24"/>
        </w:rPr>
        <w:t>PFOA and PFOS</w:t>
      </w:r>
      <w:r>
        <w:rPr>
          <w:rStyle w:val="HeaderChar"/>
          <w:rFonts w:ascii="Palatino Linotype" w:hAnsi="Palatino Linotype" w:eastAsia="Palatino Linotype" w:cs="Palatino Linotype"/>
          <w:sz w:val="24"/>
          <w:szCs w:val="24"/>
        </w:rPr>
        <w:t xml:space="preserve"> contamination in </w:t>
      </w:r>
      <w:r w:rsidR="005109CB">
        <w:rPr>
          <w:rStyle w:val="HeaderChar"/>
          <w:rFonts w:ascii="Palatino Linotype" w:hAnsi="Palatino Linotype" w:eastAsia="Palatino Linotype" w:cs="Palatino Linotype"/>
          <w:sz w:val="24"/>
          <w:szCs w:val="24"/>
        </w:rPr>
        <w:t xml:space="preserve">drinking </w:t>
      </w:r>
      <w:r>
        <w:rPr>
          <w:rStyle w:val="HeaderChar"/>
          <w:rFonts w:ascii="Palatino Linotype" w:hAnsi="Palatino Linotype" w:eastAsia="Palatino Linotype" w:cs="Palatino Linotype"/>
          <w:sz w:val="24"/>
          <w:szCs w:val="24"/>
        </w:rPr>
        <w:t xml:space="preserve">water sources. </w:t>
      </w:r>
    </w:p>
    <w:p w:rsidR="005109CB" w:rsidP="00091C3A" w:rsidRDefault="005109CB" w14:paraId="08D8F289" w14:textId="05DD37FB">
      <w:pPr>
        <w:pStyle w:val="Body"/>
        <w:spacing w:after="0" w:line="240" w:lineRule="auto"/>
        <w:rPr>
          <w:rStyle w:val="HeaderChar"/>
          <w:rFonts w:ascii="Palatino Linotype" w:hAnsi="Palatino Linotype" w:eastAsia="Palatino Linotype" w:cs="Palatino Linotype"/>
          <w:sz w:val="24"/>
          <w:szCs w:val="24"/>
        </w:rPr>
      </w:pPr>
    </w:p>
    <w:p w:rsidR="005109CB" w:rsidP="00091C3A" w:rsidRDefault="00B777D7" w14:paraId="12B9533B" w14:textId="5C116CC7">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Assembly Bill 756 (AB</w:t>
      </w:r>
      <w:r w:rsidR="00702637">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756</w:t>
      </w:r>
      <w:r w:rsidR="00702637">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 xml:space="preserve">, effective July 31, 2019, granted DDW the authority to order a public water system to monitor for PFOA and PFOS. </w:t>
      </w:r>
      <w:r w:rsidR="005109CB">
        <w:rPr>
          <w:rStyle w:val="HeaderChar"/>
          <w:rFonts w:ascii="Palatino Linotype" w:hAnsi="Palatino Linotype" w:eastAsia="Palatino Linotype" w:cs="Palatino Linotype"/>
          <w:sz w:val="24"/>
          <w:szCs w:val="24"/>
        </w:rPr>
        <w:t xml:space="preserve">In August 2019, DDW established notification levels for PFOA and PFOS at 5.1 and 6.5 parts per trillion, respectively. </w:t>
      </w:r>
      <w:r>
        <w:rPr>
          <w:rStyle w:val="HeaderChar"/>
          <w:rFonts w:ascii="Palatino Linotype" w:hAnsi="Palatino Linotype" w:eastAsia="Palatino Linotype" w:cs="Palatino Linotype"/>
          <w:sz w:val="24"/>
          <w:szCs w:val="24"/>
        </w:rPr>
        <w:t xml:space="preserve">With the introduction of </w:t>
      </w:r>
      <w:r w:rsidR="00371A97">
        <w:rPr>
          <w:rStyle w:val="HeaderChar"/>
          <w:rFonts w:ascii="Palatino Linotype" w:hAnsi="Palatino Linotype" w:eastAsia="Palatino Linotype" w:cs="Palatino Linotype"/>
          <w:sz w:val="24"/>
          <w:szCs w:val="24"/>
        </w:rPr>
        <w:t xml:space="preserve">more stringent </w:t>
      </w:r>
      <w:r>
        <w:rPr>
          <w:rStyle w:val="HeaderChar"/>
          <w:rFonts w:ascii="Palatino Linotype" w:hAnsi="Palatino Linotype" w:eastAsia="Palatino Linotype" w:cs="Palatino Linotype"/>
          <w:sz w:val="24"/>
          <w:szCs w:val="24"/>
        </w:rPr>
        <w:t xml:space="preserve">notification levels for PFOA and PFOS, Bakman </w:t>
      </w:r>
      <w:r w:rsidR="00C747AB">
        <w:rPr>
          <w:rStyle w:val="HeaderChar"/>
          <w:rFonts w:ascii="Palatino Linotype" w:hAnsi="Palatino Linotype" w:eastAsia="Palatino Linotype" w:cs="Palatino Linotype"/>
          <w:sz w:val="24"/>
          <w:szCs w:val="24"/>
        </w:rPr>
        <w:t xml:space="preserve">must </w:t>
      </w:r>
      <w:r>
        <w:rPr>
          <w:rStyle w:val="HeaderChar"/>
          <w:rFonts w:ascii="Palatino Linotype" w:hAnsi="Palatino Linotype" w:eastAsia="Palatino Linotype" w:cs="Palatino Linotype"/>
          <w:sz w:val="24"/>
          <w:szCs w:val="24"/>
        </w:rPr>
        <w:t xml:space="preserve">do additional testing and sampling to monitor for PFOA and PFOS. </w:t>
      </w:r>
    </w:p>
    <w:p w:rsidR="005109CB" w:rsidP="00091C3A" w:rsidRDefault="005109CB" w14:paraId="7F29DB28" w14:textId="03C99BD3">
      <w:pPr>
        <w:pStyle w:val="Body"/>
        <w:spacing w:after="0" w:line="240" w:lineRule="auto"/>
        <w:rPr>
          <w:rStyle w:val="HeaderChar"/>
          <w:rFonts w:ascii="Palatino Linotype" w:hAnsi="Palatino Linotype" w:eastAsia="Palatino Linotype" w:cs="Palatino Linotype"/>
          <w:sz w:val="24"/>
          <w:szCs w:val="24"/>
        </w:rPr>
      </w:pPr>
    </w:p>
    <w:p w:rsidR="00091C3A" w:rsidP="006A66BD" w:rsidRDefault="00B777D7" w14:paraId="19BFA889" w14:textId="229BE6C7">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In addition, d</w:t>
      </w:r>
      <w:r w:rsidR="005109CB">
        <w:rPr>
          <w:rStyle w:val="HeaderChar"/>
          <w:rFonts w:ascii="Palatino Linotype" w:hAnsi="Palatino Linotype" w:eastAsia="Palatino Linotype" w:cs="Palatino Linotype"/>
          <w:sz w:val="24"/>
          <w:szCs w:val="24"/>
        </w:rPr>
        <w:t>ue to the presence of TCP</w:t>
      </w:r>
      <w:r>
        <w:rPr>
          <w:rStyle w:val="HeaderChar"/>
          <w:rFonts w:ascii="Palatino Linotype" w:hAnsi="Palatino Linotype" w:eastAsia="Palatino Linotype" w:cs="Palatino Linotype"/>
          <w:sz w:val="24"/>
          <w:szCs w:val="24"/>
        </w:rPr>
        <w:t xml:space="preserve"> and DBCP in its system</w:t>
      </w:r>
      <w:r w:rsidR="005109CB">
        <w:rPr>
          <w:rStyle w:val="HeaderChar"/>
          <w:rFonts w:ascii="Palatino Linotype" w:hAnsi="Palatino Linotype" w:eastAsia="Palatino Linotype" w:cs="Palatino Linotype"/>
          <w:sz w:val="24"/>
          <w:szCs w:val="24"/>
        </w:rPr>
        <w:t xml:space="preserve">, Bakman has been required to conduct more frequent sampling of its wells to ensure compliance and to monitor contaminant levels. From June through November 2019, DDW required samples of Well #16 every month. </w:t>
      </w:r>
      <w:r>
        <w:rPr>
          <w:rStyle w:val="HeaderChar"/>
          <w:rFonts w:ascii="Palatino Linotype" w:hAnsi="Palatino Linotype" w:eastAsia="Palatino Linotype" w:cs="Palatino Linotype"/>
          <w:sz w:val="24"/>
          <w:szCs w:val="24"/>
        </w:rPr>
        <w:t xml:space="preserve">Bakman is required to provide annual reports to </w:t>
      </w:r>
      <w:r>
        <w:rPr>
          <w:rStyle w:val="HeaderChar"/>
          <w:rFonts w:ascii="Palatino Linotype" w:hAnsi="Palatino Linotype" w:eastAsia="Palatino Linotype" w:cs="Palatino Linotype"/>
          <w:sz w:val="24"/>
          <w:szCs w:val="24"/>
        </w:rPr>
        <w:lastRenderedPageBreak/>
        <w:t xml:space="preserve">DDW regarding operations, monitoring, and effectiveness of its GAC and </w:t>
      </w:r>
      <w:proofErr w:type="spellStart"/>
      <w:r>
        <w:rPr>
          <w:rStyle w:val="HeaderChar"/>
          <w:rFonts w:ascii="Palatino Linotype" w:hAnsi="Palatino Linotype" w:eastAsia="Palatino Linotype" w:cs="Palatino Linotype"/>
          <w:sz w:val="24"/>
          <w:szCs w:val="24"/>
        </w:rPr>
        <w:t>Ionex</w:t>
      </w:r>
      <w:proofErr w:type="spellEnd"/>
      <w:r>
        <w:rPr>
          <w:rStyle w:val="HeaderChar"/>
          <w:rFonts w:ascii="Palatino Linotype" w:hAnsi="Palatino Linotype" w:eastAsia="Palatino Linotype" w:cs="Palatino Linotype"/>
          <w:sz w:val="24"/>
          <w:szCs w:val="24"/>
        </w:rPr>
        <w:t xml:space="preserve"> treatment plants.</w:t>
      </w:r>
    </w:p>
    <w:p w:rsidR="00F14C42" w:rsidP="006A66BD" w:rsidRDefault="00F14C42" w14:paraId="51F1211B" w14:textId="77777777">
      <w:pPr>
        <w:pStyle w:val="Body"/>
        <w:spacing w:after="0" w:line="240" w:lineRule="auto"/>
        <w:rPr>
          <w:rStyle w:val="HeaderChar"/>
          <w:rFonts w:ascii="Palatino Linotype" w:hAnsi="Palatino Linotype" w:eastAsia="Palatino Linotype" w:cs="Palatino Linotype"/>
          <w:sz w:val="24"/>
          <w:szCs w:val="24"/>
        </w:rPr>
      </w:pPr>
    </w:p>
    <w:p w:rsidRPr="009617C9" w:rsidR="001E2FB4" w:rsidP="006A66BD" w:rsidRDefault="00AE57DD" w14:paraId="5B780588"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NOTICE</w:t>
      </w:r>
      <w:r w:rsidRPr="00824D94" w:rsidR="00026358">
        <w:rPr>
          <w:rStyle w:val="HeaderChar"/>
          <w:rFonts w:ascii="Palatino Linotype" w:hAnsi="Palatino Linotype" w:eastAsia="Palatino Linotype" w:cs="Palatino Linotype"/>
          <w:b/>
          <w:bCs/>
          <w:sz w:val="28"/>
          <w:szCs w:val="28"/>
          <w:u w:val="single"/>
        </w:rPr>
        <w:t>,</w:t>
      </w:r>
      <w:r w:rsidRPr="00824D94">
        <w:rPr>
          <w:rStyle w:val="HeaderChar"/>
          <w:rFonts w:ascii="Palatino Linotype" w:hAnsi="Palatino Linotype" w:eastAsia="Palatino Linotype" w:cs="Palatino Linotype"/>
          <w:b/>
          <w:bCs/>
          <w:sz w:val="28"/>
          <w:szCs w:val="28"/>
          <w:u w:val="single"/>
        </w:rPr>
        <w:t xml:space="preserve"> PROTESTS</w:t>
      </w:r>
      <w:r w:rsidRPr="00824D94" w:rsidR="00026358">
        <w:rPr>
          <w:rStyle w:val="HeaderChar"/>
          <w:rFonts w:ascii="Palatino Linotype" w:hAnsi="Palatino Linotype" w:eastAsia="Palatino Linotype" w:cs="Palatino Linotype"/>
          <w:b/>
          <w:bCs/>
          <w:sz w:val="28"/>
          <w:szCs w:val="28"/>
          <w:u w:val="single"/>
        </w:rPr>
        <w:t>, AND PUBLIC MEETING</w:t>
      </w:r>
    </w:p>
    <w:p w:rsidRPr="009617C9" w:rsidR="001E2FB4" w:rsidP="006A66BD" w:rsidRDefault="001E2FB4" w14:paraId="267911DE" w14:textId="77777777">
      <w:pPr>
        <w:pStyle w:val="Body"/>
        <w:spacing w:after="0" w:line="240" w:lineRule="auto"/>
        <w:rPr>
          <w:rFonts w:ascii="Palatino Linotype" w:hAnsi="Palatino Linotype" w:eastAsia="Palatino Linotype" w:cs="Palatino Linotype"/>
          <w:sz w:val="24"/>
          <w:szCs w:val="24"/>
        </w:rPr>
      </w:pPr>
    </w:p>
    <w:p w:rsidRPr="009617C9" w:rsidR="001E2FB4" w:rsidP="006A66BD" w:rsidRDefault="00AE57DD" w14:paraId="0DAF34DD" w14:textId="578E2089">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In accordance with GO. 9</w:t>
      </w:r>
      <w:r w:rsidRPr="009617C9" w:rsidR="00932899">
        <w:rPr>
          <w:rStyle w:val="HeaderChar"/>
          <w:rFonts w:ascii="Palatino Linotype" w:hAnsi="Palatino Linotype" w:eastAsia="Palatino Linotype" w:cs="Palatino Linotype"/>
          <w:sz w:val="24"/>
          <w:szCs w:val="24"/>
        </w:rPr>
        <w:t xml:space="preserve">6-B, </w:t>
      </w:r>
      <w:r w:rsidR="00E333FB">
        <w:rPr>
          <w:rStyle w:val="HeaderChar"/>
          <w:rFonts w:ascii="Palatino Linotype" w:hAnsi="Palatino Linotype" w:eastAsia="Palatino Linotype" w:cs="Palatino Linotype"/>
          <w:sz w:val="24"/>
          <w:szCs w:val="24"/>
        </w:rPr>
        <w:t>Bakman</w:t>
      </w:r>
      <w:r w:rsidRPr="009617C9" w:rsidR="00083C9E">
        <w:rPr>
          <w:rStyle w:val="HeaderChar"/>
          <w:rFonts w:ascii="Palatino Linotype" w:hAnsi="Palatino Linotype" w:eastAsia="Palatino Linotype" w:cs="Palatino Linotype"/>
          <w:sz w:val="24"/>
          <w:szCs w:val="24"/>
        </w:rPr>
        <w:t xml:space="preserve"> </w:t>
      </w:r>
      <w:r w:rsidRPr="009617C9" w:rsidR="00932899">
        <w:rPr>
          <w:rStyle w:val="HeaderChar"/>
          <w:rFonts w:ascii="Palatino Linotype" w:hAnsi="Palatino Linotype" w:eastAsia="Palatino Linotype" w:cs="Palatino Linotype"/>
          <w:sz w:val="24"/>
          <w:szCs w:val="24"/>
        </w:rPr>
        <w:t xml:space="preserve">served a copy of </w:t>
      </w:r>
      <w:r w:rsidRPr="009617C9" w:rsidR="002458D7">
        <w:rPr>
          <w:rStyle w:val="HeaderChar"/>
          <w:rFonts w:ascii="Palatino Linotype" w:hAnsi="Palatino Linotype" w:eastAsia="Palatino Linotype" w:cs="Palatino Linotype"/>
          <w:sz w:val="24"/>
          <w:szCs w:val="24"/>
        </w:rPr>
        <w:t>AL</w:t>
      </w:r>
      <w:r w:rsidRPr="009617C9">
        <w:rPr>
          <w:rStyle w:val="HeaderChar"/>
          <w:rFonts w:ascii="Palatino Linotype" w:hAnsi="Palatino Linotype" w:eastAsia="Palatino Linotype" w:cs="Palatino Linotype"/>
          <w:sz w:val="24"/>
          <w:szCs w:val="24"/>
        </w:rPr>
        <w:t xml:space="preserve"> </w:t>
      </w:r>
      <w:r w:rsidR="00E333FB">
        <w:rPr>
          <w:rStyle w:val="HeaderChar"/>
          <w:rFonts w:ascii="Palatino Linotype" w:hAnsi="Palatino Linotype" w:eastAsia="Palatino Linotype" w:cs="Palatino Linotype"/>
          <w:sz w:val="24"/>
          <w:szCs w:val="24"/>
        </w:rPr>
        <w:t>94</w:t>
      </w:r>
      <w:r w:rsidRPr="009617C9" w:rsidR="00D26266">
        <w:rPr>
          <w:rStyle w:val="HeaderChar"/>
          <w:rFonts w:ascii="Palatino Linotype" w:hAnsi="Palatino Linotype" w:eastAsia="Palatino Linotype" w:cs="Palatino Linotype"/>
          <w:sz w:val="24"/>
          <w:szCs w:val="24"/>
        </w:rPr>
        <w:t>-</w:t>
      </w:r>
      <w:r w:rsidRPr="009617C9" w:rsidR="00083C9E">
        <w:rPr>
          <w:rStyle w:val="HeaderChar"/>
          <w:rFonts w:ascii="Palatino Linotype" w:hAnsi="Palatino Linotype" w:eastAsia="Palatino Linotype" w:cs="Palatino Linotype"/>
          <w:sz w:val="24"/>
          <w:szCs w:val="24"/>
        </w:rPr>
        <w:t>W</w:t>
      </w:r>
      <w:r w:rsidRPr="009617C9" w:rsidR="003644E3">
        <w:rPr>
          <w:rStyle w:val="HeaderChar"/>
          <w:rFonts w:ascii="Palatino Linotype" w:hAnsi="Palatino Linotype" w:eastAsia="Palatino Linotype" w:cs="Palatino Linotype"/>
          <w:sz w:val="24"/>
          <w:szCs w:val="24"/>
        </w:rPr>
        <w:t xml:space="preserve"> </w:t>
      </w:r>
      <w:r w:rsidRPr="009617C9">
        <w:rPr>
          <w:rStyle w:val="HeaderChar"/>
          <w:rFonts w:ascii="Palatino Linotype" w:hAnsi="Palatino Linotype" w:eastAsia="Palatino Linotype" w:cs="Palatino Linotype"/>
          <w:sz w:val="24"/>
          <w:szCs w:val="24"/>
        </w:rPr>
        <w:t xml:space="preserve">to its service list on </w:t>
      </w:r>
      <w:r w:rsidR="00E333FB">
        <w:rPr>
          <w:rStyle w:val="HeaderChar"/>
          <w:rFonts w:ascii="Palatino Linotype" w:hAnsi="Palatino Linotype" w:eastAsia="Palatino Linotype" w:cs="Palatino Linotype"/>
          <w:sz w:val="24"/>
          <w:szCs w:val="24"/>
        </w:rPr>
        <w:t>June</w:t>
      </w:r>
      <w:r w:rsidR="009022F0">
        <w:rPr>
          <w:rStyle w:val="HeaderChar"/>
          <w:rFonts w:ascii="Palatino Linotype" w:hAnsi="Palatino Linotype" w:eastAsia="Palatino Linotype" w:cs="Palatino Linotype"/>
          <w:sz w:val="24"/>
          <w:szCs w:val="24"/>
        </w:rPr>
        <w:t xml:space="preserve"> </w:t>
      </w:r>
      <w:r w:rsidR="00E333FB">
        <w:rPr>
          <w:rStyle w:val="HeaderChar"/>
          <w:rFonts w:ascii="Palatino Linotype" w:hAnsi="Palatino Linotype" w:eastAsia="Palatino Linotype" w:cs="Palatino Linotype"/>
          <w:sz w:val="24"/>
          <w:szCs w:val="24"/>
        </w:rPr>
        <w:t>27</w:t>
      </w:r>
      <w:r w:rsidRPr="009617C9" w:rsidR="00EB51E6">
        <w:rPr>
          <w:rStyle w:val="HeaderChar"/>
          <w:rFonts w:ascii="Palatino Linotype" w:hAnsi="Palatino Linotype" w:eastAsia="Palatino Linotype" w:cs="Palatino Linotype"/>
          <w:sz w:val="24"/>
          <w:szCs w:val="24"/>
        </w:rPr>
        <w:t>, 201</w:t>
      </w:r>
      <w:r w:rsidR="009022F0">
        <w:rPr>
          <w:rStyle w:val="HeaderChar"/>
          <w:rFonts w:ascii="Palatino Linotype" w:hAnsi="Palatino Linotype" w:eastAsia="Palatino Linotype" w:cs="Palatino Linotype"/>
          <w:sz w:val="24"/>
          <w:szCs w:val="24"/>
        </w:rPr>
        <w:t>9</w:t>
      </w:r>
      <w:r w:rsidRPr="009617C9" w:rsidR="002458D7">
        <w:rPr>
          <w:rStyle w:val="HeaderChar"/>
          <w:rFonts w:ascii="Palatino Linotype" w:hAnsi="Palatino Linotype" w:eastAsia="Palatino Linotype" w:cs="Palatino Linotype"/>
          <w:sz w:val="24"/>
          <w:szCs w:val="24"/>
        </w:rPr>
        <w:t xml:space="preserve">.  </w:t>
      </w:r>
      <w:r w:rsidRPr="00BC5FB1" w:rsidR="002458D7">
        <w:rPr>
          <w:rStyle w:val="HeaderChar"/>
          <w:rFonts w:ascii="Palatino Linotype" w:hAnsi="Palatino Linotype" w:eastAsia="Palatino Linotype" w:cs="Palatino Linotype"/>
          <w:sz w:val="24"/>
          <w:szCs w:val="24"/>
        </w:rPr>
        <w:t>A</w:t>
      </w:r>
      <w:r w:rsidRPr="00BC5FB1">
        <w:rPr>
          <w:rStyle w:val="HeaderChar"/>
          <w:rFonts w:ascii="Palatino Linotype" w:hAnsi="Palatino Linotype" w:eastAsia="Palatino Linotype" w:cs="Palatino Linotype"/>
          <w:sz w:val="24"/>
          <w:szCs w:val="24"/>
        </w:rPr>
        <w:t xml:space="preserve"> notice of the proposed rate increase</w:t>
      </w:r>
      <w:r w:rsidR="00E333FB">
        <w:rPr>
          <w:rStyle w:val="HeaderChar"/>
          <w:rFonts w:ascii="Palatino Linotype" w:hAnsi="Palatino Linotype" w:eastAsia="Palatino Linotype" w:cs="Palatino Linotype"/>
          <w:sz w:val="24"/>
          <w:szCs w:val="24"/>
        </w:rPr>
        <w:t xml:space="preserve"> and public meeting</w:t>
      </w:r>
      <w:r w:rsidRPr="00BC5FB1">
        <w:rPr>
          <w:rStyle w:val="HeaderChar"/>
          <w:rFonts w:ascii="Palatino Linotype" w:hAnsi="Palatino Linotype" w:eastAsia="Palatino Linotype" w:cs="Palatino Linotype"/>
          <w:sz w:val="24"/>
          <w:szCs w:val="24"/>
        </w:rPr>
        <w:t xml:space="preserve"> was mailed to each customer and to the general service list on</w:t>
      </w:r>
      <w:r w:rsidRPr="00BC5FB1" w:rsidR="00A8272E">
        <w:rPr>
          <w:rStyle w:val="HeaderChar"/>
          <w:rFonts w:ascii="Palatino Linotype" w:hAnsi="Palatino Linotype" w:eastAsia="Palatino Linotype" w:cs="Palatino Linotype"/>
          <w:sz w:val="24"/>
          <w:szCs w:val="24"/>
        </w:rPr>
        <w:t xml:space="preserve"> </w:t>
      </w:r>
      <w:r w:rsidR="006A66BD">
        <w:rPr>
          <w:rStyle w:val="HeaderChar"/>
          <w:rFonts w:ascii="Palatino Linotype" w:hAnsi="Palatino Linotype" w:eastAsia="Palatino Linotype" w:cs="Palatino Linotype"/>
          <w:sz w:val="24"/>
          <w:szCs w:val="24"/>
        </w:rPr>
        <w:t>August</w:t>
      </w:r>
      <w:r w:rsidRPr="00BC5FB1" w:rsidR="00BC5FB1">
        <w:rPr>
          <w:rStyle w:val="HeaderChar"/>
          <w:rFonts w:ascii="Palatino Linotype" w:hAnsi="Palatino Linotype" w:eastAsia="Palatino Linotype" w:cs="Palatino Linotype"/>
          <w:sz w:val="24"/>
          <w:szCs w:val="24"/>
        </w:rPr>
        <w:t xml:space="preserve"> 3</w:t>
      </w:r>
      <w:r w:rsidR="006A66BD">
        <w:rPr>
          <w:rStyle w:val="HeaderChar"/>
          <w:rFonts w:ascii="Palatino Linotype" w:hAnsi="Palatino Linotype" w:eastAsia="Palatino Linotype" w:cs="Palatino Linotype"/>
          <w:sz w:val="24"/>
          <w:szCs w:val="24"/>
        </w:rPr>
        <w:t>0</w:t>
      </w:r>
      <w:r w:rsidRPr="00BC5FB1" w:rsidR="00BC5FB1">
        <w:rPr>
          <w:rStyle w:val="HeaderChar"/>
          <w:rFonts w:ascii="Palatino Linotype" w:hAnsi="Palatino Linotype" w:eastAsia="Palatino Linotype" w:cs="Palatino Linotype"/>
          <w:sz w:val="24"/>
          <w:szCs w:val="24"/>
        </w:rPr>
        <w:t>, 2019</w:t>
      </w:r>
      <w:r w:rsidRPr="00BC5FB1">
        <w:rPr>
          <w:rStyle w:val="HeaderChar"/>
          <w:rFonts w:ascii="Palatino Linotype" w:hAnsi="Palatino Linotype" w:eastAsia="Palatino Linotype" w:cs="Palatino Linotype"/>
          <w:sz w:val="24"/>
          <w:szCs w:val="24"/>
        </w:rPr>
        <w:t>.</w:t>
      </w:r>
      <w:r w:rsidRPr="009617C9">
        <w:rPr>
          <w:rStyle w:val="HeaderChar"/>
          <w:rFonts w:ascii="Palatino Linotype" w:hAnsi="Palatino Linotype" w:eastAsia="Palatino Linotype" w:cs="Palatino Linotype"/>
          <w:sz w:val="24"/>
          <w:szCs w:val="24"/>
        </w:rPr>
        <w:t xml:space="preserve"> </w:t>
      </w:r>
    </w:p>
    <w:p w:rsidRPr="009617C9" w:rsidR="005317B6" w:rsidP="006A66BD" w:rsidRDefault="005317B6" w14:paraId="158BB324" w14:textId="77777777">
      <w:pPr>
        <w:pStyle w:val="Body"/>
        <w:spacing w:after="0" w:line="240" w:lineRule="auto"/>
        <w:rPr>
          <w:rStyle w:val="HeaderChar"/>
          <w:rFonts w:ascii="Palatino Linotype" w:hAnsi="Palatino Linotype" w:eastAsia="Palatino Linotype" w:cs="Palatino Linotype"/>
          <w:sz w:val="24"/>
          <w:szCs w:val="24"/>
        </w:rPr>
      </w:pPr>
    </w:p>
    <w:p w:rsidR="00255039" w:rsidP="006A66BD" w:rsidRDefault="006A66BD" w14:paraId="32ACA5CD" w14:textId="1EFAA08C">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One</w:t>
      </w:r>
      <w:r w:rsidRPr="009617C9" w:rsidR="00C838E3">
        <w:rPr>
          <w:rStyle w:val="HeaderChar"/>
          <w:rFonts w:ascii="Palatino Linotype" w:hAnsi="Palatino Linotype" w:eastAsia="Palatino Linotype" w:cs="Palatino Linotype"/>
          <w:sz w:val="24"/>
          <w:szCs w:val="24"/>
        </w:rPr>
        <w:t xml:space="preserve"> customer </w:t>
      </w:r>
      <w:r w:rsidRPr="009617C9" w:rsidR="00026358">
        <w:rPr>
          <w:rStyle w:val="HeaderChar"/>
          <w:rFonts w:ascii="Palatino Linotype" w:hAnsi="Palatino Linotype" w:eastAsia="Palatino Linotype" w:cs="Palatino Linotype"/>
          <w:sz w:val="24"/>
          <w:szCs w:val="24"/>
        </w:rPr>
        <w:t>protest</w:t>
      </w:r>
      <w:r w:rsidRPr="009617C9" w:rsidR="002458D7">
        <w:rPr>
          <w:rStyle w:val="HeaderChar"/>
          <w:rFonts w:ascii="Palatino Linotype" w:hAnsi="Palatino Linotype" w:eastAsia="Palatino Linotype" w:cs="Palatino Linotype"/>
          <w:sz w:val="24"/>
          <w:szCs w:val="24"/>
        </w:rPr>
        <w:t xml:space="preserve"> </w:t>
      </w:r>
      <w:r>
        <w:rPr>
          <w:rStyle w:val="HeaderChar"/>
          <w:rFonts w:ascii="Palatino Linotype" w:hAnsi="Palatino Linotype" w:eastAsia="Palatino Linotype" w:cs="Palatino Linotype"/>
          <w:sz w:val="24"/>
          <w:szCs w:val="24"/>
        </w:rPr>
        <w:t xml:space="preserve">was </w:t>
      </w:r>
      <w:r w:rsidRPr="009617C9" w:rsidR="001522CE">
        <w:rPr>
          <w:rStyle w:val="HeaderChar"/>
          <w:rFonts w:ascii="Palatino Linotype" w:hAnsi="Palatino Linotype" w:eastAsia="Palatino Linotype" w:cs="Palatino Linotype"/>
          <w:sz w:val="24"/>
          <w:szCs w:val="24"/>
        </w:rPr>
        <w:t xml:space="preserve">timely received </w:t>
      </w:r>
      <w:r w:rsidRPr="009617C9" w:rsidR="00D070ED">
        <w:rPr>
          <w:rStyle w:val="HeaderChar"/>
          <w:rFonts w:ascii="Palatino Linotype" w:hAnsi="Palatino Linotype" w:eastAsia="Palatino Linotype" w:cs="Palatino Linotype"/>
          <w:sz w:val="24"/>
          <w:szCs w:val="24"/>
        </w:rPr>
        <w:t xml:space="preserve">on </w:t>
      </w:r>
      <w:proofErr w:type="spellStart"/>
      <w:r>
        <w:rPr>
          <w:rStyle w:val="HeaderChar"/>
          <w:rFonts w:ascii="Palatino Linotype" w:hAnsi="Palatino Linotype" w:eastAsia="Palatino Linotype" w:cs="Palatino Linotype"/>
          <w:sz w:val="24"/>
          <w:szCs w:val="24"/>
        </w:rPr>
        <w:t>Bakman’s</w:t>
      </w:r>
      <w:proofErr w:type="spellEnd"/>
      <w:r w:rsidRPr="009617C9" w:rsidR="00026358">
        <w:rPr>
          <w:rStyle w:val="HeaderChar"/>
          <w:rFonts w:ascii="Palatino Linotype" w:hAnsi="Palatino Linotype" w:eastAsia="Palatino Linotype" w:cs="Palatino Linotype"/>
          <w:sz w:val="24"/>
          <w:szCs w:val="24"/>
        </w:rPr>
        <w:t xml:space="preserve"> rate increase request</w:t>
      </w:r>
      <w:r w:rsidRPr="009617C9" w:rsidR="002458D7">
        <w:rPr>
          <w:rStyle w:val="HeaderChar"/>
          <w:rFonts w:ascii="Palatino Linotype" w:hAnsi="Palatino Linotype" w:eastAsia="Palatino Linotype" w:cs="Palatino Linotype"/>
          <w:sz w:val="24"/>
          <w:szCs w:val="24"/>
        </w:rPr>
        <w:t xml:space="preserve"> </w:t>
      </w:r>
      <w:r w:rsidR="00B876E0">
        <w:rPr>
          <w:rStyle w:val="HeaderChar"/>
          <w:rFonts w:ascii="Palatino Linotype" w:hAnsi="Palatino Linotype" w:eastAsia="Palatino Linotype" w:cs="Palatino Linotype"/>
          <w:sz w:val="24"/>
          <w:szCs w:val="24"/>
        </w:rPr>
        <w:t>with</w:t>
      </w:r>
      <w:r w:rsidRPr="009617C9" w:rsidR="001B4F41">
        <w:rPr>
          <w:rStyle w:val="HeaderChar"/>
          <w:rFonts w:ascii="Palatino Linotype" w:hAnsi="Palatino Linotype" w:eastAsia="Palatino Linotype" w:cs="Palatino Linotype"/>
          <w:sz w:val="24"/>
          <w:szCs w:val="24"/>
        </w:rPr>
        <w:t xml:space="preserve"> </w:t>
      </w:r>
      <w:r w:rsidRPr="009617C9" w:rsidR="00495011">
        <w:rPr>
          <w:rStyle w:val="HeaderChar"/>
          <w:rFonts w:ascii="Palatino Linotype" w:hAnsi="Palatino Linotype" w:eastAsia="Palatino Linotype" w:cs="Palatino Linotype"/>
          <w:sz w:val="24"/>
          <w:szCs w:val="24"/>
        </w:rPr>
        <w:t xml:space="preserve">the </w:t>
      </w:r>
      <w:r w:rsidRPr="009617C9" w:rsidR="001B4F41">
        <w:rPr>
          <w:rStyle w:val="HeaderChar"/>
          <w:rFonts w:ascii="Palatino Linotype" w:hAnsi="Palatino Linotype" w:eastAsia="Palatino Linotype" w:cs="Palatino Linotype"/>
          <w:sz w:val="24"/>
          <w:szCs w:val="24"/>
        </w:rPr>
        <w:t>utility repl</w:t>
      </w:r>
      <w:r w:rsidR="00B876E0">
        <w:rPr>
          <w:rStyle w:val="HeaderChar"/>
          <w:rFonts w:ascii="Palatino Linotype" w:hAnsi="Palatino Linotype" w:eastAsia="Palatino Linotype" w:cs="Palatino Linotype"/>
          <w:sz w:val="24"/>
          <w:szCs w:val="24"/>
        </w:rPr>
        <w:t xml:space="preserve">ying to </w:t>
      </w:r>
      <w:r>
        <w:rPr>
          <w:rStyle w:val="HeaderChar"/>
          <w:rFonts w:ascii="Palatino Linotype" w:hAnsi="Palatino Linotype" w:eastAsia="Palatino Linotype" w:cs="Palatino Linotype"/>
          <w:sz w:val="24"/>
          <w:szCs w:val="24"/>
        </w:rPr>
        <w:t>the</w:t>
      </w:r>
      <w:r w:rsidR="00B876E0">
        <w:rPr>
          <w:rStyle w:val="HeaderChar"/>
          <w:rFonts w:ascii="Palatino Linotype" w:hAnsi="Palatino Linotype" w:eastAsia="Palatino Linotype" w:cs="Palatino Linotype"/>
          <w:sz w:val="24"/>
          <w:szCs w:val="24"/>
        </w:rPr>
        <w:t xml:space="preserve"> protest</w:t>
      </w:r>
      <w:r w:rsidRPr="009617C9" w:rsidR="001B4F41">
        <w:rPr>
          <w:rStyle w:val="HeaderChar"/>
          <w:rFonts w:ascii="Palatino Linotype" w:hAnsi="Palatino Linotype" w:eastAsia="Palatino Linotype" w:cs="Palatino Linotype"/>
          <w:sz w:val="24"/>
          <w:szCs w:val="24"/>
        </w:rPr>
        <w:t xml:space="preserve">. </w:t>
      </w:r>
      <w:r w:rsidRPr="009617C9" w:rsidR="00026358">
        <w:rPr>
          <w:rStyle w:val="HeaderChar"/>
          <w:rFonts w:ascii="Palatino Linotype" w:hAnsi="Palatino Linotype" w:eastAsia="Palatino Linotype" w:cs="Palatino Linotype"/>
          <w:sz w:val="24"/>
          <w:szCs w:val="24"/>
        </w:rPr>
        <w:t xml:space="preserve"> </w:t>
      </w:r>
      <w:r>
        <w:rPr>
          <w:rStyle w:val="HeaderChar"/>
          <w:rFonts w:ascii="Palatino Linotype" w:hAnsi="Palatino Linotype" w:eastAsia="Palatino Linotype" w:cs="Palatino Linotype"/>
          <w:sz w:val="24"/>
          <w:szCs w:val="24"/>
        </w:rPr>
        <w:t xml:space="preserve">The protest contended that the proposed </w:t>
      </w:r>
      <w:r w:rsidR="003E556D">
        <w:rPr>
          <w:rStyle w:val="HeaderChar"/>
          <w:rFonts w:ascii="Palatino Linotype" w:hAnsi="Palatino Linotype" w:eastAsia="Palatino Linotype" w:cs="Palatino Linotype"/>
          <w:sz w:val="24"/>
          <w:szCs w:val="24"/>
        </w:rPr>
        <w:t xml:space="preserve">metered rates exceeds the proposed 40% increase, are poorly distributed between meter sizes and puts metered customers at a disadvantage. The customer partially objects to </w:t>
      </w:r>
      <w:proofErr w:type="spellStart"/>
      <w:r w:rsidR="003E556D">
        <w:rPr>
          <w:rStyle w:val="HeaderChar"/>
          <w:rFonts w:ascii="Palatino Linotype" w:hAnsi="Palatino Linotype" w:eastAsia="Palatino Linotype" w:cs="Palatino Linotype"/>
          <w:sz w:val="24"/>
          <w:szCs w:val="24"/>
        </w:rPr>
        <w:t>Bakman’s</w:t>
      </w:r>
      <w:proofErr w:type="spellEnd"/>
      <w:r w:rsidR="003E556D">
        <w:rPr>
          <w:rStyle w:val="HeaderChar"/>
          <w:rFonts w:ascii="Palatino Linotype" w:hAnsi="Palatino Linotype" w:eastAsia="Palatino Linotype" w:cs="Palatino Linotype"/>
          <w:sz w:val="24"/>
          <w:szCs w:val="24"/>
        </w:rPr>
        <w:t xml:space="preserve"> rate increase, suggesting that the rate increases need to be revised and </w:t>
      </w:r>
      <w:r w:rsidR="007A57F3">
        <w:rPr>
          <w:rStyle w:val="HeaderChar"/>
          <w:rFonts w:ascii="Palatino Linotype" w:hAnsi="Palatino Linotype" w:eastAsia="Palatino Linotype" w:cs="Palatino Linotype"/>
          <w:sz w:val="24"/>
          <w:szCs w:val="24"/>
        </w:rPr>
        <w:t>d</w:t>
      </w:r>
      <w:r w:rsidR="003E556D">
        <w:rPr>
          <w:rStyle w:val="HeaderChar"/>
          <w:rFonts w:ascii="Palatino Linotype" w:hAnsi="Palatino Linotype" w:eastAsia="Palatino Linotype" w:cs="Palatino Linotype"/>
          <w:sz w:val="24"/>
          <w:szCs w:val="24"/>
        </w:rPr>
        <w:t>istributed</w:t>
      </w:r>
      <w:r w:rsidR="007A57F3">
        <w:rPr>
          <w:rStyle w:val="HeaderChar"/>
          <w:rFonts w:ascii="Palatino Linotype" w:hAnsi="Palatino Linotype" w:eastAsia="Palatino Linotype" w:cs="Palatino Linotype"/>
          <w:sz w:val="24"/>
          <w:szCs w:val="24"/>
        </w:rPr>
        <w:t xml:space="preserve"> fairly</w:t>
      </w:r>
      <w:r w:rsidR="003E556D">
        <w:rPr>
          <w:rStyle w:val="HeaderChar"/>
          <w:rFonts w:ascii="Palatino Linotype" w:hAnsi="Palatino Linotype" w:eastAsia="Palatino Linotype" w:cs="Palatino Linotype"/>
          <w:sz w:val="24"/>
          <w:szCs w:val="24"/>
        </w:rPr>
        <w:t>.</w:t>
      </w:r>
    </w:p>
    <w:p w:rsidR="003E556D" w:rsidP="006A66BD" w:rsidRDefault="003E556D" w14:paraId="75F17195" w14:textId="77777777">
      <w:pPr>
        <w:pStyle w:val="Body"/>
        <w:spacing w:after="0" w:line="240" w:lineRule="auto"/>
        <w:rPr>
          <w:rStyle w:val="HeaderChar"/>
          <w:rFonts w:ascii="Palatino Linotype" w:hAnsi="Palatino Linotype" w:eastAsia="Palatino Linotype" w:cs="Palatino Linotype"/>
          <w:sz w:val="24"/>
          <w:szCs w:val="24"/>
        </w:rPr>
      </w:pPr>
    </w:p>
    <w:p w:rsidR="00255039" w:rsidP="00255039" w:rsidRDefault="00E333FB" w14:paraId="4BBFAB03" w14:textId="383453E9">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Bakman</w:t>
      </w:r>
      <w:r w:rsidR="001D6F11">
        <w:rPr>
          <w:rStyle w:val="HeaderChar"/>
          <w:rFonts w:ascii="Palatino Linotype" w:hAnsi="Palatino Linotype" w:eastAsia="Palatino Linotype" w:cs="Palatino Linotype"/>
          <w:sz w:val="24"/>
          <w:szCs w:val="24"/>
        </w:rPr>
        <w:t xml:space="preserve">, in its responses to the protests, </w:t>
      </w:r>
      <w:r w:rsidR="003E556D">
        <w:rPr>
          <w:rStyle w:val="HeaderChar"/>
          <w:rFonts w:ascii="Palatino Linotype" w:hAnsi="Palatino Linotype" w:eastAsia="Palatino Linotype" w:cs="Palatino Linotype"/>
          <w:sz w:val="24"/>
          <w:szCs w:val="24"/>
        </w:rPr>
        <w:t xml:space="preserve">explains that the 40% increase applies to the total gross revenue to offset increased operating expenses and not to a per customer rate increase. Bakman also explains that the proposed increase in gross revenues may impact each customer differently depending on historical and anticipated water consumption. </w:t>
      </w:r>
    </w:p>
    <w:p w:rsidR="00255039" w:rsidP="00255039" w:rsidRDefault="00255039" w14:paraId="79FC4CB2" w14:textId="35203462">
      <w:pPr>
        <w:pStyle w:val="Body"/>
        <w:spacing w:after="0" w:line="240" w:lineRule="auto"/>
        <w:rPr>
          <w:rStyle w:val="HeaderChar"/>
          <w:rFonts w:ascii="Palatino Linotype" w:hAnsi="Palatino Linotype" w:eastAsia="Palatino Linotype" w:cs="Palatino Linotype"/>
          <w:sz w:val="24"/>
          <w:szCs w:val="24"/>
        </w:rPr>
      </w:pPr>
    </w:p>
    <w:p w:rsidR="007458D7" w:rsidP="006D13F4" w:rsidRDefault="00026358" w14:paraId="320BC39D" w14:textId="57D43C45">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An informal public meeting was </w:t>
      </w:r>
      <w:r w:rsidRPr="009617C9" w:rsidR="006305ED">
        <w:rPr>
          <w:rStyle w:val="HeaderChar"/>
          <w:rFonts w:ascii="Palatino Linotype" w:hAnsi="Palatino Linotype" w:eastAsia="Palatino Linotype" w:cs="Palatino Linotype"/>
          <w:sz w:val="24"/>
          <w:szCs w:val="24"/>
        </w:rPr>
        <w:t>held</w:t>
      </w:r>
      <w:r w:rsidRPr="009617C9" w:rsidR="00D070ED">
        <w:rPr>
          <w:rStyle w:val="HeaderChar"/>
          <w:rFonts w:ascii="Palatino Linotype" w:hAnsi="Palatino Linotype" w:eastAsia="Palatino Linotype" w:cs="Palatino Linotype"/>
          <w:sz w:val="24"/>
          <w:szCs w:val="24"/>
        </w:rPr>
        <w:t xml:space="preserve"> </w:t>
      </w:r>
      <w:r w:rsidRPr="009617C9">
        <w:rPr>
          <w:rStyle w:val="HeaderChar"/>
          <w:rFonts w:ascii="Palatino Linotype" w:hAnsi="Palatino Linotype" w:eastAsia="Palatino Linotype" w:cs="Palatino Linotype"/>
          <w:sz w:val="24"/>
          <w:szCs w:val="24"/>
        </w:rPr>
        <w:t xml:space="preserve">on </w:t>
      </w:r>
      <w:r w:rsidR="003E556D">
        <w:rPr>
          <w:rStyle w:val="HeaderChar"/>
          <w:rFonts w:ascii="Palatino Linotype" w:hAnsi="Palatino Linotype" w:eastAsia="Palatino Linotype" w:cs="Palatino Linotype"/>
          <w:sz w:val="24"/>
          <w:szCs w:val="24"/>
        </w:rPr>
        <w:t>September 3</w:t>
      </w:r>
      <w:r w:rsidR="00BC5FB1">
        <w:rPr>
          <w:rStyle w:val="HeaderChar"/>
          <w:rFonts w:ascii="Palatino Linotype" w:hAnsi="Palatino Linotype" w:eastAsia="Palatino Linotype" w:cs="Palatino Linotype"/>
          <w:sz w:val="24"/>
          <w:szCs w:val="24"/>
        </w:rPr>
        <w:t xml:space="preserve">0, 2019 </w:t>
      </w:r>
      <w:r w:rsidRPr="009617C9" w:rsidR="00D070ED">
        <w:rPr>
          <w:rStyle w:val="HeaderChar"/>
          <w:rFonts w:ascii="Palatino Linotype" w:hAnsi="Palatino Linotype" w:eastAsia="Palatino Linotype" w:cs="Palatino Linotype"/>
          <w:sz w:val="24"/>
          <w:szCs w:val="24"/>
        </w:rPr>
        <w:t>at 6:</w:t>
      </w:r>
      <w:r w:rsidRPr="009617C9" w:rsidR="00D35FF2">
        <w:rPr>
          <w:rStyle w:val="HeaderChar"/>
          <w:rFonts w:ascii="Palatino Linotype" w:hAnsi="Palatino Linotype" w:eastAsia="Palatino Linotype" w:cs="Palatino Linotype"/>
          <w:sz w:val="24"/>
          <w:szCs w:val="24"/>
        </w:rPr>
        <w:t>0</w:t>
      </w:r>
      <w:r w:rsidRPr="009617C9" w:rsidR="00D070ED">
        <w:rPr>
          <w:rStyle w:val="HeaderChar"/>
          <w:rFonts w:ascii="Palatino Linotype" w:hAnsi="Palatino Linotype" w:eastAsia="Palatino Linotype" w:cs="Palatino Linotype"/>
          <w:sz w:val="24"/>
          <w:szCs w:val="24"/>
        </w:rPr>
        <w:t>0 PM</w:t>
      </w:r>
      <w:r w:rsidRPr="009617C9">
        <w:rPr>
          <w:rStyle w:val="HeaderChar"/>
          <w:rFonts w:ascii="Palatino Linotype" w:hAnsi="Palatino Linotype" w:eastAsia="Palatino Linotype" w:cs="Palatino Linotype"/>
          <w:sz w:val="24"/>
          <w:szCs w:val="24"/>
        </w:rPr>
        <w:t xml:space="preserve">, at </w:t>
      </w:r>
      <w:r w:rsidR="00D40433">
        <w:rPr>
          <w:rStyle w:val="HeaderChar"/>
          <w:rFonts w:ascii="Palatino Linotype" w:hAnsi="Palatino Linotype" w:eastAsia="Palatino Linotype" w:cs="Palatino Linotype"/>
          <w:sz w:val="24"/>
          <w:szCs w:val="24"/>
        </w:rPr>
        <w:t xml:space="preserve">Bakman Elementary School </w:t>
      </w:r>
      <w:r w:rsidRPr="009617C9" w:rsidR="003743D0">
        <w:rPr>
          <w:rStyle w:val="HeaderChar"/>
          <w:rFonts w:ascii="Palatino Linotype" w:hAnsi="Palatino Linotype" w:eastAsia="Palatino Linotype" w:cs="Palatino Linotype"/>
          <w:sz w:val="24"/>
          <w:szCs w:val="24"/>
        </w:rPr>
        <w:t>located at</w:t>
      </w:r>
      <w:r w:rsidR="001711A4">
        <w:rPr>
          <w:rStyle w:val="HeaderChar"/>
          <w:rFonts w:ascii="Palatino Linotype" w:hAnsi="Palatino Linotype" w:eastAsia="Palatino Linotype" w:cs="Palatino Linotype"/>
          <w:sz w:val="24"/>
          <w:szCs w:val="24"/>
        </w:rPr>
        <w:t xml:space="preserve"> </w:t>
      </w:r>
      <w:r w:rsidR="00D40433">
        <w:rPr>
          <w:rStyle w:val="HeaderChar"/>
          <w:rFonts w:ascii="Palatino Linotype" w:hAnsi="Palatino Linotype" w:eastAsia="Palatino Linotype" w:cs="Palatino Linotype"/>
          <w:sz w:val="24"/>
          <w:szCs w:val="24"/>
        </w:rPr>
        <w:t>588</w:t>
      </w:r>
      <w:r w:rsidR="001711A4">
        <w:rPr>
          <w:rStyle w:val="HeaderChar"/>
          <w:rFonts w:ascii="Palatino Linotype" w:hAnsi="Palatino Linotype" w:eastAsia="Palatino Linotype" w:cs="Palatino Linotype"/>
          <w:sz w:val="24"/>
          <w:szCs w:val="24"/>
        </w:rPr>
        <w:t xml:space="preserve"> </w:t>
      </w:r>
      <w:r w:rsidR="00D40433">
        <w:rPr>
          <w:rStyle w:val="HeaderChar"/>
          <w:rFonts w:ascii="Palatino Linotype" w:hAnsi="Palatino Linotype" w:eastAsia="Palatino Linotype" w:cs="Palatino Linotype"/>
          <w:sz w:val="24"/>
          <w:szCs w:val="24"/>
        </w:rPr>
        <w:t>North Helm Avenue</w:t>
      </w:r>
      <w:r w:rsidR="001711A4">
        <w:rPr>
          <w:rStyle w:val="HeaderChar"/>
          <w:rFonts w:ascii="Palatino Linotype" w:hAnsi="Palatino Linotype" w:eastAsia="Palatino Linotype" w:cs="Palatino Linotype"/>
          <w:sz w:val="24"/>
          <w:szCs w:val="24"/>
        </w:rPr>
        <w:t xml:space="preserve"> </w:t>
      </w:r>
      <w:r w:rsidRPr="009617C9" w:rsidR="003743D0">
        <w:rPr>
          <w:rStyle w:val="HeaderChar"/>
          <w:rFonts w:ascii="Palatino Linotype" w:hAnsi="Palatino Linotype" w:eastAsia="Palatino Linotype" w:cs="Palatino Linotype"/>
          <w:sz w:val="24"/>
          <w:szCs w:val="24"/>
        </w:rPr>
        <w:t xml:space="preserve">in </w:t>
      </w:r>
      <w:r w:rsidR="00D40433">
        <w:rPr>
          <w:rStyle w:val="HeaderChar"/>
          <w:rFonts w:ascii="Palatino Linotype" w:hAnsi="Palatino Linotype" w:eastAsia="Palatino Linotype" w:cs="Palatino Linotype"/>
          <w:sz w:val="24"/>
          <w:szCs w:val="24"/>
        </w:rPr>
        <w:t>Fresno</w:t>
      </w:r>
      <w:r w:rsidRPr="009617C9" w:rsidR="00524371">
        <w:rPr>
          <w:rStyle w:val="HeaderChar"/>
          <w:rFonts w:ascii="Palatino Linotype" w:hAnsi="Palatino Linotype" w:eastAsia="Palatino Linotype" w:cs="Palatino Linotype"/>
          <w:sz w:val="24"/>
          <w:szCs w:val="24"/>
        </w:rPr>
        <w:t>,</w:t>
      </w:r>
      <w:r w:rsidRPr="009617C9" w:rsidR="003743D0">
        <w:rPr>
          <w:rStyle w:val="HeaderChar"/>
          <w:rFonts w:ascii="Palatino Linotype" w:hAnsi="Palatino Linotype" w:eastAsia="Palatino Linotype" w:cs="Palatino Linotype"/>
          <w:sz w:val="24"/>
          <w:szCs w:val="24"/>
        </w:rPr>
        <w:t xml:space="preserve"> </w:t>
      </w:r>
      <w:r w:rsidRPr="009617C9" w:rsidR="00D070ED">
        <w:rPr>
          <w:rStyle w:val="HeaderChar"/>
          <w:rFonts w:ascii="Palatino Linotype" w:hAnsi="Palatino Linotype" w:eastAsia="Palatino Linotype" w:cs="Palatino Linotype"/>
          <w:sz w:val="24"/>
          <w:szCs w:val="24"/>
        </w:rPr>
        <w:t>California</w:t>
      </w:r>
      <w:r w:rsidRPr="009617C9" w:rsidR="00827BD0">
        <w:rPr>
          <w:rStyle w:val="HeaderChar"/>
          <w:rFonts w:ascii="Palatino Linotype" w:hAnsi="Palatino Linotype" w:eastAsia="Palatino Linotype" w:cs="Palatino Linotype"/>
          <w:sz w:val="24"/>
          <w:szCs w:val="24"/>
        </w:rPr>
        <w:t xml:space="preserve">.  </w:t>
      </w:r>
      <w:r w:rsidRPr="009617C9" w:rsidR="00B57E8D">
        <w:rPr>
          <w:rStyle w:val="HeaderChar"/>
          <w:rFonts w:ascii="Palatino Linotype" w:hAnsi="Palatino Linotype" w:eastAsia="Palatino Linotype" w:cs="Palatino Linotype"/>
          <w:sz w:val="24"/>
          <w:szCs w:val="24"/>
        </w:rPr>
        <w:t xml:space="preserve">The meeting </w:t>
      </w:r>
      <w:r w:rsidR="001711A4">
        <w:rPr>
          <w:rStyle w:val="HeaderChar"/>
          <w:rFonts w:ascii="Palatino Linotype" w:hAnsi="Palatino Linotype" w:eastAsia="Palatino Linotype" w:cs="Palatino Linotype"/>
          <w:sz w:val="24"/>
          <w:szCs w:val="24"/>
        </w:rPr>
        <w:t xml:space="preserve">began </w:t>
      </w:r>
      <w:r w:rsidRPr="009617C9" w:rsidR="00B57E8D">
        <w:rPr>
          <w:rStyle w:val="HeaderChar"/>
          <w:rFonts w:ascii="Palatino Linotype" w:hAnsi="Palatino Linotype" w:eastAsia="Palatino Linotype" w:cs="Palatino Linotype"/>
          <w:sz w:val="24"/>
          <w:szCs w:val="24"/>
        </w:rPr>
        <w:t xml:space="preserve">at 6:00 PM </w:t>
      </w:r>
      <w:r w:rsidR="0030289A">
        <w:rPr>
          <w:rStyle w:val="HeaderChar"/>
          <w:rFonts w:ascii="Palatino Linotype" w:hAnsi="Palatino Linotype" w:eastAsia="Palatino Linotype" w:cs="Palatino Linotype"/>
          <w:sz w:val="24"/>
          <w:szCs w:val="24"/>
        </w:rPr>
        <w:t>and</w:t>
      </w:r>
      <w:r w:rsidRPr="009617C9" w:rsidR="00B57E8D">
        <w:rPr>
          <w:rStyle w:val="HeaderChar"/>
          <w:rFonts w:ascii="Palatino Linotype" w:hAnsi="Palatino Linotype" w:eastAsia="Palatino Linotype" w:cs="Palatino Linotype"/>
          <w:sz w:val="24"/>
          <w:szCs w:val="24"/>
        </w:rPr>
        <w:t xml:space="preserve"> approximately</w:t>
      </w:r>
      <w:r w:rsidR="001711A4">
        <w:rPr>
          <w:rStyle w:val="HeaderChar"/>
          <w:rFonts w:ascii="Palatino Linotype" w:hAnsi="Palatino Linotype" w:eastAsia="Palatino Linotype" w:cs="Palatino Linotype"/>
          <w:sz w:val="24"/>
          <w:szCs w:val="24"/>
        </w:rPr>
        <w:t xml:space="preserve"> </w:t>
      </w:r>
      <w:r w:rsidR="00D40433">
        <w:rPr>
          <w:rStyle w:val="HeaderChar"/>
          <w:rFonts w:ascii="Palatino Linotype" w:hAnsi="Palatino Linotype" w:eastAsia="Palatino Linotype" w:cs="Palatino Linotype"/>
          <w:sz w:val="24"/>
          <w:szCs w:val="24"/>
        </w:rPr>
        <w:t xml:space="preserve">eight </w:t>
      </w:r>
      <w:r w:rsidRPr="009617C9" w:rsidR="00D070ED">
        <w:rPr>
          <w:rStyle w:val="HeaderChar"/>
          <w:rFonts w:ascii="Palatino Linotype" w:hAnsi="Palatino Linotype" w:eastAsia="Palatino Linotype" w:cs="Palatino Linotype"/>
          <w:sz w:val="24"/>
          <w:szCs w:val="24"/>
        </w:rPr>
        <w:t>customers attended the meeting</w:t>
      </w:r>
      <w:r w:rsidRPr="009617C9" w:rsidR="001D1099">
        <w:rPr>
          <w:rStyle w:val="HeaderChar"/>
          <w:rFonts w:ascii="Palatino Linotype" w:hAnsi="Palatino Linotype" w:eastAsia="Palatino Linotype" w:cs="Palatino Linotype"/>
          <w:sz w:val="24"/>
          <w:szCs w:val="24"/>
        </w:rPr>
        <w:t>.</w:t>
      </w:r>
      <w:r w:rsidRPr="009617C9" w:rsidR="00B57E8D">
        <w:rPr>
          <w:rStyle w:val="HeaderChar"/>
          <w:rFonts w:ascii="Palatino Linotype" w:hAnsi="Palatino Linotype" w:eastAsia="Palatino Linotype" w:cs="Palatino Linotype"/>
          <w:sz w:val="24"/>
          <w:szCs w:val="24"/>
        </w:rPr>
        <w:t xml:space="preserve">  </w:t>
      </w:r>
      <w:r w:rsidRPr="009617C9" w:rsidR="00486006">
        <w:rPr>
          <w:rStyle w:val="HeaderChar"/>
          <w:rFonts w:ascii="Palatino Linotype" w:hAnsi="Palatino Linotype" w:eastAsia="Palatino Linotype" w:cs="Palatino Linotype"/>
          <w:sz w:val="24"/>
          <w:szCs w:val="24"/>
        </w:rPr>
        <w:t xml:space="preserve">Staff from </w:t>
      </w:r>
      <w:r w:rsidRPr="009617C9" w:rsidR="00D60F31">
        <w:rPr>
          <w:rStyle w:val="HeaderChar"/>
          <w:rFonts w:ascii="Palatino Linotype" w:hAnsi="Palatino Linotype" w:eastAsia="Palatino Linotype" w:cs="Palatino Linotype"/>
          <w:sz w:val="24"/>
          <w:szCs w:val="24"/>
        </w:rPr>
        <w:t xml:space="preserve">the </w:t>
      </w:r>
      <w:r w:rsidRPr="009617C9" w:rsidR="006F4E4A">
        <w:rPr>
          <w:rStyle w:val="HeaderChar"/>
          <w:rFonts w:ascii="Palatino Linotype" w:hAnsi="Palatino Linotype" w:eastAsia="Palatino Linotype" w:cs="Palatino Linotype"/>
          <w:sz w:val="24"/>
          <w:szCs w:val="24"/>
        </w:rPr>
        <w:t>WD</w:t>
      </w:r>
      <w:r w:rsidRPr="009617C9" w:rsidR="00486006">
        <w:rPr>
          <w:rStyle w:val="HeaderChar"/>
          <w:rFonts w:ascii="Palatino Linotype" w:hAnsi="Palatino Linotype" w:eastAsia="Palatino Linotype" w:cs="Palatino Linotype"/>
          <w:sz w:val="24"/>
          <w:szCs w:val="24"/>
        </w:rPr>
        <w:t xml:space="preserve"> </w:t>
      </w:r>
      <w:r w:rsidRPr="009617C9" w:rsidR="00040B57">
        <w:rPr>
          <w:rStyle w:val="HeaderChar"/>
          <w:rFonts w:ascii="Palatino Linotype" w:hAnsi="Palatino Linotype" w:eastAsia="Palatino Linotype" w:cs="Palatino Linotype"/>
          <w:sz w:val="24"/>
          <w:szCs w:val="24"/>
        </w:rPr>
        <w:t>provided an overview of the Commission’s G</w:t>
      </w:r>
      <w:r w:rsidRPr="009617C9" w:rsidR="00F418A1">
        <w:rPr>
          <w:rStyle w:val="HeaderChar"/>
          <w:rFonts w:ascii="Palatino Linotype" w:hAnsi="Palatino Linotype" w:eastAsia="Palatino Linotype" w:cs="Palatino Linotype"/>
          <w:sz w:val="24"/>
          <w:szCs w:val="24"/>
        </w:rPr>
        <w:t xml:space="preserve">eneral </w:t>
      </w:r>
      <w:r w:rsidRPr="009617C9" w:rsidR="00040B57">
        <w:rPr>
          <w:rStyle w:val="HeaderChar"/>
          <w:rFonts w:ascii="Palatino Linotype" w:hAnsi="Palatino Linotype" w:eastAsia="Palatino Linotype" w:cs="Palatino Linotype"/>
          <w:sz w:val="24"/>
          <w:szCs w:val="24"/>
        </w:rPr>
        <w:t>R</w:t>
      </w:r>
      <w:r w:rsidRPr="009617C9" w:rsidR="00F418A1">
        <w:rPr>
          <w:rStyle w:val="HeaderChar"/>
          <w:rFonts w:ascii="Palatino Linotype" w:hAnsi="Palatino Linotype" w:eastAsia="Palatino Linotype" w:cs="Palatino Linotype"/>
          <w:sz w:val="24"/>
          <w:szCs w:val="24"/>
        </w:rPr>
        <w:t xml:space="preserve">ate </w:t>
      </w:r>
      <w:r w:rsidRPr="009617C9" w:rsidR="00040B57">
        <w:rPr>
          <w:rStyle w:val="HeaderChar"/>
          <w:rFonts w:ascii="Palatino Linotype" w:hAnsi="Palatino Linotype" w:eastAsia="Palatino Linotype" w:cs="Palatino Linotype"/>
          <w:sz w:val="24"/>
          <w:szCs w:val="24"/>
        </w:rPr>
        <w:t>C</w:t>
      </w:r>
      <w:r w:rsidRPr="009617C9" w:rsidR="00F418A1">
        <w:rPr>
          <w:rStyle w:val="HeaderChar"/>
          <w:rFonts w:ascii="Palatino Linotype" w:hAnsi="Palatino Linotype" w:eastAsia="Palatino Linotype" w:cs="Palatino Linotype"/>
          <w:sz w:val="24"/>
          <w:szCs w:val="24"/>
        </w:rPr>
        <w:t>ase (GRC)</w:t>
      </w:r>
      <w:r w:rsidRPr="009617C9" w:rsidR="003743D0">
        <w:rPr>
          <w:rStyle w:val="HeaderChar"/>
          <w:rFonts w:ascii="Palatino Linotype" w:hAnsi="Palatino Linotype" w:eastAsia="Palatino Linotype" w:cs="Palatino Linotype"/>
          <w:sz w:val="24"/>
          <w:szCs w:val="24"/>
        </w:rPr>
        <w:t xml:space="preserve"> process for Class </w:t>
      </w:r>
      <w:r w:rsidR="00D40433">
        <w:rPr>
          <w:rStyle w:val="HeaderChar"/>
          <w:rFonts w:ascii="Palatino Linotype" w:hAnsi="Palatino Linotype" w:eastAsia="Palatino Linotype" w:cs="Palatino Linotype"/>
          <w:sz w:val="24"/>
          <w:szCs w:val="24"/>
        </w:rPr>
        <w:t>B</w:t>
      </w:r>
      <w:r w:rsidRPr="009617C9" w:rsidR="003743D0">
        <w:rPr>
          <w:rStyle w:val="HeaderChar"/>
          <w:rFonts w:ascii="Palatino Linotype" w:hAnsi="Palatino Linotype" w:eastAsia="Palatino Linotype" w:cs="Palatino Linotype"/>
          <w:sz w:val="24"/>
          <w:szCs w:val="24"/>
        </w:rPr>
        <w:t xml:space="preserve"> </w:t>
      </w:r>
      <w:r w:rsidR="001711A4">
        <w:rPr>
          <w:rStyle w:val="HeaderChar"/>
          <w:rFonts w:ascii="Palatino Linotype" w:hAnsi="Palatino Linotype" w:eastAsia="Palatino Linotype" w:cs="Palatino Linotype"/>
          <w:sz w:val="24"/>
          <w:szCs w:val="24"/>
        </w:rPr>
        <w:t>water utilities</w:t>
      </w:r>
      <w:r w:rsidR="00D40433">
        <w:rPr>
          <w:rStyle w:val="HeaderChar"/>
          <w:rFonts w:ascii="Palatino Linotype" w:hAnsi="Palatino Linotype" w:eastAsia="Palatino Linotype" w:cs="Palatino Linotype"/>
          <w:sz w:val="24"/>
          <w:szCs w:val="24"/>
        </w:rPr>
        <w:t xml:space="preserve"> </w:t>
      </w:r>
      <w:r w:rsidRPr="009617C9" w:rsidR="00C87C87">
        <w:rPr>
          <w:rStyle w:val="HeaderChar"/>
          <w:rFonts w:ascii="Palatino Linotype" w:hAnsi="Palatino Linotype" w:eastAsia="Palatino Linotype" w:cs="Palatino Linotype"/>
          <w:sz w:val="24"/>
          <w:szCs w:val="24"/>
        </w:rPr>
        <w:t xml:space="preserve">and </w:t>
      </w:r>
      <w:proofErr w:type="spellStart"/>
      <w:r w:rsidR="006A66BD">
        <w:rPr>
          <w:rStyle w:val="HeaderChar"/>
          <w:rFonts w:ascii="Palatino Linotype" w:hAnsi="Palatino Linotype" w:eastAsia="Palatino Linotype" w:cs="Palatino Linotype"/>
          <w:sz w:val="24"/>
          <w:szCs w:val="24"/>
        </w:rPr>
        <w:t>Bakman’s</w:t>
      </w:r>
      <w:proofErr w:type="spellEnd"/>
      <w:r w:rsidRPr="009617C9" w:rsidR="00427B44">
        <w:rPr>
          <w:rStyle w:val="HeaderChar"/>
          <w:rFonts w:ascii="Palatino Linotype" w:hAnsi="Palatino Linotype" w:eastAsia="Palatino Linotype" w:cs="Palatino Linotype"/>
          <w:sz w:val="24"/>
          <w:szCs w:val="24"/>
        </w:rPr>
        <w:t xml:space="preserve"> representatives</w:t>
      </w:r>
      <w:r w:rsidRPr="009617C9" w:rsidR="00C87C87">
        <w:rPr>
          <w:rStyle w:val="HeaderChar"/>
          <w:rFonts w:ascii="Palatino Linotype" w:hAnsi="Palatino Linotype" w:eastAsia="Palatino Linotype" w:cs="Palatino Linotype"/>
          <w:sz w:val="24"/>
          <w:szCs w:val="24"/>
        </w:rPr>
        <w:t xml:space="preserve"> </w:t>
      </w:r>
      <w:r w:rsidRPr="009617C9" w:rsidR="00AF12BA">
        <w:rPr>
          <w:rStyle w:val="HeaderChar"/>
          <w:rFonts w:ascii="Palatino Linotype" w:hAnsi="Palatino Linotype" w:eastAsia="Palatino Linotype" w:cs="Palatino Linotype"/>
          <w:sz w:val="24"/>
          <w:szCs w:val="24"/>
        </w:rPr>
        <w:t>provided a</w:t>
      </w:r>
      <w:r w:rsidR="00D40433">
        <w:rPr>
          <w:rStyle w:val="HeaderChar"/>
          <w:rFonts w:ascii="Palatino Linotype" w:hAnsi="Palatino Linotype" w:eastAsia="Palatino Linotype" w:cs="Palatino Linotype"/>
          <w:sz w:val="24"/>
          <w:szCs w:val="24"/>
        </w:rPr>
        <w:t>n overview of its proposed rate increase, the reasoning for the rate increase and identified additional present expenses such as increased power costs and more stringent water testing requirements.</w:t>
      </w:r>
    </w:p>
    <w:p w:rsidR="00D40433" w:rsidP="006D13F4" w:rsidRDefault="00D40433" w14:paraId="0419036E" w14:textId="4EA536B3">
      <w:pPr>
        <w:pStyle w:val="Body"/>
        <w:spacing w:after="0" w:line="240" w:lineRule="auto"/>
        <w:rPr>
          <w:rStyle w:val="HeaderChar"/>
          <w:rFonts w:ascii="Palatino Linotype" w:hAnsi="Palatino Linotype" w:eastAsia="Palatino Linotype" w:cs="Palatino Linotype"/>
          <w:sz w:val="24"/>
          <w:szCs w:val="24"/>
        </w:rPr>
      </w:pPr>
    </w:p>
    <w:p w:rsidR="00D40433" w:rsidP="006D13F4" w:rsidRDefault="00D40433" w14:paraId="33306385" w14:textId="59366412">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Customers in attendance mainly expressed concerns over the magnitude of the rate increase and the impact on affordability of service for residents in the community that are on a fixed income and/or retired, elderly or physically disabled. Several customers noted the difference in cost as metered customers versus </w:t>
      </w:r>
      <w:r w:rsidR="00C34809">
        <w:rPr>
          <w:rStyle w:val="HeaderChar"/>
          <w:rFonts w:ascii="Palatino Linotype" w:hAnsi="Palatino Linotype" w:eastAsia="Palatino Linotype" w:cs="Palatino Linotype"/>
          <w:sz w:val="24"/>
          <w:szCs w:val="24"/>
        </w:rPr>
        <w:t xml:space="preserve">paying flat rate in </w:t>
      </w:r>
      <w:r>
        <w:rPr>
          <w:rStyle w:val="HeaderChar"/>
          <w:rFonts w:ascii="Palatino Linotype" w:hAnsi="Palatino Linotype" w:eastAsia="Palatino Linotype" w:cs="Palatino Linotype"/>
          <w:sz w:val="24"/>
          <w:szCs w:val="24"/>
        </w:rPr>
        <w:t>p</w:t>
      </w:r>
      <w:r w:rsidR="00C34809">
        <w:rPr>
          <w:rStyle w:val="HeaderChar"/>
          <w:rFonts w:ascii="Palatino Linotype" w:hAnsi="Palatino Linotype" w:eastAsia="Palatino Linotype" w:cs="Palatino Linotype"/>
          <w:sz w:val="24"/>
          <w:szCs w:val="24"/>
        </w:rPr>
        <w:t>revious</w:t>
      </w:r>
      <w:r>
        <w:rPr>
          <w:rStyle w:val="HeaderChar"/>
          <w:rFonts w:ascii="Palatino Linotype" w:hAnsi="Palatino Linotype" w:eastAsia="Palatino Linotype" w:cs="Palatino Linotype"/>
          <w:sz w:val="24"/>
          <w:szCs w:val="24"/>
        </w:rPr>
        <w:t xml:space="preserve"> </w:t>
      </w:r>
      <w:r w:rsidR="00C34809">
        <w:rPr>
          <w:rStyle w:val="HeaderChar"/>
          <w:rFonts w:ascii="Palatino Linotype" w:hAnsi="Palatino Linotype" w:eastAsia="Palatino Linotype" w:cs="Palatino Linotype"/>
          <w:sz w:val="24"/>
          <w:szCs w:val="24"/>
        </w:rPr>
        <w:t>ye</w:t>
      </w:r>
      <w:r>
        <w:rPr>
          <w:rStyle w:val="HeaderChar"/>
          <w:rFonts w:ascii="Palatino Linotype" w:hAnsi="Palatino Linotype" w:eastAsia="Palatino Linotype" w:cs="Palatino Linotype"/>
          <w:sz w:val="24"/>
          <w:szCs w:val="24"/>
        </w:rPr>
        <w:t xml:space="preserve">ars. Bakman explained that AB 2572 requires meters to be installed on all water service connections by January 1, 2025.  In addition, the </w:t>
      </w:r>
      <w:r w:rsidRPr="009617C9">
        <w:rPr>
          <w:rStyle w:val="HeaderChar"/>
          <w:rFonts w:ascii="Palatino Linotype" w:hAnsi="Palatino Linotype" w:eastAsia="Palatino Linotype" w:cs="Palatino Linotype"/>
          <w:sz w:val="24"/>
          <w:szCs w:val="24"/>
        </w:rPr>
        <w:t xml:space="preserve">WD staff explained that currently there is no low-income assistance program offered for customers obtaining </w:t>
      </w:r>
      <w:r w:rsidRPr="009617C9">
        <w:rPr>
          <w:rStyle w:val="HeaderChar"/>
          <w:rFonts w:ascii="Palatino Linotype" w:hAnsi="Palatino Linotype" w:eastAsia="Palatino Linotype" w:cs="Palatino Linotype"/>
          <w:sz w:val="24"/>
          <w:szCs w:val="24"/>
        </w:rPr>
        <w:lastRenderedPageBreak/>
        <w:t xml:space="preserve">water service from </w:t>
      </w:r>
      <w:r w:rsidR="00DB7CAC">
        <w:rPr>
          <w:rStyle w:val="HeaderChar"/>
          <w:rFonts w:ascii="Palatino Linotype" w:hAnsi="Palatino Linotype" w:eastAsia="Palatino Linotype" w:cs="Palatino Linotype"/>
          <w:sz w:val="24"/>
          <w:szCs w:val="24"/>
        </w:rPr>
        <w:t xml:space="preserve">small </w:t>
      </w:r>
      <w:r w:rsidRPr="009617C9">
        <w:rPr>
          <w:rStyle w:val="HeaderChar"/>
          <w:rFonts w:ascii="Palatino Linotype" w:hAnsi="Palatino Linotype" w:eastAsia="Palatino Linotype" w:cs="Palatino Linotype"/>
          <w:sz w:val="24"/>
          <w:szCs w:val="24"/>
        </w:rPr>
        <w:t xml:space="preserve">water utilities like </w:t>
      </w:r>
      <w:r>
        <w:rPr>
          <w:rStyle w:val="HeaderChar"/>
          <w:rFonts w:ascii="Palatino Linotype" w:hAnsi="Palatino Linotype" w:eastAsia="Palatino Linotype" w:cs="Palatino Linotype"/>
          <w:sz w:val="24"/>
          <w:szCs w:val="24"/>
        </w:rPr>
        <w:t>Bakman</w:t>
      </w:r>
      <w:r w:rsidRPr="009617C9">
        <w:rPr>
          <w:rStyle w:val="HeaderChar"/>
          <w:rFonts w:ascii="Palatino Linotype" w:hAnsi="Palatino Linotype" w:eastAsia="Palatino Linotype" w:cs="Palatino Linotype"/>
          <w:sz w:val="24"/>
          <w:szCs w:val="24"/>
        </w:rPr>
        <w:t>, but that the Commission and the State are currently considering various options for developing and providing a statewide low-income assistance program for water service.</w:t>
      </w:r>
    </w:p>
    <w:p w:rsidRPr="009617C9" w:rsidR="003743D0" w:rsidP="006D13F4" w:rsidRDefault="0091556E" w14:paraId="14D89F19" w14:textId="14D444B2">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In setting rates in this resolution, the WD has balanced the financial requirements of </w:t>
      </w:r>
      <w:r w:rsidR="00E333FB">
        <w:rPr>
          <w:rStyle w:val="HeaderChar"/>
          <w:rFonts w:ascii="Palatino Linotype" w:hAnsi="Palatino Linotype" w:eastAsia="Palatino Linotype" w:cs="Palatino Linotype"/>
          <w:sz w:val="24"/>
          <w:szCs w:val="24"/>
        </w:rPr>
        <w:t>Bakman</w:t>
      </w:r>
      <w:r w:rsidR="001711A4">
        <w:rPr>
          <w:rStyle w:val="HeaderChar"/>
          <w:rFonts w:ascii="Palatino Linotype" w:hAnsi="Palatino Linotype" w:eastAsia="Palatino Linotype" w:cs="Palatino Linotype"/>
          <w:sz w:val="24"/>
          <w:szCs w:val="24"/>
        </w:rPr>
        <w:t xml:space="preserve"> with </w:t>
      </w:r>
      <w:r w:rsidRPr="009617C9">
        <w:rPr>
          <w:rStyle w:val="HeaderChar"/>
          <w:rFonts w:ascii="Palatino Linotype" w:hAnsi="Palatino Linotype" w:eastAsia="Palatino Linotype" w:cs="Palatino Linotype"/>
          <w:sz w:val="24"/>
          <w:szCs w:val="24"/>
        </w:rPr>
        <w:t>the rate concerns of its customers.</w:t>
      </w:r>
    </w:p>
    <w:p w:rsidR="004E228C" w:rsidP="006D13F4" w:rsidRDefault="004E228C" w14:paraId="1720F7E9" w14:textId="77777777">
      <w:pPr>
        <w:pStyle w:val="Body"/>
        <w:spacing w:after="0" w:line="240" w:lineRule="auto"/>
        <w:rPr>
          <w:rStyle w:val="HeaderChar"/>
          <w:rFonts w:ascii="Palatino Linotype" w:hAnsi="Palatino Linotype" w:eastAsia="Palatino Linotype" w:cs="Palatino Linotype"/>
          <w:sz w:val="24"/>
          <w:szCs w:val="24"/>
        </w:rPr>
      </w:pPr>
    </w:p>
    <w:p w:rsidRPr="009617C9" w:rsidR="001E2FB4" w:rsidRDefault="00AE57DD" w14:paraId="453BC59A"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9617C9">
        <w:rPr>
          <w:rStyle w:val="HeaderChar"/>
          <w:rFonts w:ascii="Palatino Linotype" w:hAnsi="Palatino Linotype" w:eastAsia="Palatino Linotype" w:cs="Palatino Linotype"/>
          <w:b/>
          <w:bCs/>
          <w:sz w:val="28"/>
          <w:szCs w:val="28"/>
          <w:u w:val="single"/>
          <w:lang w:val="de-DE"/>
        </w:rPr>
        <w:t>DISCUSSION</w:t>
      </w:r>
    </w:p>
    <w:p w:rsidRPr="009617C9" w:rsidR="001E2FB4" w:rsidRDefault="001E2FB4" w14:paraId="2118836F" w14:textId="77777777">
      <w:pPr>
        <w:pStyle w:val="Body"/>
        <w:spacing w:after="0" w:line="240" w:lineRule="auto"/>
        <w:rPr>
          <w:rFonts w:ascii="Palatino Linotype" w:hAnsi="Palatino Linotype" w:eastAsia="Palatino Linotype" w:cs="Palatino Linotype"/>
        </w:rPr>
      </w:pPr>
    </w:p>
    <w:p w:rsidRPr="009617C9" w:rsidR="00B1191D" w:rsidRDefault="00827BD0" w14:paraId="20F792B7" w14:textId="1B242758">
      <w:pPr>
        <w:pStyle w:val="Body"/>
        <w:spacing w:after="0" w:line="240" w:lineRule="auto"/>
        <w:rPr>
          <w:rStyle w:val="HeaderChar"/>
          <w:rFonts w:ascii="Palatino Linotype" w:hAnsi="Palatino Linotype" w:eastAsia="Palatino Linotype" w:cs="Palatino Linotype"/>
          <w:b/>
          <w:sz w:val="24"/>
          <w:szCs w:val="24"/>
          <w:u w:val="single"/>
        </w:rPr>
      </w:pPr>
      <w:r w:rsidRPr="009617C9">
        <w:rPr>
          <w:rStyle w:val="HeaderChar"/>
          <w:rFonts w:ascii="Palatino Linotype" w:hAnsi="Palatino Linotype" w:eastAsia="Palatino Linotype" w:cs="Palatino Linotype"/>
          <w:sz w:val="24"/>
          <w:szCs w:val="24"/>
        </w:rPr>
        <w:t xml:space="preserve">In reviewing </w:t>
      </w:r>
      <w:proofErr w:type="spellStart"/>
      <w:r w:rsidR="006A66BD">
        <w:rPr>
          <w:rStyle w:val="HeaderChar"/>
          <w:rFonts w:ascii="Palatino Linotype" w:hAnsi="Palatino Linotype" w:eastAsia="Palatino Linotype" w:cs="Palatino Linotype"/>
          <w:sz w:val="24"/>
          <w:szCs w:val="24"/>
        </w:rPr>
        <w:t>Bakman’s</w:t>
      </w:r>
      <w:proofErr w:type="spellEnd"/>
      <w:r w:rsidRPr="009617C9" w:rsidR="001B70E1">
        <w:rPr>
          <w:rStyle w:val="HeaderChar"/>
          <w:rFonts w:ascii="Palatino Linotype" w:hAnsi="Palatino Linotype" w:eastAsia="Palatino Linotype" w:cs="Palatino Linotype"/>
          <w:sz w:val="24"/>
          <w:szCs w:val="24"/>
        </w:rPr>
        <w:t xml:space="preserve"> rate increase request, t</w:t>
      </w:r>
      <w:r w:rsidRPr="009617C9" w:rsidR="00AE57DD">
        <w:rPr>
          <w:rStyle w:val="HeaderChar"/>
          <w:rFonts w:ascii="Palatino Linotype" w:hAnsi="Palatino Linotype" w:eastAsia="Palatino Linotype" w:cs="Palatino Linotype"/>
          <w:sz w:val="24"/>
          <w:szCs w:val="24"/>
        </w:rPr>
        <w:t>he WD made an independent analysis of</w:t>
      </w:r>
      <w:r w:rsidRPr="009617C9" w:rsidR="00053241">
        <w:rPr>
          <w:rStyle w:val="HeaderChar"/>
          <w:rFonts w:ascii="Palatino Linotype" w:hAnsi="Palatino Linotype" w:eastAsia="Palatino Linotype" w:cs="Palatino Linotype"/>
          <w:sz w:val="24"/>
          <w:szCs w:val="24"/>
        </w:rPr>
        <w:t xml:space="preserve"> the</w:t>
      </w:r>
      <w:r w:rsidRPr="009617C9" w:rsidR="00AE57DD">
        <w:rPr>
          <w:rStyle w:val="HeaderChar"/>
          <w:rFonts w:ascii="Palatino Linotype" w:hAnsi="Palatino Linotype" w:eastAsia="Palatino Linotype" w:cs="Palatino Linotype"/>
          <w:sz w:val="24"/>
          <w:szCs w:val="24"/>
        </w:rPr>
        <w:t xml:space="preserve"> </w:t>
      </w:r>
      <w:r w:rsidRPr="009617C9" w:rsidR="001B70E1">
        <w:rPr>
          <w:rStyle w:val="HeaderChar"/>
          <w:rFonts w:ascii="Palatino Linotype" w:hAnsi="Palatino Linotype" w:eastAsia="Palatino Linotype" w:cs="Palatino Linotype"/>
          <w:sz w:val="24"/>
          <w:szCs w:val="24"/>
        </w:rPr>
        <w:t xml:space="preserve">utility’s </w:t>
      </w:r>
      <w:r w:rsidRPr="009617C9" w:rsidR="000C4A01">
        <w:rPr>
          <w:rStyle w:val="HeaderChar"/>
          <w:rFonts w:ascii="Palatino Linotype" w:hAnsi="Palatino Linotype" w:eastAsia="Palatino Linotype" w:cs="Palatino Linotype"/>
          <w:sz w:val="24"/>
          <w:szCs w:val="24"/>
        </w:rPr>
        <w:t>rate increase request</w:t>
      </w:r>
      <w:r w:rsidRPr="009617C9" w:rsidR="0093296C">
        <w:rPr>
          <w:rStyle w:val="HeaderChar"/>
          <w:rFonts w:ascii="Palatino Linotype" w:hAnsi="Palatino Linotype" w:eastAsia="Palatino Linotype" w:cs="Palatino Linotype"/>
          <w:sz w:val="24"/>
          <w:szCs w:val="24"/>
        </w:rPr>
        <w:t xml:space="preserve"> and its operations</w:t>
      </w:r>
      <w:r w:rsidRPr="009617C9" w:rsidR="00AE57DD">
        <w:rPr>
          <w:rStyle w:val="HeaderChar"/>
          <w:rFonts w:ascii="Palatino Linotype" w:hAnsi="Palatino Linotype" w:eastAsia="Palatino Linotype" w:cs="Palatino Linotype"/>
          <w:sz w:val="24"/>
          <w:szCs w:val="24"/>
        </w:rPr>
        <w:t xml:space="preserve">.  Appendix A provides </w:t>
      </w:r>
      <w:proofErr w:type="spellStart"/>
      <w:r w:rsidR="006A66BD">
        <w:rPr>
          <w:rStyle w:val="HeaderChar"/>
          <w:rFonts w:ascii="Palatino Linotype" w:hAnsi="Palatino Linotype" w:eastAsia="Palatino Linotype" w:cs="Palatino Linotype"/>
          <w:sz w:val="24"/>
          <w:szCs w:val="24"/>
        </w:rPr>
        <w:t>Bakman’s</w:t>
      </w:r>
      <w:proofErr w:type="spellEnd"/>
      <w:r w:rsidRPr="009617C9" w:rsidR="00AE57DD">
        <w:rPr>
          <w:rStyle w:val="HeaderChar"/>
          <w:rFonts w:ascii="Palatino Linotype" w:hAnsi="Palatino Linotype" w:eastAsia="Palatino Linotype" w:cs="Palatino Linotype"/>
          <w:sz w:val="24"/>
          <w:szCs w:val="24"/>
        </w:rPr>
        <w:t xml:space="preserve"> and the WD’s estimated Summary of Earnings (SOE) at present, requested and recommended rates</w:t>
      </w:r>
      <w:r w:rsidRPr="009617C9" w:rsidR="00986CCB">
        <w:rPr>
          <w:rStyle w:val="HeaderChar"/>
          <w:rFonts w:ascii="Palatino Linotype" w:hAnsi="Palatino Linotype" w:eastAsia="Palatino Linotype" w:cs="Palatino Linotype"/>
          <w:sz w:val="24"/>
          <w:szCs w:val="24"/>
        </w:rPr>
        <w:t xml:space="preserve">, </w:t>
      </w:r>
      <w:r w:rsidRPr="009617C9" w:rsidR="00951A05">
        <w:rPr>
          <w:rStyle w:val="HeaderChar"/>
          <w:rFonts w:ascii="Palatino Linotype" w:hAnsi="Palatino Linotype" w:eastAsia="Palatino Linotype" w:cs="Palatino Linotype"/>
          <w:sz w:val="24"/>
          <w:szCs w:val="24"/>
        </w:rPr>
        <w:t xml:space="preserve">which is </w:t>
      </w:r>
      <w:r w:rsidRPr="009617C9" w:rsidR="00986CCB">
        <w:rPr>
          <w:rStyle w:val="HeaderChar"/>
          <w:rFonts w:ascii="Palatino Linotype" w:hAnsi="Palatino Linotype" w:eastAsia="Palatino Linotype" w:cs="Palatino Linotype"/>
          <w:sz w:val="24"/>
          <w:szCs w:val="24"/>
        </w:rPr>
        <w:t>further discussed below</w:t>
      </w:r>
      <w:r w:rsidRPr="009617C9" w:rsidR="00AE57DD">
        <w:rPr>
          <w:rStyle w:val="HeaderChar"/>
          <w:rFonts w:ascii="Palatino Linotype" w:hAnsi="Palatino Linotype" w:eastAsia="Palatino Linotype" w:cs="Palatino Linotype"/>
          <w:sz w:val="24"/>
          <w:szCs w:val="24"/>
        </w:rPr>
        <w:t xml:space="preserve">. </w:t>
      </w:r>
      <w:r w:rsidRPr="00E66ECA" w:rsidR="00E333FB">
        <w:rPr>
          <w:rStyle w:val="HeaderChar"/>
          <w:rFonts w:ascii="Palatino Linotype" w:hAnsi="Palatino Linotype" w:eastAsia="Palatino Linotype" w:cs="Palatino Linotype"/>
          <w:sz w:val="24"/>
          <w:szCs w:val="24"/>
        </w:rPr>
        <w:t>Bakman</w:t>
      </w:r>
      <w:r w:rsidRPr="00E66ECA" w:rsidR="0091556E">
        <w:rPr>
          <w:rStyle w:val="HeaderChar"/>
          <w:rFonts w:ascii="Palatino Linotype" w:hAnsi="Palatino Linotype" w:eastAsia="Palatino Linotype" w:cs="Palatino Linotype"/>
          <w:sz w:val="24"/>
          <w:szCs w:val="24"/>
        </w:rPr>
        <w:t xml:space="preserve"> was informed of the </w:t>
      </w:r>
      <w:r w:rsidRPr="00E66ECA" w:rsidR="003057E6">
        <w:rPr>
          <w:rStyle w:val="HeaderChar"/>
          <w:rFonts w:ascii="Palatino Linotype" w:hAnsi="Palatino Linotype" w:eastAsia="Palatino Linotype" w:cs="Palatino Linotype"/>
          <w:sz w:val="24"/>
          <w:szCs w:val="24"/>
        </w:rPr>
        <w:t xml:space="preserve">differing </w:t>
      </w:r>
      <w:r w:rsidRPr="00E66ECA" w:rsidR="0091556E">
        <w:rPr>
          <w:rStyle w:val="HeaderChar"/>
          <w:rFonts w:ascii="Palatino Linotype" w:hAnsi="Palatino Linotype" w:eastAsia="Palatino Linotype" w:cs="Palatino Linotype"/>
          <w:sz w:val="24"/>
          <w:szCs w:val="24"/>
        </w:rPr>
        <w:t xml:space="preserve">views of revenues, expenses </w:t>
      </w:r>
      <w:r w:rsidRPr="00E66ECA" w:rsidR="001E3FFD">
        <w:rPr>
          <w:rStyle w:val="HeaderChar"/>
          <w:rFonts w:ascii="Palatino Linotype" w:hAnsi="Palatino Linotype" w:eastAsia="Palatino Linotype" w:cs="Palatino Linotype"/>
          <w:sz w:val="24"/>
          <w:szCs w:val="24"/>
        </w:rPr>
        <w:t xml:space="preserve">and </w:t>
      </w:r>
      <w:r w:rsidRPr="00E66ECA" w:rsidR="003057E6">
        <w:rPr>
          <w:rStyle w:val="HeaderChar"/>
          <w:rFonts w:ascii="Palatino Linotype" w:hAnsi="Palatino Linotype" w:eastAsia="Palatino Linotype" w:cs="Palatino Linotype"/>
          <w:sz w:val="24"/>
          <w:szCs w:val="24"/>
        </w:rPr>
        <w:t xml:space="preserve">rate base, and </w:t>
      </w:r>
      <w:r w:rsidRPr="00E66ECA" w:rsidR="00A41E56">
        <w:rPr>
          <w:rStyle w:val="HeaderChar"/>
          <w:rFonts w:ascii="Palatino Linotype" w:hAnsi="Palatino Linotype" w:eastAsia="Palatino Linotype" w:cs="Palatino Linotype"/>
          <w:sz w:val="24"/>
          <w:szCs w:val="24"/>
        </w:rPr>
        <w:t xml:space="preserve">the company </w:t>
      </w:r>
      <w:r w:rsidRPr="00E66ECA" w:rsidR="00B13486">
        <w:rPr>
          <w:rStyle w:val="HeaderChar"/>
          <w:rFonts w:ascii="Palatino Linotype" w:hAnsi="Palatino Linotype" w:eastAsia="Palatino Linotype" w:cs="Palatino Linotype"/>
          <w:sz w:val="24"/>
          <w:szCs w:val="24"/>
        </w:rPr>
        <w:t>agrees</w:t>
      </w:r>
      <w:r w:rsidRPr="00E66ECA" w:rsidR="0091556E">
        <w:rPr>
          <w:rStyle w:val="HeaderChar"/>
          <w:rFonts w:ascii="Palatino Linotype" w:hAnsi="Palatino Linotype" w:eastAsia="Palatino Linotype" w:cs="Palatino Linotype"/>
          <w:sz w:val="24"/>
          <w:szCs w:val="24"/>
        </w:rPr>
        <w:t xml:space="preserve"> with the WD’s recommended revenue requirement and rates show</w:t>
      </w:r>
      <w:r w:rsidRPr="00E66ECA" w:rsidR="001711A4">
        <w:rPr>
          <w:rStyle w:val="HeaderChar"/>
          <w:rFonts w:ascii="Palatino Linotype" w:hAnsi="Palatino Linotype" w:eastAsia="Palatino Linotype" w:cs="Palatino Linotype"/>
          <w:sz w:val="24"/>
          <w:szCs w:val="24"/>
        </w:rPr>
        <w:t>n</w:t>
      </w:r>
      <w:r w:rsidRPr="00E66ECA" w:rsidR="0091556E">
        <w:rPr>
          <w:rStyle w:val="HeaderChar"/>
          <w:rFonts w:ascii="Palatino Linotype" w:hAnsi="Palatino Linotype" w:eastAsia="Palatino Linotype" w:cs="Palatino Linotype"/>
          <w:sz w:val="24"/>
          <w:szCs w:val="24"/>
        </w:rPr>
        <w:t xml:space="preserve"> in Appendix B.</w:t>
      </w:r>
    </w:p>
    <w:p w:rsidRPr="009617C9" w:rsidR="00B1191D" w:rsidRDefault="00B1191D" w14:paraId="04BB4B7B" w14:textId="77777777">
      <w:pPr>
        <w:pStyle w:val="Body"/>
        <w:spacing w:after="0" w:line="240" w:lineRule="auto"/>
        <w:rPr>
          <w:rStyle w:val="HeaderChar"/>
          <w:rFonts w:ascii="Palatino Linotype" w:hAnsi="Palatino Linotype" w:eastAsia="Palatino Linotype" w:cs="Palatino Linotype"/>
          <w:b/>
          <w:sz w:val="24"/>
          <w:szCs w:val="24"/>
          <w:u w:val="single"/>
        </w:rPr>
      </w:pPr>
    </w:p>
    <w:p w:rsidRPr="009617C9" w:rsidR="001E2FB4" w:rsidRDefault="00AE57DD" w14:paraId="56DB2A19" w14:textId="54C42B3B">
      <w:pPr>
        <w:pStyle w:val="Body"/>
        <w:spacing w:after="0" w:line="240" w:lineRule="auto"/>
        <w:rPr>
          <w:rStyle w:val="HeaderChar"/>
          <w:rFonts w:ascii="Palatino Linotype" w:hAnsi="Palatino Linotype" w:eastAsia="Palatino Linotype" w:cs="Palatino Linotype"/>
          <w:b/>
          <w:sz w:val="24"/>
          <w:szCs w:val="24"/>
          <w:u w:val="single"/>
        </w:rPr>
      </w:pPr>
      <w:r w:rsidRPr="009617C9">
        <w:rPr>
          <w:rStyle w:val="HeaderChar"/>
          <w:rFonts w:ascii="Palatino Linotype" w:hAnsi="Palatino Linotype" w:eastAsia="Palatino Linotype" w:cs="Palatino Linotype"/>
          <w:b/>
          <w:sz w:val="24"/>
          <w:szCs w:val="24"/>
          <w:u w:val="single"/>
        </w:rPr>
        <w:t>Operating Expenses</w:t>
      </w:r>
    </w:p>
    <w:p w:rsidRPr="009617C9" w:rsidR="001E2FB4" w:rsidRDefault="001E2FB4" w14:paraId="30EAD8AD" w14:textId="77777777">
      <w:pPr>
        <w:pStyle w:val="Body"/>
        <w:spacing w:after="0" w:line="240" w:lineRule="auto"/>
        <w:rPr>
          <w:rStyle w:val="HeaderChar"/>
          <w:rFonts w:ascii="Palatino Linotype" w:hAnsi="Palatino Linotype" w:eastAsia="Palatino Linotype" w:cs="Palatino Linotype"/>
          <w:sz w:val="24"/>
          <w:szCs w:val="24"/>
          <w:u w:val="single"/>
        </w:rPr>
      </w:pPr>
    </w:p>
    <w:p w:rsidR="001E2FB4" w:rsidRDefault="006B6414" w14:paraId="3C872549" w14:textId="4145D596">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The </w:t>
      </w:r>
      <w:r w:rsidRPr="009617C9" w:rsidR="00AE57DD">
        <w:rPr>
          <w:rStyle w:val="HeaderChar"/>
          <w:rFonts w:ascii="Palatino Linotype" w:hAnsi="Palatino Linotype" w:eastAsia="Palatino Linotype" w:cs="Palatino Linotype"/>
          <w:sz w:val="24"/>
          <w:szCs w:val="24"/>
        </w:rPr>
        <w:t xml:space="preserve">WD reviewed operating revenue and expenses including </w:t>
      </w:r>
      <w:r w:rsidR="00870231">
        <w:rPr>
          <w:rStyle w:val="HeaderChar"/>
          <w:rFonts w:ascii="Palatino Linotype" w:hAnsi="Palatino Linotype" w:eastAsia="Palatino Linotype" w:cs="Palatino Linotype"/>
          <w:sz w:val="24"/>
          <w:szCs w:val="24"/>
        </w:rPr>
        <w:t xml:space="preserve">purchased water, purchased power, </w:t>
      </w:r>
      <w:r w:rsidRPr="009617C9" w:rsidR="00AE57DD">
        <w:rPr>
          <w:rStyle w:val="HeaderChar"/>
          <w:rFonts w:ascii="Palatino Linotype" w:hAnsi="Palatino Linotype" w:eastAsia="Palatino Linotype" w:cs="Palatino Linotype"/>
          <w:sz w:val="24"/>
          <w:szCs w:val="24"/>
        </w:rPr>
        <w:t>employee labor, materials, contract work, transportation expenses, other volume related expenses,</w:t>
      </w:r>
      <w:r w:rsidR="00DD064C">
        <w:rPr>
          <w:rStyle w:val="HeaderChar"/>
          <w:rFonts w:ascii="Palatino Linotype" w:hAnsi="Palatino Linotype" w:eastAsia="Palatino Linotype" w:cs="Palatino Linotype"/>
          <w:sz w:val="24"/>
          <w:szCs w:val="24"/>
        </w:rPr>
        <w:t xml:space="preserve"> other plant maintenance,</w:t>
      </w:r>
      <w:r w:rsidRPr="009617C9" w:rsidR="00AE57DD">
        <w:rPr>
          <w:rStyle w:val="HeaderChar"/>
          <w:rFonts w:ascii="Palatino Linotype" w:hAnsi="Palatino Linotype" w:eastAsia="Palatino Linotype" w:cs="Palatino Linotype"/>
          <w:sz w:val="24"/>
          <w:szCs w:val="24"/>
        </w:rPr>
        <w:t xml:space="preserve"> office and management salaries, office supplies and expenses, insurance, general expense, depreciation, and taxes other than income.  </w:t>
      </w:r>
      <w:r w:rsidRPr="009617C9">
        <w:rPr>
          <w:rStyle w:val="HeaderChar"/>
          <w:rFonts w:ascii="Palatino Linotype" w:hAnsi="Palatino Linotype" w:eastAsia="Palatino Linotype" w:cs="Palatino Linotype"/>
          <w:sz w:val="24"/>
          <w:szCs w:val="24"/>
        </w:rPr>
        <w:t xml:space="preserve">The </w:t>
      </w:r>
      <w:r w:rsidRPr="009617C9" w:rsidR="00AE57DD">
        <w:rPr>
          <w:rStyle w:val="HeaderChar"/>
          <w:rFonts w:ascii="Palatino Linotype" w:hAnsi="Palatino Linotype" w:eastAsia="Palatino Linotype" w:cs="Palatino Linotype"/>
          <w:sz w:val="24"/>
          <w:szCs w:val="24"/>
        </w:rPr>
        <w:t xml:space="preserve">WD verified the operating expenses by reviewing supporting </w:t>
      </w:r>
      <w:r w:rsidR="009A4840">
        <w:rPr>
          <w:rStyle w:val="HeaderChar"/>
          <w:rFonts w:ascii="Palatino Linotype" w:hAnsi="Palatino Linotype" w:eastAsia="Palatino Linotype" w:cs="Palatino Linotype"/>
          <w:sz w:val="24"/>
          <w:szCs w:val="24"/>
        </w:rPr>
        <w:t>documentation</w:t>
      </w:r>
      <w:r w:rsidRPr="009617C9" w:rsidR="00AE57DD">
        <w:rPr>
          <w:rStyle w:val="HeaderChar"/>
          <w:rFonts w:ascii="Palatino Linotype" w:hAnsi="Palatino Linotype" w:eastAsia="Palatino Linotype" w:cs="Palatino Linotype"/>
          <w:sz w:val="24"/>
          <w:szCs w:val="24"/>
        </w:rPr>
        <w:t xml:space="preserve"> for substantiation and </w:t>
      </w:r>
      <w:r w:rsidRPr="009617C9" w:rsidR="00BF7CDA">
        <w:rPr>
          <w:rStyle w:val="HeaderChar"/>
          <w:rFonts w:ascii="Palatino Linotype" w:hAnsi="Palatino Linotype" w:eastAsia="Palatino Linotype" w:cs="Palatino Linotype"/>
          <w:sz w:val="24"/>
          <w:szCs w:val="24"/>
        </w:rPr>
        <w:t>accuracy and</w:t>
      </w:r>
      <w:r w:rsidRPr="009617C9" w:rsidR="00AE57DD">
        <w:rPr>
          <w:rStyle w:val="HeaderChar"/>
          <w:rFonts w:ascii="Palatino Linotype" w:hAnsi="Palatino Linotype" w:eastAsia="Palatino Linotype" w:cs="Palatino Linotype"/>
          <w:sz w:val="24"/>
          <w:szCs w:val="24"/>
        </w:rPr>
        <w:t xml:space="preserve"> included the amounts that were deemed reasonable and prudent.</w:t>
      </w:r>
    </w:p>
    <w:p w:rsidRPr="009617C9" w:rsidR="00B46D72" w:rsidRDefault="00B46D72" w14:paraId="65064938" w14:textId="77777777">
      <w:pPr>
        <w:pStyle w:val="Body"/>
        <w:spacing w:after="0" w:line="240" w:lineRule="auto"/>
        <w:rPr>
          <w:rStyle w:val="HeaderChar"/>
          <w:rFonts w:ascii="Palatino Linotype" w:hAnsi="Palatino Linotype" w:eastAsia="Palatino Linotype" w:cs="Palatino Linotype"/>
          <w:sz w:val="24"/>
          <w:szCs w:val="24"/>
        </w:rPr>
      </w:pPr>
    </w:p>
    <w:p w:rsidRPr="009617C9" w:rsidR="00B46D72" w:rsidP="00B46D72" w:rsidRDefault="00B46D72" w14:paraId="4C2B2AA4" w14:textId="4E846604">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For materials, transportation,</w:t>
      </w:r>
      <w:r w:rsidR="00DD064C">
        <w:rPr>
          <w:rStyle w:val="HeaderChar"/>
          <w:rFonts w:ascii="Palatino Linotype" w:hAnsi="Palatino Linotype" w:eastAsia="Palatino Linotype" w:cs="Palatino Linotype"/>
          <w:sz w:val="24"/>
          <w:szCs w:val="24"/>
        </w:rPr>
        <w:t xml:space="preserve"> other plant maintenance,</w:t>
      </w:r>
      <w:r w:rsidRPr="009617C9">
        <w:rPr>
          <w:rStyle w:val="HeaderChar"/>
          <w:rFonts w:ascii="Palatino Linotype" w:hAnsi="Palatino Linotype" w:eastAsia="Palatino Linotype" w:cs="Palatino Linotype"/>
          <w:sz w:val="24"/>
          <w:szCs w:val="24"/>
        </w:rPr>
        <w:t xml:space="preserve"> office service</w:t>
      </w:r>
      <w:r>
        <w:rPr>
          <w:rStyle w:val="HeaderChar"/>
          <w:rFonts w:ascii="Palatino Linotype" w:hAnsi="Palatino Linotype" w:eastAsia="Palatino Linotype" w:cs="Palatino Linotype"/>
          <w:sz w:val="24"/>
          <w:szCs w:val="24"/>
        </w:rPr>
        <w:t>s</w:t>
      </w:r>
      <w:r w:rsidRPr="009617C9">
        <w:rPr>
          <w:rStyle w:val="HeaderChar"/>
          <w:rFonts w:ascii="Palatino Linotype" w:hAnsi="Palatino Linotype" w:eastAsia="Palatino Linotype" w:cs="Palatino Linotype"/>
          <w:sz w:val="24"/>
          <w:szCs w:val="24"/>
        </w:rPr>
        <w:t xml:space="preserve"> and rentals,</w:t>
      </w:r>
      <w:r w:rsidR="009147E1">
        <w:rPr>
          <w:rStyle w:val="HeaderChar"/>
          <w:rFonts w:ascii="Palatino Linotype" w:hAnsi="Palatino Linotype" w:eastAsia="Palatino Linotype" w:cs="Palatino Linotype"/>
          <w:sz w:val="24"/>
          <w:szCs w:val="24"/>
        </w:rPr>
        <w:t xml:space="preserve"> employee pensions and benefits, </w:t>
      </w:r>
      <w:r w:rsidRPr="009617C9">
        <w:rPr>
          <w:rStyle w:val="HeaderChar"/>
          <w:rFonts w:ascii="Palatino Linotype" w:hAnsi="Palatino Linotype" w:eastAsia="Palatino Linotype" w:cs="Palatino Linotype"/>
          <w:sz w:val="24"/>
          <w:szCs w:val="24"/>
        </w:rPr>
        <w:t>office supplies</w:t>
      </w:r>
      <w:r>
        <w:rPr>
          <w:rStyle w:val="HeaderChar"/>
          <w:rFonts w:ascii="Palatino Linotype" w:hAnsi="Palatino Linotype" w:eastAsia="Palatino Linotype" w:cs="Palatino Linotype"/>
          <w:sz w:val="24"/>
          <w:szCs w:val="24"/>
        </w:rPr>
        <w:t xml:space="preserve"> and expenses</w:t>
      </w:r>
      <w:r w:rsidR="009147E1">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 xml:space="preserve"> </w:t>
      </w:r>
      <w:r w:rsidRPr="009617C9">
        <w:rPr>
          <w:rStyle w:val="HeaderChar"/>
          <w:rFonts w:ascii="Palatino Linotype" w:hAnsi="Palatino Linotype" w:eastAsia="Palatino Linotype" w:cs="Palatino Linotype"/>
          <w:sz w:val="24"/>
          <w:szCs w:val="24"/>
        </w:rPr>
        <w:t>and general expense</w:t>
      </w:r>
      <w:r>
        <w:rPr>
          <w:rStyle w:val="HeaderChar"/>
          <w:rFonts w:ascii="Palatino Linotype" w:hAnsi="Palatino Linotype" w:eastAsia="Palatino Linotype" w:cs="Palatino Linotype"/>
          <w:sz w:val="24"/>
          <w:szCs w:val="24"/>
        </w:rPr>
        <w:t>s</w:t>
      </w:r>
      <w:r w:rsidRPr="009617C9">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 xml:space="preserve"> </w:t>
      </w:r>
      <w:r w:rsidR="00E333FB">
        <w:rPr>
          <w:rStyle w:val="HeaderChar"/>
          <w:rFonts w:ascii="Palatino Linotype" w:hAnsi="Palatino Linotype" w:eastAsia="Palatino Linotype" w:cs="Palatino Linotype"/>
          <w:sz w:val="24"/>
          <w:szCs w:val="24"/>
        </w:rPr>
        <w:t>Bakman</w:t>
      </w:r>
      <w:r>
        <w:rPr>
          <w:rStyle w:val="HeaderChar"/>
          <w:rFonts w:ascii="Palatino Linotype" w:hAnsi="Palatino Linotype" w:eastAsia="Palatino Linotype" w:cs="Palatino Linotype"/>
          <w:sz w:val="24"/>
          <w:szCs w:val="24"/>
        </w:rPr>
        <w:t xml:space="preserve"> </w:t>
      </w:r>
      <w:r w:rsidR="00DD064C">
        <w:rPr>
          <w:rStyle w:val="HeaderChar"/>
          <w:rFonts w:ascii="Palatino Linotype" w:hAnsi="Palatino Linotype" w:eastAsia="Palatino Linotype" w:cs="Palatino Linotype"/>
          <w:sz w:val="24"/>
          <w:szCs w:val="24"/>
        </w:rPr>
        <w:t xml:space="preserve">used the recorded amounts from 2016 to 2018, escalating each amount to TY 2019 by applying the CPI-U increase for each year, and then taking the </w:t>
      </w:r>
      <w:r w:rsidRPr="009617C9">
        <w:rPr>
          <w:rStyle w:val="HeaderChar"/>
          <w:rFonts w:ascii="Palatino Linotype" w:hAnsi="Palatino Linotype" w:eastAsia="Palatino Linotype" w:cs="Palatino Linotype"/>
          <w:sz w:val="24"/>
          <w:szCs w:val="24"/>
        </w:rPr>
        <w:t>three-year average</w:t>
      </w:r>
      <w:r w:rsidR="00870231">
        <w:rPr>
          <w:rStyle w:val="HeaderChar"/>
          <w:rFonts w:ascii="Palatino Linotype" w:hAnsi="Palatino Linotype" w:eastAsia="Palatino Linotype" w:cs="Palatino Linotype"/>
          <w:sz w:val="24"/>
          <w:szCs w:val="24"/>
        </w:rPr>
        <w:t xml:space="preserve"> </w:t>
      </w:r>
      <w:r w:rsidR="00DD064C">
        <w:rPr>
          <w:rStyle w:val="HeaderChar"/>
          <w:rFonts w:ascii="Palatino Linotype" w:hAnsi="Palatino Linotype" w:eastAsia="Palatino Linotype" w:cs="Palatino Linotype"/>
          <w:sz w:val="24"/>
          <w:szCs w:val="24"/>
        </w:rPr>
        <w:t>of the escalated amounts</w:t>
      </w:r>
      <w:r w:rsidRPr="009617C9">
        <w:rPr>
          <w:rStyle w:val="HeaderChar"/>
          <w:rFonts w:ascii="Palatino Linotype" w:hAnsi="Palatino Linotype" w:eastAsia="Palatino Linotype" w:cs="Palatino Linotype"/>
          <w:sz w:val="24"/>
          <w:szCs w:val="24"/>
        </w:rPr>
        <w:t xml:space="preserve">.  Based on the WD analysis of </w:t>
      </w:r>
      <w:proofErr w:type="spellStart"/>
      <w:r w:rsidR="006A66BD">
        <w:rPr>
          <w:rStyle w:val="HeaderChar"/>
          <w:rFonts w:ascii="Palatino Linotype" w:hAnsi="Palatino Linotype" w:eastAsia="Palatino Linotype" w:cs="Palatino Linotype"/>
          <w:sz w:val="24"/>
          <w:szCs w:val="24"/>
        </w:rPr>
        <w:t>Bakman’s</w:t>
      </w:r>
      <w:proofErr w:type="spellEnd"/>
      <w:r w:rsidRPr="009617C9">
        <w:rPr>
          <w:rStyle w:val="HeaderChar"/>
          <w:rFonts w:ascii="Palatino Linotype" w:hAnsi="Palatino Linotype" w:eastAsia="Palatino Linotype" w:cs="Palatino Linotype"/>
          <w:sz w:val="24"/>
          <w:szCs w:val="24"/>
        </w:rPr>
        <w:t xml:space="preserve"> operating expenses, the WD found the company’s approach and expense estimates reasonable for the size and complexity of the utility’s operations.  </w:t>
      </w:r>
    </w:p>
    <w:p w:rsidR="001E2FB4" w:rsidRDefault="001E2FB4" w14:paraId="27AE4374" w14:textId="30989B07">
      <w:pPr>
        <w:pStyle w:val="Body"/>
        <w:spacing w:after="0" w:line="240" w:lineRule="auto"/>
        <w:rPr>
          <w:rStyle w:val="HeaderChar"/>
          <w:rFonts w:ascii="Palatino Linotype" w:hAnsi="Palatino Linotype" w:eastAsia="Palatino Linotype" w:cs="Palatino Linotype"/>
          <w:sz w:val="24"/>
          <w:szCs w:val="24"/>
        </w:rPr>
      </w:pPr>
    </w:p>
    <w:p w:rsidR="000B706E" w:rsidRDefault="000B706E" w14:paraId="0497AC97" w14:textId="3D8C267E">
      <w:pPr>
        <w:pStyle w:val="Body"/>
        <w:spacing w:after="0" w:line="240" w:lineRule="auto"/>
        <w:rPr>
          <w:rStyle w:val="HeaderChar"/>
          <w:rFonts w:ascii="Palatino Linotype" w:hAnsi="Palatino Linotype" w:eastAsia="Palatino Linotype" w:cs="Palatino Linotype"/>
          <w:sz w:val="24"/>
          <w:szCs w:val="24"/>
          <w:u w:val="single"/>
        </w:rPr>
      </w:pPr>
      <w:r>
        <w:rPr>
          <w:rStyle w:val="HeaderChar"/>
          <w:rFonts w:ascii="Palatino Linotype" w:hAnsi="Palatino Linotype" w:eastAsia="Palatino Linotype" w:cs="Palatino Linotype"/>
          <w:sz w:val="24"/>
          <w:szCs w:val="24"/>
          <w:u w:val="single"/>
        </w:rPr>
        <w:t>Other Volume Related Expenses</w:t>
      </w:r>
    </w:p>
    <w:p w:rsidR="000B706E" w:rsidRDefault="000B706E" w14:paraId="44AD880B" w14:textId="3347D80F">
      <w:pPr>
        <w:pStyle w:val="Body"/>
        <w:spacing w:after="0" w:line="240" w:lineRule="auto"/>
        <w:rPr>
          <w:rStyle w:val="HeaderChar"/>
          <w:rFonts w:ascii="Palatino Linotype" w:hAnsi="Palatino Linotype" w:eastAsia="Palatino Linotype" w:cs="Palatino Linotype"/>
          <w:sz w:val="24"/>
          <w:szCs w:val="24"/>
        </w:rPr>
      </w:pPr>
    </w:p>
    <w:p w:rsidR="00FE0DEE" w:rsidRDefault="000441CA" w14:paraId="567BB572" w14:textId="25601827">
      <w:pPr>
        <w:pStyle w:val="Body"/>
        <w:spacing w:after="0" w:line="240" w:lineRule="auto"/>
        <w:rPr>
          <w:rStyle w:val="HeaderChar"/>
          <w:rFonts w:ascii="Palatino Linotype" w:hAnsi="Palatino Linotype" w:eastAsia="Palatino Linotype" w:cs="Palatino Linotype"/>
          <w:sz w:val="24"/>
          <w:szCs w:val="24"/>
        </w:rPr>
      </w:pPr>
      <w:proofErr w:type="spellStart"/>
      <w:r>
        <w:rPr>
          <w:rStyle w:val="HeaderChar"/>
          <w:rFonts w:ascii="Palatino Linotype" w:hAnsi="Palatino Linotype" w:eastAsia="Palatino Linotype" w:cs="Palatino Linotype"/>
          <w:sz w:val="24"/>
          <w:szCs w:val="24"/>
        </w:rPr>
        <w:t>Bakman’s</w:t>
      </w:r>
      <w:proofErr w:type="spellEnd"/>
      <w:r>
        <w:rPr>
          <w:rStyle w:val="HeaderChar"/>
          <w:rFonts w:ascii="Palatino Linotype" w:hAnsi="Palatino Linotype" w:eastAsia="Palatino Linotype" w:cs="Palatino Linotype"/>
          <w:sz w:val="24"/>
          <w:szCs w:val="24"/>
        </w:rPr>
        <w:t xml:space="preserve"> requested amount of $76,800 for other volume related expenses stems from the utility incurring costs</w:t>
      </w:r>
      <w:r w:rsidR="00FE0DEE">
        <w:rPr>
          <w:rStyle w:val="HeaderChar"/>
          <w:rFonts w:ascii="Palatino Linotype" w:hAnsi="Palatino Linotype" w:eastAsia="Palatino Linotype" w:cs="Palatino Linotype"/>
          <w:sz w:val="24"/>
          <w:szCs w:val="24"/>
        </w:rPr>
        <w:t xml:space="preserve"> starting in 2019 re</w:t>
      </w:r>
      <w:r w:rsidR="00A855DB">
        <w:rPr>
          <w:rStyle w:val="HeaderChar"/>
          <w:rFonts w:ascii="Palatino Linotype" w:hAnsi="Palatino Linotype" w:eastAsia="Palatino Linotype" w:cs="Palatino Linotype"/>
          <w:sz w:val="24"/>
          <w:szCs w:val="24"/>
        </w:rPr>
        <w:t>l</w:t>
      </w:r>
      <w:r>
        <w:rPr>
          <w:rStyle w:val="HeaderChar"/>
          <w:rFonts w:ascii="Palatino Linotype" w:hAnsi="Palatino Linotype" w:eastAsia="Palatino Linotype" w:cs="Palatino Linotype"/>
          <w:sz w:val="24"/>
          <w:szCs w:val="24"/>
        </w:rPr>
        <w:t xml:space="preserve">ated to the operation of Well </w:t>
      </w:r>
      <w:r w:rsidR="00A855DB">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8</w:t>
      </w:r>
      <w:r w:rsidR="00FE0DEE">
        <w:rPr>
          <w:rStyle w:val="HeaderChar"/>
          <w:rFonts w:ascii="Palatino Linotype" w:hAnsi="Palatino Linotype" w:eastAsia="Palatino Linotype" w:cs="Palatino Linotype"/>
          <w:sz w:val="24"/>
          <w:szCs w:val="24"/>
        </w:rPr>
        <w:t xml:space="preserve"> and the </w:t>
      </w:r>
      <w:r w:rsidR="00FE0DEE">
        <w:rPr>
          <w:rStyle w:val="HeaderChar"/>
          <w:rFonts w:ascii="Palatino Linotype" w:hAnsi="Palatino Linotype" w:eastAsia="Palatino Linotype" w:cs="Palatino Linotype"/>
          <w:sz w:val="24"/>
          <w:szCs w:val="24"/>
        </w:rPr>
        <w:lastRenderedPageBreak/>
        <w:t xml:space="preserve">GAC and </w:t>
      </w:r>
      <w:proofErr w:type="spellStart"/>
      <w:r>
        <w:rPr>
          <w:rStyle w:val="HeaderChar"/>
          <w:rFonts w:ascii="Palatino Linotype" w:hAnsi="Palatino Linotype" w:eastAsia="Palatino Linotype" w:cs="Palatino Linotype"/>
          <w:sz w:val="24"/>
          <w:szCs w:val="24"/>
        </w:rPr>
        <w:t>Ionex</w:t>
      </w:r>
      <w:proofErr w:type="spellEnd"/>
      <w:r>
        <w:rPr>
          <w:rStyle w:val="HeaderChar"/>
          <w:rFonts w:ascii="Palatino Linotype" w:hAnsi="Palatino Linotype" w:eastAsia="Palatino Linotype" w:cs="Palatino Linotype"/>
          <w:sz w:val="24"/>
          <w:szCs w:val="24"/>
        </w:rPr>
        <w:t xml:space="preserve"> treatment plant</w:t>
      </w:r>
      <w:r w:rsidR="00FE0DEE">
        <w:rPr>
          <w:rStyle w:val="HeaderChar"/>
          <w:rFonts w:ascii="Palatino Linotype" w:hAnsi="Palatino Linotype" w:eastAsia="Palatino Linotype" w:cs="Palatino Linotype"/>
          <w:sz w:val="24"/>
          <w:szCs w:val="24"/>
        </w:rPr>
        <w:t>s</w:t>
      </w:r>
      <w:r>
        <w:rPr>
          <w:rStyle w:val="HeaderChar"/>
          <w:rFonts w:ascii="Palatino Linotype" w:hAnsi="Palatino Linotype" w:eastAsia="Palatino Linotype" w:cs="Palatino Linotype"/>
          <w:sz w:val="24"/>
          <w:szCs w:val="24"/>
        </w:rPr>
        <w:t xml:space="preserve">. Historically, Bakman has not recorded costs under this expense. </w:t>
      </w:r>
      <w:r w:rsidR="00A855DB">
        <w:rPr>
          <w:rStyle w:val="HeaderChar"/>
          <w:rFonts w:ascii="Palatino Linotype" w:hAnsi="Palatino Linotype" w:eastAsia="Palatino Linotype" w:cs="Palatino Linotype"/>
          <w:sz w:val="24"/>
          <w:szCs w:val="24"/>
        </w:rPr>
        <w:t>Bakman provided the following cost breakdown:</w:t>
      </w:r>
    </w:p>
    <w:tbl>
      <w:tblPr>
        <w:tblStyle w:val="TableGrid"/>
        <w:tblW w:w="0" w:type="auto"/>
        <w:jc w:val="center"/>
        <w:tblLook w:val="04A0" w:firstRow="1" w:lastRow="0" w:firstColumn="1" w:lastColumn="0" w:noHBand="0" w:noVBand="1"/>
      </w:tblPr>
      <w:tblGrid>
        <w:gridCol w:w="3013"/>
        <w:gridCol w:w="1232"/>
        <w:gridCol w:w="1653"/>
        <w:gridCol w:w="1558"/>
      </w:tblGrid>
      <w:tr w:rsidR="00FE0DEE" w:rsidTr="00FE0DEE" w14:paraId="2D22F277" w14:textId="77777777">
        <w:trPr>
          <w:jc w:val="center"/>
        </w:trPr>
        <w:tc>
          <w:tcPr>
            <w:tcW w:w="0" w:type="auto"/>
          </w:tcPr>
          <w:p w:rsidR="00FE0DEE" w:rsidRDefault="00FE0DEE" w14:paraId="4A2BE17E" w14:textId="77777777">
            <w:pPr>
              <w:pStyle w:val="Body"/>
              <w:spacing w:after="0" w:line="240" w:lineRule="auto"/>
              <w:rPr>
                <w:rStyle w:val="HeaderChar"/>
                <w:rFonts w:ascii="Palatino Linotype" w:hAnsi="Palatino Linotype" w:eastAsia="Palatino Linotype" w:cs="Palatino Linotype"/>
                <w:sz w:val="24"/>
                <w:szCs w:val="24"/>
              </w:rPr>
            </w:pPr>
          </w:p>
        </w:tc>
        <w:tc>
          <w:tcPr>
            <w:tcW w:w="0" w:type="auto"/>
          </w:tcPr>
          <w:p w:rsidR="00FE0DEE" w:rsidRDefault="00FE0DEE" w14:paraId="10766848" w14:textId="5123B661">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Unit Cost</w:t>
            </w:r>
          </w:p>
        </w:tc>
        <w:tc>
          <w:tcPr>
            <w:tcW w:w="0" w:type="auto"/>
          </w:tcPr>
          <w:p w:rsidR="00FE0DEE" w:rsidRDefault="00FE0DEE" w14:paraId="298B4CE7" w14:textId="14512E8E">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Annual Units</w:t>
            </w:r>
          </w:p>
        </w:tc>
        <w:tc>
          <w:tcPr>
            <w:tcW w:w="0" w:type="auto"/>
          </w:tcPr>
          <w:p w:rsidR="00FE0DEE" w:rsidRDefault="00FE0DEE" w14:paraId="6011FCFA" w14:textId="030AF858">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Annual Cost</w:t>
            </w:r>
          </w:p>
        </w:tc>
      </w:tr>
      <w:tr w:rsidR="00FE0DEE" w:rsidTr="00FE0DEE" w14:paraId="70CA6762" w14:textId="77777777">
        <w:trPr>
          <w:jc w:val="center"/>
        </w:trPr>
        <w:tc>
          <w:tcPr>
            <w:tcW w:w="0" w:type="auto"/>
          </w:tcPr>
          <w:p w:rsidR="00FE0DEE" w:rsidRDefault="00FE0DEE" w14:paraId="30BC8B6F" w14:textId="3D22D0CC">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Salt</w:t>
            </w:r>
          </w:p>
        </w:tc>
        <w:tc>
          <w:tcPr>
            <w:tcW w:w="0" w:type="auto"/>
          </w:tcPr>
          <w:p w:rsidR="00FE0DEE" w:rsidRDefault="00FE0DEE" w14:paraId="4C3DF0BF" w14:textId="0821CF74">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$2,000</w:t>
            </w:r>
          </w:p>
        </w:tc>
        <w:tc>
          <w:tcPr>
            <w:tcW w:w="0" w:type="auto"/>
          </w:tcPr>
          <w:p w:rsidR="00FE0DEE" w:rsidRDefault="00FE0DEE" w14:paraId="7F49BDE7" w14:textId="339A8913">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12</w:t>
            </w:r>
          </w:p>
        </w:tc>
        <w:tc>
          <w:tcPr>
            <w:tcW w:w="0" w:type="auto"/>
          </w:tcPr>
          <w:p w:rsidR="00FE0DEE" w:rsidRDefault="00FE0DEE" w14:paraId="4B07440C" w14:textId="52469CBE">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$24,000</w:t>
            </w:r>
          </w:p>
        </w:tc>
      </w:tr>
      <w:tr w:rsidR="00FE0DEE" w:rsidTr="00FE0DEE" w14:paraId="717F8A28" w14:textId="77777777">
        <w:trPr>
          <w:jc w:val="center"/>
        </w:trPr>
        <w:tc>
          <w:tcPr>
            <w:tcW w:w="0" w:type="auto"/>
          </w:tcPr>
          <w:p w:rsidR="00FE0DEE" w:rsidRDefault="00FE0DEE" w14:paraId="1FED1171" w14:textId="6F642575">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Bi-weekly Brine Hauling</w:t>
            </w:r>
          </w:p>
        </w:tc>
        <w:tc>
          <w:tcPr>
            <w:tcW w:w="0" w:type="auto"/>
          </w:tcPr>
          <w:p w:rsidR="00FE0DEE" w:rsidRDefault="00FE0DEE" w14:paraId="64C2D2D2" w14:textId="7D81220B">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$674</w:t>
            </w:r>
          </w:p>
        </w:tc>
        <w:tc>
          <w:tcPr>
            <w:tcW w:w="0" w:type="auto"/>
          </w:tcPr>
          <w:p w:rsidR="00FE0DEE" w:rsidRDefault="00FE0DEE" w14:paraId="211EBA07" w14:textId="5AC1F3B0">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60</w:t>
            </w:r>
          </w:p>
        </w:tc>
        <w:tc>
          <w:tcPr>
            <w:tcW w:w="0" w:type="auto"/>
          </w:tcPr>
          <w:p w:rsidR="00FE0DEE" w:rsidRDefault="00FE0DEE" w14:paraId="32D35C0F" w14:textId="4EE494AE">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$40,440</w:t>
            </w:r>
          </w:p>
        </w:tc>
      </w:tr>
      <w:tr w:rsidR="00FE0DEE" w:rsidTr="00FE0DEE" w14:paraId="5DE1BF60" w14:textId="77777777">
        <w:trPr>
          <w:jc w:val="center"/>
        </w:trPr>
        <w:tc>
          <w:tcPr>
            <w:tcW w:w="0" w:type="auto"/>
          </w:tcPr>
          <w:p w:rsidR="00FE0DEE" w:rsidRDefault="00FE0DEE" w14:paraId="44E41126" w14:textId="02FA1F96">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Chlorine</w:t>
            </w:r>
          </w:p>
        </w:tc>
        <w:tc>
          <w:tcPr>
            <w:tcW w:w="0" w:type="auto"/>
          </w:tcPr>
          <w:p w:rsidR="00FE0DEE" w:rsidRDefault="00FE0DEE" w14:paraId="7C72B8F1" w14:textId="184443D9">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$70</w:t>
            </w:r>
          </w:p>
        </w:tc>
        <w:tc>
          <w:tcPr>
            <w:tcW w:w="0" w:type="auto"/>
          </w:tcPr>
          <w:p w:rsidR="00FE0DEE" w:rsidRDefault="00FE0DEE" w14:paraId="582DE318" w14:textId="248331BB">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48</w:t>
            </w:r>
          </w:p>
        </w:tc>
        <w:tc>
          <w:tcPr>
            <w:tcW w:w="0" w:type="auto"/>
          </w:tcPr>
          <w:p w:rsidR="00FE0DEE" w:rsidRDefault="00FE0DEE" w14:paraId="736DFF22" w14:textId="67B3D120">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$3,360</w:t>
            </w:r>
          </w:p>
        </w:tc>
      </w:tr>
      <w:tr w:rsidR="00FE0DEE" w:rsidTr="00FE0DEE" w14:paraId="0F37E26F" w14:textId="77777777">
        <w:trPr>
          <w:jc w:val="center"/>
        </w:trPr>
        <w:tc>
          <w:tcPr>
            <w:tcW w:w="0" w:type="auto"/>
          </w:tcPr>
          <w:p w:rsidR="00FE0DEE" w:rsidRDefault="00FE0DEE" w14:paraId="3877A1D0" w14:textId="7EBFD6B1">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Carbon Media changeouts</w:t>
            </w:r>
          </w:p>
        </w:tc>
        <w:tc>
          <w:tcPr>
            <w:tcW w:w="0" w:type="auto"/>
          </w:tcPr>
          <w:p w:rsidR="00FE0DEE" w:rsidRDefault="00FE0DEE" w14:paraId="60877D88" w14:textId="050E914D">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$18,000</w:t>
            </w:r>
          </w:p>
        </w:tc>
        <w:tc>
          <w:tcPr>
            <w:tcW w:w="0" w:type="auto"/>
          </w:tcPr>
          <w:p w:rsidR="00FE0DEE" w:rsidRDefault="00FE0DEE" w14:paraId="48E7A37F" w14:textId="42049BF6">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0.5</w:t>
            </w:r>
          </w:p>
        </w:tc>
        <w:tc>
          <w:tcPr>
            <w:tcW w:w="0" w:type="auto"/>
          </w:tcPr>
          <w:p w:rsidR="00FE0DEE" w:rsidRDefault="00FE0DEE" w14:paraId="797817D9" w14:textId="4416AB77">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$9,000</w:t>
            </w:r>
          </w:p>
        </w:tc>
      </w:tr>
    </w:tbl>
    <w:p w:rsidR="00FE0DEE" w:rsidRDefault="00FE0DEE" w14:paraId="4BD1626D" w14:textId="6B184BC1">
      <w:pPr>
        <w:pStyle w:val="Body"/>
        <w:spacing w:after="0" w:line="240" w:lineRule="auto"/>
        <w:rPr>
          <w:rStyle w:val="HeaderChar"/>
          <w:rFonts w:ascii="Palatino Linotype" w:hAnsi="Palatino Linotype" w:eastAsia="Palatino Linotype" w:cs="Palatino Linotype"/>
          <w:sz w:val="24"/>
          <w:szCs w:val="24"/>
        </w:rPr>
      </w:pPr>
    </w:p>
    <w:p w:rsidR="00A855DB" w:rsidRDefault="00A855DB" w14:paraId="1E1F26F9" w14:textId="1EAD21BF">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Salt and chlorine are utilized in the ion exchange process. Brine is a byproduct of the ion exchange process; brine is collected, stored, then removed and disposed </w:t>
      </w:r>
      <w:r w:rsidR="002857F7">
        <w:rPr>
          <w:rStyle w:val="HeaderChar"/>
          <w:rFonts w:ascii="Palatino Linotype" w:hAnsi="Palatino Linotype" w:eastAsia="Palatino Linotype" w:cs="Palatino Linotype"/>
          <w:sz w:val="24"/>
          <w:szCs w:val="24"/>
        </w:rPr>
        <w:t>of</w:t>
      </w:r>
      <w:r>
        <w:rPr>
          <w:rStyle w:val="HeaderChar"/>
          <w:rFonts w:ascii="Palatino Linotype" w:hAnsi="Palatino Linotype" w:eastAsia="Palatino Linotype" w:cs="Palatino Linotype"/>
          <w:sz w:val="24"/>
          <w:szCs w:val="24"/>
        </w:rPr>
        <w:t xml:space="preserve"> on a bi-weekly basis. </w:t>
      </w:r>
      <w:r w:rsidR="002857F7">
        <w:rPr>
          <w:rStyle w:val="HeaderChar"/>
          <w:rFonts w:ascii="Palatino Linotype" w:hAnsi="Palatino Linotype" w:eastAsia="Palatino Linotype" w:cs="Palatino Linotype"/>
          <w:sz w:val="24"/>
          <w:szCs w:val="24"/>
        </w:rPr>
        <w:t xml:space="preserve">Carbon media is utilized in the GAC treatment plant. </w:t>
      </w:r>
    </w:p>
    <w:p w:rsidR="002857F7" w:rsidRDefault="002857F7" w14:paraId="6488F999" w14:textId="75DC5AB0">
      <w:pPr>
        <w:pStyle w:val="Body"/>
        <w:spacing w:after="0" w:line="240" w:lineRule="auto"/>
        <w:rPr>
          <w:rStyle w:val="HeaderChar"/>
          <w:rFonts w:ascii="Palatino Linotype" w:hAnsi="Palatino Linotype" w:eastAsia="Palatino Linotype" w:cs="Palatino Linotype"/>
          <w:sz w:val="24"/>
          <w:szCs w:val="24"/>
        </w:rPr>
      </w:pPr>
    </w:p>
    <w:p w:rsidR="002857F7" w:rsidRDefault="002857F7" w14:paraId="219018A9" w14:textId="72F11059">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The WD toured the GAC and </w:t>
      </w:r>
      <w:proofErr w:type="spellStart"/>
      <w:r>
        <w:rPr>
          <w:rStyle w:val="HeaderChar"/>
          <w:rFonts w:ascii="Palatino Linotype" w:hAnsi="Palatino Linotype" w:eastAsia="Palatino Linotype" w:cs="Palatino Linotype"/>
          <w:sz w:val="24"/>
          <w:szCs w:val="24"/>
        </w:rPr>
        <w:t>Ionex</w:t>
      </w:r>
      <w:proofErr w:type="spellEnd"/>
      <w:r>
        <w:rPr>
          <w:rStyle w:val="HeaderChar"/>
          <w:rFonts w:ascii="Palatino Linotype" w:hAnsi="Palatino Linotype" w:eastAsia="Palatino Linotype" w:cs="Palatino Linotype"/>
          <w:sz w:val="24"/>
          <w:szCs w:val="24"/>
        </w:rPr>
        <w:t xml:space="preserve"> treatment plants, interviewed personnel on the ion exchange process, and verified that the listed items are necessary for</w:t>
      </w:r>
      <w:r w:rsidR="00371A97">
        <w:rPr>
          <w:rStyle w:val="HeaderChar"/>
          <w:rFonts w:ascii="Palatino Linotype" w:hAnsi="Palatino Linotype" w:eastAsia="Palatino Linotype" w:cs="Palatino Linotype"/>
          <w:sz w:val="24"/>
          <w:szCs w:val="24"/>
        </w:rPr>
        <w:t xml:space="preserve"> daily</w:t>
      </w:r>
      <w:r>
        <w:rPr>
          <w:rStyle w:val="HeaderChar"/>
          <w:rFonts w:ascii="Palatino Linotype" w:hAnsi="Palatino Linotype" w:eastAsia="Palatino Linotype" w:cs="Palatino Linotype"/>
          <w:sz w:val="24"/>
          <w:szCs w:val="24"/>
        </w:rPr>
        <w:t xml:space="preserve"> operation of the treatment plants. The WD finds the requested amount to be reasonable.</w:t>
      </w:r>
    </w:p>
    <w:p w:rsidRPr="000B706E" w:rsidR="00FE0DEE" w:rsidRDefault="00FE0DEE" w14:paraId="26DAC6BC" w14:textId="77777777">
      <w:pPr>
        <w:pStyle w:val="Body"/>
        <w:spacing w:after="0" w:line="240" w:lineRule="auto"/>
        <w:rPr>
          <w:rStyle w:val="HeaderChar"/>
          <w:rFonts w:ascii="Palatino Linotype" w:hAnsi="Palatino Linotype" w:eastAsia="Palatino Linotype" w:cs="Palatino Linotype"/>
          <w:sz w:val="24"/>
          <w:szCs w:val="24"/>
        </w:rPr>
      </w:pPr>
    </w:p>
    <w:p w:rsidR="00A25172" w:rsidRDefault="00A25172" w14:paraId="0F581763" w14:textId="641E44C4">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u w:val="single"/>
        </w:rPr>
        <w:t>Contract Work</w:t>
      </w:r>
    </w:p>
    <w:p w:rsidR="00A25172" w:rsidRDefault="00A25172" w14:paraId="7840F01C" w14:textId="6E486B5D">
      <w:pPr>
        <w:pStyle w:val="Body"/>
        <w:spacing w:after="0" w:line="240" w:lineRule="auto"/>
        <w:rPr>
          <w:rStyle w:val="HeaderChar"/>
          <w:rFonts w:ascii="Palatino Linotype" w:hAnsi="Palatino Linotype" w:eastAsia="Palatino Linotype" w:cs="Palatino Linotype"/>
          <w:sz w:val="24"/>
          <w:szCs w:val="24"/>
        </w:rPr>
      </w:pPr>
    </w:p>
    <w:p w:rsidR="00A25172" w:rsidP="005930F5" w:rsidRDefault="005930F5" w14:paraId="6B4BBF1A" w14:textId="1E39B52F">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The WD’s recommended amount of $41,624 is lower than </w:t>
      </w:r>
      <w:proofErr w:type="spellStart"/>
      <w:r>
        <w:rPr>
          <w:rStyle w:val="HeaderChar"/>
          <w:rFonts w:ascii="Palatino Linotype" w:hAnsi="Palatino Linotype" w:eastAsia="Palatino Linotype" w:cs="Palatino Linotype"/>
          <w:sz w:val="24"/>
          <w:szCs w:val="24"/>
        </w:rPr>
        <w:t>Bakman’s</w:t>
      </w:r>
      <w:proofErr w:type="spellEnd"/>
      <w:r>
        <w:rPr>
          <w:rStyle w:val="HeaderChar"/>
          <w:rFonts w:ascii="Palatino Linotype" w:hAnsi="Palatino Linotype" w:eastAsia="Palatino Linotype" w:cs="Palatino Linotype"/>
          <w:sz w:val="24"/>
          <w:szCs w:val="24"/>
        </w:rPr>
        <w:t xml:space="preserve"> requested amount of $44,488 </w:t>
      </w:r>
      <w:r w:rsidR="00732D6A">
        <w:rPr>
          <w:rStyle w:val="HeaderChar"/>
          <w:rFonts w:ascii="Palatino Linotype" w:hAnsi="Palatino Linotype" w:eastAsia="Palatino Linotype" w:cs="Palatino Linotype"/>
          <w:sz w:val="24"/>
          <w:szCs w:val="24"/>
        </w:rPr>
        <w:t>because</w:t>
      </w:r>
      <w:r>
        <w:rPr>
          <w:rStyle w:val="HeaderChar"/>
          <w:rFonts w:ascii="Palatino Linotype" w:hAnsi="Palatino Linotype" w:eastAsia="Palatino Linotype" w:cs="Palatino Linotype"/>
          <w:sz w:val="24"/>
          <w:szCs w:val="24"/>
        </w:rPr>
        <w:t xml:space="preserve"> the utility includ</w:t>
      </w:r>
      <w:r w:rsidR="00732D6A">
        <w:rPr>
          <w:rStyle w:val="HeaderChar"/>
          <w:rFonts w:ascii="Palatino Linotype" w:hAnsi="Palatino Linotype" w:eastAsia="Palatino Linotype" w:cs="Palatino Linotype"/>
          <w:sz w:val="24"/>
          <w:szCs w:val="24"/>
        </w:rPr>
        <w:t>ed</w:t>
      </w:r>
      <w:r>
        <w:rPr>
          <w:rStyle w:val="HeaderChar"/>
          <w:rFonts w:ascii="Palatino Linotype" w:hAnsi="Palatino Linotype" w:eastAsia="Palatino Linotype" w:cs="Palatino Linotype"/>
          <w:sz w:val="24"/>
          <w:szCs w:val="24"/>
        </w:rPr>
        <w:t xml:space="preserve"> brine removal in Contract Work and Other Volume Related Expenses. </w:t>
      </w:r>
      <w:r w:rsidR="00732D6A">
        <w:rPr>
          <w:rStyle w:val="HeaderChar"/>
          <w:rFonts w:ascii="Palatino Linotype" w:hAnsi="Palatino Linotype" w:eastAsia="Palatino Linotype" w:cs="Palatino Linotype"/>
          <w:sz w:val="24"/>
          <w:szCs w:val="24"/>
        </w:rPr>
        <w:t xml:space="preserve">The utility’s requested amount included laboratory testing at $4,056 and brine removal at $40,432. Due to increased water testing and sampling as a result of existing contaminants, GAC and </w:t>
      </w:r>
      <w:proofErr w:type="spellStart"/>
      <w:r w:rsidR="00732D6A">
        <w:rPr>
          <w:rStyle w:val="HeaderChar"/>
          <w:rFonts w:ascii="Palatino Linotype" w:hAnsi="Palatino Linotype" w:eastAsia="Palatino Linotype" w:cs="Palatino Linotype"/>
          <w:sz w:val="24"/>
          <w:szCs w:val="24"/>
        </w:rPr>
        <w:t>Ionex</w:t>
      </w:r>
      <w:proofErr w:type="spellEnd"/>
      <w:r w:rsidR="00732D6A">
        <w:rPr>
          <w:rStyle w:val="HeaderChar"/>
          <w:rFonts w:ascii="Palatino Linotype" w:hAnsi="Palatino Linotype" w:eastAsia="Palatino Linotype" w:cs="Palatino Linotype"/>
          <w:sz w:val="24"/>
          <w:szCs w:val="24"/>
        </w:rPr>
        <w:t xml:space="preserve"> treatment, and revised standards regarding PFAS, Bakman has proposed a revised amount of $37,568 for laboratory testing. </w:t>
      </w:r>
      <w:r w:rsidR="009147E1">
        <w:rPr>
          <w:rStyle w:val="HeaderChar"/>
          <w:rFonts w:ascii="Palatino Linotype" w:hAnsi="Palatino Linotype" w:eastAsia="Palatino Linotype" w:cs="Palatino Linotype"/>
          <w:sz w:val="24"/>
          <w:szCs w:val="24"/>
        </w:rPr>
        <w:t xml:space="preserve">The WD reviewed supporting documentation for these revised costs including invoices, </w:t>
      </w:r>
      <w:proofErr w:type="spellStart"/>
      <w:r w:rsidR="00D465C1">
        <w:rPr>
          <w:rStyle w:val="HeaderChar"/>
          <w:rFonts w:ascii="Palatino Linotype" w:hAnsi="Palatino Linotype" w:eastAsia="Palatino Linotype" w:cs="Palatino Linotype"/>
          <w:sz w:val="24"/>
          <w:szCs w:val="24"/>
        </w:rPr>
        <w:t>Bakman</w:t>
      </w:r>
      <w:r w:rsidR="009147E1">
        <w:rPr>
          <w:rStyle w:val="HeaderChar"/>
          <w:rFonts w:ascii="Palatino Linotype" w:hAnsi="Palatino Linotype" w:eastAsia="Palatino Linotype" w:cs="Palatino Linotype"/>
          <w:sz w:val="24"/>
          <w:szCs w:val="24"/>
        </w:rPr>
        <w:t>’s</w:t>
      </w:r>
      <w:proofErr w:type="spellEnd"/>
      <w:r w:rsidR="009147E1">
        <w:rPr>
          <w:rStyle w:val="HeaderChar"/>
          <w:rFonts w:ascii="Palatino Linotype" w:hAnsi="Palatino Linotype" w:eastAsia="Palatino Linotype" w:cs="Palatino Linotype"/>
          <w:sz w:val="24"/>
          <w:szCs w:val="24"/>
        </w:rPr>
        <w:t xml:space="preserve"> 2019 sanitary survey, and DDW issued orders. </w:t>
      </w:r>
    </w:p>
    <w:p w:rsidR="00B46D72" w:rsidRDefault="00B46D72" w14:paraId="52A018C3" w14:textId="62E2D1F2">
      <w:pPr>
        <w:pStyle w:val="Body"/>
        <w:spacing w:after="0" w:line="240" w:lineRule="auto"/>
        <w:rPr>
          <w:rStyle w:val="HeaderChar"/>
          <w:rFonts w:ascii="Palatino Linotype" w:hAnsi="Palatino Linotype" w:eastAsia="Palatino Linotype" w:cs="Palatino Linotype"/>
          <w:sz w:val="24"/>
          <w:szCs w:val="24"/>
        </w:rPr>
      </w:pPr>
    </w:p>
    <w:p w:rsidRPr="00B46D72" w:rsidR="00B46D72" w:rsidRDefault="00B46D72" w14:paraId="329D1A57" w14:textId="25D5C861">
      <w:pPr>
        <w:pStyle w:val="Body"/>
        <w:spacing w:after="0" w:line="240" w:lineRule="auto"/>
        <w:rPr>
          <w:rStyle w:val="HeaderChar"/>
          <w:rFonts w:ascii="Palatino Linotype" w:hAnsi="Palatino Linotype" w:eastAsia="Palatino Linotype" w:cs="Palatino Linotype"/>
          <w:sz w:val="24"/>
          <w:szCs w:val="24"/>
          <w:u w:val="single"/>
        </w:rPr>
      </w:pPr>
      <w:r w:rsidRPr="00824D94">
        <w:rPr>
          <w:rStyle w:val="HeaderChar"/>
          <w:rFonts w:ascii="Palatino Linotype" w:hAnsi="Palatino Linotype" w:eastAsia="Palatino Linotype" w:cs="Palatino Linotype"/>
          <w:sz w:val="24"/>
          <w:szCs w:val="24"/>
          <w:u w:val="single"/>
        </w:rPr>
        <w:t>Professional Services</w:t>
      </w:r>
    </w:p>
    <w:p w:rsidR="003844B2" w:rsidRDefault="003844B2" w14:paraId="4F56DE25" w14:textId="52951911">
      <w:pPr>
        <w:pStyle w:val="Body"/>
        <w:spacing w:after="0" w:line="240" w:lineRule="auto"/>
        <w:rPr>
          <w:rStyle w:val="HeaderChar"/>
          <w:rFonts w:ascii="Palatino Linotype" w:hAnsi="Palatino Linotype" w:eastAsia="Palatino Linotype" w:cs="Palatino Linotype"/>
          <w:sz w:val="24"/>
          <w:szCs w:val="24"/>
        </w:rPr>
      </w:pPr>
    </w:p>
    <w:p w:rsidR="007458D7" w:rsidRDefault="006A66BD" w14:paraId="64B97B5E" w14:textId="3E1DC951">
      <w:pPr>
        <w:pStyle w:val="Body"/>
        <w:spacing w:after="0" w:line="240" w:lineRule="auto"/>
        <w:rPr>
          <w:rStyle w:val="HeaderChar"/>
          <w:rFonts w:ascii="Palatino Linotype" w:hAnsi="Palatino Linotype" w:eastAsia="Palatino Linotype" w:cs="Palatino Linotype"/>
          <w:sz w:val="24"/>
          <w:szCs w:val="24"/>
        </w:rPr>
      </w:pPr>
      <w:proofErr w:type="spellStart"/>
      <w:r>
        <w:rPr>
          <w:rStyle w:val="HeaderChar"/>
          <w:rFonts w:ascii="Palatino Linotype" w:hAnsi="Palatino Linotype" w:eastAsia="Palatino Linotype" w:cs="Palatino Linotype"/>
          <w:sz w:val="24"/>
          <w:szCs w:val="24"/>
        </w:rPr>
        <w:t>Bakman’s</w:t>
      </w:r>
      <w:proofErr w:type="spellEnd"/>
      <w:r w:rsidR="007458D7">
        <w:rPr>
          <w:rStyle w:val="HeaderChar"/>
          <w:rFonts w:ascii="Palatino Linotype" w:hAnsi="Palatino Linotype" w:eastAsia="Palatino Linotype" w:cs="Palatino Linotype"/>
          <w:sz w:val="24"/>
          <w:szCs w:val="24"/>
        </w:rPr>
        <w:t xml:space="preserve"> requested amount of $</w:t>
      </w:r>
      <w:r w:rsidR="00A179AC">
        <w:rPr>
          <w:rStyle w:val="HeaderChar"/>
          <w:rFonts w:ascii="Palatino Linotype" w:hAnsi="Palatino Linotype" w:eastAsia="Palatino Linotype" w:cs="Palatino Linotype"/>
          <w:sz w:val="24"/>
          <w:szCs w:val="24"/>
        </w:rPr>
        <w:t>100</w:t>
      </w:r>
      <w:r w:rsidR="007458D7">
        <w:rPr>
          <w:rStyle w:val="HeaderChar"/>
          <w:rFonts w:ascii="Palatino Linotype" w:hAnsi="Palatino Linotype" w:eastAsia="Palatino Linotype" w:cs="Palatino Linotype"/>
          <w:sz w:val="24"/>
          <w:szCs w:val="24"/>
        </w:rPr>
        <w:t>,</w:t>
      </w:r>
      <w:r w:rsidR="00A179AC">
        <w:rPr>
          <w:rStyle w:val="HeaderChar"/>
          <w:rFonts w:ascii="Palatino Linotype" w:hAnsi="Palatino Linotype" w:eastAsia="Palatino Linotype" w:cs="Palatino Linotype"/>
          <w:sz w:val="24"/>
          <w:szCs w:val="24"/>
        </w:rPr>
        <w:t>132</w:t>
      </w:r>
      <w:r w:rsidR="007458D7">
        <w:rPr>
          <w:rStyle w:val="HeaderChar"/>
          <w:rFonts w:ascii="Palatino Linotype" w:hAnsi="Palatino Linotype" w:eastAsia="Palatino Linotype" w:cs="Palatino Linotype"/>
          <w:sz w:val="24"/>
          <w:szCs w:val="24"/>
        </w:rPr>
        <w:t xml:space="preserve"> for professional services is based</w:t>
      </w:r>
      <w:r w:rsidR="003844B2">
        <w:rPr>
          <w:rStyle w:val="HeaderChar"/>
          <w:rFonts w:ascii="Palatino Linotype" w:hAnsi="Palatino Linotype" w:eastAsia="Palatino Linotype" w:cs="Palatino Linotype"/>
          <w:sz w:val="24"/>
          <w:szCs w:val="24"/>
        </w:rPr>
        <w:t xml:space="preserve"> on</w:t>
      </w:r>
      <w:r w:rsidR="00C17DFF">
        <w:rPr>
          <w:rStyle w:val="HeaderChar"/>
          <w:rFonts w:ascii="Palatino Linotype" w:hAnsi="Palatino Linotype" w:eastAsia="Palatino Linotype" w:cs="Palatino Linotype"/>
          <w:sz w:val="24"/>
          <w:szCs w:val="24"/>
        </w:rPr>
        <w:t xml:space="preserve"> </w:t>
      </w:r>
      <w:r w:rsidR="007458D7">
        <w:rPr>
          <w:rStyle w:val="HeaderChar"/>
          <w:rFonts w:ascii="Palatino Linotype" w:hAnsi="Palatino Linotype" w:eastAsia="Palatino Linotype" w:cs="Palatino Linotype"/>
          <w:sz w:val="24"/>
          <w:szCs w:val="24"/>
        </w:rPr>
        <w:t>the following</w:t>
      </w:r>
      <w:r w:rsidR="00C17DFF">
        <w:rPr>
          <w:rStyle w:val="HeaderChar"/>
          <w:rFonts w:ascii="Palatino Linotype" w:hAnsi="Palatino Linotype" w:eastAsia="Palatino Linotype" w:cs="Palatino Linotype"/>
          <w:sz w:val="24"/>
          <w:szCs w:val="24"/>
        </w:rPr>
        <w:t xml:space="preserve"> breakdown of accounting, </w:t>
      </w:r>
      <w:r w:rsidR="00A179AC">
        <w:rPr>
          <w:rStyle w:val="HeaderChar"/>
          <w:rFonts w:ascii="Palatino Linotype" w:hAnsi="Palatino Linotype" w:eastAsia="Palatino Linotype" w:cs="Palatino Linotype"/>
          <w:sz w:val="24"/>
          <w:szCs w:val="24"/>
        </w:rPr>
        <w:t>Information Technology (IT), engineering, and communications services</w:t>
      </w:r>
      <w:r w:rsidR="007458D7">
        <w:rPr>
          <w:rStyle w:val="HeaderChar"/>
          <w:rFonts w:ascii="Palatino Linotype" w:hAnsi="Palatino Linotype" w:eastAsia="Palatino Linotype" w:cs="Palatino Linotype"/>
          <w:sz w:val="24"/>
          <w:szCs w:val="24"/>
        </w:rPr>
        <w:t>:</w:t>
      </w:r>
    </w:p>
    <w:p w:rsidR="00723016" w:rsidRDefault="00723016" w14:paraId="20B85D44" w14:textId="758D4AE7">
      <w:pPr>
        <w:pStyle w:val="Body"/>
        <w:spacing w:after="0" w:line="240" w:lineRule="auto"/>
        <w:rPr>
          <w:rStyle w:val="HeaderChar"/>
          <w:rFonts w:ascii="Palatino Linotype" w:hAnsi="Palatino Linotype" w:eastAsia="Palatino Linotype" w:cs="Palatino Linotype"/>
          <w:sz w:val="24"/>
          <w:szCs w:val="24"/>
        </w:rPr>
      </w:pPr>
    </w:p>
    <w:p w:rsidR="00ED1E20" w:rsidP="00ED1E20" w:rsidRDefault="00ED1E20" w14:paraId="487F6AFE" w14:textId="05BC9808">
      <w:pPr>
        <w:pStyle w:val="Body"/>
        <w:numPr>
          <w:ilvl w:val="0"/>
          <w:numId w:val="23"/>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Accounting &amp; Legal – Bakman utilizes two CPA firms which assist with the annual CPUC report, tax planning, and tax returns. Bakman engaged another CPA firm during 2018 to complete the GRC. Legal </w:t>
      </w:r>
      <w:r w:rsidR="007474E3">
        <w:rPr>
          <w:rStyle w:val="HeaderChar"/>
          <w:rFonts w:ascii="Palatino Linotype" w:hAnsi="Palatino Linotype" w:eastAsia="Palatino Linotype" w:cs="Palatino Linotype"/>
          <w:sz w:val="24"/>
          <w:szCs w:val="24"/>
        </w:rPr>
        <w:t>expenses are</w:t>
      </w:r>
      <w:r>
        <w:rPr>
          <w:rStyle w:val="HeaderChar"/>
          <w:rFonts w:ascii="Palatino Linotype" w:hAnsi="Palatino Linotype" w:eastAsia="Palatino Linotype" w:cs="Palatino Linotype"/>
          <w:sz w:val="24"/>
          <w:szCs w:val="24"/>
        </w:rPr>
        <w:t xml:space="preserve"> primarily </w:t>
      </w:r>
      <w:r>
        <w:rPr>
          <w:rStyle w:val="HeaderChar"/>
          <w:rFonts w:ascii="Palatino Linotype" w:hAnsi="Palatino Linotype" w:eastAsia="Palatino Linotype" w:cs="Palatino Linotype"/>
          <w:sz w:val="24"/>
          <w:szCs w:val="24"/>
        </w:rPr>
        <w:lastRenderedPageBreak/>
        <w:t>utilized for contract management and general counsel services on an as needed basis.</w:t>
      </w:r>
    </w:p>
    <w:p w:rsidR="00ED1E20" w:rsidP="00ED1E20" w:rsidRDefault="00ED1E20" w14:paraId="1FB28423" w14:textId="17DF83AA">
      <w:pPr>
        <w:pStyle w:val="Body"/>
        <w:numPr>
          <w:ilvl w:val="0"/>
          <w:numId w:val="23"/>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Information Technology – Bakman employs a third-party networking/IT firm for all of their malware/virus/email protection, network monitoring, data backup, and Voice over IP (VOIP) phone system. Bakman also has service and maintenance contracts for its customer database software and outsources all of its graphic design/website management.</w:t>
      </w:r>
    </w:p>
    <w:p w:rsidR="00ED1E20" w:rsidP="00ED1E20" w:rsidRDefault="00ED1E20" w14:paraId="74CAC55B" w14:textId="324EA9FA">
      <w:pPr>
        <w:pStyle w:val="Body"/>
        <w:numPr>
          <w:ilvl w:val="0"/>
          <w:numId w:val="23"/>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Engineering – Engineering work includes water management planning, grant solicitation and writing, water quality feasibility studies, conservation management, infrastructure planning, new construction, hydraulic monitoring and capacity verification. Bakman also consults with an electrical engineer related to SCADA programming, automation, and controls implementation.</w:t>
      </w:r>
    </w:p>
    <w:p w:rsidR="00ED1E20" w:rsidP="00ED1E20" w:rsidRDefault="00ED1E20" w14:paraId="0EDB9CC9" w14:textId="78F072EA">
      <w:pPr>
        <w:pStyle w:val="Body"/>
        <w:numPr>
          <w:ilvl w:val="0"/>
          <w:numId w:val="23"/>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Communications – Bakman outsources its communications representative who performs customer engagement, public outreach strategies, emergency disaster notification preparation, industry advocacy engagement, and promotional activities.</w:t>
      </w:r>
    </w:p>
    <w:p w:rsidR="00A179AC" w:rsidRDefault="00A179AC" w14:paraId="1DA20746" w14:textId="1A0036D1">
      <w:pPr>
        <w:pStyle w:val="Body"/>
        <w:spacing w:after="0" w:line="240" w:lineRule="auto"/>
        <w:rPr>
          <w:rStyle w:val="HeaderChar"/>
          <w:rFonts w:ascii="Palatino Linotype" w:hAnsi="Palatino Linotype" w:eastAsia="Palatino Linotype" w:cs="Palatino Linotype"/>
          <w:sz w:val="24"/>
          <w:szCs w:val="24"/>
        </w:rPr>
      </w:pPr>
    </w:p>
    <w:p w:rsidR="004E2A8C" w:rsidRDefault="004E2A8C" w14:paraId="1543AEA5" w14:textId="25132F5A">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Bakman utilized the three-year average including escalation method as mentioned earlier but adjusted the 2018 amount from $216,881 to $114,889. In its calculations, Bakman removed non-recurring legal and temporary services costs totaling $89,931 and $12,061, respectively. </w:t>
      </w:r>
    </w:p>
    <w:p w:rsidR="004E2A8C" w:rsidRDefault="004E2A8C" w14:paraId="6C0C43FE" w14:textId="77777777">
      <w:pPr>
        <w:pStyle w:val="Body"/>
        <w:spacing w:after="0" w:line="240" w:lineRule="auto"/>
        <w:rPr>
          <w:rStyle w:val="HeaderChar"/>
          <w:rFonts w:ascii="Palatino Linotype" w:hAnsi="Palatino Linotype" w:eastAsia="Palatino Linotype" w:cs="Palatino Linotype"/>
          <w:sz w:val="24"/>
          <w:szCs w:val="24"/>
        </w:rPr>
      </w:pPr>
    </w:p>
    <w:p w:rsidR="00ED1E20" w:rsidRDefault="00ED1E20" w14:paraId="579ADC7C" w14:textId="10F9B570">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The WD reviewed historical costs for each service category. </w:t>
      </w:r>
      <w:r w:rsidR="004E2A8C">
        <w:rPr>
          <w:rStyle w:val="HeaderChar"/>
          <w:rFonts w:ascii="Palatino Linotype" w:hAnsi="Palatino Linotype" w:eastAsia="Palatino Linotype" w:cs="Palatino Linotype"/>
          <w:sz w:val="24"/>
          <w:szCs w:val="24"/>
        </w:rPr>
        <w:t>The WD finds the requested amount</w:t>
      </w:r>
      <w:r w:rsidR="002857F7">
        <w:rPr>
          <w:rStyle w:val="HeaderChar"/>
          <w:rFonts w:ascii="Palatino Linotype" w:hAnsi="Palatino Linotype" w:eastAsia="Palatino Linotype" w:cs="Palatino Linotype"/>
          <w:sz w:val="24"/>
          <w:szCs w:val="24"/>
        </w:rPr>
        <w:t>s</w:t>
      </w:r>
      <w:r w:rsidR="004E2A8C">
        <w:rPr>
          <w:rStyle w:val="HeaderChar"/>
          <w:rFonts w:ascii="Palatino Linotype" w:hAnsi="Palatino Linotype" w:eastAsia="Palatino Linotype" w:cs="Palatino Linotype"/>
          <w:sz w:val="24"/>
          <w:szCs w:val="24"/>
        </w:rPr>
        <w:t xml:space="preserve"> to be reasonable based on the </w:t>
      </w:r>
      <w:r w:rsidR="002857F7">
        <w:rPr>
          <w:rStyle w:val="HeaderChar"/>
          <w:rFonts w:ascii="Palatino Linotype" w:hAnsi="Palatino Linotype" w:eastAsia="Palatino Linotype" w:cs="Palatino Linotype"/>
          <w:sz w:val="24"/>
          <w:szCs w:val="24"/>
        </w:rPr>
        <w:t xml:space="preserve">level of </w:t>
      </w:r>
      <w:r w:rsidR="004E2A8C">
        <w:rPr>
          <w:rStyle w:val="HeaderChar"/>
          <w:rFonts w:ascii="Palatino Linotype" w:hAnsi="Palatino Linotype" w:eastAsia="Palatino Linotype" w:cs="Palatino Linotype"/>
          <w:sz w:val="24"/>
          <w:szCs w:val="24"/>
        </w:rPr>
        <w:t xml:space="preserve">service and </w:t>
      </w:r>
      <w:r w:rsidR="002857F7">
        <w:rPr>
          <w:rStyle w:val="HeaderChar"/>
          <w:rFonts w:ascii="Palatino Linotype" w:hAnsi="Palatino Linotype" w:eastAsia="Palatino Linotype" w:cs="Palatino Linotype"/>
          <w:sz w:val="24"/>
          <w:szCs w:val="24"/>
        </w:rPr>
        <w:t xml:space="preserve">relative </w:t>
      </w:r>
      <w:r w:rsidR="004E2A8C">
        <w:rPr>
          <w:rStyle w:val="HeaderChar"/>
          <w:rFonts w:ascii="Palatino Linotype" w:hAnsi="Palatino Linotype" w:eastAsia="Palatino Linotype" w:cs="Palatino Linotype"/>
          <w:sz w:val="24"/>
          <w:szCs w:val="24"/>
        </w:rPr>
        <w:t xml:space="preserve">costs of each professional firm.  </w:t>
      </w:r>
    </w:p>
    <w:p w:rsidR="0009721E" w:rsidRDefault="0009721E" w14:paraId="56B25357" w14:textId="77777777">
      <w:pPr>
        <w:pStyle w:val="Body"/>
        <w:spacing w:after="0" w:line="240" w:lineRule="auto"/>
        <w:rPr>
          <w:rStyle w:val="HeaderChar"/>
          <w:rFonts w:ascii="Palatino Linotype" w:hAnsi="Palatino Linotype" w:eastAsia="Palatino Linotype" w:cs="Palatino Linotype"/>
          <w:sz w:val="24"/>
          <w:szCs w:val="24"/>
        </w:rPr>
      </w:pPr>
    </w:p>
    <w:p w:rsidR="00B46D72" w:rsidRDefault="00B46D72" w14:paraId="43627087" w14:textId="40D70863">
      <w:pPr>
        <w:pStyle w:val="Body"/>
        <w:spacing w:after="0" w:line="240" w:lineRule="auto"/>
        <w:rPr>
          <w:rStyle w:val="HeaderChar"/>
          <w:rFonts w:ascii="Palatino Linotype" w:hAnsi="Palatino Linotype" w:eastAsia="Palatino Linotype" w:cs="Palatino Linotype"/>
          <w:sz w:val="24"/>
          <w:szCs w:val="24"/>
          <w:u w:val="single"/>
        </w:rPr>
      </w:pPr>
      <w:r>
        <w:rPr>
          <w:rStyle w:val="HeaderChar"/>
          <w:rFonts w:ascii="Palatino Linotype" w:hAnsi="Palatino Linotype" w:eastAsia="Palatino Linotype" w:cs="Palatino Linotype"/>
          <w:sz w:val="24"/>
          <w:szCs w:val="24"/>
          <w:u w:val="single"/>
        </w:rPr>
        <w:t>Regulatory Compliance Expense</w:t>
      </w:r>
    </w:p>
    <w:p w:rsidRPr="00B46D72" w:rsidR="00B46D72" w:rsidRDefault="00B46D72" w14:paraId="14698ED1" w14:textId="77777777">
      <w:pPr>
        <w:pStyle w:val="Body"/>
        <w:spacing w:after="0" w:line="240" w:lineRule="auto"/>
        <w:rPr>
          <w:rStyle w:val="HeaderChar"/>
          <w:rFonts w:ascii="Palatino Linotype" w:hAnsi="Palatino Linotype" w:eastAsia="Palatino Linotype" w:cs="Palatino Linotype"/>
          <w:sz w:val="24"/>
          <w:szCs w:val="24"/>
          <w:u w:val="single"/>
        </w:rPr>
      </w:pPr>
    </w:p>
    <w:p w:rsidR="00723016" w:rsidRDefault="00520CD4" w14:paraId="0CABA116" w14:textId="233F13E1">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For Regulatory Co</w:t>
      </w:r>
      <w:r w:rsidR="00B57A5C">
        <w:rPr>
          <w:rStyle w:val="HeaderChar"/>
          <w:rFonts w:ascii="Palatino Linotype" w:hAnsi="Palatino Linotype" w:eastAsia="Palatino Linotype" w:cs="Palatino Linotype"/>
          <w:sz w:val="24"/>
          <w:szCs w:val="24"/>
        </w:rPr>
        <w:t>mpliance</w:t>
      </w:r>
      <w:r>
        <w:rPr>
          <w:rStyle w:val="HeaderChar"/>
          <w:rFonts w:ascii="Palatino Linotype" w:hAnsi="Palatino Linotype" w:eastAsia="Palatino Linotype" w:cs="Palatino Linotype"/>
          <w:sz w:val="24"/>
          <w:szCs w:val="24"/>
        </w:rPr>
        <w:t xml:space="preserve"> Expense, </w:t>
      </w:r>
      <w:r w:rsidR="00E333FB">
        <w:rPr>
          <w:rStyle w:val="HeaderChar"/>
          <w:rFonts w:ascii="Palatino Linotype" w:hAnsi="Palatino Linotype" w:eastAsia="Palatino Linotype" w:cs="Palatino Linotype"/>
          <w:sz w:val="24"/>
          <w:szCs w:val="24"/>
        </w:rPr>
        <w:t>Bakman</w:t>
      </w:r>
      <w:r>
        <w:rPr>
          <w:rStyle w:val="HeaderChar"/>
          <w:rFonts w:ascii="Palatino Linotype" w:hAnsi="Palatino Linotype" w:eastAsia="Palatino Linotype" w:cs="Palatino Linotype"/>
          <w:sz w:val="24"/>
          <w:szCs w:val="24"/>
        </w:rPr>
        <w:t xml:space="preserve"> requests $</w:t>
      </w:r>
      <w:r w:rsidR="00A179AC">
        <w:rPr>
          <w:rStyle w:val="HeaderChar"/>
          <w:rFonts w:ascii="Palatino Linotype" w:hAnsi="Palatino Linotype" w:eastAsia="Palatino Linotype" w:cs="Palatino Linotype"/>
          <w:sz w:val="24"/>
          <w:szCs w:val="24"/>
        </w:rPr>
        <w:t>24</w:t>
      </w:r>
      <w:r>
        <w:rPr>
          <w:rStyle w:val="HeaderChar"/>
          <w:rFonts w:ascii="Palatino Linotype" w:hAnsi="Palatino Linotype" w:eastAsia="Palatino Linotype" w:cs="Palatino Linotype"/>
          <w:sz w:val="24"/>
          <w:szCs w:val="24"/>
        </w:rPr>
        <w:t>,</w:t>
      </w:r>
      <w:r w:rsidR="00A179AC">
        <w:rPr>
          <w:rStyle w:val="HeaderChar"/>
          <w:rFonts w:ascii="Palatino Linotype" w:hAnsi="Palatino Linotype" w:eastAsia="Palatino Linotype" w:cs="Palatino Linotype"/>
          <w:sz w:val="24"/>
          <w:szCs w:val="24"/>
        </w:rPr>
        <w:t>910</w:t>
      </w:r>
      <w:r>
        <w:rPr>
          <w:rStyle w:val="HeaderChar"/>
          <w:rFonts w:ascii="Palatino Linotype" w:hAnsi="Palatino Linotype" w:eastAsia="Palatino Linotype" w:cs="Palatino Linotype"/>
          <w:sz w:val="24"/>
          <w:szCs w:val="24"/>
        </w:rPr>
        <w:t xml:space="preserve"> due to </w:t>
      </w:r>
      <w:r w:rsidR="00371A97">
        <w:rPr>
          <w:rStyle w:val="HeaderChar"/>
          <w:rFonts w:ascii="Palatino Linotype" w:hAnsi="Palatino Linotype" w:eastAsia="Palatino Linotype" w:cs="Palatino Linotype"/>
          <w:sz w:val="24"/>
          <w:szCs w:val="24"/>
        </w:rPr>
        <w:t>the following fees:</w:t>
      </w:r>
    </w:p>
    <w:p w:rsidR="00371A97" w:rsidP="00371A97" w:rsidRDefault="00371A97" w14:paraId="45EA5C1B" w14:textId="58C6F592">
      <w:pPr>
        <w:pStyle w:val="Body"/>
        <w:spacing w:after="0" w:line="240" w:lineRule="auto"/>
        <w:rPr>
          <w:rStyle w:val="HeaderChar"/>
          <w:rFonts w:ascii="Palatino Linotype" w:hAnsi="Palatino Linotype" w:eastAsia="Palatino Linotype" w:cs="Palatino Linotype"/>
          <w:sz w:val="24"/>
          <w:szCs w:val="24"/>
        </w:rPr>
      </w:pPr>
    </w:p>
    <w:p w:rsidR="00371A97" w:rsidP="00371A97" w:rsidRDefault="00371A97" w14:paraId="63C7D427" w14:textId="7CDBF468">
      <w:pPr>
        <w:pStyle w:val="Body"/>
        <w:numPr>
          <w:ilvl w:val="0"/>
          <w:numId w:val="25"/>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SWRCB annual fee - $4,910</w:t>
      </w:r>
    </w:p>
    <w:p w:rsidR="00371A97" w:rsidP="00371A97" w:rsidRDefault="00371A97" w14:paraId="710A720F" w14:textId="510729E9">
      <w:pPr>
        <w:pStyle w:val="Body"/>
        <w:numPr>
          <w:ilvl w:val="0"/>
          <w:numId w:val="25"/>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Fees incurred for GRC preparation which are being amortized across three years. The total amount is $27,000 which is $9,000 per year across the amortization period - $9,000</w:t>
      </w:r>
    </w:p>
    <w:p w:rsidR="00371A97" w:rsidP="00371A97" w:rsidRDefault="00371A97" w14:paraId="1ADFBB8B" w14:textId="3A47C713">
      <w:pPr>
        <w:pStyle w:val="Body"/>
        <w:numPr>
          <w:ilvl w:val="0"/>
          <w:numId w:val="25"/>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lastRenderedPageBreak/>
        <w:t>Fees incurred on assisting with recording Balancing Account expenses and reporting to the Commission on a semi-annual basis. The estimate also includes future Advice Letter filings for recovery on the Balancing Account - $4,000</w:t>
      </w:r>
    </w:p>
    <w:p w:rsidR="00371A97" w:rsidP="00371A97" w:rsidRDefault="00371A97" w14:paraId="197ADF54" w14:textId="6EACF45F">
      <w:pPr>
        <w:pStyle w:val="Body"/>
        <w:numPr>
          <w:ilvl w:val="0"/>
          <w:numId w:val="25"/>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Fees associated with CPI-U increase filings - $1,500</w:t>
      </w:r>
    </w:p>
    <w:p w:rsidR="00371A97" w:rsidP="00371A97" w:rsidRDefault="00371A97" w14:paraId="7C27E3DC" w14:textId="074DA9BA">
      <w:pPr>
        <w:pStyle w:val="Body"/>
        <w:numPr>
          <w:ilvl w:val="0"/>
          <w:numId w:val="25"/>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Miscellaneous fees. Bakman explains that these are estimated costs for filing additional Advice Letters throughout the year such as the SB 998 and GO 96-B language updates, tax gross-up modifications, and T</w:t>
      </w:r>
      <w:r w:rsidR="000B11E2">
        <w:rPr>
          <w:rStyle w:val="HeaderChar"/>
          <w:rFonts w:ascii="Palatino Linotype" w:hAnsi="Palatino Linotype" w:eastAsia="Palatino Linotype" w:cs="Palatino Linotype"/>
          <w:sz w:val="24"/>
          <w:szCs w:val="24"/>
        </w:rPr>
        <w:t>ax Cuts and Job Act (TCJA)</w:t>
      </w:r>
      <w:r>
        <w:rPr>
          <w:rStyle w:val="HeaderChar"/>
          <w:rFonts w:ascii="Palatino Linotype" w:hAnsi="Palatino Linotype" w:eastAsia="Palatino Linotype" w:cs="Palatino Linotype"/>
          <w:sz w:val="24"/>
          <w:szCs w:val="24"/>
        </w:rPr>
        <w:t xml:space="preserve"> memorandum accounts</w:t>
      </w:r>
      <w:r w:rsidR="000B11E2">
        <w:rPr>
          <w:rStyle w:val="HeaderChar"/>
          <w:rFonts w:ascii="Palatino Linotype" w:hAnsi="Palatino Linotype" w:eastAsia="Palatino Linotype" w:cs="Palatino Linotype"/>
          <w:sz w:val="24"/>
          <w:szCs w:val="24"/>
        </w:rPr>
        <w:t xml:space="preserve"> - $5,500</w:t>
      </w:r>
    </w:p>
    <w:p w:rsidR="00EB7B4C" w:rsidRDefault="00EB7B4C" w14:paraId="3CC97365" w14:textId="0B9FDAAD">
      <w:pPr>
        <w:pStyle w:val="Body"/>
        <w:spacing w:after="0" w:line="240" w:lineRule="auto"/>
        <w:rPr>
          <w:rStyle w:val="HeaderChar"/>
          <w:rFonts w:ascii="Palatino Linotype" w:hAnsi="Palatino Linotype" w:eastAsia="Palatino Linotype" w:cs="Palatino Linotype"/>
          <w:sz w:val="24"/>
          <w:szCs w:val="24"/>
        </w:rPr>
      </w:pPr>
    </w:p>
    <w:p w:rsidR="000B11E2" w:rsidRDefault="000B11E2" w14:paraId="0E94DC98" w14:textId="7BCC1852">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The WD reviewed the filings listed in each fee item and the reasonability of the costs incurred for preparation of the different Commission filings. The WD finds the requested amounts to be reasonable. </w:t>
      </w:r>
    </w:p>
    <w:p w:rsidRPr="009617C9" w:rsidR="000B11E2" w:rsidRDefault="000B11E2" w14:paraId="38EA327E" w14:textId="77777777">
      <w:pPr>
        <w:pStyle w:val="Body"/>
        <w:spacing w:after="0" w:line="240" w:lineRule="auto"/>
        <w:rPr>
          <w:rStyle w:val="HeaderChar"/>
          <w:rFonts w:ascii="Palatino Linotype" w:hAnsi="Palatino Linotype" w:eastAsia="Palatino Linotype" w:cs="Palatino Linotype"/>
          <w:sz w:val="24"/>
          <w:szCs w:val="24"/>
        </w:rPr>
      </w:pPr>
    </w:p>
    <w:p w:rsidR="00646D48" w:rsidP="00AB0B24" w:rsidRDefault="000B11E2" w14:paraId="74012E39" w14:textId="1C13EA02">
      <w:pPr>
        <w:pStyle w:val="Body"/>
        <w:spacing w:after="0" w:line="240" w:lineRule="auto"/>
        <w:rPr>
          <w:rStyle w:val="HeaderChar"/>
          <w:rFonts w:ascii="Palatino Linotype" w:hAnsi="Palatino Linotype" w:eastAsia="Palatino Linotype" w:cs="Palatino Linotype"/>
          <w:bCs/>
          <w:sz w:val="24"/>
          <w:szCs w:val="24"/>
          <w:u w:val="single"/>
        </w:rPr>
      </w:pPr>
      <w:r>
        <w:rPr>
          <w:rStyle w:val="HeaderChar"/>
          <w:rFonts w:ascii="Palatino Linotype" w:hAnsi="Palatino Linotype" w:eastAsia="Palatino Linotype" w:cs="Palatino Linotype"/>
          <w:bCs/>
          <w:sz w:val="24"/>
          <w:szCs w:val="24"/>
          <w:u w:val="single"/>
        </w:rPr>
        <w:t>Employee Labor</w:t>
      </w:r>
    </w:p>
    <w:p w:rsidR="000B11E2" w:rsidP="00AB0B24" w:rsidRDefault="000B11E2" w14:paraId="43050F3D" w14:textId="34268010">
      <w:pPr>
        <w:pStyle w:val="Body"/>
        <w:spacing w:after="0" w:line="240" w:lineRule="auto"/>
        <w:rPr>
          <w:rStyle w:val="HeaderChar"/>
          <w:rFonts w:ascii="Palatino Linotype" w:hAnsi="Palatino Linotype" w:eastAsia="Palatino Linotype" w:cs="Palatino Linotype"/>
          <w:bCs/>
          <w:sz w:val="24"/>
          <w:szCs w:val="24"/>
          <w:u w:val="single"/>
        </w:rPr>
      </w:pPr>
    </w:p>
    <w:p w:rsidR="000B11E2" w:rsidP="00AB0B24" w:rsidRDefault="00824D94" w14:paraId="440BA4AD" w14:textId="12341FA7">
      <w:pPr>
        <w:pStyle w:val="Body"/>
        <w:spacing w:after="0" w:line="240" w:lineRule="auto"/>
        <w:rPr>
          <w:rStyle w:val="HeaderChar"/>
          <w:rFonts w:ascii="Palatino Linotype" w:hAnsi="Palatino Linotype" w:eastAsia="Palatino Linotype" w:cs="Palatino Linotype"/>
          <w:bCs/>
          <w:sz w:val="24"/>
          <w:szCs w:val="24"/>
        </w:rPr>
      </w:pPr>
      <w:proofErr w:type="spellStart"/>
      <w:r>
        <w:rPr>
          <w:rStyle w:val="HeaderChar"/>
          <w:rFonts w:ascii="Palatino Linotype" w:hAnsi="Palatino Linotype" w:eastAsia="Palatino Linotype" w:cs="Palatino Linotype"/>
          <w:bCs/>
          <w:sz w:val="24"/>
          <w:szCs w:val="24"/>
        </w:rPr>
        <w:t>Bakman’s</w:t>
      </w:r>
      <w:proofErr w:type="spellEnd"/>
      <w:r>
        <w:rPr>
          <w:rStyle w:val="HeaderChar"/>
          <w:rFonts w:ascii="Palatino Linotype" w:hAnsi="Palatino Linotype" w:eastAsia="Palatino Linotype" w:cs="Palatino Linotype"/>
          <w:bCs/>
          <w:sz w:val="24"/>
          <w:szCs w:val="24"/>
        </w:rPr>
        <w:t xml:space="preserve"> requested amount of $251,384 is significantly lower than the recorded 2018 amount of $352,861. Historically, the Vice President’s salary was listed under employee labor but for this GRC, has been reclassified to management salaries. The requested amount includes a 10% reduction of estimated labor associated with the Rolling Hills system.</w:t>
      </w:r>
    </w:p>
    <w:p w:rsidR="0009721E" w:rsidP="00AB0B24" w:rsidRDefault="0009721E" w14:paraId="2A76A101" w14:textId="77777777">
      <w:pPr>
        <w:pStyle w:val="Body"/>
        <w:spacing w:after="0" w:line="240" w:lineRule="auto"/>
        <w:rPr>
          <w:rStyle w:val="HeaderChar"/>
          <w:rFonts w:ascii="Palatino Linotype" w:hAnsi="Palatino Linotype" w:eastAsia="Palatino Linotype" w:cs="Palatino Linotype"/>
          <w:bCs/>
          <w:sz w:val="24"/>
          <w:szCs w:val="24"/>
          <w:u w:val="single"/>
        </w:rPr>
      </w:pPr>
    </w:p>
    <w:p w:rsidR="00824D94" w:rsidP="00AB0B24" w:rsidRDefault="00824D94" w14:paraId="22A42FC7" w14:textId="6801DC8B">
      <w:pPr>
        <w:pStyle w:val="Body"/>
        <w:spacing w:after="0" w:line="240" w:lineRule="auto"/>
        <w:rPr>
          <w:rStyle w:val="HeaderChar"/>
          <w:rFonts w:ascii="Palatino Linotype" w:hAnsi="Palatino Linotype" w:eastAsia="Palatino Linotype" w:cs="Palatino Linotype"/>
          <w:bCs/>
          <w:sz w:val="24"/>
          <w:szCs w:val="24"/>
        </w:rPr>
      </w:pPr>
      <w:r>
        <w:rPr>
          <w:rStyle w:val="HeaderChar"/>
          <w:rFonts w:ascii="Palatino Linotype" w:hAnsi="Palatino Linotype" w:eastAsia="Palatino Linotype" w:cs="Palatino Linotype"/>
          <w:bCs/>
          <w:sz w:val="24"/>
          <w:szCs w:val="24"/>
          <w:u w:val="single"/>
        </w:rPr>
        <w:t>Office Salaries</w:t>
      </w:r>
    </w:p>
    <w:p w:rsidR="00824D94" w:rsidP="00AB0B24" w:rsidRDefault="00824D94" w14:paraId="2A0B4F9C" w14:textId="0EF9D862">
      <w:pPr>
        <w:pStyle w:val="Body"/>
        <w:spacing w:after="0" w:line="240" w:lineRule="auto"/>
        <w:rPr>
          <w:rStyle w:val="HeaderChar"/>
          <w:rFonts w:ascii="Palatino Linotype" w:hAnsi="Palatino Linotype" w:eastAsia="Palatino Linotype" w:cs="Palatino Linotype"/>
          <w:bCs/>
          <w:sz w:val="24"/>
          <w:szCs w:val="24"/>
        </w:rPr>
      </w:pPr>
    </w:p>
    <w:p w:rsidR="00824D94" w:rsidP="00AB0B24" w:rsidRDefault="00824D94" w14:paraId="21EEF0BC" w14:textId="0A0B1896">
      <w:pPr>
        <w:pStyle w:val="Body"/>
        <w:spacing w:after="0" w:line="240" w:lineRule="auto"/>
        <w:rPr>
          <w:rStyle w:val="HeaderChar"/>
          <w:rFonts w:ascii="Palatino Linotype" w:hAnsi="Palatino Linotype" w:eastAsia="Palatino Linotype" w:cs="Palatino Linotype"/>
          <w:bCs/>
          <w:sz w:val="24"/>
          <w:szCs w:val="24"/>
        </w:rPr>
      </w:pPr>
      <w:proofErr w:type="spellStart"/>
      <w:r>
        <w:rPr>
          <w:rStyle w:val="HeaderChar"/>
          <w:rFonts w:ascii="Palatino Linotype" w:hAnsi="Palatino Linotype" w:eastAsia="Palatino Linotype" w:cs="Palatino Linotype"/>
          <w:bCs/>
          <w:sz w:val="24"/>
          <w:szCs w:val="24"/>
        </w:rPr>
        <w:t>Bakman’s</w:t>
      </w:r>
      <w:proofErr w:type="spellEnd"/>
      <w:r>
        <w:rPr>
          <w:rStyle w:val="HeaderChar"/>
          <w:rFonts w:ascii="Palatino Linotype" w:hAnsi="Palatino Linotype" w:eastAsia="Palatino Linotype" w:cs="Palatino Linotype"/>
          <w:bCs/>
          <w:sz w:val="24"/>
          <w:szCs w:val="24"/>
        </w:rPr>
        <w:t xml:space="preserve"> calculation of office salaries also includes the 10% reduction associated with the Rolling Hills system.</w:t>
      </w:r>
    </w:p>
    <w:p w:rsidR="00C811BD" w:rsidP="00AB0B24" w:rsidRDefault="00C811BD" w14:paraId="66BAE285" w14:textId="77777777">
      <w:pPr>
        <w:pStyle w:val="Body"/>
        <w:spacing w:after="0" w:line="240" w:lineRule="auto"/>
        <w:rPr>
          <w:rStyle w:val="HeaderChar"/>
          <w:rFonts w:ascii="Palatino Linotype" w:hAnsi="Palatino Linotype" w:eastAsia="Palatino Linotype" w:cs="Palatino Linotype"/>
          <w:bCs/>
          <w:sz w:val="24"/>
          <w:szCs w:val="24"/>
        </w:rPr>
      </w:pPr>
    </w:p>
    <w:p w:rsidR="00824D94" w:rsidP="00AB0B24" w:rsidRDefault="00824D94" w14:paraId="043CF90D" w14:textId="0C5DB95F">
      <w:pPr>
        <w:pStyle w:val="Body"/>
        <w:spacing w:after="0" w:line="240" w:lineRule="auto"/>
        <w:rPr>
          <w:rStyle w:val="HeaderChar"/>
          <w:rFonts w:ascii="Palatino Linotype" w:hAnsi="Palatino Linotype" w:eastAsia="Palatino Linotype" w:cs="Palatino Linotype"/>
          <w:bCs/>
          <w:sz w:val="24"/>
          <w:szCs w:val="24"/>
          <w:u w:val="single"/>
        </w:rPr>
      </w:pPr>
      <w:r>
        <w:rPr>
          <w:rStyle w:val="HeaderChar"/>
          <w:rFonts w:ascii="Palatino Linotype" w:hAnsi="Palatino Linotype" w:eastAsia="Palatino Linotype" w:cs="Palatino Linotype"/>
          <w:bCs/>
          <w:sz w:val="24"/>
          <w:szCs w:val="24"/>
          <w:u w:val="single"/>
        </w:rPr>
        <w:t>Management Salaries</w:t>
      </w:r>
    </w:p>
    <w:p w:rsidR="00877FD9" w:rsidP="00AB0B24" w:rsidRDefault="00877FD9" w14:paraId="029D225E" w14:textId="77777777">
      <w:pPr>
        <w:pStyle w:val="Body"/>
        <w:spacing w:after="0" w:line="240" w:lineRule="auto"/>
        <w:rPr>
          <w:rStyle w:val="HeaderChar"/>
          <w:rFonts w:ascii="Palatino Linotype" w:hAnsi="Palatino Linotype" w:eastAsia="Palatino Linotype" w:cs="Palatino Linotype"/>
          <w:bCs/>
          <w:sz w:val="24"/>
          <w:szCs w:val="24"/>
        </w:rPr>
      </w:pPr>
    </w:p>
    <w:p w:rsidRPr="000B11E2" w:rsidR="00824D94" w:rsidP="00AB0B24" w:rsidRDefault="00824D94" w14:paraId="308D8A4F" w14:textId="7AFA2211">
      <w:pPr>
        <w:pStyle w:val="Body"/>
        <w:spacing w:after="0" w:line="240" w:lineRule="auto"/>
        <w:rPr>
          <w:rStyle w:val="ResBody"/>
          <w:rFonts w:ascii="Palatino Linotype" w:hAnsi="Palatino Linotype"/>
        </w:rPr>
      </w:pPr>
      <w:r>
        <w:rPr>
          <w:rStyle w:val="HeaderChar"/>
          <w:rFonts w:ascii="Palatino Linotype" w:hAnsi="Palatino Linotype" w:eastAsia="Palatino Linotype" w:cs="Palatino Linotype"/>
          <w:bCs/>
          <w:sz w:val="24"/>
          <w:szCs w:val="24"/>
        </w:rPr>
        <w:t>Bakman has reclassified the Vice President from employee labor to management salaries. The inclusion of the Vice President adds an additional $78,000 to management salaries expense account.</w:t>
      </w:r>
    </w:p>
    <w:p w:rsidR="008E3721" w:rsidP="00AB0B24" w:rsidRDefault="008E3721" w14:paraId="410D251F" w14:textId="58B0CEF7">
      <w:pPr>
        <w:pStyle w:val="Body"/>
        <w:spacing w:after="0" w:line="240" w:lineRule="auto"/>
        <w:rPr>
          <w:rStyle w:val="ResBody"/>
          <w:rFonts w:ascii="Palatino Linotype" w:hAnsi="Palatino Linotype"/>
        </w:rPr>
      </w:pPr>
    </w:p>
    <w:p w:rsidRPr="00E24C62" w:rsidR="007A75AA" w:rsidP="00AB0B24" w:rsidRDefault="007A75AA" w14:paraId="2111B8B6" w14:textId="18AD7A1C">
      <w:pPr>
        <w:pStyle w:val="Body"/>
        <w:spacing w:after="0" w:line="240" w:lineRule="auto"/>
        <w:rPr>
          <w:rStyle w:val="HeaderChar"/>
          <w:rFonts w:ascii="Palatino Linotype" w:hAnsi="Palatino Linotype" w:eastAsia="Palatino Linotype" w:cs="Palatino Linotype"/>
          <w:bCs/>
          <w:sz w:val="24"/>
          <w:szCs w:val="24"/>
          <w:u w:val="single"/>
        </w:rPr>
      </w:pPr>
      <w:r w:rsidRPr="00824D94">
        <w:rPr>
          <w:rStyle w:val="HeaderChar"/>
          <w:rFonts w:ascii="Palatino Linotype" w:hAnsi="Palatino Linotype" w:eastAsia="Palatino Linotype" w:cs="Palatino Linotype"/>
          <w:bCs/>
          <w:sz w:val="24"/>
          <w:szCs w:val="24"/>
          <w:u w:val="single"/>
        </w:rPr>
        <w:t>Insurance</w:t>
      </w:r>
    </w:p>
    <w:p w:rsidRPr="009617C9" w:rsidR="007A75AA" w:rsidP="00AB0B24" w:rsidRDefault="007A75AA" w14:paraId="3FE7ED9E" w14:textId="77777777">
      <w:pPr>
        <w:pStyle w:val="Body"/>
        <w:spacing w:after="0" w:line="240" w:lineRule="auto"/>
        <w:rPr>
          <w:rStyle w:val="HeaderChar"/>
          <w:rFonts w:ascii="Palatino Linotype" w:hAnsi="Palatino Linotype" w:eastAsia="Palatino Linotype" w:cs="Palatino Linotype"/>
          <w:sz w:val="24"/>
          <w:szCs w:val="24"/>
        </w:rPr>
      </w:pPr>
    </w:p>
    <w:p w:rsidR="00E636A5" w:rsidP="00AB0B24" w:rsidRDefault="00E333FB" w14:paraId="0295F721" w14:textId="31BF1A49">
      <w:pPr>
        <w:pStyle w:val="Body"/>
        <w:spacing w:after="0" w:line="240" w:lineRule="auto"/>
        <w:rPr>
          <w:rStyle w:val="HeaderChar"/>
          <w:rFonts w:ascii="Palatino Linotype" w:hAnsi="Palatino Linotype" w:eastAsia="Palatino Linotype" w:cs="Palatino Linotype"/>
          <w:sz w:val="24"/>
          <w:szCs w:val="24"/>
        </w:rPr>
      </w:pPr>
      <w:proofErr w:type="spellStart"/>
      <w:r>
        <w:rPr>
          <w:rStyle w:val="HeaderChar"/>
          <w:rFonts w:ascii="Palatino Linotype" w:hAnsi="Palatino Linotype" w:eastAsia="Palatino Linotype" w:cs="Palatino Linotype"/>
          <w:sz w:val="24"/>
          <w:szCs w:val="24"/>
        </w:rPr>
        <w:t>Bakman</w:t>
      </w:r>
      <w:r w:rsidR="00D5328E">
        <w:rPr>
          <w:rStyle w:val="HeaderChar"/>
          <w:rFonts w:ascii="Palatino Linotype" w:hAnsi="Palatino Linotype" w:eastAsia="Palatino Linotype" w:cs="Palatino Linotype"/>
          <w:sz w:val="24"/>
          <w:szCs w:val="24"/>
        </w:rPr>
        <w:t>’s</w:t>
      </w:r>
      <w:proofErr w:type="spellEnd"/>
      <w:r w:rsidRPr="006F3496" w:rsidR="00E636A5">
        <w:rPr>
          <w:rStyle w:val="HeaderChar"/>
          <w:rFonts w:ascii="Palatino Linotype" w:hAnsi="Palatino Linotype" w:eastAsia="Palatino Linotype" w:cs="Palatino Linotype"/>
          <w:sz w:val="24"/>
          <w:szCs w:val="24"/>
        </w:rPr>
        <w:t xml:space="preserve"> requested</w:t>
      </w:r>
      <w:r w:rsidR="00D5328E">
        <w:rPr>
          <w:rStyle w:val="HeaderChar"/>
          <w:rFonts w:ascii="Palatino Linotype" w:hAnsi="Palatino Linotype" w:eastAsia="Palatino Linotype" w:cs="Palatino Linotype"/>
          <w:sz w:val="24"/>
          <w:szCs w:val="24"/>
        </w:rPr>
        <w:t xml:space="preserve"> amount of </w:t>
      </w:r>
      <w:r w:rsidRPr="006F3496" w:rsidR="00E636A5">
        <w:rPr>
          <w:rStyle w:val="HeaderChar"/>
          <w:rFonts w:ascii="Palatino Linotype" w:hAnsi="Palatino Linotype" w:eastAsia="Palatino Linotype" w:cs="Palatino Linotype"/>
          <w:sz w:val="24"/>
          <w:szCs w:val="24"/>
        </w:rPr>
        <w:t>$48,</w:t>
      </w:r>
      <w:r w:rsidR="00D5328E">
        <w:rPr>
          <w:rStyle w:val="HeaderChar"/>
          <w:rFonts w:ascii="Palatino Linotype" w:hAnsi="Palatino Linotype" w:eastAsia="Palatino Linotype" w:cs="Palatino Linotype"/>
          <w:sz w:val="24"/>
          <w:szCs w:val="24"/>
        </w:rPr>
        <w:t>500</w:t>
      </w:r>
      <w:r w:rsidRPr="006F3496" w:rsidR="00E636A5">
        <w:rPr>
          <w:rStyle w:val="HeaderChar"/>
          <w:rFonts w:ascii="Palatino Linotype" w:hAnsi="Palatino Linotype" w:eastAsia="Palatino Linotype" w:cs="Palatino Linotype"/>
          <w:sz w:val="24"/>
          <w:szCs w:val="24"/>
        </w:rPr>
        <w:t xml:space="preserve"> for its insurance expense</w:t>
      </w:r>
      <w:r w:rsidR="00614C83">
        <w:rPr>
          <w:rStyle w:val="HeaderChar"/>
          <w:rFonts w:ascii="Palatino Linotype" w:hAnsi="Palatino Linotype" w:eastAsia="Palatino Linotype" w:cs="Palatino Linotype"/>
          <w:sz w:val="24"/>
          <w:szCs w:val="24"/>
        </w:rPr>
        <w:t xml:space="preserve"> </w:t>
      </w:r>
      <w:r w:rsidR="00D5328E">
        <w:rPr>
          <w:rStyle w:val="HeaderChar"/>
          <w:rFonts w:ascii="Palatino Linotype" w:hAnsi="Palatino Linotype" w:eastAsia="Palatino Linotype" w:cs="Palatino Linotype"/>
          <w:sz w:val="24"/>
          <w:szCs w:val="24"/>
        </w:rPr>
        <w:t xml:space="preserve">is </w:t>
      </w:r>
      <w:r w:rsidR="00614C83">
        <w:rPr>
          <w:rStyle w:val="HeaderChar"/>
          <w:rFonts w:ascii="Palatino Linotype" w:hAnsi="Palatino Linotype" w:eastAsia="Palatino Linotype" w:cs="Palatino Linotype"/>
          <w:sz w:val="24"/>
          <w:szCs w:val="24"/>
        </w:rPr>
        <w:t xml:space="preserve">based </w:t>
      </w:r>
      <w:r w:rsidR="00D5328E">
        <w:rPr>
          <w:rStyle w:val="HeaderChar"/>
          <w:rFonts w:ascii="Palatino Linotype" w:hAnsi="Palatino Linotype" w:eastAsia="Palatino Linotype" w:cs="Palatino Linotype"/>
          <w:sz w:val="24"/>
          <w:szCs w:val="24"/>
        </w:rPr>
        <w:t xml:space="preserve">on estimated quotes provided by the insurance company. Insurance is comprised the following policies: Vehicle, General Liability, Workers’ Compensation, Errors and Omissions </w:t>
      </w:r>
      <w:r w:rsidR="00D5328E">
        <w:rPr>
          <w:rStyle w:val="HeaderChar"/>
          <w:rFonts w:ascii="Palatino Linotype" w:hAnsi="Palatino Linotype" w:eastAsia="Palatino Linotype" w:cs="Palatino Linotype"/>
          <w:sz w:val="24"/>
          <w:szCs w:val="24"/>
        </w:rPr>
        <w:lastRenderedPageBreak/>
        <w:t>(E&amp;O) and Employee Practices Liability Insurance (EPLI).</w:t>
      </w:r>
      <w:r w:rsidR="00614C83">
        <w:rPr>
          <w:rStyle w:val="HeaderChar"/>
          <w:rFonts w:ascii="Palatino Linotype" w:hAnsi="Palatino Linotype" w:eastAsia="Palatino Linotype" w:cs="Palatino Linotype"/>
          <w:sz w:val="24"/>
          <w:szCs w:val="24"/>
        </w:rPr>
        <w:t xml:space="preserve"> </w:t>
      </w:r>
      <w:r w:rsidR="006F3496">
        <w:rPr>
          <w:rStyle w:val="HeaderChar"/>
          <w:rFonts w:ascii="Palatino Linotype" w:hAnsi="Palatino Linotype" w:eastAsia="Palatino Linotype" w:cs="Palatino Linotype"/>
          <w:sz w:val="24"/>
          <w:szCs w:val="24"/>
        </w:rPr>
        <w:t xml:space="preserve">The WD finds the requested amount to be reasonable. </w:t>
      </w:r>
    </w:p>
    <w:p w:rsidR="004B0CEB" w:rsidP="00AB0B24" w:rsidRDefault="004B0CEB" w14:paraId="37EE2383" w14:textId="77777777">
      <w:pPr>
        <w:pStyle w:val="Body"/>
        <w:spacing w:after="0" w:line="240" w:lineRule="auto"/>
        <w:rPr>
          <w:rStyle w:val="HeaderChar"/>
          <w:rFonts w:ascii="Palatino Linotype" w:hAnsi="Palatino Linotype" w:eastAsia="Palatino Linotype" w:cs="Palatino Linotype"/>
          <w:b/>
          <w:sz w:val="24"/>
          <w:szCs w:val="24"/>
          <w:u w:val="single"/>
        </w:rPr>
      </w:pPr>
    </w:p>
    <w:p w:rsidR="004B0CEB" w:rsidP="00AB0B24" w:rsidRDefault="004B0CEB" w14:paraId="58084BF0" w14:textId="77777777">
      <w:pPr>
        <w:pStyle w:val="Body"/>
        <w:spacing w:after="0" w:line="240" w:lineRule="auto"/>
        <w:rPr>
          <w:rStyle w:val="HeaderChar"/>
          <w:rFonts w:ascii="Palatino Linotype" w:hAnsi="Palatino Linotype" w:eastAsia="Palatino Linotype" w:cs="Palatino Linotype"/>
          <w:bCs/>
          <w:sz w:val="24"/>
          <w:szCs w:val="24"/>
          <w:u w:val="single"/>
        </w:rPr>
      </w:pPr>
      <w:r w:rsidRPr="00824D94">
        <w:rPr>
          <w:rStyle w:val="HeaderChar"/>
          <w:rFonts w:ascii="Palatino Linotype" w:hAnsi="Palatino Linotype" w:eastAsia="Palatino Linotype" w:cs="Palatino Linotype"/>
          <w:bCs/>
          <w:sz w:val="24"/>
          <w:szCs w:val="24"/>
          <w:u w:val="single"/>
        </w:rPr>
        <w:t>General Expenses</w:t>
      </w:r>
    </w:p>
    <w:p w:rsidR="004B0CEB" w:rsidP="00AB0B24" w:rsidRDefault="004B0CEB" w14:paraId="71270661" w14:textId="77777777">
      <w:pPr>
        <w:pStyle w:val="Body"/>
        <w:spacing w:after="0" w:line="240" w:lineRule="auto"/>
        <w:rPr>
          <w:rStyle w:val="HeaderChar"/>
          <w:rFonts w:ascii="Palatino Linotype" w:hAnsi="Palatino Linotype" w:eastAsia="Palatino Linotype" w:cs="Palatino Linotype"/>
          <w:bCs/>
          <w:sz w:val="24"/>
          <w:szCs w:val="24"/>
        </w:rPr>
      </w:pPr>
    </w:p>
    <w:p w:rsidR="00550376" w:rsidP="00AB0B24" w:rsidRDefault="004B0CEB" w14:paraId="0905E084" w14:textId="0B16F361">
      <w:pPr>
        <w:pStyle w:val="Body"/>
        <w:spacing w:after="0" w:line="240" w:lineRule="auto"/>
        <w:rPr>
          <w:rStyle w:val="HeaderChar"/>
          <w:rFonts w:ascii="Palatino Linotype" w:hAnsi="Palatino Linotype" w:eastAsia="Palatino Linotype" w:cs="Palatino Linotype"/>
          <w:bCs/>
          <w:sz w:val="24"/>
          <w:szCs w:val="24"/>
        </w:rPr>
      </w:pPr>
      <w:r>
        <w:rPr>
          <w:rStyle w:val="HeaderChar"/>
          <w:rFonts w:ascii="Palatino Linotype" w:hAnsi="Palatino Linotype" w:eastAsia="Palatino Linotype" w:cs="Palatino Linotype"/>
          <w:bCs/>
          <w:sz w:val="24"/>
          <w:szCs w:val="24"/>
        </w:rPr>
        <w:t>General expenses increased between 2016 and 2017 from $64,857 to $123,227. Bakman attributed th</w:t>
      </w:r>
      <w:r w:rsidR="00550376">
        <w:rPr>
          <w:rStyle w:val="HeaderChar"/>
          <w:rFonts w:ascii="Palatino Linotype" w:hAnsi="Palatino Linotype" w:eastAsia="Palatino Linotype" w:cs="Palatino Linotype"/>
          <w:bCs/>
          <w:sz w:val="24"/>
          <w:szCs w:val="24"/>
        </w:rPr>
        <w:t xml:space="preserve">e majority of this increase due to the utility’s required engagement in the North Kings Groundwater Sustainability Agency (GSA). </w:t>
      </w:r>
    </w:p>
    <w:p w:rsidR="00550376" w:rsidP="00AB0B24" w:rsidRDefault="00550376" w14:paraId="559E8BD2" w14:textId="77777777">
      <w:pPr>
        <w:pStyle w:val="Body"/>
        <w:spacing w:after="0" w:line="240" w:lineRule="auto"/>
        <w:rPr>
          <w:rStyle w:val="HeaderChar"/>
          <w:rFonts w:ascii="Palatino Linotype" w:hAnsi="Palatino Linotype" w:eastAsia="Palatino Linotype" w:cs="Palatino Linotype"/>
          <w:bCs/>
          <w:sz w:val="24"/>
          <w:szCs w:val="24"/>
        </w:rPr>
      </w:pPr>
    </w:p>
    <w:p w:rsidR="00550376" w:rsidP="00AB0B24" w:rsidRDefault="00550376" w14:paraId="31AD17A0" w14:textId="77777777">
      <w:pPr>
        <w:pStyle w:val="Body"/>
        <w:spacing w:after="0" w:line="240" w:lineRule="auto"/>
        <w:rPr>
          <w:rFonts w:ascii="Palatino Linotype" w:hAnsi="Palatino Linotype" w:eastAsia="Palatino Linotype" w:cs="Palatino Linotype"/>
          <w:bCs/>
          <w:sz w:val="24"/>
          <w:szCs w:val="24"/>
        </w:rPr>
      </w:pPr>
      <w:r>
        <w:rPr>
          <w:rStyle w:val="HeaderChar"/>
          <w:rFonts w:ascii="Palatino Linotype" w:hAnsi="Palatino Linotype" w:eastAsia="Palatino Linotype" w:cs="Palatino Linotype"/>
          <w:bCs/>
          <w:sz w:val="24"/>
          <w:szCs w:val="24"/>
        </w:rPr>
        <w:t xml:space="preserve">The North Kings GSA is a Joint Powers Authority formed in December 2016 through the adoption of a Joint Powers Agreement (JPA) by the following public agencies: </w:t>
      </w:r>
      <w:r w:rsidRPr="00550376">
        <w:rPr>
          <w:rFonts w:ascii="Palatino Linotype" w:hAnsi="Palatino Linotype" w:eastAsia="Palatino Linotype" w:cs="Palatino Linotype"/>
          <w:bCs/>
          <w:sz w:val="24"/>
          <w:szCs w:val="24"/>
        </w:rPr>
        <w:t xml:space="preserve">Fresno Irrigation District, the County of Fresno, the City of Fresno, the City of Clovis, the City of Kerman, </w:t>
      </w:r>
      <w:proofErr w:type="spellStart"/>
      <w:r w:rsidRPr="00550376">
        <w:rPr>
          <w:rFonts w:ascii="Palatino Linotype" w:hAnsi="Palatino Linotype" w:eastAsia="Palatino Linotype" w:cs="Palatino Linotype"/>
          <w:bCs/>
          <w:sz w:val="24"/>
          <w:szCs w:val="24"/>
        </w:rPr>
        <w:t>Biola</w:t>
      </w:r>
      <w:proofErr w:type="spellEnd"/>
      <w:r w:rsidRPr="00550376">
        <w:rPr>
          <w:rFonts w:ascii="Palatino Linotype" w:hAnsi="Palatino Linotype" w:eastAsia="Palatino Linotype" w:cs="Palatino Linotype"/>
          <w:bCs/>
          <w:sz w:val="24"/>
          <w:szCs w:val="24"/>
        </w:rPr>
        <w:t xml:space="preserve"> Community Services District, Garfield Water District, and International Water District.</w:t>
      </w:r>
      <w:r>
        <w:rPr>
          <w:rFonts w:ascii="Palatino Linotype" w:hAnsi="Palatino Linotype" w:eastAsia="Palatino Linotype" w:cs="Palatino Linotype"/>
          <w:bCs/>
          <w:sz w:val="24"/>
          <w:szCs w:val="24"/>
        </w:rPr>
        <w:t xml:space="preserve"> Following adoption of the JPA, membership was approved for Bakman. </w:t>
      </w:r>
    </w:p>
    <w:p w:rsidR="00550376" w:rsidP="00AB0B24" w:rsidRDefault="00550376" w14:paraId="5FF7EBBB" w14:textId="77777777">
      <w:pPr>
        <w:pStyle w:val="Body"/>
        <w:spacing w:after="0" w:line="240" w:lineRule="auto"/>
        <w:rPr>
          <w:rFonts w:ascii="Palatino Linotype" w:hAnsi="Palatino Linotype" w:eastAsia="Palatino Linotype" w:cs="Palatino Linotype"/>
          <w:bCs/>
          <w:sz w:val="24"/>
          <w:szCs w:val="24"/>
        </w:rPr>
      </w:pPr>
    </w:p>
    <w:p w:rsidR="00550376" w:rsidP="00AB0B24" w:rsidRDefault="00550376" w14:paraId="68EA94D8" w14:textId="416FF757">
      <w:pPr>
        <w:pStyle w:val="Body"/>
        <w:spacing w:after="0" w:line="240" w:lineRule="auto"/>
        <w:rPr>
          <w:rFonts w:ascii="Palatino Linotype" w:hAnsi="Palatino Linotype" w:eastAsia="Palatino Linotype" w:cs="Palatino Linotype"/>
          <w:bCs/>
          <w:sz w:val="24"/>
          <w:szCs w:val="24"/>
        </w:rPr>
      </w:pPr>
      <w:r>
        <w:rPr>
          <w:rFonts w:ascii="Palatino Linotype" w:hAnsi="Palatino Linotype" w:eastAsia="Palatino Linotype" w:cs="Palatino Linotype"/>
          <w:bCs/>
          <w:sz w:val="24"/>
          <w:szCs w:val="24"/>
        </w:rPr>
        <w:t>The North Kings GSA was established as a result of the Sustainable Groundwater Management Act (SGMA) which went into law on September 16, 2014</w:t>
      </w:r>
      <w:r w:rsidR="00D20FF7">
        <w:rPr>
          <w:rFonts w:ascii="Palatino Linotype" w:hAnsi="Palatino Linotype" w:eastAsia="Palatino Linotype" w:cs="Palatino Linotype"/>
          <w:bCs/>
          <w:sz w:val="24"/>
          <w:szCs w:val="24"/>
        </w:rPr>
        <w:t>.</w:t>
      </w:r>
      <w:r w:rsidR="00F86188">
        <w:rPr>
          <w:rStyle w:val="FootnoteReference"/>
          <w:rFonts w:ascii="Palatino Linotype" w:hAnsi="Palatino Linotype" w:eastAsia="Palatino Linotype" w:cs="Palatino Linotype"/>
          <w:bCs/>
          <w:sz w:val="24"/>
          <w:szCs w:val="24"/>
        </w:rPr>
        <w:footnoteReference w:id="11"/>
      </w:r>
      <w:r>
        <w:rPr>
          <w:rFonts w:ascii="Palatino Linotype" w:hAnsi="Palatino Linotype" w:eastAsia="Palatino Linotype" w:cs="Palatino Linotype"/>
          <w:bCs/>
          <w:sz w:val="24"/>
          <w:szCs w:val="24"/>
        </w:rPr>
        <w:t xml:space="preserve"> The SGMA requires governments and water agencies of high and medium priority groundwater basins to implement sustainability plans and to eliminate overdraft.</w:t>
      </w:r>
      <w:r w:rsidR="00F86188">
        <w:rPr>
          <w:rFonts w:ascii="Palatino Linotype" w:hAnsi="Palatino Linotype" w:eastAsia="Palatino Linotype" w:cs="Palatino Linotype"/>
          <w:bCs/>
          <w:sz w:val="24"/>
          <w:szCs w:val="24"/>
        </w:rPr>
        <w:t xml:space="preserve"> The SGMA also authorizes local agencies to establish GSAs to accomplish and manage basin sustainability and requires GSAs to adopt Groundwater Sustainability Plans (GSP).</w:t>
      </w:r>
    </w:p>
    <w:p w:rsidR="00F86188" w:rsidP="00AB0B24" w:rsidRDefault="00F86188" w14:paraId="7A39AFBB" w14:textId="1D8D9EF9">
      <w:pPr>
        <w:pStyle w:val="Body"/>
        <w:spacing w:after="0" w:line="240" w:lineRule="auto"/>
        <w:rPr>
          <w:rFonts w:ascii="Palatino Linotype" w:hAnsi="Palatino Linotype" w:eastAsia="Palatino Linotype" w:cs="Palatino Linotype"/>
          <w:bCs/>
          <w:sz w:val="24"/>
          <w:szCs w:val="24"/>
        </w:rPr>
      </w:pPr>
    </w:p>
    <w:p w:rsidR="00F86188" w:rsidP="00AB0B24" w:rsidRDefault="00F86188" w14:paraId="5D186A9B" w14:textId="2A90F2B7">
      <w:pPr>
        <w:pStyle w:val="Body"/>
        <w:spacing w:after="0" w:line="240" w:lineRule="auto"/>
        <w:rPr>
          <w:rFonts w:ascii="Palatino Linotype" w:hAnsi="Palatino Linotype" w:eastAsia="Palatino Linotype" w:cs="Palatino Linotype"/>
          <w:bCs/>
          <w:sz w:val="24"/>
          <w:szCs w:val="24"/>
        </w:rPr>
      </w:pPr>
      <w:r>
        <w:rPr>
          <w:rFonts w:ascii="Palatino Linotype" w:hAnsi="Palatino Linotype" w:eastAsia="Palatino Linotype" w:cs="Palatino Linotype"/>
          <w:bCs/>
          <w:sz w:val="24"/>
          <w:szCs w:val="24"/>
        </w:rPr>
        <w:t>The costs for membership and participation in the North Kings GSA began in 2017 and will continue to be an ongoing expense.</w:t>
      </w:r>
    </w:p>
    <w:p w:rsidR="00C811BD" w:rsidP="00AB0B24" w:rsidRDefault="00C811BD" w14:paraId="15BC2DA0" w14:textId="77777777">
      <w:pPr>
        <w:pStyle w:val="Body"/>
        <w:spacing w:after="0" w:line="240" w:lineRule="auto"/>
        <w:rPr>
          <w:rFonts w:ascii="Palatino Linotype" w:hAnsi="Palatino Linotype" w:eastAsia="Palatino Linotype" w:cs="Palatino Linotype"/>
          <w:bCs/>
          <w:sz w:val="24"/>
          <w:szCs w:val="24"/>
        </w:rPr>
      </w:pPr>
    </w:p>
    <w:p w:rsidRPr="00E24C62" w:rsidR="007A75AA" w:rsidP="00AB0B24" w:rsidRDefault="007A75AA" w14:paraId="093E1D06" w14:textId="2761FF65">
      <w:pPr>
        <w:pStyle w:val="Body"/>
        <w:spacing w:after="0" w:line="240" w:lineRule="auto"/>
        <w:rPr>
          <w:rStyle w:val="HeaderChar"/>
          <w:rFonts w:ascii="Palatino Linotype" w:hAnsi="Palatino Linotype" w:eastAsia="Palatino Linotype" w:cs="Palatino Linotype"/>
          <w:bCs/>
          <w:sz w:val="24"/>
          <w:szCs w:val="24"/>
          <w:u w:val="single"/>
        </w:rPr>
      </w:pPr>
      <w:r w:rsidRPr="00824D94">
        <w:rPr>
          <w:rStyle w:val="HeaderChar"/>
          <w:rFonts w:ascii="Palatino Linotype" w:hAnsi="Palatino Linotype" w:eastAsia="Palatino Linotype" w:cs="Palatino Linotype"/>
          <w:bCs/>
          <w:sz w:val="24"/>
          <w:szCs w:val="24"/>
          <w:u w:val="single"/>
        </w:rPr>
        <w:t>Taxes</w:t>
      </w:r>
    </w:p>
    <w:p w:rsidRPr="009617C9" w:rsidR="007A75AA" w:rsidP="00AB0B24" w:rsidRDefault="007A75AA" w14:paraId="2EEC1BEA" w14:textId="77777777">
      <w:pPr>
        <w:pStyle w:val="Body"/>
        <w:spacing w:after="0" w:line="240" w:lineRule="auto"/>
        <w:rPr>
          <w:rStyle w:val="HeaderChar"/>
          <w:rFonts w:ascii="Palatino Linotype" w:hAnsi="Palatino Linotype" w:eastAsia="Palatino Linotype" w:cs="Palatino Linotype"/>
          <w:sz w:val="24"/>
          <w:szCs w:val="24"/>
        </w:rPr>
      </w:pPr>
    </w:p>
    <w:p w:rsidR="007A75AA" w:rsidP="00AB0B24" w:rsidRDefault="007A75AA" w14:paraId="32F7A458" w14:textId="51D06060">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The WD applied the 201</w:t>
      </w:r>
      <w:r w:rsidR="004E67D8">
        <w:rPr>
          <w:rStyle w:val="HeaderChar"/>
          <w:rFonts w:ascii="Palatino Linotype" w:hAnsi="Palatino Linotype" w:eastAsia="Palatino Linotype" w:cs="Palatino Linotype"/>
          <w:sz w:val="24"/>
          <w:szCs w:val="24"/>
        </w:rPr>
        <w:t>9</w:t>
      </w:r>
      <w:r w:rsidRPr="009617C9">
        <w:rPr>
          <w:rStyle w:val="HeaderChar"/>
          <w:rFonts w:ascii="Palatino Linotype" w:hAnsi="Palatino Linotype" w:eastAsia="Palatino Linotype" w:cs="Palatino Linotype"/>
          <w:sz w:val="24"/>
          <w:szCs w:val="24"/>
        </w:rPr>
        <w:t xml:space="preserve"> corporate tax rates for Federal and State income at 21.00% and </w:t>
      </w:r>
      <w:r w:rsidR="00614C83">
        <w:rPr>
          <w:rStyle w:val="HeaderChar"/>
          <w:rFonts w:ascii="Palatino Linotype" w:hAnsi="Palatino Linotype" w:eastAsia="Palatino Linotype" w:cs="Palatino Linotype"/>
          <w:sz w:val="24"/>
          <w:szCs w:val="24"/>
        </w:rPr>
        <w:t>8</w:t>
      </w:r>
      <w:r>
        <w:rPr>
          <w:rStyle w:val="HeaderChar"/>
          <w:rFonts w:ascii="Palatino Linotype" w:hAnsi="Palatino Linotype" w:eastAsia="Palatino Linotype" w:cs="Palatino Linotype"/>
          <w:sz w:val="24"/>
          <w:szCs w:val="24"/>
        </w:rPr>
        <w:t>.</w:t>
      </w:r>
      <w:r w:rsidR="00614C83">
        <w:rPr>
          <w:rStyle w:val="HeaderChar"/>
          <w:rFonts w:ascii="Palatino Linotype" w:hAnsi="Palatino Linotype" w:eastAsia="Palatino Linotype" w:cs="Palatino Linotype"/>
          <w:sz w:val="24"/>
          <w:szCs w:val="24"/>
        </w:rPr>
        <w:t>84</w:t>
      </w:r>
      <w:r w:rsidRPr="009617C9">
        <w:rPr>
          <w:rStyle w:val="HeaderChar"/>
          <w:rFonts w:ascii="Palatino Linotype" w:hAnsi="Palatino Linotype" w:eastAsia="Palatino Linotype" w:cs="Palatino Linotype"/>
          <w:sz w:val="24"/>
          <w:szCs w:val="24"/>
        </w:rPr>
        <w:t>%</w:t>
      </w:r>
      <w:r w:rsidR="00C706C8">
        <w:rPr>
          <w:rStyle w:val="HeaderChar"/>
          <w:rFonts w:ascii="Palatino Linotype" w:hAnsi="Palatino Linotype" w:eastAsia="Palatino Linotype" w:cs="Palatino Linotype"/>
          <w:sz w:val="24"/>
          <w:szCs w:val="24"/>
        </w:rPr>
        <w:t>,</w:t>
      </w:r>
      <w:r w:rsidRPr="009617C9">
        <w:rPr>
          <w:rStyle w:val="HeaderChar"/>
          <w:rFonts w:ascii="Palatino Linotype" w:hAnsi="Palatino Linotype" w:eastAsia="Palatino Linotype" w:cs="Palatino Linotype"/>
          <w:sz w:val="24"/>
          <w:szCs w:val="24"/>
        </w:rPr>
        <w:t xml:space="preserve"> respectively.  The tax calculations are shown in Appendix D for TY 201</w:t>
      </w:r>
      <w:r>
        <w:rPr>
          <w:rStyle w:val="HeaderChar"/>
          <w:rFonts w:ascii="Palatino Linotype" w:hAnsi="Palatino Linotype" w:eastAsia="Palatino Linotype" w:cs="Palatino Linotype"/>
          <w:sz w:val="24"/>
          <w:szCs w:val="24"/>
        </w:rPr>
        <w:t>9</w:t>
      </w:r>
      <w:r w:rsidRPr="009617C9">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 xml:space="preserve"> </w:t>
      </w:r>
    </w:p>
    <w:p w:rsidR="00A029E2" w:rsidP="00AB0B24" w:rsidRDefault="00A029E2" w14:paraId="1668A636" w14:textId="47BD1EF0">
      <w:pPr>
        <w:pStyle w:val="Body"/>
        <w:spacing w:after="0" w:line="240" w:lineRule="auto"/>
        <w:rPr>
          <w:rStyle w:val="HeaderChar"/>
          <w:rFonts w:ascii="Palatino Linotype" w:hAnsi="Palatino Linotype" w:eastAsia="Palatino Linotype" w:cs="Palatino Linotype"/>
          <w:sz w:val="24"/>
          <w:szCs w:val="24"/>
        </w:rPr>
      </w:pPr>
    </w:p>
    <w:p w:rsidRPr="00E24C62" w:rsidR="007A75AA" w:rsidP="00AB0B24" w:rsidRDefault="007A75AA" w14:paraId="0380F6A3" w14:textId="77777777">
      <w:pPr>
        <w:pStyle w:val="Body"/>
        <w:spacing w:after="0" w:line="240" w:lineRule="auto"/>
        <w:rPr>
          <w:rStyle w:val="HeaderChar"/>
          <w:rFonts w:ascii="Palatino Linotype" w:hAnsi="Palatino Linotype" w:eastAsia="Palatino Linotype" w:cs="Palatino Linotype"/>
          <w:b/>
          <w:sz w:val="24"/>
          <w:szCs w:val="24"/>
          <w:u w:val="single"/>
        </w:rPr>
      </w:pPr>
      <w:r w:rsidRPr="00E24C62">
        <w:rPr>
          <w:rStyle w:val="HeaderChar"/>
          <w:rFonts w:ascii="Palatino Linotype" w:hAnsi="Palatino Linotype" w:eastAsia="Palatino Linotype" w:cs="Palatino Linotype"/>
          <w:b/>
          <w:sz w:val="24"/>
          <w:szCs w:val="24"/>
          <w:u w:val="single"/>
        </w:rPr>
        <w:t>Utility Plant and Rate Base</w:t>
      </w:r>
    </w:p>
    <w:p w:rsidR="007A75AA" w:rsidP="00AB0B24" w:rsidRDefault="007A75AA" w14:paraId="05827AA6" w14:textId="35E3016D">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br/>
        <w:t>For TY 201</w:t>
      </w:r>
      <w:r>
        <w:rPr>
          <w:rStyle w:val="HeaderChar"/>
          <w:rFonts w:ascii="Palatino Linotype" w:hAnsi="Palatino Linotype" w:eastAsia="Palatino Linotype" w:cs="Palatino Linotype"/>
          <w:sz w:val="24"/>
          <w:szCs w:val="24"/>
        </w:rPr>
        <w:t>9</w:t>
      </w:r>
      <w:r w:rsidRPr="009617C9">
        <w:rPr>
          <w:rStyle w:val="HeaderChar"/>
          <w:rFonts w:ascii="Palatino Linotype" w:hAnsi="Palatino Linotype" w:eastAsia="Palatino Linotype" w:cs="Palatino Linotype"/>
          <w:sz w:val="24"/>
          <w:szCs w:val="24"/>
        </w:rPr>
        <w:t xml:space="preserve">, the WD’s analysis of </w:t>
      </w:r>
      <w:proofErr w:type="spellStart"/>
      <w:r w:rsidR="006A66BD">
        <w:rPr>
          <w:rStyle w:val="HeaderChar"/>
          <w:rFonts w:ascii="Palatino Linotype" w:hAnsi="Palatino Linotype" w:eastAsia="Palatino Linotype" w:cs="Palatino Linotype"/>
          <w:sz w:val="24"/>
          <w:szCs w:val="24"/>
        </w:rPr>
        <w:t>Bakman’s</w:t>
      </w:r>
      <w:proofErr w:type="spellEnd"/>
      <w:r w:rsidRPr="009617C9">
        <w:rPr>
          <w:rStyle w:val="HeaderChar"/>
          <w:rFonts w:ascii="Palatino Linotype" w:hAnsi="Palatino Linotype" w:eastAsia="Palatino Linotype" w:cs="Palatino Linotype"/>
          <w:sz w:val="24"/>
          <w:szCs w:val="24"/>
        </w:rPr>
        <w:t xml:space="preserve"> rate base estimate included examining utility plant-in-service since the company’s last GRC</w:t>
      </w:r>
      <w:r w:rsidR="00614C83">
        <w:rPr>
          <w:rStyle w:val="HeaderChar"/>
          <w:rFonts w:ascii="Palatino Linotype" w:hAnsi="Palatino Linotype" w:eastAsia="Palatino Linotype" w:cs="Palatino Linotype"/>
          <w:sz w:val="24"/>
          <w:szCs w:val="24"/>
        </w:rPr>
        <w:t>,</w:t>
      </w:r>
      <w:r w:rsidRPr="009617C9">
        <w:rPr>
          <w:rStyle w:val="HeaderChar"/>
          <w:rFonts w:ascii="Palatino Linotype" w:hAnsi="Palatino Linotype" w:eastAsia="Palatino Linotype" w:cs="Palatino Linotype"/>
          <w:sz w:val="24"/>
          <w:szCs w:val="24"/>
        </w:rPr>
        <w:t xml:space="preserve"> authorized </w:t>
      </w:r>
      <w:r w:rsidR="00614C83">
        <w:rPr>
          <w:rStyle w:val="HeaderChar"/>
          <w:rFonts w:ascii="Palatino Linotype" w:hAnsi="Palatino Linotype" w:eastAsia="Palatino Linotype" w:cs="Palatino Linotype"/>
          <w:sz w:val="24"/>
          <w:szCs w:val="24"/>
        </w:rPr>
        <w:t xml:space="preserve">on </w:t>
      </w:r>
      <w:r w:rsidRPr="00614C83" w:rsidR="00614C83">
        <w:rPr>
          <w:rFonts w:ascii="Palatino Linotype" w:hAnsi="Palatino Linotype" w:eastAsia="Palatino Linotype" w:cs="Palatino Linotype"/>
          <w:sz w:val="24"/>
          <w:szCs w:val="24"/>
        </w:rPr>
        <w:t>Ma</w:t>
      </w:r>
      <w:r w:rsidR="002503BB">
        <w:rPr>
          <w:rFonts w:ascii="Palatino Linotype" w:hAnsi="Palatino Linotype" w:eastAsia="Palatino Linotype" w:cs="Palatino Linotype"/>
          <w:sz w:val="24"/>
          <w:szCs w:val="24"/>
        </w:rPr>
        <w:t>y 3</w:t>
      </w:r>
      <w:r w:rsidRPr="00614C83" w:rsidR="00614C83">
        <w:rPr>
          <w:rFonts w:ascii="Palatino Linotype" w:hAnsi="Palatino Linotype" w:eastAsia="Palatino Linotype" w:cs="Palatino Linotype"/>
          <w:sz w:val="24"/>
          <w:szCs w:val="24"/>
        </w:rPr>
        <w:t>, 20</w:t>
      </w:r>
      <w:r w:rsidR="002503BB">
        <w:rPr>
          <w:rFonts w:ascii="Palatino Linotype" w:hAnsi="Palatino Linotype" w:eastAsia="Palatino Linotype" w:cs="Palatino Linotype"/>
          <w:sz w:val="24"/>
          <w:szCs w:val="24"/>
        </w:rPr>
        <w:t>07</w:t>
      </w:r>
      <w:r w:rsidR="00614C83">
        <w:rPr>
          <w:rFonts w:ascii="Palatino Linotype" w:hAnsi="Palatino Linotype" w:eastAsia="Palatino Linotype" w:cs="Palatino Linotype"/>
          <w:sz w:val="24"/>
          <w:szCs w:val="24"/>
        </w:rPr>
        <w:t>,</w:t>
      </w:r>
      <w:r w:rsidRPr="00614C83" w:rsidR="00614C83">
        <w:rPr>
          <w:rFonts w:ascii="Palatino Linotype" w:hAnsi="Palatino Linotype" w:eastAsia="Palatino Linotype" w:cs="Palatino Linotype"/>
          <w:i/>
          <w:iCs/>
          <w:sz w:val="24"/>
          <w:szCs w:val="24"/>
        </w:rPr>
        <w:t xml:space="preserve"> </w:t>
      </w:r>
      <w:r w:rsidRPr="009617C9">
        <w:rPr>
          <w:rStyle w:val="HeaderChar"/>
          <w:rFonts w:ascii="Palatino Linotype" w:hAnsi="Palatino Linotype" w:eastAsia="Palatino Linotype" w:cs="Palatino Linotype"/>
          <w:sz w:val="24"/>
          <w:szCs w:val="24"/>
        </w:rPr>
        <w:t xml:space="preserve">by </w:t>
      </w:r>
      <w:r w:rsidRPr="009617C9">
        <w:rPr>
          <w:rStyle w:val="HeaderChar"/>
          <w:rFonts w:ascii="Palatino Linotype" w:hAnsi="Palatino Linotype" w:eastAsia="Palatino Linotype" w:cs="Palatino Linotype"/>
          <w:sz w:val="24"/>
          <w:szCs w:val="24"/>
        </w:rPr>
        <w:lastRenderedPageBreak/>
        <w:t>Res. W-</w:t>
      </w:r>
      <w:r w:rsidR="002503BB">
        <w:rPr>
          <w:rStyle w:val="HeaderChar"/>
          <w:rFonts w:ascii="Palatino Linotype" w:hAnsi="Palatino Linotype" w:eastAsia="Palatino Linotype" w:cs="Palatino Linotype"/>
          <w:sz w:val="24"/>
          <w:szCs w:val="24"/>
        </w:rPr>
        <w:t>4640</w:t>
      </w:r>
      <w:r w:rsidRPr="009617C9">
        <w:rPr>
          <w:rStyle w:val="HeaderChar"/>
          <w:rFonts w:ascii="Palatino Linotype" w:hAnsi="Palatino Linotype" w:eastAsia="Palatino Linotype" w:cs="Palatino Linotype"/>
          <w:sz w:val="24"/>
          <w:szCs w:val="24"/>
        </w:rPr>
        <w:t>, utility plant additions, materials and supplies, working cash, and depreciation reserve.</w:t>
      </w:r>
      <w:r w:rsidR="00A266B2">
        <w:rPr>
          <w:rStyle w:val="HeaderChar"/>
          <w:rFonts w:ascii="Palatino Linotype" w:hAnsi="Palatino Linotype" w:eastAsia="Palatino Linotype" w:cs="Palatino Linotype"/>
          <w:sz w:val="24"/>
          <w:szCs w:val="24"/>
        </w:rPr>
        <w:t xml:space="preserve"> </w:t>
      </w:r>
    </w:p>
    <w:p w:rsidR="00614C83" w:rsidP="00AB0B24" w:rsidRDefault="00614C83" w14:paraId="48DCF523" w14:textId="0E0B14D1">
      <w:pPr>
        <w:pStyle w:val="Body"/>
        <w:spacing w:after="0" w:line="240" w:lineRule="auto"/>
        <w:rPr>
          <w:rStyle w:val="HeaderChar"/>
          <w:rFonts w:ascii="Palatino Linotype" w:hAnsi="Palatino Linotype" w:eastAsia="Palatino Linotype" w:cs="Palatino Linotype"/>
          <w:sz w:val="24"/>
          <w:szCs w:val="24"/>
        </w:rPr>
      </w:pPr>
    </w:p>
    <w:p w:rsidR="008A41E4" w:rsidP="00AB0B24" w:rsidRDefault="008A41E4" w14:paraId="5A2A4D4C" w14:textId="3DFE6DB5">
      <w:pPr>
        <w:pStyle w:val="Body"/>
        <w:spacing w:after="0" w:line="240" w:lineRule="auto"/>
        <w:rPr>
          <w:rStyle w:val="HeaderChar"/>
          <w:rFonts w:ascii="Palatino Linotype" w:hAnsi="Palatino Linotype" w:eastAsia="Palatino Linotype" w:cs="Palatino Linotype"/>
          <w:sz w:val="24"/>
          <w:szCs w:val="24"/>
          <w:u w:val="single"/>
        </w:rPr>
      </w:pPr>
      <w:r>
        <w:rPr>
          <w:rStyle w:val="HeaderChar"/>
          <w:rFonts w:ascii="Palatino Linotype" w:hAnsi="Palatino Linotype" w:eastAsia="Palatino Linotype" w:cs="Palatino Linotype"/>
          <w:sz w:val="24"/>
          <w:szCs w:val="24"/>
          <w:u w:val="single"/>
        </w:rPr>
        <w:t>Average Plant</w:t>
      </w:r>
    </w:p>
    <w:p w:rsidRPr="008A41E4" w:rsidR="008A41E4" w:rsidP="00AB0B24" w:rsidRDefault="008A41E4" w14:paraId="64C38ACC" w14:textId="77777777">
      <w:pPr>
        <w:pStyle w:val="Body"/>
        <w:spacing w:after="0" w:line="240" w:lineRule="auto"/>
        <w:rPr>
          <w:rStyle w:val="HeaderChar"/>
          <w:rFonts w:ascii="Palatino Linotype" w:hAnsi="Palatino Linotype" w:eastAsia="Palatino Linotype" w:cs="Palatino Linotype"/>
          <w:sz w:val="24"/>
          <w:szCs w:val="24"/>
        </w:rPr>
      </w:pPr>
    </w:p>
    <w:p w:rsidR="002A6F97" w:rsidP="00AB0B24" w:rsidRDefault="006A66BD" w14:paraId="25F21F0F" w14:textId="4E40D757">
      <w:pPr>
        <w:pStyle w:val="Body"/>
        <w:spacing w:after="0" w:line="240" w:lineRule="auto"/>
        <w:rPr>
          <w:rStyle w:val="HeaderChar"/>
          <w:rFonts w:ascii="Palatino Linotype" w:hAnsi="Palatino Linotype" w:eastAsia="Palatino Linotype" w:cs="Palatino Linotype"/>
          <w:sz w:val="24"/>
          <w:szCs w:val="24"/>
        </w:rPr>
      </w:pPr>
      <w:proofErr w:type="spellStart"/>
      <w:r>
        <w:rPr>
          <w:rStyle w:val="HeaderChar"/>
          <w:rFonts w:ascii="Palatino Linotype" w:hAnsi="Palatino Linotype" w:eastAsia="Palatino Linotype" w:cs="Palatino Linotype"/>
          <w:sz w:val="24"/>
          <w:szCs w:val="24"/>
        </w:rPr>
        <w:t>Bakman’s</w:t>
      </w:r>
      <w:proofErr w:type="spellEnd"/>
      <w:r w:rsidR="00A266B2">
        <w:rPr>
          <w:rStyle w:val="HeaderChar"/>
          <w:rFonts w:ascii="Palatino Linotype" w:hAnsi="Palatino Linotype" w:eastAsia="Palatino Linotype" w:cs="Palatino Linotype"/>
          <w:sz w:val="24"/>
          <w:szCs w:val="24"/>
        </w:rPr>
        <w:t xml:space="preserve"> average plant estimate for TY 2019 is $</w:t>
      </w:r>
      <w:r w:rsidR="002503BB">
        <w:rPr>
          <w:rStyle w:val="HeaderChar"/>
          <w:rFonts w:ascii="Palatino Linotype" w:hAnsi="Palatino Linotype" w:eastAsia="Palatino Linotype" w:cs="Palatino Linotype"/>
          <w:sz w:val="24"/>
          <w:szCs w:val="24"/>
        </w:rPr>
        <w:t>10</w:t>
      </w:r>
      <w:r w:rsidR="00A266B2">
        <w:rPr>
          <w:rStyle w:val="HeaderChar"/>
          <w:rFonts w:ascii="Palatino Linotype" w:hAnsi="Palatino Linotype" w:eastAsia="Palatino Linotype" w:cs="Palatino Linotype"/>
          <w:sz w:val="24"/>
          <w:szCs w:val="24"/>
        </w:rPr>
        <w:t>,</w:t>
      </w:r>
      <w:r w:rsidR="002503BB">
        <w:rPr>
          <w:rStyle w:val="HeaderChar"/>
          <w:rFonts w:ascii="Palatino Linotype" w:hAnsi="Palatino Linotype" w:eastAsia="Palatino Linotype" w:cs="Palatino Linotype"/>
          <w:sz w:val="24"/>
          <w:szCs w:val="24"/>
        </w:rPr>
        <w:t>525,416</w:t>
      </w:r>
      <w:r w:rsidR="00A266B2">
        <w:rPr>
          <w:rStyle w:val="HeaderChar"/>
          <w:rFonts w:ascii="Palatino Linotype" w:hAnsi="Palatino Linotype" w:eastAsia="Palatino Linotype" w:cs="Palatino Linotype"/>
          <w:sz w:val="24"/>
          <w:szCs w:val="24"/>
        </w:rPr>
        <w:t xml:space="preserve"> </w:t>
      </w:r>
      <w:r w:rsidR="002503BB">
        <w:rPr>
          <w:rStyle w:val="HeaderChar"/>
          <w:rFonts w:ascii="Palatino Linotype" w:hAnsi="Palatino Linotype" w:eastAsia="Palatino Linotype" w:cs="Palatino Linotype"/>
          <w:sz w:val="24"/>
          <w:szCs w:val="24"/>
        </w:rPr>
        <w:t xml:space="preserve">includes an estimated addition of $210,000 to non-depreciable plant as other equipment. The addition is for the installation and operation of SCADA at 10 wells </w:t>
      </w:r>
      <w:r w:rsidR="009405BB">
        <w:rPr>
          <w:rStyle w:val="HeaderChar"/>
          <w:rFonts w:ascii="Palatino Linotype" w:hAnsi="Palatino Linotype" w:eastAsia="Palatino Linotype" w:cs="Palatino Linotype"/>
          <w:sz w:val="24"/>
          <w:szCs w:val="24"/>
        </w:rPr>
        <w:t>with the amount</w:t>
      </w:r>
      <w:r w:rsidR="002503BB">
        <w:rPr>
          <w:rStyle w:val="HeaderChar"/>
          <w:rFonts w:ascii="Palatino Linotype" w:hAnsi="Palatino Linotype" w:eastAsia="Palatino Linotype" w:cs="Palatino Linotype"/>
          <w:sz w:val="24"/>
          <w:szCs w:val="24"/>
        </w:rPr>
        <w:t xml:space="preserve"> based on quotes provided to the utility. The WD’s analysis included a review of these quotes and any additional documentation provided for substantiation</w:t>
      </w:r>
      <w:r w:rsidR="00F86188">
        <w:rPr>
          <w:rStyle w:val="HeaderChar"/>
          <w:rFonts w:ascii="Palatino Linotype" w:hAnsi="Palatino Linotype" w:eastAsia="Palatino Linotype" w:cs="Palatino Linotype"/>
          <w:sz w:val="24"/>
          <w:szCs w:val="24"/>
        </w:rPr>
        <w:t xml:space="preserve"> of</w:t>
      </w:r>
      <w:r w:rsidR="00AF7B0F">
        <w:rPr>
          <w:rStyle w:val="HeaderChar"/>
          <w:rFonts w:ascii="Palatino Linotype" w:hAnsi="Palatino Linotype" w:eastAsia="Palatino Linotype" w:cs="Palatino Linotype"/>
          <w:sz w:val="24"/>
          <w:szCs w:val="24"/>
        </w:rPr>
        <w:t xml:space="preserve"> the project’s scope and</w:t>
      </w:r>
      <w:r w:rsidR="00F86188">
        <w:rPr>
          <w:rStyle w:val="HeaderChar"/>
          <w:rFonts w:ascii="Palatino Linotype" w:hAnsi="Palatino Linotype" w:eastAsia="Palatino Linotype" w:cs="Palatino Linotype"/>
          <w:sz w:val="24"/>
          <w:szCs w:val="24"/>
        </w:rPr>
        <w:t xml:space="preserve"> costs.</w:t>
      </w:r>
    </w:p>
    <w:p w:rsidR="002503BB" w:rsidP="00AB0B24" w:rsidRDefault="002503BB" w14:paraId="07698481" w14:textId="51E91370">
      <w:pPr>
        <w:pStyle w:val="Body"/>
        <w:spacing w:after="0" w:line="240" w:lineRule="auto"/>
        <w:rPr>
          <w:rStyle w:val="HeaderChar"/>
          <w:rFonts w:ascii="Palatino Linotype" w:hAnsi="Palatino Linotype" w:eastAsia="Palatino Linotype" w:cs="Palatino Linotype"/>
          <w:sz w:val="24"/>
          <w:szCs w:val="24"/>
        </w:rPr>
      </w:pPr>
    </w:p>
    <w:p w:rsidRPr="008A41E4" w:rsidR="001C3499" w:rsidP="00AB0B24" w:rsidRDefault="001C3499" w14:paraId="7AFD4DF7" w14:textId="56328161">
      <w:pPr>
        <w:pStyle w:val="Body"/>
        <w:spacing w:after="0" w:line="240" w:lineRule="auto"/>
        <w:rPr>
          <w:rStyle w:val="HeaderChar"/>
          <w:rFonts w:ascii="Palatino Linotype" w:hAnsi="Palatino Linotype" w:eastAsia="Palatino Linotype" w:cs="Palatino Linotype"/>
          <w:sz w:val="24"/>
          <w:szCs w:val="24"/>
        </w:rPr>
      </w:pPr>
      <w:r w:rsidRPr="008A41E4">
        <w:rPr>
          <w:rStyle w:val="HeaderChar"/>
          <w:rFonts w:ascii="Palatino Linotype" w:hAnsi="Palatino Linotype" w:eastAsia="Palatino Linotype" w:cs="Palatino Linotype"/>
          <w:sz w:val="24"/>
          <w:szCs w:val="24"/>
          <w:u w:val="single"/>
        </w:rPr>
        <w:t>Working Cash</w:t>
      </w:r>
    </w:p>
    <w:p w:rsidR="001C3499" w:rsidP="00AB0B24" w:rsidRDefault="001C3499" w14:paraId="6A9A44B8" w14:textId="7A37888F">
      <w:pPr>
        <w:pStyle w:val="Body"/>
        <w:spacing w:after="0" w:line="240" w:lineRule="auto"/>
        <w:rPr>
          <w:rStyle w:val="HeaderChar"/>
          <w:rFonts w:ascii="Palatino Linotype" w:hAnsi="Palatino Linotype" w:eastAsia="Palatino Linotype" w:cs="Palatino Linotype"/>
          <w:sz w:val="24"/>
          <w:szCs w:val="24"/>
        </w:rPr>
      </w:pPr>
    </w:p>
    <w:p w:rsidRPr="007458D7" w:rsidR="00F37650" w:rsidP="00AB0B24" w:rsidRDefault="001C3499" w14:paraId="2C71510C" w14:textId="0DE4A783">
      <w:pPr>
        <w:pStyle w:val="Body"/>
        <w:spacing w:after="0" w:line="240" w:lineRule="auto"/>
        <w:rPr>
          <w:rStyle w:val="HeaderChar"/>
          <w:rFonts w:ascii="Palatino Linotype" w:hAnsi="Palatino Linotype" w:eastAsia="Palatino Linotype" w:cs="Palatino Linotype"/>
          <w:sz w:val="24"/>
          <w:szCs w:val="24"/>
          <w:highlight w:val="yellow"/>
        </w:rPr>
      </w:pPr>
      <w:r>
        <w:rPr>
          <w:rStyle w:val="HeaderChar"/>
          <w:rFonts w:ascii="Palatino Linotype" w:hAnsi="Palatino Linotype" w:eastAsia="Palatino Linotype" w:cs="Palatino Linotype"/>
          <w:sz w:val="24"/>
          <w:szCs w:val="24"/>
        </w:rPr>
        <w:t>The WD’</w:t>
      </w:r>
      <w:r w:rsidR="00F37650">
        <w:rPr>
          <w:rStyle w:val="HeaderChar"/>
          <w:rFonts w:ascii="Palatino Linotype" w:hAnsi="Palatino Linotype" w:eastAsia="Palatino Linotype" w:cs="Palatino Linotype"/>
          <w:sz w:val="24"/>
          <w:szCs w:val="24"/>
        </w:rPr>
        <w:t xml:space="preserve">s recommended amount of </w:t>
      </w:r>
      <w:r w:rsidRPr="00993B03" w:rsidR="00D564CB">
        <w:rPr>
          <w:rStyle w:val="HeaderChar"/>
          <w:rFonts w:ascii="Palatino Linotype" w:hAnsi="Palatino Linotype" w:eastAsia="Palatino Linotype" w:cs="Palatino Linotype"/>
          <w:sz w:val="24"/>
          <w:szCs w:val="24"/>
        </w:rPr>
        <w:t>$</w:t>
      </w:r>
      <w:r w:rsidRPr="00993B03" w:rsidR="00573328">
        <w:rPr>
          <w:rStyle w:val="HeaderChar"/>
          <w:rFonts w:ascii="Palatino Linotype" w:hAnsi="Palatino Linotype" w:eastAsia="Palatino Linotype" w:cs="Palatino Linotype"/>
          <w:sz w:val="24"/>
          <w:szCs w:val="24"/>
        </w:rPr>
        <w:t>183</w:t>
      </w:r>
      <w:r w:rsidRPr="00993B03" w:rsidR="00D564CB">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129</w:t>
      </w:r>
      <w:r w:rsidRPr="00993B03" w:rsidR="00D564CB">
        <w:rPr>
          <w:rStyle w:val="HeaderChar"/>
          <w:rFonts w:ascii="Palatino Linotype" w:hAnsi="Palatino Linotype" w:eastAsia="Palatino Linotype" w:cs="Palatino Linotype"/>
          <w:sz w:val="24"/>
          <w:szCs w:val="24"/>
        </w:rPr>
        <w:t xml:space="preserve"> </w:t>
      </w:r>
      <w:r w:rsidRPr="00993B03" w:rsidR="00F37650">
        <w:rPr>
          <w:rStyle w:val="HeaderChar"/>
          <w:rFonts w:ascii="Palatino Linotype" w:hAnsi="Palatino Linotype" w:eastAsia="Palatino Linotype" w:cs="Palatino Linotype"/>
          <w:sz w:val="24"/>
          <w:szCs w:val="24"/>
        </w:rPr>
        <w:t>is</w:t>
      </w:r>
      <w:r w:rsidR="00F37650">
        <w:rPr>
          <w:rStyle w:val="HeaderChar"/>
          <w:rFonts w:ascii="Palatino Linotype" w:hAnsi="Palatino Linotype" w:eastAsia="Palatino Linotype" w:cs="Palatino Linotype"/>
          <w:sz w:val="24"/>
          <w:szCs w:val="24"/>
        </w:rPr>
        <w:t xml:space="preserve"> </w:t>
      </w:r>
      <w:r w:rsidR="00DD0847">
        <w:rPr>
          <w:rStyle w:val="HeaderChar"/>
          <w:rFonts w:ascii="Palatino Linotype" w:hAnsi="Palatino Linotype" w:eastAsia="Palatino Linotype" w:cs="Palatino Linotype"/>
          <w:sz w:val="24"/>
          <w:szCs w:val="24"/>
        </w:rPr>
        <w:t>lower</w:t>
      </w:r>
      <w:r w:rsidR="00F37650">
        <w:rPr>
          <w:rStyle w:val="HeaderChar"/>
          <w:rFonts w:ascii="Palatino Linotype" w:hAnsi="Palatino Linotype" w:eastAsia="Palatino Linotype" w:cs="Palatino Linotype"/>
          <w:sz w:val="24"/>
          <w:szCs w:val="24"/>
        </w:rPr>
        <w:t xml:space="preserve"> than </w:t>
      </w:r>
      <w:proofErr w:type="spellStart"/>
      <w:r w:rsidR="006A66BD">
        <w:rPr>
          <w:rStyle w:val="HeaderChar"/>
          <w:rFonts w:ascii="Palatino Linotype" w:hAnsi="Palatino Linotype" w:eastAsia="Palatino Linotype" w:cs="Palatino Linotype"/>
          <w:sz w:val="24"/>
          <w:szCs w:val="24"/>
        </w:rPr>
        <w:t>Bakman’s</w:t>
      </w:r>
      <w:proofErr w:type="spellEnd"/>
      <w:r w:rsidR="00F37650">
        <w:rPr>
          <w:rStyle w:val="HeaderChar"/>
          <w:rFonts w:ascii="Palatino Linotype" w:hAnsi="Palatino Linotype" w:eastAsia="Palatino Linotype" w:cs="Palatino Linotype"/>
          <w:sz w:val="24"/>
          <w:szCs w:val="24"/>
        </w:rPr>
        <w:t xml:space="preserve"> </w:t>
      </w:r>
      <w:r w:rsidR="008A41E4">
        <w:rPr>
          <w:rStyle w:val="HeaderChar"/>
          <w:rFonts w:ascii="Palatino Linotype" w:hAnsi="Palatino Linotype" w:eastAsia="Palatino Linotype" w:cs="Palatino Linotype"/>
          <w:sz w:val="24"/>
          <w:szCs w:val="24"/>
        </w:rPr>
        <w:t>estimated</w:t>
      </w:r>
      <w:r w:rsidR="00F37650">
        <w:rPr>
          <w:rStyle w:val="HeaderChar"/>
          <w:rFonts w:ascii="Palatino Linotype" w:hAnsi="Palatino Linotype" w:eastAsia="Palatino Linotype" w:cs="Palatino Linotype"/>
          <w:sz w:val="24"/>
          <w:szCs w:val="24"/>
        </w:rPr>
        <w:t xml:space="preserve"> amount of $1</w:t>
      </w:r>
      <w:r w:rsidR="008A41E4">
        <w:rPr>
          <w:rStyle w:val="HeaderChar"/>
          <w:rFonts w:ascii="Palatino Linotype" w:hAnsi="Palatino Linotype" w:eastAsia="Palatino Linotype" w:cs="Palatino Linotype"/>
          <w:sz w:val="24"/>
          <w:szCs w:val="24"/>
        </w:rPr>
        <w:t>83</w:t>
      </w:r>
      <w:r w:rsidR="00F37650">
        <w:rPr>
          <w:rStyle w:val="HeaderChar"/>
          <w:rFonts w:ascii="Palatino Linotype" w:hAnsi="Palatino Linotype" w:eastAsia="Palatino Linotype" w:cs="Palatino Linotype"/>
          <w:sz w:val="24"/>
          <w:szCs w:val="24"/>
        </w:rPr>
        <w:t>,</w:t>
      </w:r>
      <w:r w:rsidR="008A41E4">
        <w:rPr>
          <w:rStyle w:val="HeaderChar"/>
          <w:rFonts w:ascii="Palatino Linotype" w:hAnsi="Palatino Linotype" w:eastAsia="Palatino Linotype" w:cs="Palatino Linotype"/>
          <w:sz w:val="24"/>
          <w:szCs w:val="24"/>
        </w:rPr>
        <w:t>376</w:t>
      </w:r>
      <w:r w:rsidR="00F37650">
        <w:rPr>
          <w:rStyle w:val="HeaderChar"/>
          <w:rFonts w:ascii="Palatino Linotype" w:hAnsi="Palatino Linotype" w:eastAsia="Palatino Linotype" w:cs="Palatino Linotype"/>
          <w:sz w:val="24"/>
          <w:szCs w:val="24"/>
        </w:rPr>
        <w:t xml:space="preserve"> </w:t>
      </w:r>
      <w:r w:rsidR="008E4597">
        <w:rPr>
          <w:rStyle w:val="HeaderChar"/>
          <w:rFonts w:ascii="Palatino Linotype" w:hAnsi="Palatino Linotype" w:eastAsia="Palatino Linotype" w:cs="Palatino Linotype"/>
          <w:sz w:val="24"/>
          <w:szCs w:val="24"/>
        </w:rPr>
        <w:t xml:space="preserve">due to the difference in operating </w:t>
      </w:r>
      <w:r w:rsidR="008A41E4">
        <w:rPr>
          <w:rStyle w:val="HeaderChar"/>
          <w:rFonts w:ascii="Palatino Linotype" w:hAnsi="Palatino Linotype" w:eastAsia="Palatino Linotype" w:cs="Palatino Linotype"/>
          <w:sz w:val="24"/>
          <w:szCs w:val="24"/>
        </w:rPr>
        <w:t>expenses between Bakman and the WD’s</w:t>
      </w:r>
      <w:r w:rsidR="008E4597">
        <w:rPr>
          <w:rStyle w:val="HeaderChar"/>
          <w:rFonts w:ascii="Palatino Linotype" w:hAnsi="Palatino Linotype" w:eastAsia="Palatino Linotype" w:cs="Palatino Linotype"/>
          <w:sz w:val="24"/>
          <w:szCs w:val="24"/>
        </w:rPr>
        <w:t xml:space="preserve"> calculation</w:t>
      </w:r>
      <w:r w:rsidR="008A41E4">
        <w:rPr>
          <w:rStyle w:val="HeaderChar"/>
          <w:rFonts w:ascii="Palatino Linotype" w:hAnsi="Palatino Linotype" w:eastAsia="Palatino Linotype" w:cs="Palatino Linotype"/>
          <w:sz w:val="24"/>
          <w:szCs w:val="24"/>
        </w:rPr>
        <w:t xml:space="preserve">s. The working cash is derived by taking the operating expenses and dividing by 12. </w:t>
      </w:r>
    </w:p>
    <w:p w:rsidRPr="001C3499" w:rsidR="001C3499" w:rsidP="00AB0B24" w:rsidRDefault="001C3499" w14:paraId="523945CC" w14:textId="77777777">
      <w:pPr>
        <w:pStyle w:val="Body"/>
        <w:spacing w:after="0" w:line="240" w:lineRule="auto"/>
        <w:rPr>
          <w:rStyle w:val="HeaderChar"/>
          <w:rFonts w:ascii="Palatino Linotype" w:hAnsi="Palatino Linotype" w:eastAsia="Palatino Linotype" w:cs="Palatino Linotype"/>
          <w:sz w:val="24"/>
          <w:szCs w:val="24"/>
        </w:rPr>
      </w:pPr>
    </w:p>
    <w:p w:rsidR="00011419" w:rsidP="00AB0B24" w:rsidRDefault="00011419" w14:paraId="1B6C13BD" w14:textId="3CBF84DB">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b/>
          <w:bCs/>
          <w:sz w:val="24"/>
          <w:szCs w:val="24"/>
          <w:u w:val="single"/>
        </w:rPr>
        <w:t xml:space="preserve">Rate of </w:t>
      </w:r>
      <w:r w:rsidR="008E4597">
        <w:rPr>
          <w:rStyle w:val="HeaderChar"/>
          <w:rFonts w:ascii="Palatino Linotype" w:hAnsi="Palatino Linotype" w:eastAsia="Palatino Linotype" w:cs="Palatino Linotype"/>
          <w:b/>
          <w:bCs/>
          <w:sz w:val="24"/>
          <w:szCs w:val="24"/>
          <w:u w:val="single"/>
        </w:rPr>
        <w:t>Return</w:t>
      </w:r>
      <w:r w:rsidR="00B46D72">
        <w:rPr>
          <w:rStyle w:val="HeaderChar"/>
          <w:rFonts w:ascii="Palatino Linotype" w:hAnsi="Palatino Linotype" w:eastAsia="Palatino Linotype" w:cs="Palatino Linotype"/>
          <w:b/>
          <w:bCs/>
          <w:sz w:val="24"/>
          <w:szCs w:val="24"/>
          <w:u w:val="single"/>
        </w:rPr>
        <w:t xml:space="preserve"> vs. Rate of Margin</w:t>
      </w:r>
    </w:p>
    <w:p w:rsidR="00011419" w:rsidP="00AB0B24" w:rsidRDefault="00011419" w14:paraId="30C50F42" w14:textId="12E736E3">
      <w:pPr>
        <w:pStyle w:val="Body"/>
        <w:spacing w:after="0" w:line="240" w:lineRule="auto"/>
        <w:rPr>
          <w:rStyle w:val="HeaderChar"/>
          <w:rFonts w:ascii="Palatino Linotype" w:hAnsi="Palatino Linotype" w:eastAsia="Palatino Linotype" w:cs="Palatino Linotype"/>
          <w:sz w:val="24"/>
          <w:szCs w:val="24"/>
        </w:rPr>
      </w:pPr>
    </w:p>
    <w:p w:rsidR="00AB0B24" w:rsidP="00AB0B24" w:rsidRDefault="00011419" w14:paraId="0001F5C1" w14:textId="77777777">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Commission Decision D.92-03-093, effective April 30, 1992, </w:t>
      </w:r>
      <w:r w:rsidR="006E5B24">
        <w:rPr>
          <w:rStyle w:val="HeaderChar"/>
          <w:rFonts w:ascii="Palatino Linotype" w:hAnsi="Palatino Linotype" w:eastAsia="Palatino Linotype" w:cs="Palatino Linotype"/>
          <w:sz w:val="24"/>
          <w:szCs w:val="24"/>
        </w:rPr>
        <w:t>directe</w:t>
      </w:r>
      <w:r>
        <w:rPr>
          <w:rStyle w:val="HeaderChar"/>
          <w:rFonts w:ascii="Palatino Linotype" w:hAnsi="Palatino Linotype" w:eastAsia="Palatino Linotype" w:cs="Palatino Linotype"/>
          <w:sz w:val="24"/>
          <w:szCs w:val="24"/>
        </w:rPr>
        <w:t>d the WD to utilize both the return-on-rate base</w:t>
      </w:r>
      <w:r w:rsidR="00FC100A">
        <w:rPr>
          <w:rStyle w:val="HeaderChar"/>
          <w:rFonts w:ascii="Palatino Linotype" w:hAnsi="Palatino Linotype" w:eastAsia="Palatino Linotype" w:cs="Palatino Linotype"/>
          <w:sz w:val="24"/>
          <w:szCs w:val="24"/>
        </w:rPr>
        <w:t xml:space="preserve"> (ROR)</w:t>
      </w:r>
      <w:r>
        <w:rPr>
          <w:rStyle w:val="HeaderChar"/>
          <w:rFonts w:ascii="Palatino Linotype" w:hAnsi="Palatino Linotype" w:eastAsia="Palatino Linotype" w:cs="Palatino Linotype"/>
          <w:sz w:val="24"/>
          <w:szCs w:val="24"/>
        </w:rPr>
        <w:t xml:space="preserve"> and </w:t>
      </w:r>
      <w:r w:rsidR="00FC100A">
        <w:rPr>
          <w:rStyle w:val="HeaderChar"/>
          <w:rFonts w:ascii="Palatino Linotype" w:hAnsi="Palatino Linotype" w:eastAsia="Palatino Linotype" w:cs="Palatino Linotype"/>
          <w:sz w:val="24"/>
          <w:szCs w:val="24"/>
        </w:rPr>
        <w:t xml:space="preserve">ROM </w:t>
      </w:r>
      <w:r>
        <w:rPr>
          <w:rStyle w:val="HeaderChar"/>
          <w:rFonts w:ascii="Palatino Linotype" w:hAnsi="Palatino Linotype" w:eastAsia="Palatino Linotype" w:cs="Palatino Linotype"/>
          <w:sz w:val="24"/>
          <w:szCs w:val="24"/>
        </w:rPr>
        <w:t>methods of ratemaking for Class C and Class D water utilities requesting new rates and recommend the rate</w:t>
      </w:r>
      <w:r w:rsidR="00FC100A">
        <w:rPr>
          <w:rStyle w:val="HeaderChar"/>
          <w:rFonts w:ascii="Palatino Linotype" w:hAnsi="Palatino Linotype" w:eastAsia="Palatino Linotype" w:cs="Palatino Linotype"/>
          <w:sz w:val="24"/>
          <w:szCs w:val="24"/>
        </w:rPr>
        <w:t>making</w:t>
      </w:r>
      <w:r>
        <w:rPr>
          <w:rStyle w:val="HeaderChar"/>
          <w:rFonts w:ascii="Palatino Linotype" w:hAnsi="Palatino Linotype" w:eastAsia="Palatino Linotype" w:cs="Palatino Linotype"/>
          <w:sz w:val="24"/>
          <w:szCs w:val="24"/>
        </w:rPr>
        <w:t xml:space="preserve"> method that produces the higher revenue requirement.</w:t>
      </w:r>
      <w:r>
        <w:rPr>
          <w:rStyle w:val="FootnoteReference"/>
          <w:rFonts w:ascii="Palatino Linotype" w:hAnsi="Palatino Linotype" w:eastAsia="Palatino Linotype" w:cs="Palatino Linotype"/>
          <w:sz w:val="24"/>
          <w:szCs w:val="24"/>
        </w:rPr>
        <w:footnoteReference w:id="12"/>
      </w:r>
      <w:r>
        <w:rPr>
          <w:rStyle w:val="HeaderChar"/>
          <w:rFonts w:ascii="Palatino Linotype" w:hAnsi="Palatino Linotype" w:eastAsia="Palatino Linotype" w:cs="Palatino Linotype"/>
          <w:sz w:val="24"/>
          <w:szCs w:val="24"/>
        </w:rPr>
        <w:t xml:space="preserve"> </w:t>
      </w:r>
    </w:p>
    <w:p w:rsidR="00AB0B24" w:rsidP="00AB0B24" w:rsidRDefault="00AB0B24" w14:paraId="659CCEA6" w14:textId="77777777">
      <w:pPr>
        <w:pStyle w:val="Body"/>
        <w:spacing w:after="0" w:line="240" w:lineRule="auto"/>
        <w:rPr>
          <w:rStyle w:val="HeaderChar"/>
          <w:rFonts w:ascii="Palatino Linotype" w:hAnsi="Palatino Linotype" w:eastAsia="Palatino Linotype" w:cs="Palatino Linotype"/>
          <w:sz w:val="24"/>
          <w:szCs w:val="24"/>
        </w:rPr>
      </w:pPr>
    </w:p>
    <w:p w:rsidR="00845E14" w:rsidP="00AB0B24" w:rsidRDefault="00845E14" w14:paraId="1C3C01B6" w14:textId="283B5E41">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 xml:space="preserve">The WD’s 2019 memorandum for the recommended </w:t>
      </w:r>
      <w:r w:rsidR="00627E72">
        <w:rPr>
          <w:rStyle w:val="HeaderChar"/>
          <w:rFonts w:ascii="Palatino Linotype" w:hAnsi="Palatino Linotype" w:eastAsia="Palatino Linotype" w:cs="Palatino Linotype"/>
          <w:sz w:val="24"/>
          <w:szCs w:val="24"/>
        </w:rPr>
        <w:t>ROR</w:t>
      </w:r>
      <w:r>
        <w:rPr>
          <w:rStyle w:val="HeaderChar"/>
          <w:rFonts w:ascii="Palatino Linotype" w:hAnsi="Palatino Linotype" w:eastAsia="Palatino Linotype" w:cs="Palatino Linotype"/>
          <w:sz w:val="24"/>
          <w:szCs w:val="24"/>
        </w:rPr>
        <w:t xml:space="preserve"> and ROM for Class C and D water utilities was issued on February 25, 2019. </w:t>
      </w:r>
      <w:r w:rsidR="004B0CEB">
        <w:rPr>
          <w:rStyle w:val="HeaderChar"/>
          <w:rFonts w:ascii="Palatino Linotype" w:hAnsi="Palatino Linotype" w:eastAsia="Palatino Linotype" w:cs="Palatino Linotype"/>
          <w:sz w:val="24"/>
          <w:szCs w:val="24"/>
        </w:rPr>
        <w:t>In determining the recommended ROR and ROM for Class C and D water utilities, the WD considered the Class B water utilities’</w:t>
      </w:r>
      <w:r w:rsidR="008A2722">
        <w:rPr>
          <w:rStyle w:val="HeaderChar"/>
          <w:rFonts w:ascii="Palatino Linotype" w:hAnsi="Palatino Linotype" w:eastAsia="Palatino Linotype" w:cs="Palatino Linotype"/>
          <w:sz w:val="24"/>
          <w:szCs w:val="24"/>
        </w:rPr>
        <w:t xml:space="preserve"> most recent</w:t>
      </w:r>
      <w:r w:rsidR="004B0CEB">
        <w:rPr>
          <w:rStyle w:val="HeaderChar"/>
          <w:rFonts w:ascii="Palatino Linotype" w:hAnsi="Palatino Linotype" w:eastAsia="Palatino Linotype" w:cs="Palatino Linotype"/>
          <w:sz w:val="24"/>
          <w:szCs w:val="24"/>
        </w:rPr>
        <w:t xml:space="preserve"> authorized average ROR of 10.07% and average ROM of 21.86%.</w:t>
      </w:r>
      <w:r w:rsidR="004B0CEB">
        <w:rPr>
          <w:rStyle w:val="FootnoteReference"/>
          <w:rFonts w:ascii="Palatino Linotype" w:hAnsi="Palatino Linotype" w:eastAsia="Palatino Linotype" w:cs="Palatino Linotype"/>
          <w:sz w:val="24"/>
          <w:szCs w:val="24"/>
        </w:rPr>
        <w:footnoteReference w:id="13"/>
      </w:r>
      <w:r w:rsidR="004B0CEB">
        <w:rPr>
          <w:rStyle w:val="HeaderChar"/>
          <w:rFonts w:ascii="Palatino Linotype" w:hAnsi="Palatino Linotype" w:eastAsia="Palatino Linotype" w:cs="Palatino Linotype"/>
          <w:sz w:val="24"/>
          <w:szCs w:val="24"/>
        </w:rPr>
        <w:t xml:space="preserve"> </w:t>
      </w:r>
    </w:p>
    <w:p w:rsidR="00845E14" w:rsidP="00AB0B24" w:rsidRDefault="00845E14" w14:paraId="6DC4D129" w14:textId="3298FD0B">
      <w:pPr>
        <w:pStyle w:val="Body"/>
        <w:spacing w:after="0" w:line="240" w:lineRule="auto"/>
        <w:rPr>
          <w:rStyle w:val="HeaderChar"/>
          <w:rFonts w:ascii="Palatino Linotype" w:hAnsi="Palatino Linotype" w:eastAsia="Palatino Linotype" w:cs="Palatino Linotype"/>
          <w:sz w:val="24"/>
          <w:szCs w:val="24"/>
        </w:rPr>
      </w:pPr>
    </w:p>
    <w:p w:rsidR="009B4486" w:rsidP="00AB0B24" w:rsidRDefault="00AB0B24" w14:paraId="577B629D" w14:textId="036445FB">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Bakman,</w:t>
      </w:r>
      <w:r w:rsidRPr="00A13370" w:rsidR="00A13370">
        <w:rPr>
          <w:rStyle w:val="HeaderChar"/>
          <w:rFonts w:ascii="Palatino Linotype" w:hAnsi="Palatino Linotype" w:eastAsia="Palatino Linotype" w:cs="Palatino Linotype"/>
          <w:sz w:val="24"/>
          <w:szCs w:val="24"/>
        </w:rPr>
        <w:t xml:space="preserve"> in its general rate increase request, utilized the ROM method to determine its requested revenue requirement of $</w:t>
      </w:r>
      <w:r>
        <w:rPr>
          <w:rStyle w:val="HeaderChar"/>
          <w:rFonts w:ascii="Palatino Linotype" w:hAnsi="Palatino Linotype" w:eastAsia="Palatino Linotype" w:cs="Palatino Linotype"/>
          <w:sz w:val="24"/>
          <w:szCs w:val="24"/>
        </w:rPr>
        <w:t>3</w:t>
      </w:r>
      <w:r w:rsidRPr="00A13370" w:rsidR="00A13370">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146</w:t>
      </w:r>
      <w:r w:rsidRPr="00A13370" w:rsidR="00A13370">
        <w:rPr>
          <w:rStyle w:val="HeaderChar"/>
          <w:rFonts w:ascii="Palatino Linotype" w:hAnsi="Palatino Linotype" w:eastAsia="Palatino Linotype" w:cs="Palatino Linotype"/>
          <w:sz w:val="24"/>
          <w:szCs w:val="24"/>
        </w:rPr>
        <w:t>,</w:t>
      </w:r>
      <w:r>
        <w:rPr>
          <w:rStyle w:val="HeaderChar"/>
          <w:rFonts w:ascii="Palatino Linotype" w:hAnsi="Palatino Linotype" w:eastAsia="Palatino Linotype" w:cs="Palatino Linotype"/>
          <w:sz w:val="24"/>
          <w:szCs w:val="24"/>
        </w:rPr>
        <w:t>833</w:t>
      </w:r>
      <w:r w:rsidRPr="00A13370" w:rsidR="00A13370">
        <w:rPr>
          <w:rStyle w:val="HeaderChar"/>
          <w:rFonts w:ascii="Palatino Linotype" w:hAnsi="Palatino Linotype" w:eastAsia="Palatino Linotype" w:cs="Palatino Linotype"/>
          <w:sz w:val="24"/>
          <w:szCs w:val="24"/>
        </w:rPr>
        <w:t xml:space="preserve"> yielding a ROM of </w:t>
      </w:r>
      <w:r w:rsidR="00297814">
        <w:rPr>
          <w:rStyle w:val="HeaderChar"/>
          <w:rFonts w:ascii="Palatino Linotype" w:hAnsi="Palatino Linotype" w:eastAsia="Palatino Linotype" w:cs="Palatino Linotype"/>
          <w:sz w:val="24"/>
          <w:szCs w:val="24"/>
        </w:rPr>
        <w:t>21</w:t>
      </w:r>
      <w:r w:rsidRPr="00A13370" w:rsidR="00A13370">
        <w:rPr>
          <w:rStyle w:val="HeaderChar"/>
          <w:rFonts w:ascii="Palatino Linotype" w:hAnsi="Palatino Linotype" w:eastAsia="Palatino Linotype" w:cs="Palatino Linotype"/>
          <w:sz w:val="24"/>
          <w:szCs w:val="24"/>
        </w:rPr>
        <w:t>.</w:t>
      </w:r>
      <w:r w:rsidR="00297814">
        <w:rPr>
          <w:rStyle w:val="HeaderChar"/>
          <w:rFonts w:ascii="Palatino Linotype" w:hAnsi="Palatino Linotype" w:eastAsia="Palatino Linotype" w:cs="Palatino Linotype"/>
          <w:sz w:val="24"/>
          <w:szCs w:val="24"/>
        </w:rPr>
        <w:t>86</w:t>
      </w:r>
      <w:r w:rsidRPr="00A13370" w:rsidR="00A13370">
        <w:rPr>
          <w:rStyle w:val="HeaderChar"/>
          <w:rFonts w:ascii="Palatino Linotype" w:hAnsi="Palatino Linotype" w:eastAsia="Palatino Linotype" w:cs="Palatino Linotype"/>
          <w:sz w:val="24"/>
          <w:szCs w:val="24"/>
        </w:rPr>
        <w:t xml:space="preserve">%. </w:t>
      </w:r>
      <w:r>
        <w:rPr>
          <w:rStyle w:val="HeaderChar"/>
          <w:rFonts w:ascii="Palatino Linotype" w:hAnsi="Palatino Linotype" w:eastAsia="Palatino Linotype" w:cs="Palatino Linotype"/>
          <w:sz w:val="24"/>
          <w:szCs w:val="24"/>
        </w:rPr>
        <w:t>Utilizing the ROR method yields a</w:t>
      </w:r>
      <w:r w:rsidR="000133A8">
        <w:rPr>
          <w:rStyle w:val="HeaderChar"/>
          <w:rFonts w:ascii="Palatino Linotype" w:hAnsi="Palatino Linotype" w:eastAsia="Palatino Linotype" w:cs="Palatino Linotype"/>
          <w:sz w:val="24"/>
          <w:szCs w:val="24"/>
        </w:rPr>
        <w:t xml:space="preserve"> lower</w:t>
      </w:r>
      <w:r>
        <w:rPr>
          <w:rStyle w:val="HeaderChar"/>
          <w:rFonts w:ascii="Palatino Linotype" w:hAnsi="Palatino Linotype" w:eastAsia="Palatino Linotype" w:cs="Palatino Linotype"/>
          <w:sz w:val="24"/>
          <w:szCs w:val="24"/>
        </w:rPr>
        <w:t xml:space="preserve"> revenue requirement of $2,619,315.</w:t>
      </w:r>
      <w:r w:rsidR="00854B9E">
        <w:rPr>
          <w:rStyle w:val="HeaderChar"/>
          <w:rFonts w:ascii="Palatino Linotype" w:hAnsi="Palatino Linotype" w:eastAsia="Palatino Linotype" w:cs="Palatino Linotype"/>
          <w:sz w:val="24"/>
          <w:szCs w:val="24"/>
        </w:rPr>
        <w:t xml:space="preserve"> </w:t>
      </w:r>
      <w:r>
        <w:rPr>
          <w:rStyle w:val="HeaderChar"/>
          <w:rFonts w:ascii="Palatino Linotype" w:hAnsi="Palatino Linotype" w:eastAsia="Palatino Linotype" w:cs="Palatino Linotype"/>
          <w:sz w:val="24"/>
          <w:szCs w:val="24"/>
        </w:rPr>
        <w:t xml:space="preserve">Therefore, the WD </w:t>
      </w:r>
      <w:r>
        <w:rPr>
          <w:rStyle w:val="HeaderChar"/>
          <w:rFonts w:ascii="Palatino Linotype" w:hAnsi="Palatino Linotype" w:eastAsia="Palatino Linotype" w:cs="Palatino Linotype"/>
          <w:sz w:val="24"/>
          <w:szCs w:val="24"/>
        </w:rPr>
        <w:lastRenderedPageBreak/>
        <w:t xml:space="preserve">recommends the ROM method be used for </w:t>
      </w:r>
      <w:proofErr w:type="spellStart"/>
      <w:r>
        <w:rPr>
          <w:rStyle w:val="HeaderChar"/>
          <w:rFonts w:ascii="Palatino Linotype" w:hAnsi="Palatino Linotype" w:eastAsia="Palatino Linotype" w:cs="Palatino Linotype"/>
          <w:sz w:val="24"/>
          <w:szCs w:val="24"/>
        </w:rPr>
        <w:t>Bakman’s</w:t>
      </w:r>
      <w:proofErr w:type="spellEnd"/>
      <w:r>
        <w:rPr>
          <w:rStyle w:val="HeaderChar"/>
          <w:rFonts w:ascii="Palatino Linotype" w:hAnsi="Palatino Linotype" w:eastAsia="Palatino Linotype" w:cs="Palatino Linotype"/>
          <w:sz w:val="24"/>
          <w:szCs w:val="24"/>
        </w:rPr>
        <w:t xml:space="preserve"> TY 2019 GRC</w:t>
      </w:r>
      <w:r w:rsidR="009147E1">
        <w:rPr>
          <w:rStyle w:val="HeaderChar"/>
          <w:rFonts w:ascii="Palatino Linotype" w:hAnsi="Palatino Linotype" w:eastAsia="Palatino Linotype" w:cs="Palatino Linotype"/>
          <w:sz w:val="24"/>
          <w:szCs w:val="24"/>
        </w:rPr>
        <w:t xml:space="preserve"> yielding an ROM of 21.</w:t>
      </w:r>
      <w:r w:rsidR="00DD0847">
        <w:rPr>
          <w:rStyle w:val="HeaderChar"/>
          <w:rFonts w:ascii="Palatino Linotype" w:hAnsi="Palatino Linotype" w:eastAsia="Palatino Linotype" w:cs="Palatino Linotype"/>
          <w:sz w:val="24"/>
          <w:szCs w:val="24"/>
        </w:rPr>
        <w:t>60</w:t>
      </w:r>
      <w:r w:rsidR="009147E1">
        <w:rPr>
          <w:rStyle w:val="HeaderChar"/>
          <w:rFonts w:ascii="Palatino Linotype" w:hAnsi="Palatino Linotype" w:eastAsia="Palatino Linotype" w:cs="Palatino Linotype"/>
          <w:sz w:val="24"/>
          <w:szCs w:val="24"/>
        </w:rPr>
        <w:t>% and a revenue requirement of $3,1</w:t>
      </w:r>
      <w:r w:rsidR="00DD0847">
        <w:rPr>
          <w:rStyle w:val="HeaderChar"/>
          <w:rFonts w:ascii="Palatino Linotype" w:hAnsi="Palatino Linotype" w:eastAsia="Palatino Linotype" w:cs="Palatino Linotype"/>
          <w:sz w:val="24"/>
          <w:szCs w:val="24"/>
        </w:rPr>
        <w:t>34</w:t>
      </w:r>
      <w:r w:rsidR="009147E1">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434</w:t>
      </w:r>
      <w:r w:rsidR="009147E1">
        <w:rPr>
          <w:rStyle w:val="HeaderChar"/>
          <w:rFonts w:ascii="Palatino Linotype" w:hAnsi="Palatino Linotype" w:eastAsia="Palatino Linotype" w:cs="Palatino Linotype"/>
          <w:sz w:val="24"/>
          <w:szCs w:val="24"/>
        </w:rPr>
        <w:t>.</w:t>
      </w:r>
    </w:p>
    <w:p w:rsidRPr="0006100D" w:rsidR="00793CF1" w:rsidP="00AB0B24" w:rsidRDefault="00793CF1" w14:paraId="2EC95965" w14:textId="7D774A69">
      <w:pPr>
        <w:pStyle w:val="Body"/>
        <w:spacing w:after="0" w:line="240" w:lineRule="auto"/>
        <w:rPr>
          <w:rStyle w:val="HeaderChar"/>
          <w:rFonts w:ascii="Palatino Linotype" w:hAnsi="Palatino Linotype" w:eastAsia="Palatino Linotype" w:cs="Palatino Linotype"/>
          <w:sz w:val="24"/>
          <w:szCs w:val="24"/>
          <w:highlight w:val="yellow"/>
        </w:rPr>
      </w:pPr>
    </w:p>
    <w:p w:rsidRPr="009617C9" w:rsidR="001E2FB4" w:rsidP="00AB0B24" w:rsidRDefault="00AE57DD" w14:paraId="485F6590" w14:textId="35D02882">
      <w:pPr>
        <w:rPr>
          <w:rStyle w:val="HeaderChar"/>
          <w:rFonts w:ascii="Palatino Linotype" w:hAnsi="Palatino Linotype" w:eastAsia="Palatino Linotype" w:cs="Palatino Linotype"/>
          <w:b/>
          <w:u w:val="single"/>
        </w:rPr>
      </w:pPr>
      <w:r w:rsidRPr="009617C9">
        <w:rPr>
          <w:rStyle w:val="HeaderChar"/>
          <w:rFonts w:ascii="Palatino Linotype" w:hAnsi="Palatino Linotype" w:eastAsia="Palatino Linotype" w:cs="Palatino Linotype"/>
          <w:b/>
          <w:u w:val="single"/>
        </w:rPr>
        <w:t>Rates and Rate Design</w:t>
      </w:r>
    </w:p>
    <w:p w:rsidR="00B876E0" w:rsidP="00AB0B24" w:rsidRDefault="00F87FD3" w14:paraId="4E458F16" w14:textId="49400AAA">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br/>
      </w:r>
      <w:proofErr w:type="spellStart"/>
      <w:r w:rsidR="006A66BD">
        <w:rPr>
          <w:rStyle w:val="HeaderChar"/>
          <w:rFonts w:ascii="Palatino Linotype" w:hAnsi="Palatino Linotype" w:eastAsia="Palatino Linotype" w:cs="Palatino Linotype"/>
          <w:sz w:val="24"/>
          <w:szCs w:val="24"/>
        </w:rPr>
        <w:t>Bakman’s</w:t>
      </w:r>
      <w:proofErr w:type="spellEnd"/>
      <w:r w:rsidRPr="009617C9" w:rsidR="00F3222F">
        <w:rPr>
          <w:rStyle w:val="HeaderChar"/>
          <w:rFonts w:ascii="Palatino Linotype" w:hAnsi="Palatino Linotype" w:eastAsia="Palatino Linotype" w:cs="Palatino Linotype"/>
          <w:sz w:val="24"/>
          <w:szCs w:val="24"/>
        </w:rPr>
        <w:t xml:space="preserve"> rate structure consists of </w:t>
      </w:r>
      <w:r w:rsidR="00BB5F68">
        <w:rPr>
          <w:rStyle w:val="HeaderChar"/>
          <w:rFonts w:ascii="Palatino Linotype" w:hAnsi="Palatino Linotype" w:eastAsia="Palatino Linotype" w:cs="Palatino Linotype"/>
          <w:sz w:val="24"/>
          <w:szCs w:val="24"/>
        </w:rPr>
        <w:t>four</w:t>
      </w:r>
      <w:r w:rsidRPr="009617C9" w:rsidR="00AE57DD">
        <w:rPr>
          <w:rStyle w:val="HeaderChar"/>
          <w:rFonts w:ascii="Palatino Linotype" w:hAnsi="Palatino Linotype" w:eastAsia="Palatino Linotype" w:cs="Palatino Linotype"/>
          <w:sz w:val="24"/>
          <w:szCs w:val="24"/>
        </w:rPr>
        <w:t xml:space="preserve"> rate schedule</w:t>
      </w:r>
      <w:r w:rsidRPr="009617C9" w:rsidR="00F3222F">
        <w:rPr>
          <w:rStyle w:val="HeaderChar"/>
          <w:rFonts w:ascii="Palatino Linotype" w:hAnsi="Palatino Linotype" w:eastAsia="Palatino Linotype" w:cs="Palatino Linotype"/>
          <w:sz w:val="24"/>
          <w:szCs w:val="24"/>
        </w:rPr>
        <w:t>s</w:t>
      </w:r>
      <w:r w:rsidRPr="009617C9" w:rsidR="00AE57DD">
        <w:rPr>
          <w:rStyle w:val="HeaderChar"/>
          <w:rFonts w:ascii="Palatino Linotype" w:hAnsi="Palatino Linotype" w:eastAsia="Palatino Linotype" w:cs="Palatino Linotype"/>
          <w:sz w:val="24"/>
          <w:szCs w:val="24"/>
        </w:rPr>
        <w:t xml:space="preserve">: </w:t>
      </w:r>
      <w:r w:rsidRPr="009617C9" w:rsidR="00C836D7">
        <w:rPr>
          <w:rStyle w:val="HeaderChar"/>
          <w:rFonts w:ascii="Palatino Linotype" w:hAnsi="Palatino Linotype" w:eastAsia="Palatino Linotype" w:cs="Palatino Linotype"/>
          <w:sz w:val="24"/>
          <w:szCs w:val="24"/>
        </w:rPr>
        <w:t xml:space="preserve">Schedule No. 1, </w:t>
      </w:r>
      <w:r w:rsidR="00B876E0">
        <w:rPr>
          <w:rStyle w:val="HeaderChar"/>
          <w:rFonts w:ascii="Palatino Linotype" w:hAnsi="Palatino Linotype" w:eastAsia="Palatino Linotype" w:cs="Palatino Linotype"/>
          <w:sz w:val="24"/>
          <w:szCs w:val="24"/>
        </w:rPr>
        <w:t xml:space="preserve">General </w:t>
      </w:r>
      <w:r w:rsidRPr="009617C9" w:rsidR="00CC40E4">
        <w:rPr>
          <w:rStyle w:val="HeaderChar"/>
          <w:rFonts w:ascii="Palatino Linotype" w:hAnsi="Palatino Linotype" w:eastAsia="Palatino Linotype" w:cs="Palatino Linotype"/>
          <w:sz w:val="24"/>
          <w:szCs w:val="24"/>
        </w:rPr>
        <w:t xml:space="preserve">Metered </w:t>
      </w:r>
      <w:r w:rsidRPr="009617C9" w:rsidR="006673BB">
        <w:rPr>
          <w:rStyle w:val="HeaderChar"/>
          <w:rFonts w:ascii="Palatino Linotype" w:hAnsi="Palatino Linotype" w:eastAsia="Palatino Linotype" w:cs="Palatino Linotype"/>
          <w:sz w:val="24"/>
          <w:szCs w:val="24"/>
        </w:rPr>
        <w:t>Service</w:t>
      </w:r>
      <w:r w:rsidR="00B876E0">
        <w:rPr>
          <w:rStyle w:val="HeaderChar"/>
          <w:rFonts w:ascii="Palatino Linotype" w:hAnsi="Palatino Linotype" w:eastAsia="Palatino Linotype" w:cs="Palatino Linotype"/>
          <w:sz w:val="24"/>
          <w:szCs w:val="24"/>
        </w:rPr>
        <w:t xml:space="preserve">, Schedule No. 2, </w:t>
      </w:r>
      <w:r w:rsidR="00BB5F68">
        <w:rPr>
          <w:rStyle w:val="HeaderChar"/>
          <w:rFonts w:ascii="Palatino Linotype" w:hAnsi="Palatino Linotype" w:eastAsia="Palatino Linotype" w:cs="Palatino Linotype"/>
          <w:sz w:val="24"/>
          <w:szCs w:val="24"/>
        </w:rPr>
        <w:t>General</w:t>
      </w:r>
      <w:r w:rsidR="00B876E0">
        <w:rPr>
          <w:rStyle w:val="HeaderChar"/>
          <w:rFonts w:ascii="Palatino Linotype" w:hAnsi="Palatino Linotype" w:eastAsia="Palatino Linotype" w:cs="Palatino Linotype"/>
          <w:sz w:val="24"/>
          <w:szCs w:val="24"/>
        </w:rPr>
        <w:t xml:space="preserve"> Flat Rate Service,</w:t>
      </w:r>
      <w:r w:rsidR="00BB5F68">
        <w:rPr>
          <w:rStyle w:val="HeaderChar"/>
          <w:rFonts w:ascii="Palatino Linotype" w:hAnsi="Palatino Linotype" w:eastAsia="Palatino Linotype" w:cs="Palatino Linotype"/>
          <w:sz w:val="24"/>
          <w:szCs w:val="24"/>
        </w:rPr>
        <w:t xml:space="preserve"> Schedule No. 4, Private Fire Protection</w:t>
      </w:r>
      <w:r w:rsidRPr="009617C9" w:rsidR="00C836D7">
        <w:rPr>
          <w:rStyle w:val="HeaderChar"/>
          <w:rFonts w:ascii="Palatino Linotype" w:hAnsi="Palatino Linotype" w:eastAsia="Palatino Linotype" w:cs="Palatino Linotype"/>
          <w:sz w:val="24"/>
          <w:szCs w:val="24"/>
        </w:rPr>
        <w:t xml:space="preserve"> </w:t>
      </w:r>
      <w:r w:rsidR="00BB5F68">
        <w:rPr>
          <w:rStyle w:val="HeaderChar"/>
          <w:rFonts w:ascii="Palatino Linotype" w:hAnsi="Palatino Linotype" w:eastAsia="Palatino Linotype" w:cs="Palatino Linotype"/>
          <w:sz w:val="24"/>
          <w:szCs w:val="24"/>
        </w:rPr>
        <w:t xml:space="preserve">Service </w:t>
      </w:r>
      <w:r w:rsidRPr="009617C9" w:rsidR="00C836D7">
        <w:rPr>
          <w:rStyle w:val="HeaderChar"/>
          <w:rFonts w:ascii="Palatino Linotype" w:hAnsi="Palatino Linotype" w:eastAsia="Palatino Linotype" w:cs="Palatino Linotype"/>
          <w:sz w:val="24"/>
          <w:szCs w:val="24"/>
        </w:rPr>
        <w:t xml:space="preserve">and </w:t>
      </w:r>
      <w:r w:rsidRPr="009617C9" w:rsidR="00AE57DD">
        <w:rPr>
          <w:rStyle w:val="HeaderChar"/>
          <w:rFonts w:ascii="Palatino Linotype" w:hAnsi="Palatino Linotype" w:eastAsia="Palatino Linotype" w:cs="Palatino Linotype"/>
          <w:sz w:val="24"/>
          <w:szCs w:val="24"/>
        </w:rPr>
        <w:t xml:space="preserve">Schedule No. </w:t>
      </w:r>
      <w:r w:rsidR="00BB5F68">
        <w:rPr>
          <w:rStyle w:val="HeaderChar"/>
          <w:rFonts w:ascii="Palatino Linotype" w:hAnsi="Palatino Linotype" w:eastAsia="Palatino Linotype" w:cs="Palatino Linotype"/>
          <w:sz w:val="24"/>
          <w:szCs w:val="24"/>
        </w:rPr>
        <w:t>5</w:t>
      </w:r>
      <w:r w:rsidRPr="009617C9" w:rsidR="00AE57DD">
        <w:rPr>
          <w:rStyle w:val="HeaderChar"/>
          <w:rFonts w:ascii="Palatino Linotype" w:hAnsi="Palatino Linotype" w:eastAsia="Palatino Linotype" w:cs="Palatino Linotype"/>
          <w:sz w:val="24"/>
          <w:szCs w:val="24"/>
        </w:rPr>
        <w:t xml:space="preserve">, </w:t>
      </w:r>
      <w:r w:rsidRPr="009617C9" w:rsidR="00CC40E4">
        <w:rPr>
          <w:rStyle w:val="HeaderChar"/>
          <w:rFonts w:ascii="Palatino Linotype" w:hAnsi="Palatino Linotype" w:eastAsia="Palatino Linotype" w:cs="Palatino Linotype"/>
          <w:sz w:val="24"/>
          <w:szCs w:val="24"/>
        </w:rPr>
        <w:t>P</w:t>
      </w:r>
      <w:r w:rsidR="00BB5F68">
        <w:rPr>
          <w:rStyle w:val="HeaderChar"/>
          <w:rFonts w:ascii="Palatino Linotype" w:hAnsi="Palatino Linotype" w:eastAsia="Palatino Linotype" w:cs="Palatino Linotype"/>
          <w:sz w:val="24"/>
          <w:szCs w:val="24"/>
        </w:rPr>
        <w:t>ublic</w:t>
      </w:r>
      <w:r w:rsidRPr="009617C9" w:rsidR="00CC40E4">
        <w:rPr>
          <w:rStyle w:val="HeaderChar"/>
          <w:rFonts w:ascii="Palatino Linotype" w:hAnsi="Palatino Linotype" w:eastAsia="Palatino Linotype" w:cs="Palatino Linotype"/>
          <w:sz w:val="24"/>
          <w:szCs w:val="24"/>
        </w:rPr>
        <w:t xml:space="preserve"> Fire Protection </w:t>
      </w:r>
      <w:r w:rsidRPr="009617C9" w:rsidR="00AE57DD">
        <w:rPr>
          <w:rStyle w:val="HeaderChar"/>
          <w:rFonts w:ascii="Palatino Linotype" w:hAnsi="Palatino Linotype" w:eastAsia="Palatino Linotype" w:cs="Palatino Linotype"/>
          <w:sz w:val="24"/>
          <w:szCs w:val="24"/>
        </w:rPr>
        <w:t>Service.</w:t>
      </w:r>
      <w:r w:rsidRPr="009617C9" w:rsidR="0080365F">
        <w:rPr>
          <w:rStyle w:val="HeaderChar"/>
          <w:rFonts w:ascii="Palatino Linotype" w:hAnsi="Palatino Linotype" w:eastAsia="Palatino Linotype" w:cs="Palatino Linotype"/>
          <w:sz w:val="24"/>
          <w:szCs w:val="24"/>
        </w:rPr>
        <w:t xml:space="preserve">  </w:t>
      </w:r>
    </w:p>
    <w:p w:rsidR="00B876E0" w:rsidP="00AB0B24" w:rsidRDefault="00B876E0" w14:paraId="55BB54EC" w14:textId="77777777">
      <w:pPr>
        <w:pStyle w:val="Body"/>
        <w:spacing w:after="0" w:line="240" w:lineRule="auto"/>
        <w:rPr>
          <w:rStyle w:val="HeaderChar"/>
          <w:rFonts w:ascii="Palatino Linotype" w:hAnsi="Palatino Linotype" w:eastAsia="Palatino Linotype" w:cs="Palatino Linotype"/>
          <w:sz w:val="24"/>
          <w:szCs w:val="24"/>
        </w:rPr>
      </w:pPr>
    </w:p>
    <w:p w:rsidRPr="009617C9" w:rsidR="001E2FB4" w:rsidP="00AB0B24" w:rsidRDefault="00AE57DD" w14:paraId="310C0E10" w14:textId="7837A694">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At the recommended RO</w:t>
      </w:r>
      <w:r w:rsidR="00C16644">
        <w:rPr>
          <w:rStyle w:val="HeaderChar"/>
          <w:rFonts w:ascii="Palatino Linotype" w:hAnsi="Palatino Linotype" w:eastAsia="Palatino Linotype" w:cs="Palatino Linotype"/>
          <w:sz w:val="24"/>
          <w:szCs w:val="24"/>
        </w:rPr>
        <w:t>M</w:t>
      </w:r>
      <w:r w:rsidRPr="009617C9" w:rsidR="00805143">
        <w:rPr>
          <w:rStyle w:val="HeaderChar"/>
          <w:rFonts w:ascii="Palatino Linotype" w:hAnsi="Palatino Linotype" w:eastAsia="Palatino Linotype" w:cs="Palatino Linotype"/>
          <w:sz w:val="24"/>
          <w:szCs w:val="24"/>
        </w:rPr>
        <w:t>,</w:t>
      </w:r>
      <w:r w:rsidRPr="009617C9">
        <w:rPr>
          <w:rStyle w:val="HeaderChar"/>
          <w:rFonts w:ascii="Palatino Linotype" w:hAnsi="Palatino Linotype" w:eastAsia="Palatino Linotype" w:cs="Palatino Linotype"/>
          <w:sz w:val="24"/>
          <w:szCs w:val="24"/>
        </w:rPr>
        <w:t xml:space="preserve"> the incr</w:t>
      </w:r>
      <w:r w:rsidRPr="009617C9" w:rsidR="00930F56">
        <w:rPr>
          <w:rStyle w:val="HeaderChar"/>
          <w:rFonts w:ascii="Palatino Linotype" w:hAnsi="Palatino Linotype" w:eastAsia="Palatino Linotype" w:cs="Palatino Linotype"/>
          <w:sz w:val="24"/>
          <w:szCs w:val="24"/>
        </w:rPr>
        <w:t>ease in revenue</w:t>
      </w:r>
      <w:r w:rsidRPr="009617C9" w:rsidR="00805143">
        <w:rPr>
          <w:rStyle w:val="HeaderChar"/>
          <w:rFonts w:ascii="Palatino Linotype" w:hAnsi="Palatino Linotype" w:eastAsia="Palatino Linotype" w:cs="Palatino Linotype"/>
          <w:sz w:val="24"/>
          <w:szCs w:val="24"/>
        </w:rPr>
        <w:t>s</w:t>
      </w:r>
      <w:r w:rsidRPr="009617C9" w:rsidR="00930F56">
        <w:rPr>
          <w:rStyle w:val="HeaderChar"/>
          <w:rFonts w:ascii="Palatino Linotype" w:hAnsi="Palatino Linotype" w:eastAsia="Palatino Linotype" w:cs="Palatino Linotype"/>
          <w:sz w:val="24"/>
          <w:szCs w:val="24"/>
        </w:rPr>
        <w:t xml:space="preserve"> will be $</w:t>
      </w:r>
      <w:r w:rsidR="00DD0847">
        <w:rPr>
          <w:rStyle w:val="HeaderChar"/>
          <w:rFonts w:ascii="Palatino Linotype" w:hAnsi="Palatino Linotype" w:eastAsia="Palatino Linotype" w:cs="Palatino Linotype"/>
          <w:sz w:val="24"/>
          <w:szCs w:val="24"/>
        </w:rPr>
        <w:t>886</w:t>
      </w:r>
      <w:r w:rsidRPr="009617C9" w:rsidR="00F960E0">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707</w:t>
      </w:r>
      <w:r w:rsidRPr="009617C9" w:rsidR="00700B25">
        <w:rPr>
          <w:rStyle w:val="HeaderChar"/>
          <w:rFonts w:ascii="Palatino Linotype" w:hAnsi="Palatino Linotype" w:eastAsia="Palatino Linotype" w:cs="Palatino Linotype"/>
          <w:sz w:val="24"/>
          <w:szCs w:val="24"/>
        </w:rPr>
        <w:t xml:space="preserve"> </w:t>
      </w:r>
      <w:r w:rsidRPr="009617C9" w:rsidR="00930F56">
        <w:rPr>
          <w:rStyle w:val="HeaderChar"/>
          <w:rFonts w:ascii="Palatino Linotype" w:hAnsi="Palatino Linotype" w:eastAsia="Palatino Linotype" w:cs="Palatino Linotype"/>
          <w:sz w:val="24"/>
          <w:szCs w:val="24"/>
        </w:rPr>
        <w:t xml:space="preserve">or </w:t>
      </w:r>
      <w:r w:rsidR="00DD0847">
        <w:rPr>
          <w:rStyle w:val="HeaderChar"/>
          <w:rFonts w:ascii="Palatino Linotype" w:hAnsi="Palatino Linotype" w:eastAsia="Palatino Linotype" w:cs="Palatino Linotype"/>
          <w:sz w:val="24"/>
          <w:szCs w:val="24"/>
        </w:rPr>
        <w:t>39</w:t>
      </w:r>
      <w:r w:rsidR="00B876E0">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48</w:t>
      </w:r>
      <w:r w:rsidR="009C5824">
        <w:rPr>
          <w:rStyle w:val="HeaderChar"/>
          <w:rFonts w:ascii="Palatino Linotype" w:hAnsi="Palatino Linotype" w:eastAsia="Palatino Linotype" w:cs="Palatino Linotype"/>
          <w:sz w:val="24"/>
          <w:szCs w:val="24"/>
        </w:rPr>
        <w:t>%</w:t>
      </w:r>
      <w:r w:rsidRPr="009617C9" w:rsidR="000164D5">
        <w:rPr>
          <w:rStyle w:val="HeaderChar"/>
          <w:rFonts w:ascii="Palatino Linotype" w:hAnsi="Palatino Linotype" w:eastAsia="Palatino Linotype" w:cs="Palatino Linotype"/>
          <w:sz w:val="24"/>
          <w:szCs w:val="24"/>
        </w:rPr>
        <w:t xml:space="preserve"> for TY 201</w:t>
      </w:r>
      <w:r w:rsidR="00B876E0">
        <w:rPr>
          <w:rStyle w:val="HeaderChar"/>
          <w:rFonts w:ascii="Palatino Linotype" w:hAnsi="Palatino Linotype" w:eastAsia="Palatino Linotype" w:cs="Palatino Linotype"/>
          <w:sz w:val="24"/>
          <w:szCs w:val="24"/>
        </w:rPr>
        <w:t>9</w:t>
      </w:r>
      <w:r w:rsidRPr="009617C9">
        <w:rPr>
          <w:rStyle w:val="HeaderChar"/>
          <w:rFonts w:ascii="Palatino Linotype" w:hAnsi="Palatino Linotype" w:eastAsia="Palatino Linotype" w:cs="Palatino Linotype"/>
          <w:sz w:val="24"/>
          <w:szCs w:val="24"/>
        </w:rPr>
        <w:t xml:space="preserve">.  The rates proposed by the </w:t>
      </w:r>
      <w:r w:rsidRPr="009617C9" w:rsidR="00930F56">
        <w:rPr>
          <w:rStyle w:val="HeaderChar"/>
          <w:rFonts w:ascii="Palatino Linotype" w:hAnsi="Palatino Linotype" w:eastAsia="Palatino Linotype" w:cs="Palatino Linotype"/>
          <w:sz w:val="24"/>
          <w:szCs w:val="24"/>
        </w:rPr>
        <w:t>W</w:t>
      </w:r>
      <w:r w:rsidRPr="009617C9">
        <w:rPr>
          <w:rStyle w:val="HeaderChar"/>
          <w:rFonts w:ascii="Palatino Linotype" w:hAnsi="Palatino Linotype" w:eastAsia="Palatino Linotype" w:cs="Palatino Linotype"/>
          <w:sz w:val="24"/>
          <w:szCs w:val="24"/>
        </w:rPr>
        <w:t>D are shown in Appendix B.</w:t>
      </w:r>
      <w:r w:rsidR="00F14375">
        <w:rPr>
          <w:rStyle w:val="HeaderChar"/>
          <w:rFonts w:ascii="Palatino Linotype" w:hAnsi="Palatino Linotype" w:eastAsia="Palatino Linotype" w:cs="Palatino Linotype"/>
          <w:sz w:val="24"/>
          <w:szCs w:val="24"/>
        </w:rPr>
        <w:t xml:space="preserve"> </w:t>
      </w:r>
      <w:r w:rsidRPr="009617C9">
        <w:rPr>
          <w:rStyle w:val="HeaderChar"/>
          <w:rFonts w:ascii="Palatino Linotype" w:hAnsi="Palatino Linotype" w:eastAsia="Palatino Linotype" w:cs="Palatino Linotype"/>
          <w:sz w:val="24"/>
          <w:szCs w:val="24"/>
        </w:rPr>
        <w:t>At t</w:t>
      </w:r>
      <w:r w:rsidRPr="009617C9" w:rsidR="000164D5">
        <w:rPr>
          <w:rStyle w:val="HeaderChar"/>
          <w:rFonts w:ascii="Palatino Linotype" w:hAnsi="Palatino Linotype" w:eastAsia="Palatino Linotype" w:cs="Palatino Linotype"/>
          <w:sz w:val="24"/>
          <w:szCs w:val="24"/>
        </w:rPr>
        <w:t>he recommended rates for TY 201</w:t>
      </w:r>
      <w:r w:rsidR="00F55786">
        <w:rPr>
          <w:rStyle w:val="HeaderChar"/>
          <w:rFonts w:ascii="Palatino Linotype" w:hAnsi="Palatino Linotype" w:eastAsia="Palatino Linotype" w:cs="Palatino Linotype"/>
          <w:sz w:val="24"/>
          <w:szCs w:val="24"/>
        </w:rPr>
        <w:t>9</w:t>
      </w:r>
      <w:r w:rsidRPr="009617C9">
        <w:rPr>
          <w:rStyle w:val="HeaderChar"/>
          <w:rFonts w:ascii="Palatino Linotype" w:hAnsi="Palatino Linotype" w:eastAsia="Palatino Linotype" w:cs="Palatino Linotype"/>
          <w:sz w:val="24"/>
          <w:szCs w:val="24"/>
        </w:rPr>
        <w:t xml:space="preserve">, a </w:t>
      </w:r>
      <w:r w:rsidRPr="009617C9">
        <w:rPr>
          <w:rStyle w:val="HeaderChar"/>
          <w:rFonts w:ascii="Palatino Linotype" w:hAnsi="Palatino Linotype" w:eastAsia="Palatino Linotype" w:cs="Palatino Linotype"/>
          <w:i/>
          <w:sz w:val="24"/>
          <w:szCs w:val="24"/>
          <w:u w:val="single"/>
        </w:rPr>
        <w:t>monthly</w:t>
      </w:r>
      <w:r w:rsidRPr="009617C9">
        <w:rPr>
          <w:rStyle w:val="HeaderChar"/>
          <w:rFonts w:ascii="Palatino Linotype" w:hAnsi="Palatino Linotype" w:eastAsia="Palatino Linotype" w:cs="Palatino Linotype"/>
          <w:sz w:val="24"/>
          <w:szCs w:val="24"/>
        </w:rPr>
        <w:t xml:space="preserve"> bill </w:t>
      </w:r>
      <w:r w:rsidRPr="009617C9" w:rsidR="00543784">
        <w:rPr>
          <w:rStyle w:val="HeaderChar"/>
          <w:rFonts w:ascii="Palatino Linotype" w:hAnsi="Palatino Linotype" w:eastAsia="Palatino Linotype" w:cs="Palatino Linotype"/>
          <w:sz w:val="24"/>
          <w:szCs w:val="24"/>
        </w:rPr>
        <w:t>for</w:t>
      </w:r>
      <w:r w:rsidRPr="009617C9" w:rsidR="006673BB">
        <w:rPr>
          <w:rStyle w:val="HeaderChar"/>
          <w:rFonts w:ascii="Palatino Linotype" w:hAnsi="Palatino Linotype" w:eastAsia="Palatino Linotype" w:cs="Palatino Linotype"/>
          <w:sz w:val="24"/>
          <w:szCs w:val="24"/>
        </w:rPr>
        <w:t xml:space="preserve"> </w:t>
      </w:r>
      <w:r w:rsidRPr="009617C9" w:rsidR="00CC40E4">
        <w:rPr>
          <w:rStyle w:val="HeaderChar"/>
          <w:rFonts w:ascii="Palatino Linotype" w:hAnsi="Palatino Linotype" w:eastAsia="Palatino Linotype" w:cs="Palatino Linotype"/>
          <w:sz w:val="24"/>
          <w:szCs w:val="24"/>
        </w:rPr>
        <w:t>a</w:t>
      </w:r>
      <w:r w:rsidRPr="009617C9" w:rsidR="0075437D">
        <w:rPr>
          <w:rStyle w:val="HeaderChar"/>
          <w:rFonts w:ascii="Palatino Linotype" w:hAnsi="Palatino Linotype" w:eastAsia="Palatino Linotype" w:cs="Palatino Linotype"/>
          <w:sz w:val="24"/>
          <w:szCs w:val="24"/>
        </w:rPr>
        <w:t>n average</w:t>
      </w:r>
      <w:r w:rsidRPr="009617C9" w:rsidR="006673BB">
        <w:rPr>
          <w:rStyle w:val="HeaderChar"/>
          <w:rFonts w:ascii="Palatino Linotype" w:hAnsi="Palatino Linotype" w:eastAsia="Palatino Linotype" w:cs="Palatino Linotype"/>
          <w:sz w:val="24"/>
          <w:szCs w:val="24"/>
        </w:rPr>
        <w:t xml:space="preserve"> </w:t>
      </w:r>
      <w:r w:rsidRPr="009617C9" w:rsidR="0075437D">
        <w:rPr>
          <w:rStyle w:val="HeaderChar"/>
          <w:rFonts w:ascii="Palatino Linotype" w:hAnsi="Palatino Linotype" w:eastAsia="Palatino Linotype" w:cs="Palatino Linotype"/>
          <w:sz w:val="24"/>
          <w:szCs w:val="24"/>
        </w:rPr>
        <w:t xml:space="preserve">residential </w:t>
      </w:r>
      <w:r w:rsidRPr="009617C9" w:rsidR="0023568B">
        <w:rPr>
          <w:rStyle w:val="HeaderChar"/>
          <w:rFonts w:ascii="Palatino Linotype" w:hAnsi="Palatino Linotype" w:eastAsia="Palatino Linotype" w:cs="Palatino Linotype"/>
          <w:sz w:val="24"/>
          <w:szCs w:val="24"/>
        </w:rPr>
        <w:t>customer</w:t>
      </w:r>
      <w:r w:rsidRPr="009617C9" w:rsidR="00CC40E4">
        <w:rPr>
          <w:rStyle w:val="HeaderChar"/>
          <w:rFonts w:ascii="Palatino Linotype" w:hAnsi="Palatino Linotype" w:eastAsia="Palatino Linotype" w:cs="Palatino Linotype"/>
          <w:sz w:val="24"/>
          <w:szCs w:val="24"/>
        </w:rPr>
        <w:t xml:space="preserve"> with a </w:t>
      </w:r>
      <w:r w:rsidR="00F55786">
        <w:rPr>
          <w:rStyle w:val="HeaderChar"/>
          <w:rFonts w:ascii="Palatino Linotype" w:hAnsi="Palatino Linotype" w:eastAsia="Palatino Linotype" w:cs="Palatino Linotype"/>
          <w:sz w:val="24"/>
          <w:szCs w:val="24"/>
        </w:rPr>
        <w:t>1</w:t>
      </w:r>
      <w:r w:rsidRPr="009617C9" w:rsidR="00CC40E4">
        <w:rPr>
          <w:rStyle w:val="HeaderChar"/>
          <w:rFonts w:ascii="Palatino Linotype" w:hAnsi="Palatino Linotype" w:eastAsia="Palatino Linotype" w:cs="Palatino Linotype"/>
          <w:sz w:val="24"/>
          <w:szCs w:val="24"/>
        </w:rPr>
        <w:t xml:space="preserve">-inch meter size </w:t>
      </w:r>
      <w:r w:rsidRPr="009617C9" w:rsidR="0075437D">
        <w:rPr>
          <w:rStyle w:val="HeaderChar"/>
          <w:rFonts w:ascii="Palatino Linotype" w:hAnsi="Palatino Linotype" w:eastAsia="Palatino Linotype" w:cs="Palatino Linotype"/>
          <w:sz w:val="24"/>
          <w:szCs w:val="24"/>
        </w:rPr>
        <w:t xml:space="preserve">using </w:t>
      </w:r>
      <w:r w:rsidR="00A179AC">
        <w:rPr>
          <w:rStyle w:val="HeaderChar"/>
          <w:rFonts w:ascii="Palatino Linotype" w:hAnsi="Palatino Linotype" w:eastAsia="Palatino Linotype" w:cs="Palatino Linotype"/>
          <w:sz w:val="24"/>
          <w:szCs w:val="24"/>
        </w:rPr>
        <w:t>21</w:t>
      </w:r>
      <w:r w:rsidRPr="009617C9" w:rsidR="0075437D">
        <w:rPr>
          <w:rStyle w:val="HeaderChar"/>
          <w:rFonts w:ascii="Palatino Linotype" w:hAnsi="Palatino Linotype" w:eastAsia="Palatino Linotype" w:cs="Palatino Linotype"/>
          <w:sz w:val="24"/>
          <w:szCs w:val="24"/>
        </w:rPr>
        <w:t xml:space="preserve"> </w:t>
      </w:r>
      <w:r w:rsidR="004D4B9C">
        <w:rPr>
          <w:rStyle w:val="HeaderChar"/>
          <w:rFonts w:ascii="Palatino Linotype" w:hAnsi="Palatino Linotype" w:eastAsia="Palatino Linotype" w:cs="Palatino Linotype"/>
          <w:sz w:val="24"/>
          <w:szCs w:val="24"/>
        </w:rPr>
        <w:t>centum cubic feet (</w:t>
      </w:r>
      <w:r w:rsidRPr="009617C9" w:rsidR="0075437D">
        <w:rPr>
          <w:rStyle w:val="HeaderChar"/>
          <w:rFonts w:ascii="Palatino Linotype" w:hAnsi="Palatino Linotype" w:eastAsia="Palatino Linotype" w:cs="Palatino Linotype"/>
          <w:sz w:val="24"/>
          <w:szCs w:val="24"/>
        </w:rPr>
        <w:t>CCF</w:t>
      </w:r>
      <w:r w:rsidR="004D4B9C">
        <w:rPr>
          <w:rStyle w:val="HeaderChar"/>
          <w:rFonts w:ascii="Palatino Linotype" w:hAnsi="Palatino Linotype" w:eastAsia="Palatino Linotype" w:cs="Palatino Linotype"/>
          <w:sz w:val="24"/>
          <w:szCs w:val="24"/>
        </w:rPr>
        <w:t>)</w:t>
      </w:r>
      <w:r w:rsidR="004D4B9C">
        <w:rPr>
          <w:rStyle w:val="FootnoteReference"/>
          <w:rFonts w:ascii="Palatino Linotype" w:hAnsi="Palatino Linotype" w:eastAsia="Palatino Linotype" w:cs="Palatino Linotype"/>
          <w:sz w:val="24"/>
          <w:szCs w:val="24"/>
        </w:rPr>
        <w:footnoteReference w:id="14"/>
      </w:r>
      <w:r w:rsidRPr="009617C9" w:rsidR="0075437D">
        <w:rPr>
          <w:rStyle w:val="HeaderChar"/>
          <w:rFonts w:ascii="Palatino Linotype" w:hAnsi="Palatino Linotype" w:eastAsia="Palatino Linotype" w:cs="Palatino Linotype"/>
          <w:sz w:val="24"/>
          <w:szCs w:val="24"/>
        </w:rPr>
        <w:t xml:space="preserve"> </w:t>
      </w:r>
      <w:r w:rsidRPr="009617C9" w:rsidR="00374AF9">
        <w:rPr>
          <w:rStyle w:val="HeaderChar"/>
          <w:rFonts w:ascii="Palatino Linotype" w:hAnsi="Palatino Linotype" w:eastAsia="Palatino Linotype" w:cs="Palatino Linotype"/>
          <w:sz w:val="24"/>
          <w:szCs w:val="24"/>
        </w:rPr>
        <w:t>will increase from $</w:t>
      </w:r>
      <w:r w:rsidR="00297814">
        <w:rPr>
          <w:rStyle w:val="HeaderChar"/>
          <w:rFonts w:ascii="Palatino Linotype" w:hAnsi="Palatino Linotype" w:eastAsia="Palatino Linotype" w:cs="Palatino Linotype"/>
          <w:sz w:val="24"/>
          <w:szCs w:val="24"/>
        </w:rPr>
        <w:t>37</w:t>
      </w:r>
      <w:r w:rsidRPr="009617C9" w:rsidR="0075437D">
        <w:rPr>
          <w:rStyle w:val="HeaderChar"/>
          <w:rFonts w:ascii="Palatino Linotype" w:hAnsi="Palatino Linotype" w:eastAsia="Palatino Linotype" w:cs="Palatino Linotype"/>
          <w:sz w:val="24"/>
          <w:szCs w:val="24"/>
        </w:rPr>
        <w:t>.</w:t>
      </w:r>
      <w:r w:rsidR="00297814">
        <w:rPr>
          <w:rStyle w:val="HeaderChar"/>
          <w:rFonts w:ascii="Palatino Linotype" w:hAnsi="Palatino Linotype" w:eastAsia="Palatino Linotype" w:cs="Palatino Linotype"/>
          <w:sz w:val="24"/>
          <w:szCs w:val="24"/>
        </w:rPr>
        <w:t>19</w:t>
      </w:r>
      <w:r w:rsidRPr="009617C9" w:rsidR="00374AF9">
        <w:rPr>
          <w:rStyle w:val="HeaderChar"/>
          <w:rFonts w:ascii="Palatino Linotype" w:hAnsi="Palatino Linotype" w:eastAsia="Palatino Linotype" w:cs="Palatino Linotype"/>
          <w:sz w:val="24"/>
          <w:szCs w:val="24"/>
        </w:rPr>
        <w:t xml:space="preserve"> to</w:t>
      </w:r>
      <w:r w:rsidRPr="009617C9" w:rsidR="00337844">
        <w:rPr>
          <w:rStyle w:val="HeaderChar"/>
          <w:rFonts w:ascii="Palatino Linotype" w:hAnsi="Palatino Linotype" w:eastAsia="Palatino Linotype" w:cs="Palatino Linotype"/>
          <w:sz w:val="24"/>
          <w:szCs w:val="24"/>
        </w:rPr>
        <w:t xml:space="preserve"> $</w:t>
      </w:r>
      <w:r w:rsidR="00297814">
        <w:rPr>
          <w:rStyle w:val="HeaderChar"/>
          <w:rFonts w:ascii="Palatino Linotype" w:hAnsi="Palatino Linotype" w:eastAsia="Palatino Linotype" w:cs="Palatino Linotype"/>
          <w:sz w:val="24"/>
          <w:szCs w:val="24"/>
        </w:rPr>
        <w:t>4</w:t>
      </w:r>
      <w:r w:rsidR="00C16644">
        <w:rPr>
          <w:rStyle w:val="HeaderChar"/>
          <w:rFonts w:ascii="Palatino Linotype" w:hAnsi="Palatino Linotype" w:eastAsia="Palatino Linotype" w:cs="Palatino Linotype"/>
          <w:sz w:val="24"/>
          <w:szCs w:val="24"/>
        </w:rPr>
        <w:t>8</w:t>
      </w:r>
      <w:r w:rsidRPr="009617C9" w:rsidR="0075437D">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16</w:t>
      </w:r>
      <w:r w:rsidRPr="009617C9" w:rsidR="001E644A">
        <w:rPr>
          <w:rStyle w:val="HeaderChar"/>
          <w:rFonts w:ascii="Palatino Linotype" w:hAnsi="Palatino Linotype" w:eastAsia="Palatino Linotype" w:cs="Palatino Linotype"/>
          <w:sz w:val="24"/>
          <w:szCs w:val="24"/>
        </w:rPr>
        <w:t>,</w:t>
      </w:r>
      <w:r w:rsidRPr="009617C9" w:rsidR="0075437D">
        <w:rPr>
          <w:rStyle w:val="HeaderChar"/>
          <w:rFonts w:ascii="Palatino Linotype" w:hAnsi="Palatino Linotype" w:eastAsia="Palatino Linotype" w:cs="Palatino Linotype"/>
          <w:sz w:val="24"/>
          <w:szCs w:val="24"/>
        </w:rPr>
        <w:t xml:space="preserve"> or </w:t>
      </w:r>
      <w:r w:rsidR="00DD0847">
        <w:rPr>
          <w:rStyle w:val="HeaderChar"/>
          <w:rFonts w:ascii="Palatino Linotype" w:hAnsi="Palatino Linotype" w:eastAsia="Palatino Linotype" w:cs="Palatino Linotype"/>
          <w:sz w:val="24"/>
          <w:szCs w:val="24"/>
        </w:rPr>
        <w:t>29</w:t>
      </w:r>
      <w:r w:rsidR="00297814">
        <w:rPr>
          <w:rStyle w:val="HeaderChar"/>
          <w:rFonts w:ascii="Palatino Linotype" w:hAnsi="Palatino Linotype" w:eastAsia="Palatino Linotype" w:cs="Palatino Linotype"/>
          <w:sz w:val="24"/>
          <w:szCs w:val="24"/>
        </w:rPr>
        <w:t>.</w:t>
      </w:r>
      <w:r w:rsidR="00DD0847">
        <w:rPr>
          <w:rStyle w:val="HeaderChar"/>
          <w:rFonts w:ascii="Palatino Linotype" w:hAnsi="Palatino Linotype" w:eastAsia="Palatino Linotype" w:cs="Palatino Linotype"/>
          <w:sz w:val="24"/>
          <w:szCs w:val="24"/>
        </w:rPr>
        <w:t>50</w:t>
      </w:r>
      <w:r w:rsidRPr="009617C9" w:rsidR="00374AF9">
        <w:rPr>
          <w:rStyle w:val="HeaderChar"/>
          <w:rFonts w:ascii="Palatino Linotype" w:hAnsi="Palatino Linotype" w:eastAsia="Palatino Linotype" w:cs="Palatino Linotype"/>
          <w:sz w:val="24"/>
          <w:szCs w:val="24"/>
        </w:rPr>
        <w:t>%</w:t>
      </w:r>
      <w:r w:rsidRPr="009617C9">
        <w:rPr>
          <w:rStyle w:val="HeaderChar"/>
          <w:rFonts w:ascii="Palatino Linotype" w:hAnsi="Palatino Linotype" w:eastAsia="Palatino Linotype" w:cs="Palatino Linotype"/>
          <w:sz w:val="24"/>
          <w:szCs w:val="24"/>
        </w:rPr>
        <w:t>.</w:t>
      </w:r>
      <w:r w:rsidR="00676581">
        <w:rPr>
          <w:rStyle w:val="HeaderChar"/>
          <w:rFonts w:ascii="Palatino Linotype" w:hAnsi="Palatino Linotype" w:eastAsia="Palatino Linotype" w:cs="Palatino Linotype"/>
          <w:sz w:val="24"/>
          <w:szCs w:val="24"/>
        </w:rPr>
        <w:t xml:space="preserve"> The service charge for a residential customer with a 1-inch meter decreases from $14.72 to $13.38, or -9.08%.</w:t>
      </w:r>
      <w:r w:rsidR="009642CE">
        <w:rPr>
          <w:rStyle w:val="HeaderChar"/>
          <w:rFonts w:ascii="Palatino Linotype" w:hAnsi="Palatino Linotype" w:eastAsia="Palatino Linotype" w:cs="Palatino Linotype"/>
          <w:sz w:val="24"/>
          <w:szCs w:val="24"/>
        </w:rPr>
        <w:t xml:space="preserve"> For an average flat-rate residential customer, an </w:t>
      </w:r>
      <w:r w:rsidR="009642CE">
        <w:rPr>
          <w:rStyle w:val="HeaderChar"/>
          <w:rFonts w:ascii="Palatino Linotype" w:hAnsi="Palatino Linotype" w:eastAsia="Palatino Linotype" w:cs="Palatino Linotype"/>
          <w:i/>
          <w:iCs/>
          <w:sz w:val="24"/>
          <w:szCs w:val="24"/>
          <w:u w:val="single"/>
        </w:rPr>
        <w:t>annual</w:t>
      </w:r>
      <w:r w:rsidR="009642CE">
        <w:rPr>
          <w:rStyle w:val="HeaderChar"/>
          <w:rFonts w:ascii="Palatino Linotype" w:hAnsi="Palatino Linotype" w:eastAsia="Palatino Linotype" w:cs="Palatino Linotype"/>
          <w:sz w:val="24"/>
          <w:szCs w:val="24"/>
        </w:rPr>
        <w:t xml:space="preserve"> bill will increase from $</w:t>
      </w:r>
      <w:r w:rsidR="00297814">
        <w:rPr>
          <w:rStyle w:val="HeaderChar"/>
          <w:rFonts w:ascii="Palatino Linotype" w:hAnsi="Palatino Linotype" w:eastAsia="Palatino Linotype" w:cs="Palatino Linotype"/>
          <w:sz w:val="24"/>
          <w:szCs w:val="24"/>
        </w:rPr>
        <w:t>365</w:t>
      </w:r>
      <w:r w:rsidR="009642CE">
        <w:rPr>
          <w:rStyle w:val="HeaderChar"/>
          <w:rFonts w:ascii="Palatino Linotype" w:hAnsi="Palatino Linotype" w:eastAsia="Palatino Linotype" w:cs="Palatino Linotype"/>
          <w:sz w:val="24"/>
          <w:szCs w:val="24"/>
        </w:rPr>
        <w:t>.</w:t>
      </w:r>
      <w:r w:rsidR="00297814">
        <w:rPr>
          <w:rStyle w:val="HeaderChar"/>
          <w:rFonts w:ascii="Palatino Linotype" w:hAnsi="Palatino Linotype" w:eastAsia="Palatino Linotype" w:cs="Palatino Linotype"/>
          <w:sz w:val="24"/>
          <w:szCs w:val="24"/>
        </w:rPr>
        <w:t>52</w:t>
      </w:r>
      <w:r w:rsidR="009642CE">
        <w:rPr>
          <w:rStyle w:val="HeaderChar"/>
          <w:rFonts w:ascii="Palatino Linotype" w:hAnsi="Palatino Linotype" w:eastAsia="Palatino Linotype" w:cs="Palatino Linotype"/>
          <w:sz w:val="24"/>
          <w:szCs w:val="24"/>
        </w:rPr>
        <w:t xml:space="preserve"> to $</w:t>
      </w:r>
      <w:r w:rsidR="00297814">
        <w:rPr>
          <w:rStyle w:val="HeaderChar"/>
          <w:rFonts w:ascii="Palatino Linotype" w:hAnsi="Palatino Linotype" w:eastAsia="Palatino Linotype" w:cs="Palatino Linotype"/>
          <w:sz w:val="24"/>
          <w:szCs w:val="24"/>
        </w:rPr>
        <w:t>5</w:t>
      </w:r>
      <w:r w:rsidR="007E39FA">
        <w:rPr>
          <w:rStyle w:val="HeaderChar"/>
          <w:rFonts w:ascii="Palatino Linotype" w:hAnsi="Palatino Linotype" w:eastAsia="Palatino Linotype" w:cs="Palatino Linotype"/>
          <w:sz w:val="24"/>
          <w:szCs w:val="24"/>
        </w:rPr>
        <w:t>0</w:t>
      </w:r>
      <w:r w:rsidR="00676581">
        <w:rPr>
          <w:rStyle w:val="HeaderChar"/>
          <w:rFonts w:ascii="Palatino Linotype" w:hAnsi="Palatino Linotype" w:eastAsia="Palatino Linotype" w:cs="Palatino Linotype"/>
          <w:sz w:val="24"/>
          <w:szCs w:val="24"/>
        </w:rPr>
        <w:t>8</w:t>
      </w:r>
      <w:r w:rsidR="009642CE">
        <w:rPr>
          <w:rStyle w:val="HeaderChar"/>
          <w:rFonts w:ascii="Palatino Linotype" w:hAnsi="Palatino Linotype" w:eastAsia="Palatino Linotype" w:cs="Palatino Linotype"/>
          <w:sz w:val="24"/>
          <w:szCs w:val="24"/>
        </w:rPr>
        <w:t>.</w:t>
      </w:r>
      <w:r w:rsidR="00676581">
        <w:rPr>
          <w:rStyle w:val="HeaderChar"/>
          <w:rFonts w:ascii="Palatino Linotype" w:hAnsi="Palatino Linotype" w:eastAsia="Palatino Linotype" w:cs="Palatino Linotype"/>
          <w:sz w:val="24"/>
          <w:szCs w:val="24"/>
        </w:rPr>
        <w:t>07</w:t>
      </w:r>
      <w:r w:rsidR="009642CE">
        <w:rPr>
          <w:rStyle w:val="HeaderChar"/>
          <w:rFonts w:ascii="Palatino Linotype" w:hAnsi="Palatino Linotype" w:eastAsia="Palatino Linotype" w:cs="Palatino Linotype"/>
          <w:sz w:val="24"/>
          <w:szCs w:val="24"/>
        </w:rPr>
        <w:t xml:space="preserve">, or </w:t>
      </w:r>
      <w:r w:rsidR="007E39FA">
        <w:rPr>
          <w:rStyle w:val="HeaderChar"/>
          <w:rFonts w:ascii="Palatino Linotype" w:hAnsi="Palatino Linotype" w:eastAsia="Palatino Linotype" w:cs="Palatino Linotype"/>
          <w:sz w:val="24"/>
          <w:szCs w:val="24"/>
        </w:rPr>
        <w:t>39</w:t>
      </w:r>
      <w:r w:rsidR="009642CE">
        <w:rPr>
          <w:rStyle w:val="HeaderChar"/>
          <w:rFonts w:ascii="Palatino Linotype" w:hAnsi="Palatino Linotype" w:eastAsia="Palatino Linotype" w:cs="Palatino Linotype"/>
          <w:sz w:val="24"/>
          <w:szCs w:val="24"/>
        </w:rPr>
        <w:t>.</w:t>
      </w:r>
      <w:r w:rsidR="00676581">
        <w:rPr>
          <w:rStyle w:val="HeaderChar"/>
          <w:rFonts w:ascii="Palatino Linotype" w:hAnsi="Palatino Linotype" w:eastAsia="Palatino Linotype" w:cs="Palatino Linotype"/>
          <w:sz w:val="24"/>
          <w:szCs w:val="24"/>
        </w:rPr>
        <w:t>0</w:t>
      </w:r>
      <w:r w:rsidR="009642CE">
        <w:rPr>
          <w:rStyle w:val="HeaderChar"/>
          <w:rFonts w:ascii="Palatino Linotype" w:hAnsi="Palatino Linotype" w:eastAsia="Palatino Linotype" w:cs="Palatino Linotype"/>
          <w:sz w:val="24"/>
          <w:szCs w:val="24"/>
        </w:rPr>
        <w:t xml:space="preserve">0%. </w:t>
      </w:r>
      <w:r w:rsidRPr="009617C9">
        <w:rPr>
          <w:rStyle w:val="HeaderChar"/>
          <w:rFonts w:ascii="Palatino Linotype" w:hAnsi="Palatino Linotype" w:eastAsia="Palatino Linotype" w:cs="Palatino Linotype"/>
          <w:sz w:val="24"/>
          <w:szCs w:val="24"/>
        </w:rPr>
        <w:t xml:space="preserve">A </w:t>
      </w:r>
      <w:r w:rsidRPr="009617C9" w:rsidR="000304D7">
        <w:rPr>
          <w:rStyle w:val="HeaderChar"/>
          <w:rFonts w:ascii="Palatino Linotype" w:hAnsi="Palatino Linotype" w:eastAsia="Palatino Linotype" w:cs="Palatino Linotype"/>
          <w:sz w:val="24"/>
          <w:szCs w:val="24"/>
        </w:rPr>
        <w:t>comparison of customer bills at present and recommended rates is provided in Appendix C of this resolution.</w:t>
      </w:r>
    </w:p>
    <w:p w:rsidRPr="009617C9" w:rsidR="00FD7F9E" w:rsidP="00AB0B24" w:rsidRDefault="00FD7F9E" w14:paraId="36843F79" w14:textId="77777777">
      <w:pPr>
        <w:pStyle w:val="Body"/>
        <w:spacing w:after="0" w:line="240" w:lineRule="auto"/>
        <w:rPr>
          <w:rStyle w:val="HeaderChar"/>
          <w:rFonts w:ascii="Palatino Linotype" w:hAnsi="Palatino Linotype" w:eastAsia="Palatino Linotype" w:cs="Palatino Linotype"/>
          <w:sz w:val="24"/>
          <w:szCs w:val="24"/>
        </w:rPr>
      </w:pPr>
    </w:p>
    <w:p w:rsidRPr="009617C9" w:rsidR="00FD7F9E" w:rsidP="00AB0B24" w:rsidRDefault="00E2364F" w14:paraId="0A83DFA0" w14:textId="37C04B92">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The </w:t>
      </w:r>
      <w:r w:rsidRPr="009617C9" w:rsidR="0020488E">
        <w:rPr>
          <w:rStyle w:val="HeaderChar"/>
          <w:rFonts w:ascii="Palatino Linotype" w:hAnsi="Palatino Linotype" w:eastAsia="Palatino Linotype" w:cs="Palatino Linotype"/>
          <w:sz w:val="24"/>
          <w:szCs w:val="24"/>
        </w:rPr>
        <w:t>Utility R</w:t>
      </w:r>
      <w:r w:rsidRPr="009617C9">
        <w:rPr>
          <w:rStyle w:val="HeaderChar"/>
          <w:rFonts w:ascii="Palatino Linotype" w:hAnsi="Palatino Linotype" w:eastAsia="Palatino Linotype" w:cs="Palatino Linotype"/>
          <w:sz w:val="24"/>
          <w:szCs w:val="24"/>
        </w:rPr>
        <w:t xml:space="preserve">ate </w:t>
      </w:r>
      <w:r w:rsidRPr="009617C9" w:rsidR="0020488E">
        <w:rPr>
          <w:rStyle w:val="HeaderChar"/>
          <w:rFonts w:ascii="Palatino Linotype" w:hAnsi="Palatino Linotype" w:eastAsia="Palatino Linotype" w:cs="Palatino Linotype"/>
          <w:sz w:val="24"/>
          <w:szCs w:val="24"/>
        </w:rPr>
        <w:t>C</w:t>
      </w:r>
      <w:r w:rsidRPr="009617C9">
        <w:rPr>
          <w:rStyle w:val="HeaderChar"/>
          <w:rFonts w:ascii="Palatino Linotype" w:hAnsi="Palatino Linotype" w:eastAsia="Palatino Linotype" w:cs="Palatino Linotype"/>
          <w:sz w:val="24"/>
          <w:szCs w:val="24"/>
        </w:rPr>
        <w:t xml:space="preserve">omparison table below provides a </w:t>
      </w:r>
      <w:r w:rsidRPr="009617C9">
        <w:rPr>
          <w:rStyle w:val="HeaderChar"/>
          <w:rFonts w:ascii="Palatino Linotype" w:hAnsi="Palatino Linotype" w:eastAsia="Palatino Linotype" w:cs="Palatino Linotype"/>
          <w:i/>
          <w:sz w:val="24"/>
          <w:szCs w:val="24"/>
          <w:u w:val="single"/>
        </w:rPr>
        <w:t>monthly</w:t>
      </w:r>
      <w:r w:rsidRPr="009617C9">
        <w:rPr>
          <w:rStyle w:val="HeaderChar"/>
          <w:rFonts w:ascii="Palatino Linotype" w:hAnsi="Palatino Linotype" w:eastAsia="Palatino Linotype" w:cs="Palatino Linotype"/>
          <w:sz w:val="24"/>
          <w:szCs w:val="24"/>
        </w:rPr>
        <w:t xml:space="preserve"> rate comparison with nearby water utilities</w:t>
      </w:r>
      <w:r w:rsidR="001B00A0">
        <w:rPr>
          <w:rStyle w:val="HeaderChar"/>
          <w:rFonts w:ascii="Palatino Linotype" w:hAnsi="Palatino Linotype" w:eastAsia="Palatino Linotype" w:cs="Palatino Linotype"/>
          <w:sz w:val="24"/>
          <w:szCs w:val="24"/>
        </w:rPr>
        <w:t xml:space="preserve"> for metered customers and an </w:t>
      </w:r>
      <w:r w:rsidRPr="00F234ED" w:rsidR="001B00A0">
        <w:rPr>
          <w:rStyle w:val="HeaderChar"/>
          <w:rFonts w:ascii="Palatino Linotype" w:hAnsi="Palatino Linotype" w:eastAsia="Palatino Linotype" w:cs="Palatino Linotype"/>
          <w:i/>
          <w:iCs/>
          <w:sz w:val="24"/>
          <w:szCs w:val="24"/>
          <w:u w:val="single"/>
        </w:rPr>
        <w:t>annual</w:t>
      </w:r>
      <w:r w:rsidR="00F234ED">
        <w:rPr>
          <w:rStyle w:val="HeaderChar"/>
          <w:rFonts w:ascii="Palatino Linotype" w:hAnsi="Palatino Linotype" w:eastAsia="Palatino Linotype" w:cs="Palatino Linotype"/>
          <w:sz w:val="24"/>
          <w:szCs w:val="24"/>
        </w:rPr>
        <w:t xml:space="preserve"> </w:t>
      </w:r>
      <w:r w:rsidRPr="00F234ED" w:rsidR="001B00A0">
        <w:rPr>
          <w:rStyle w:val="HeaderChar"/>
          <w:rFonts w:ascii="Palatino Linotype" w:hAnsi="Palatino Linotype" w:eastAsia="Palatino Linotype" w:cs="Palatino Linotype"/>
          <w:sz w:val="24"/>
          <w:szCs w:val="24"/>
        </w:rPr>
        <w:t>rate</w:t>
      </w:r>
      <w:r w:rsidR="001B00A0">
        <w:rPr>
          <w:rStyle w:val="HeaderChar"/>
          <w:rFonts w:ascii="Palatino Linotype" w:hAnsi="Palatino Linotype" w:eastAsia="Palatino Linotype" w:cs="Palatino Linotype"/>
          <w:sz w:val="24"/>
          <w:szCs w:val="24"/>
        </w:rPr>
        <w:t xml:space="preserve"> comparison for flat-rate customers.</w:t>
      </w:r>
      <w:r w:rsidRPr="009617C9" w:rsidR="0020488E">
        <w:rPr>
          <w:rStyle w:val="HeaderChar"/>
          <w:rFonts w:ascii="Palatino Linotype" w:hAnsi="Palatino Linotype" w:eastAsia="Palatino Linotype" w:cs="Palatino Linotype"/>
          <w:sz w:val="24"/>
          <w:szCs w:val="24"/>
        </w:rPr>
        <w:tab/>
      </w:r>
      <w:r w:rsidRPr="009617C9" w:rsidR="0020488E">
        <w:rPr>
          <w:rStyle w:val="HeaderChar"/>
          <w:rFonts w:ascii="Palatino Linotype" w:hAnsi="Palatino Linotype" w:eastAsia="Palatino Linotype" w:cs="Palatino Linotype"/>
          <w:sz w:val="24"/>
          <w:szCs w:val="24"/>
        </w:rPr>
        <w:tab/>
      </w:r>
      <w:r w:rsidRPr="009617C9" w:rsidR="0020488E">
        <w:rPr>
          <w:rStyle w:val="HeaderChar"/>
          <w:rFonts w:ascii="Palatino Linotype" w:hAnsi="Palatino Linotype" w:eastAsia="Palatino Linotype" w:cs="Palatino Linotype"/>
          <w:sz w:val="24"/>
          <w:szCs w:val="24"/>
        </w:rPr>
        <w:tab/>
      </w:r>
      <w:r w:rsidRPr="009617C9" w:rsidR="0020488E">
        <w:rPr>
          <w:rStyle w:val="HeaderChar"/>
          <w:rFonts w:ascii="Palatino Linotype" w:hAnsi="Palatino Linotype" w:eastAsia="Palatino Linotype" w:cs="Palatino Linotype"/>
          <w:sz w:val="24"/>
          <w:szCs w:val="24"/>
        </w:rPr>
        <w:tab/>
      </w:r>
    </w:p>
    <w:p w:rsidRPr="009617C9" w:rsidR="008F2BC7" w:rsidP="00AB0B24" w:rsidRDefault="00DD0847" w14:paraId="6615A3D7" w14:textId="6DDB6B03">
      <w:pPr>
        <w:pStyle w:val="Body"/>
        <w:spacing w:after="0" w:line="240" w:lineRule="auto"/>
        <w:jc w:val="center"/>
        <w:rPr>
          <w:rStyle w:val="HeaderChar"/>
          <w:rFonts w:ascii="Palatino Linotype" w:hAnsi="Palatino Linotype" w:eastAsia="Palatino Linotype" w:cs="Palatino Linotype"/>
          <w:sz w:val="24"/>
          <w:szCs w:val="24"/>
        </w:rPr>
      </w:pPr>
      <w:r w:rsidRPr="00DD0847">
        <w:rPr>
          <w:rStyle w:val="HeaderChar"/>
          <w:noProof/>
        </w:rPr>
        <w:drawing>
          <wp:inline distT="0" distB="0" distL="0" distR="0" wp14:anchorId="49D1A662" wp14:editId="50C34283">
            <wp:extent cx="5372100" cy="1971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1971675"/>
                    </a:xfrm>
                    <a:prstGeom prst="rect">
                      <a:avLst/>
                    </a:prstGeom>
                    <a:noFill/>
                    <a:ln>
                      <a:noFill/>
                    </a:ln>
                  </pic:spPr>
                </pic:pic>
              </a:graphicData>
            </a:graphic>
          </wp:inline>
        </w:drawing>
      </w:r>
    </w:p>
    <w:p w:rsidRPr="009617C9" w:rsidR="0044343F" w:rsidP="00AB0B24" w:rsidRDefault="0044343F" w14:paraId="5A5F893A" w14:textId="77777777">
      <w:pPr>
        <w:pStyle w:val="Body"/>
        <w:spacing w:after="0" w:line="240" w:lineRule="auto"/>
        <w:rPr>
          <w:rStyle w:val="HeaderChar"/>
          <w:rFonts w:ascii="Palatino Linotype" w:hAnsi="Palatino Linotype" w:eastAsia="Palatino Linotype" w:cs="Palatino Linotype"/>
          <w:sz w:val="24"/>
          <w:szCs w:val="24"/>
          <w:u w:val="single"/>
        </w:rPr>
      </w:pPr>
    </w:p>
    <w:p w:rsidRPr="009617C9" w:rsidR="00FE7EFA" w:rsidP="00AB0B24" w:rsidRDefault="00FE7EFA" w14:paraId="6D0A96B0" w14:textId="25376D0E">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u w:val="single"/>
        </w:rPr>
        <w:t>Affordability of Proposed Rates</w:t>
      </w:r>
      <w:r w:rsidRPr="009617C9" w:rsidR="00921733">
        <w:rPr>
          <w:rStyle w:val="HeaderChar"/>
          <w:rFonts w:ascii="Palatino Linotype" w:hAnsi="Palatino Linotype" w:eastAsia="Palatino Linotype" w:cs="Palatino Linotype"/>
          <w:sz w:val="24"/>
          <w:szCs w:val="24"/>
          <w:u w:val="single"/>
        </w:rPr>
        <w:br/>
      </w:r>
    </w:p>
    <w:p w:rsidR="007B7D62" w:rsidP="00AB0B24" w:rsidRDefault="00FE7EFA" w14:paraId="4A43CF01" w14:textId="225A1F4A">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As discussed above at the recommended rates for TY 201</w:t>
      </w:r>
      <w:r w:rsidR="00F55786">
        <w:rPr>
          <w:rStyle w:val="HeaderChar"/>
          <w:rFonts w:ascii="Palatino Linotype" w:hAnsi="Palatino Linotype" w:eastAsia="Palatino Linotype" w:cs="Palatino Linotype"/>
          <w:sz w:val="24"/>
          <w:szCs w:val="24"/>
        </w:rPr>
        <w:t>9</w:t>
      </w:r>
      <w:r w:rsidRPr="009617C9">
        <w:rPr>
          <w:rStyle w:val="HeaderChar"/>
          <w:rFonts w:ascii="Palatino Linotype" w:hAnsi="Palatino Linotype" w:eastAsia="Palatino Linotype" w:cs="Palatino Linotype"/>
          <w:sz w:val="24"/>
          <w:szCs w:val="24"/>
        </w:rPr>
        <w:t xml:space="preserve">, a </w:t>
      </w:r>
      <w:r w:rsidRPr="009617C9" w:rsidR="004F3C73">
        <w:rPr>
          <w:rStyle w:val="HeaderChar"/>
          <w:rFonts w:ascii="Palatino Linotype" w:hAnsi="Palatino Linotype" w:eastAsia="Palatino Linotype" w:cs="Palatino Linotype"/>
          <w:i/>
          <w:sz w:val="24"/>
          <w:szCs w:val="24"/>
          <w:u w:val="single"/>
        </w:rPr>
        <w:t>monthly</w:t>
      </w:r>
      <w:r w:rsidRPr="009617C9" w:rsidR="004F3C73">
        <w:rPr>
          <w:rStyle w:val="HeaderChar"/>
          <w:rFonts w:ascii="Palatino Linotype" w:hAnsi="Palatino Linotype" w:eastAsia="Palatino Linotype" w:cs="Palatino Linotype"/>
          <w:sz w:val="24"/>
          <w:szCs w:val="24"/>
        </w:rPr>
        <w:t xml:space="preserve"> customer’s bill for</w:t>
      </w:r>
      <w:r w:rsidR="00297814">
        <w:rPr>
          <w:rStyle w:val="HeaderChar"/>
          <w:rFonts w:ascii="Palatino Linotype" w:hAnsi="Palatino Linotype" w:eastAsia="Palatino Linotype" w:cs="Palatino Linotype"/>
          <w:sz w:val="24"/>
          <w:szCs w:val="24"/>
        </w:rPr>
        <w:t xml:space="preserve"> </w:t>
      </w:r>
      <w:r w:rsidRPr="009617C9" w:rsidR="000720B7">
        <w:rPr>
          <w:rStyle w:val="HeaderChar"/>
          <w:rFonts w:ascii="Palatino Linotype" w:hAnsi="Palatino Linotype" w:eastAsia="Palatino Linotype" w:cs="Palatino Linotype"/>
          <w:sz w:val="24"/>
          <w:szCs w:val="24"/>
        </w:rPr>
        <w:t xml:space="preserve">an average residential customer with a </w:t>
      </w:r>
      <w:r w:rsidR="00F55786">
        <w:rPr>
          <w:rStyle w:val="HeaderChar"/>
          <w:rFonts w:ascii="Palatino Linotype" w:hAnsi="Palatino Linotype" w:eastAsia="Palatino Linotype" w:cs="Palatino Linotype"/>
          <w:sz w:val="24"/>
          <w:szCs w:val="24"/>
        </w:rPr>
        <w:t>1</w:t>
      </w:r>
      <w:r w:rsidRPr="009617C9" w:rsidR="000720B7">
        <w:rPr>
          <w:rStyle w:val="HeaderChar"/>
          <w:rFonts w:ascii="Palatino Linotype" w:hAnsi="Palatino Linotype" w:eastAsia="Palatino Linotype" w:cs="Palatino Linotype"/>
          <w:sz w:val="24"/>
          <w:szCs w:val="24"/>
        </w:rPr>
        <w:t xml:space="preserve">-inch meter size using </w:t>
      </w:r>
      <w:r w:rsidR="00297814">
        <w:rPr>
          <w:rStyle w:val="HeaderChar"/>
          <w:rFonts w:ascii="Palatino Linotype" w:hAnsi="Palatino Linotype" w:eastAsia="Palatino Linotype" w:cs="Palatino Linotype"/>
          <w:sz w:val="24"/>
          <w:szCs w:val="24"/>
        </w:rPr>
        <w:t>21</w:t>
      </w:r>
      <w:r w:rsidRPr="009617C9" w:rsidR="000720B7">
        <w:rPr>
          <w:rStyle w:val="HeaderChar"/>
          <w:rFonts w:ascii="Palatino Linotype" w:hAnsi="Palatino Linotype" w:eastAsia="Palatino Linotype" w:cs="Palatino Linotype"/>
          <w:sz w:val="24"/>
          <w:szCs w:val="24"/>
        </w:rPr>
        <w:t xml:space="preserve"> CCF will </w:t>
      </w:r>
      <w:r w:rsidR="00297814">
        <w:rPr>
          <w:rStyle w:val="HeaderChar"/>
          <w:rFonts w:ascii="Palatino Linotype" w:hAnsi="Palatino Linotype" w:eastAsia="Palatino Linotype" w:cs="Palatino Linotype"/>
          <w:sz w:val="24"/>
          <w:szCs w:val="24"/>
        </w:rPr>
        <w:t>increase</w:t>
      </w:r>
      <w:r w:rsidRPr="009617C9" w:rsidR="000720B7">
        <w:rPr>
          <w:rStyle w:val="HeaderChar"/>
          <w:rFonts w:ascii="Palatino Linotype" w:hAnsi="Palatino Linotype" w:eastAsia="Palatino Linotype" w:cs="Palatino Linotype"/>
          <w:sz w:val="24"/>
          <w:szCs w:val="24"/>
        </w:rPr>
        <w:t xml:space="preserve"> </w:t>
      </w:r>
      <w:r w:rsidRPr="009617C9" w:rsidR="000720B7">
        <w:rPr>
          <w:rStyle w:val="HeaderChar"/>
          <w:rFonts w:ascii="Palatino Linotype" w:hAnsi="Palatino Linotype" w:eastAsia="Palatino Linotype" w:cs="Palatino Linotype"/>
          <w:sz w:val="24"/>
          <w:szCs w:val="24"/>
        </w:rPr>
        <w:lastRenderedPageBreak/>
        <w:t xml:space="preserve">from </w:t>
      </w:r>
      <w:r w:rsidRPr="009617C9" w:rsidR="00F55786">
        <w:rPr>
          <w:rStyle w:val="HeaderChar"/>
          <w:rFonts w:ascii="Palatino Linotype" w:hAnsi="Palatino Linotype" w:eastAsia="Palatino Linotype" w:cs="Palatino Linotype"/>
          <w:sz w:val="24"/>
          <w:szCs w:val="24"/>
        </w:rPr>
        <w:t>$</w:t>
      </w:r>
      <w:r w:rsidR="00297814">
        <w:rPr>
          <w:rStyle w:val="HeaderChar"/>
          <w:rFonts w:ascii="Palatino Linotype" w:hAnsi="Palatino Linotype" w:eastAsia="Palatino Linotype" w:cs="Palatino Linotype"/>
          <w:sz w:val="24"/>
          <w:szCs w:val="24"/>
        </w:rPr>
        <w:t>37.19</w:t>
      </w:r>
      <w:r w:rsidRPr="009617C9" w:rsidR="00F55786">
        <w:rPr>
          <w:rStyle w:val="HeaderChar"/>
          <w:rFonts w:ascii="Palatino Linotype" w:hAnsi="Palatino Linotype" w:eastAsia="Palatino Linotype" w:cs="Palatino Linotype"/>
          <w:sz w:val="24"/>
          <w:szCs w:val="24"/>
        </w:rPr>
        <w:t xml:space="preserve"> to $</w:t>
      </w:r>
      <w:r w:rsidR="00297814">
        <w:rPr>
          <w:rStyle w:val="HeaderChar"/>
          <w:rFonts w:ascii="Palatino Linotype" w:hAnsi="Palatino Linotype" w:eastAsia="Palatino Linotype" w:cs="Palatino Linotype"/>
          <w:sz w:val="24"/>
          <w:szCs w:val="24"/>
        </w:rPr>
        <w:t>48</w:t>
      </w:r>
      <w:r w:rsidRPr="009617C9" w:rsidR="00F55786">
        <w:rPr>
          <w:rStyle w:val="HeaderChar"/>
          <w:rFonts w:ascii="Palatino Linotype" w:hAnsi="Palatino Linotype" w:eastAsia="Palatino Linotype" w:cs="Palatino Linotype"/>
          <w:sz w:val="24"/>
          <w:szCs w:val="24"/>
        </w:rPr>
        <w:t>.</w:t>
      </w:r>
      <w:r w:rsidR="00676581">
        <w:rPr>
          <w:rStyle w:val="HeaderChar"/>
          <w:rFonts w:ascii="Palatino Linotype" w:hAnsi="Palatino Linotype" w:eastAsia="Palatino Linotype" w:cs="Palatino Linotype"/>
          <w:sz w:val="24"/>
          <w:szCs w:val="24"/>
        </w:rPr>
        <w:t>16</w:t>
      </w:r>
      <w:r w:rsidRPr="009617C9" w:rsidR="00F55786">
        <w:rPr>
          <w:rStyle w:val="HeaderChar"/>
          <w:rFonts w:ascii="Palatino Linotype" w:hAnsi="Palatino Linotype" w:eastAsia="Palatino Linotype" w:cs="Palatino Linotype"/>
          <w:sz w:val="24"/>
          <w:szCs w:val="24"/>
        </w:rPr>
        <w:t>, or</w:t>
      </w:r>
      <w:r w:rsidR="00033897">
        <w:rPr>
          <w:rStyle w:val="HeaderChar"/>
          <w:rFonts w:ascii="Palatino Linotype" w:hAnsi="Palatino Linotype" w:eastAsia="Palatino Linotype" w:cs="Palatino Linotype"/>
          <w:sz w:val="24"/>
          <w:szCs w:val="24"/>
        </w:rPr>
        <w:t xml:space="preserve"> </w:t>
      </w:r>
      <w:r w:rsidR="00676581">
        <w:rPr>
          <w:rStyle w:val="HeaderChar"/>
          <w:rFonts w:ascii="Palatino Linotype" w:hAnsi="Palatino Linotype" w:eastAsia="Palatino Linotype" w:cs="Palatino Linotype"/>
          <w:sz w:val="24"/>
          <w:szCs w:val="24"/>
        </w:rPr>
        <w:t>29</w:t>
      </w:r>
      <w:r w:rsidRPr="0055476F" w:rsidR="00F55786">
        <w:rPr>
          <w:rStyle w:val="HeaderChar"/>
          <w:rFonts w:ascii="Palatino Linotype" w:hAnsi="Palatino Linotype" w:eastAsia="Palatino Linotype" w:cs="Palatino Linotype"/>
          <w:sz w:val="24"/>
          <w:szCs w:val="24"/>
        </w:rPr>
        <w:t>.</w:t>
      </w:r>
      <w:r w:rsidR="00676581">
        <w:rPr>
          <w:rStyle w:val="HeaderChar"/>
          <w:rFonts w:ascii="Palatino Linotype" w:hAnsi="Palatino Linotype" w:eastAsia="Palatino Linotype" w:cs="Palatino Linotype"/>
          <w:sz w:val="24"/>
          <w:szCs w:val="24"/>
        </w:rPr>
        <w:t>50</w:t>
      </w:r>
      <w:r w:rsidRPr="0055476F" w:rsidR="00F55786">
        <w:rPr>
          <w:rStyle w:val="HeaderChar"/>
          <w:rFonts w:ascii="Palatino Linotype" w:hAnsi="Palatino Linotype" w:eastAsia="Palatino Linotype" w:cs="Palatino Linotype"/>
          <w:sz w:val="24"/>
          <w:szCs w:val="24"/>
        </w:rPr>
        <w:t xml:space="preserve">% </w:t>
      </w:r>
      <w:r w:rsidRPr="0055476F">
        <w:rPr>
          <w:rStyle w:val="HeaderChar"/>
          <w:rFonts w:ascii="Palatino Linotype" w:hAnsi="Palatino Linotype" w:eastAsia="Palatino Linotype" w:cs="Palatino Linotype"/>
          <w:sz w:val="24"/>
          <w:szCs w:val="24"/>
        </w:rPr>
        <w:t xml:space="preserve">which </w:t>
      </w:r>
      <w:r w:rsidR="009B0E03">
        <w:rPr>
          <w:rStyle w:val="HeaderChar"/>
          <w:rFonts w:ascii="Palatino Linotype" w:hAnsi="Palatino Linotype" w:eastAsia="Palatino Linotype" w:cs="Palatino Linotype"/>
          <w:sz w:val="24"/>
          <w:szCs w:val="24"/>
        </w:rPr>
        <w:t>is</w:t>
      </w:r>
      <w:r w:rsidRPr="0055476F">
        <w:rPr>
          <w:rStyle w:val="HeaderChar"/>
          <w:rFonts w:ascii="Palatino Linotype" w:hAnsi="Palatino Linotype" w:eastAsia="Palatino Linotype" w:cs="Palatino Linotype"/>
          <w:sz w:val="24"/>
          <w:szCs w:val="24"/>
        </w:rPr>
        <w:t xml:space="preserve"> </w:t>
      </w:r>
      <w:r w:rsidRPr="0055476F" w:rsidR="0055476F">
        <w:rPr>
          <w:rStyle w:val="HeaderChar"/>
          <w:rFonts w:ascii="Palatino Linotype" w:hAnsi="Palatino Linotype" w:eastAsia="Palatino Linotype" w:cs="Palatino Linotype"/>
          <w:sz w:val="24"/>
          <w:szCs w:val="24"/>
        </w:rPr>
        <w:t>1</w:t>
      </w:r>
      <w:r w:rsidRPr="0055476F" w:rsidR="007F753B">
        <w:rPr>
          <w:rStyle w:val="HeaderChar"/>
          <w:rFonts w:ascii="Palatino Linotype" w:hAnsi="Palatino Linotype" w:eastAsia="Palatino Linotype" w:cs="Palatino Linotype"/>
          <w:sz w:val="24"/>
          <w:szCs w:val="24"/>
        </w:rPr>
        <w:t>.</w:t>
      </w:r>
      <w:r w:rsidR="00297814">
        <w:rPr>
          <w:rStyle w:val="HeaderChar"/>
          <w:rFonts w:ascii="Palatino Linotype" w:hAnsi="Palatino Linotype" w:eastAsia="Palatino Linotype" w:cs="Palatino Linotype"/>
          <w:sz w:val="24"/>
          <w:szCs w:val="24"/>
        </w:rPr>
        <w:t>10</w:t>
      </w:r>
      <w:r w:rsidRPr="0055476F" w:rsidR="007F753B">
        <w:rPr>
          <w:rStyle w:val="HeaderChar"/>
          <w:rFonts w:ascii="Palatino Linotype" w:hAnsi="Palatino Linotype" w:eastAsia="Palatino Linotype" w:cs="Palatino Linotype"/>
          <w:sz w:val="24"/>
          <w:szCs w:val="24"/>
        </w:rPr>
        <w:t xml:space="preserve">% of the median household income </w:t>
      </w:r>
      <w:r w:rsidRPr="0055476F" w:rsidR="0020488E">
        <w:rPr>
          <w:rStyle w:val="HeaderChar"/>
          <w:rFonts w:ascii="Palatino Linotype" w:hAnsi="Palatino Linotype" w:eastAsia="Palatino Linotype" w:cs="Palatino Linotype"/>
          <w:sz w:val="24"/>
          <w:szCs w:val="24"/>
        </w:rPr>
        <w:t xml:space="preserve">(MHI) </w:t>
      </w:r>
      <w:r w:rsidRPr="0055476F" w:rsidR="007F753B">
        <w:rPr>
          <w:rStyle w:val="HeaderChar"/>
          <w:rFonts w:ascii="Palatino Linotype" w:hAnsi="Palatino Linotype" w:eastAsia="Palatino Linotype" w:cs="Palatino Linotype"/>
          <w:sz w:val="24"/>
          <w:szCs w:val="24"/>
        </w:rPr>
        <w:t>of $</w:t>
      </w:r>
      <w:r w:rsidR="00297814">
        <w:rPr>
          <w:rStyle w:val="HeaderChar"/>
          <w:rFonts w:ascii="Palatino Linotype" w:hAnsi="Palatino Linotype" w:eastAsia="Palatino Linotype" w:cs="Palatino Linotype"/>
          <w:sz w:val="24"/>
          <w:szCs w:val="24"/>
        </w:rPr>
        <w:t>52</w:t>
      </w:r>
      <w:r w:rsidRPr="0055476F" w:rsidR="0055476F">
        <w:rPr>
          <w:rStyle w:val="HeaderChar"/>
          <w:rFonts w:ascii="Palatino Linotype" w:hAnsi="Palatino Linotype" w:eastAsia="Palatino Linotype" w:cs="Palatino Linotype"/>
          <w:sz w:val="24"/>
          <w:szCs w:val="24"/>
        </w:rPr>
        <w:t>,</w:t>
      </w:r>
      <w:r w:rsidR="00297814">
        <w:rPr>
          <w:rStyle w:val="HeaderChar"/>
          <w:rFonts w:ascii="Palatino Linotype" w:hAnsi="Palatino Linotype" w:eastAsia="Palatino Linotype" w:cs="Palatino Linotype"/>
          <w:sz w:val="24"/>
          <w:szCs w:val="24"/>
        </w:rPr>
        <w:t>629</w:t>
      </w:r>
      <w:r w:rsidRPr="0055476F" w:rsidR="007F753B">
        <w:rPr>
          <w:rStyle w:val="HeaderChar"/>
          <w:rFonts w:ascii="Palatino Linotype" w:hAnsi="Palatino Linotype" w:eastAsia="Palatino Linotype" w:cs="Palatino Linotype"/>
          <w:sz w:val="24"/>
          <w:szCs w:val="24"/>
        </w:rPr>
        <w:t xml:space="preserve"> for </w:t>
      </w:r>
      <w:r w:rsidR="00297814">
        <w:rPr>
          <w:rStyle w:val="HeaderChar"/>
          <w:rFonts w:ascii="Palatino Linotype" w:hAnsi="Palatino Linotype" w:eastAsia="Palatino Linotype" w:cs="Palatino Linotype"/>
          <w:sz w:val="24"/>
          <w:szCs w:val="24"/>
        </w:rPr>
        <w:t>Fresno</w:t>
      </w:r>
      <w:r w:rsidRPr="0055476F" w:rsidR="0055476F">
        <w:rPr>
          <w:rStyle w:val="HeaderChar"/>
          <w:rFonts w:ascii="Palatino Linotype" w:hAnsi="Palatino Linotype" w:eastAsia="Palatino Linotype" w:cs="Palatino Linotype"/>
          <w:sz w:val="24"/>
          <w:szCs w:val="24"/>
        </w:rPr>
        <w:t xml:space="preserve"> County</w:t>
      </w:r>
      <w:r w:rsidRPr="0055476F" w:rsidR="007F753B">
        <w:rPr>
          <w:rStyle w:val="HeaderChar"/>
          <w:rFonts w:ascii="Palatino Linotype" w:hAnsi="Palatino Linotype" w:eastAsia="Palatino Linotype" w:cs="Palatino Linotype"/>
          <w:sz w:val="24"/>
          <w:szCs w:val="24"/>
        </w:rPr>
        <w:t xml:space="preserve"> where</w:t>
      </w:r>
      <w:r w:rsidRPr="0055476F" w:rsidR="0055476F">
        <w:rPr>
          <w:rStyle w:val="HeaderChar"/>
          <w:rFonts w:ascii="Palatino Linotype" w:hAnsi="Palatino Linotype" w:eastAsia="Palatino Linotype" w:cs="Palatino Linotype"/>
          <w:sz w:val="24"/>
          <w:szCs w:val="24"/>
        </w:rPr>
        <w:t xml:space="preserve"> </w:t>
      </w:r>
      <w:proofErr w:type="spellStart"/>
      <w:r w:rsidR="006A66BD">
        <w:rPr>
          <w:rStyle w:val="HeaderChar"/>
          <w:rFonts w:ascii="Palatino Linotype" w:hAnsi="Palatino Linotype" w:eastAsia="Palatino Linotype" w:cs="Palatino Linotype"/>
          <w:sz w:val="24"/>
          <w:szCs w:val="24"/>
        </w:rPr>
        <w:t>Bakman’s</w:t>
      </w:r>
      <w:proofErr w:type="spellEnd"/>
      <w:r w:rsidRPr="0055476F" w:rsidR="007F753B">
        <w:rPr>
          <w:rStyle w:val="HeaderChar"/>
          <w:rFonts w:ascii="Palatino Linotype" w:hAnsi="Palatino Linotype" w:eastAsia="Palatino Linotype" w:cs="Palatino Linotype"/>
          <w:sz w:val="24"/>
          <w:szCs w:val="24"/>
        </w:rPr>
        <w:t xml:space="preserve"> service area is located.</w:t>
      </w:r>
      <w:r w:rsidR="00297814">
        <w:rPr>
          <w:rStyle w:val="HeaderChar"/>
          <w:rFonts w:ascii="Palatino Linotype" w:hAnsi="Palatino Linotype" w:eastAsia="Palatino Linotype" w:cs="Palatino Linotype"/>
          <w:sz w:val="24"/>
          <w:szCs w:val="24"/>
        </w:rPr>
        <w:t xml:space="preserve"> In addition, a </w:t>
      </w:r>
      <w:r w:rsidR="00297814">
        <w:rPr>
          <w:rStyle w:val="HeaderChar"/>
          <w:rFonts w:ascii="Palatino Linotype" w:hAnsi="Palatino Linotype" w:eastAsia="Palatino Linotype" w:cs="Palatino Linotype"/>
          <w:i/>
          <w:iCs/>
          <w:sz w:val="24"/>
          <w:szCs w:val="24"/>
          <w:u w:val="single"/>
        </w:rPr>
        <w:t>monthly</w:t>
      </w:r>
      <w:r w:rsidR="00297814">
        <w:rPr>
          <w:rStyle w:val="HeaderChar"/>
          <w:rFonts w:ascii="Palatino Linotype" w:hAnsi="Palatino Linotype" w:eastAsia="Palatino Linotype" w:cs="Palatino Linotype"/>
          <w:i/>
          <w:iCs/>
          <w:sz w:val="24"/>
          <w:szCs w:val="24"/>
        </w:rPr>
        <w:t xml:space="preserve"> </w:t>
      </w:r>
      <w:r w:rsidR="00297814">
        <w:rPr>
          <w:rStyle w:val="HeaderChar"/>
          <w:rFonts w:ascii="Palatino Linotype" w:hAnsi="Palatino Linotype" w:eastAsia="Palatino Linotype" w:cs="Palatino Linotype"/>
          <w:sz w:val="24"/>
          <w:szCs w:val="24"/>
        </w:rPr>
        <w:t>bill for an average flat-rate residential customer will increase from $30.46 to $42.</w:t>
      </w:r>
      <w:r w:rsidR="00676581">
        <w:rPr>
          <w:rStyle w:val="HeaderChar"/>
          <w:rFonts w:ascii="Palatino Linotype" w:hAnsi="Palatino Linotype" w:eastAsia="Palatino Linotype" w:cs="Palatino Linotype"/>
          <w:sz w:val="24"/>
          <w:szCs w:val="24"/>
        </w:rPr>
        <w:t>34</w:t>
      </w:r>
      <w:r w:rsidR="00297814">
        <w:rPr>
          <w:rStyle w:val="HeaderChar"/>
          <w:rFonts w:ascii="Palatino Linotype" w:hAnsi="Palatino Linotype" w:eastAsia="Palatino Linotype" w:cs="Palatino Linotype"/>
          <w:sz w:val="24"/>
          <w:szCs w:val="24"/>
        </w:rPr>
        <w:t xml:space="preserve">, or </w:t>
      </w:r>
      <w:r w:rsidR="007E39FA">
        <w:rPr>
          <w:rStyle w:val="HeaderChar"/>
          <w:rFonts w:ascii="Palatino Linotype" w:hAnsi="Palatino Linotype" w:eastAsia="Palatino Linotype" w:cs="Palatino Linotype"/>
          <w:sz w:val="24"/>
          <w:szCs w:val="24"/>
        </w:rPr>
        <w:t>39</w:t>
      </w:r>
      <w:r w:rsidR="00297814">
        <w:rPr>
          <w:rStyle w:val="HeaderChar"/>
          <w:rFonts w:ascii="Palatino Linotype" w:hAnsi="Palatino Linotype" w:eastAsia="Palatino Linotype" w:cs="Palatino Linotype"/>
          <w:sz w:val="24"/>
          <w:szCs w:val="24"/>
        </w:rPr>
        <w:t>.</w:t>
      </w:r>
      <w:r w:rsidR="00676581">
        <w:rPr>
          <w:rStyle w:val="HeaderChar"/>
          <w:rFonts w:ascii="Palatino Linotype" w:hAnsi="Palatino Linotype" w:eastAsia="Palatino Linotype" w:cs="Palatino Linotype"/>
          <w:sz w:val="24"/>
          <w:szCs w:val="24"/>
        </w:rPr>
        <w:t>0</w:t>
      </w:r>
      <w:r w:rsidR="00297814">
        <w:rPr>
          <w:rStyle w:val="HeaderChar"/>
          <w:rFonts w:ascii="Palatino Linotype" w:hAnsi="Palatino Linotype" w:eastAsia="Palatino Linotype" w:cs="Palatino Linotype"/>
          <w:sz w:val="24"/>
          <w:szCs w:val="24"/>
        </w:rPr>
        <w:t>0% which is 0.97% of the MHI for Fresno County.</w:t>
      </w:r>
    </w:p>
    <w:p w:rsidRPr="009617C9" w:rsidR="00C0037B" w:rsidP="00AB0B24" w:rsidRDefault="00C0037B" w14:paraId="671AF59B" w14:textId="77777777">
      <w:pPr>
        <w:pStyle w:val="Body"/>
        <w:spacing w:after="0" w:line="240" w:lineRule="auto"/>
        <w:rPr>
          <w:rStyle w:val="HeaderChar"/>
          <w:rFonts w:ascii="Palatino Linotype" w:hAnsi="Palatino Linotype" w:eastAsia="Palatino Linotype" w:cs="Palatino Linotype"/>
          <w:sz w:val="24"/>
          <w:szCs w:val="24"/>
        </w:rPr>
      </w:pPr>
    </w:p>
    <w:p w:rsidRPr="009617C9" w:rsidR="007F753B" w:rsidP="00AB0B24" w:rsidRDefault="00C105A0" w14:paraId="2D6DDD19" w14:textId="4ABF4509">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It should be noted </w:t>
      </w:r>
      <w:r w:rsidRPr="009617C9" w:rsidR="00041018">
        <w:rPr>
          <w:rStyle w:val="HeaderChar"/>
          <w:rFonts w:ascii="Palatino Linotype" w:hAnsi="Palatino Linotype" w:eastAsia="Palatino Linotype" w:cs="Palatino Linotype"/>
          <w:sz w:val="24"/>
          <w:szCs w:val="24"/>
        </w:rPr>
        <w:t>that no affordability criteria has been developed and adopted in any Commission Decision or legislation.</w:t>
      </w:r>
      <w:r w:rsidR="007361C7">
        <w:rPr>
          <w:rStyle w:val="FootnoteReference"/>
          <w:rFonts w:ascii="Palatino Linotype" w:hAnsi="Palatino Linotype" w:eastAsia="Palatino Linotype" w:cs="Palatino Linotype"/>
          <w:sz w:val="24"/>
          <w:szCs w:val="24"/>
        </w:rPr>
        <w:footnoteReference w:id="15"/>
      </w:r>
      <w:r w:rsidR="001E1FB9">
        <w:rPr>
          <w:rStyle w:val="HeaderChar"/>
          <w:rFonts w:ascii="Palatino Linotype" w:hAnsi="Palatino Linotype" w:eastAsia="Palatino Linotype" w:cs="Palatino Linotype"/>
          <w:sz w:val="24"/>
          <w:szCs w:val="24"/>
        </w:rPr>
        <w:t xml:space="preserve"> However, t</w:t>
      </w:r>
      <w:r w:rsidRPr="0055476F" w:rsidR="00941328">
        <w:rPr>
          <w:rStyle w:val="HeaderChar"/>
          <w:rFonts w:ascii="Palatino Linotype" w:hAnsi="Palatino Linotype" w:eastAsia="Palatino Linotype" w:cs="Palatino Linotype"/>
          <w:sz w:val="24"/>
          <w:szCs w:val="24"/>
        </w:rPr>
        <w:t xml:space="preserve">he Commission adheres to cost-of-service regulatory principles in developing rates for its jurisdictional utilities, and the WD’s recommended rates for </w:t>
      </w:r>
      <w:r w:rsidR="00E333FB">
        <w:rPr>
          <w:rStyle w:val="HeaderChar"/>
          <w:rFonts w:ascii="Palatino Linotype" w:hAnsi="Palatino Linotype" w:eastAsia="Palatino Linotype" w:cs="Palatino Linotype"/>
          <w:sz w:val="24"/>
          <w:szCs w:val="24"/>
        </w:rPr>
        <w:t>Bakman</w:t>
      </w:r>
      <w:r w:rsidRPr="0055476F" w:rsidR="00941328">
        <w:rPr>
          <w:rStyle w:val="HeaderChar"/>
          <w:rFonts w:ascii="Palatino Linotype" w:hAnsi="Palatino Linotype" w:eastAsia="Palatino Linotype" w:cs="Palatino Linotype"/>
          <w:sz w:val="24"/>
          <w:szCs w:val="24"/>
        </w:rPr>
        <w:t xml:space="preserve"> are at the minimum required to satisfy the utility’s technical, managerial and financial capacity, and operational capability.  </w:t>
      </w:r>
    </w:p>
    <w:p w:rsidRPr="009617C9" w:rsidR="004E228C" w:rsidP="00AB0B24" w:rsidRDefault="004E228C" w14:paraId="58396776" w14:textId="77777777">
      <w:pPr>
        <w:pStyle w:val="Body"/>
        <w:spacing w:after="0" w:line="240" w:lineRule="auto"/>
        <w:rPr>
          <w:rStyle w:val="HeaderChar"/>
          <w:rFonts w:ascii="Palatino Linotype" w:hAnsi="Palatino Linotype" w:eastAsia="Palatino Linotype" w:cs="Palatino Linotype"/>
          <w:b/>
          <w:bCs/>
          <w:sz w:val="28"/>
          <w:szCs w:val="28"/>
          <w:u w:val="single"/>
        </w:rPr>
      </w:pPr>
    </w:p>
    <w:p w:rsidRPr="00E9026F" w:rsidR="001E2FB4" w:rsidP="00AB0B24" w:rsidRDefault="00AE57DD" w14:paraId="0EFF85C2" w14:textId="77777777">
      <w:pPr>
        <w:pStyle w:val="Body"/>
        <w:spacing w:after="0" w:line="240" w:lineRule="auto"/>
        <w:rPr>
          <w:rStyle w:val="HeaderChar"/>
          <w:rFonts w:ascii="Palatino Linotype" w:hAnsi="Palatino Linotype" w:eastAsia="Palatino Linotype" w:cs="Palatino Linotype"/>
          <w:b/>
          <w:bCs/>
          <w:sz w:val="24"/>
          <w:szCs w:val="24"/>
          <w:u w:val="single"/>
        </w:rPr>
      </w:pPr>
      <w:r w:rsidRPr="00296E02">
        <w:rPr>
          <w:rStyle w:val="HeaderChar"/>
          <w:rFonts w:ascii="Palatino Linotype" w:hAnsi="Palatino Linotype" w:eastAsia="Palatino Linotype" w:cs="Palatino Linotype"/>
          <w:b/>
          <w:bCs/>
          <w:sz w:val="28"/>
          <w:szCs w:val="28"/>
          <w:u w:val="single"/>
        </w:rPr>
        <w:t>COMPLIANCE</w:t>
      </w:r>
      <w:r w:rsidRPr="009617C9" w:rsidR="00CC3212">
        <w:rPr>
          <w:rStyle w:val="HeaderChar"/>
          <w:rFonts w:ascii="Palatino Linotype" w:hAnsi="Palatino Linotype" w:eastAsia="Palatino Linotype" w:cs="Palatino Linotype"/>
          <w:b/>
          <w:bCs/>
          <w:sz w:val="28"/>
          <w:szCs w:val="28"/>
          <w:u w:val="single"/>
        </w:rPr>
        <w:br/>
      </w:r>
    </w:p>
    <w:p w:rsidR="000D1F9B" w:rsidP="00AB0B24" w:rsidRDefault="000D1F9B" w14:paraId="068F8293" w14:textId="1D2BA897">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The following compliance orders were recently issued by the SRWCB Division of Drinking Water (DDW):</w:t>
      </w:r>
    </w:p>
    <w:p w:rsidR="000D1F9B" w:rsidP="00AB0B24" w:rsidRDefault="000D1F9B" w14:paraId="2EEF5EE1" w14:textId="3017B628">
      <w:pPr>
        <w:pStyle w:val="Body"/>
        <w:spacing w:after="0" w:line="240" w:lineRule="auto"/>
        <w:rPr>
          <w:rStyle w:val="HeaderChar"/>
          <w:rFonts w:ascii="Palatino Linotype" w:hAnsi="Palatino Linotype" w:eastAsia="Palatino Linotype" w:cs="Palatino Linotype"/>
          <w:sz w:val="24"/>
          <w:szCs w:val="24"/>
        </w:rPr>
      </w:pPr>
    </w:p>
    <w:p w:rsidR="000D1F9B" w:rsidP="000D1F9B" w:rsidRDefault="000D1F9B" w14:paraId="18B3DCE6" w14:textId="073841DE">
      <w:pPr>
        <w:pStyle w:val="Body"/>
        <w:numPr>
          <w:ilvl w:val="0"/>
          <w:numId w:val="21"/>
        </w:numPr>
        <w:spacing w:after="0" w:line="240" w:lineRule="auto"/>
        <w:rPr>
          <w:rStyle w:val="HeaderChar"/>
          <w:rFonts w:ascii="Palatino Linotype" w:hAnsi="Palatino Linotype" w:eastAsia="Palatino Linotype" w:cs="Palatino Linotype"/>
          <w:sz w:val="24"/>
          <w:szCs w:val="24"/>
        </w:rPr>
      </w:pPr>
      <w:r w:rsidRPr="00E15976">
        <w:rPr>
          <w:rStyle w:val="HeaderChar"/>
          <w:rFonts w:ascii="Palatino Linotype" w:hAnsi="Palatino Linotype" w:eastAsia="Palatino Linotype" w:cs="Palatino Linotype"/>
          <w:sz w:val="24"/>
          <w:szCs w:val="24"/>
          <w:u w:val="single"/>
        </w:rPr>
        <w:t>Compliance Order No. 03 12 18R 037, issued July 13, 2018</w:t>
      </w:r>
      <w:r>
        <w:rPr>
          <w:rStyle w:val="HeaderChar"/>
          <w:rFonts w:ascii="Palatino Linotype" w:hAnsi="Palatino Linotype" w:eastAsia="Palatino Linotype" w:cs="Palatino Linotype"/>
          <w:sz w:val="24"/>
          <w:szCs w:val="24"/>
        </w:rPr>
        <w:t xml:space="preserve"> – Bakman failed to comply with the TCP MCL for the 2</w:t>
      </w:r>
      <w:r w:rsidRPr="000D1F9B">
        <w:rPr>
          <w:rStyle w:val="HeaderChar"/>
          <w:rFonts w:ascii="Palatino Linotype" w:hAnsi="Palatino Linotype" w:eastAsia="Palatino Linotype" w:cs="Palatino Linotype"/>
          <w:sz w:val="24"/>
          <w:szCs w:val="24"/>
          <w:vertAlign w:val="superscript"/>
        </w:rPr>
        <w:t>nd</w:t>
      </w:r>
      <w:r>
        <w:rPr>
          <w:rStyle w:val="HeaderChar"/>
          <w:rFonts w:ascii="Palatino Linotype" w:hAnsi="Palatino Linotype" w:eastAsia="Palatino Linotype" w:cs="Palatino Linotype"/>
          <w:sz w:val="24"/>
          <w:szCs w:val="24"/>
        </w:rPr>
        <w:t xml:space="preserve"> quarter 2018 from Wells #8A and #14. Wells #9 and #13A were also showing concentrations of 1,2,3-TCP. Bakman changed the status of these wells to standby and was returned to compliance.</w:t>
      </w:r>
    </w:p>
    <w:p w:rsidR="00722D85" w:rsidP="00722D85" w:rsidRDefault="00722D85" w14:paraId="1443A10A" w14:textId="77777777">
      <w:pPr>
        <w:pStyle w:val="Body"/>
        <w:spacing w:after="0" w:line="240" w:lineRule="auto"/>
        <w:ind w:left="720"/>
        <w:rPr>
          <w:rStyle w:val="HeaderChar"/>
          <w:rFonts w:ascii="Palatino Linotype" w:hAnsi="Palatino Linotype" w:eastAsia="Palatino Linotype" w:cs="Palatino Linotype"/>
          <w:sz w:val="24"/>
          <w:szCs w:val="24"/>
        </w:rPr>
      </w:pPr>
    </w:p>
    <w:p w:rsidR="000D1F9B" w:rsidP="000D1F9B" w:rsidRDefault="00E15976" w14:paraId="3A51953E" w14:textId="1FC06CE4">
      <w:pPr>
        <w:pStyle w:val="Body"/>
        <w:numPr>
          <w:ilvl w:val="0"/>
          <w:numId w:val="21"/>
        </w:numPr>
        <w:spacing w:after="0" w:line="240" w:lineRule="auto"/>
        <w:rPr>
          <w:rStyle w:val="HeaderChar"/>
          <w:rFonts w:ascii="Palatino Linotype" w:hAnsi="Palatino Linotype" w:eastAsia="Palatino Linotype" w:cs="Palatino Linotype"/>
          <w:sz w:val="24"/>
          <w:szCs w:val="24"/>
        </w:rPr>
      </w:pPr>
      <w:r w:rsidRPr="00E15976">
        <w:rPr>
          <w:rStyle w:val="HeaderChar"/>
          <w:rFonts w:ascii="Palatino Linotype" w:hAnsi="Palatino Linotype" w:eastAsia="Palatino Linotype" w:cs="Palatino Linotype"/>
          <w:sz w:val="24"/>
          <w:szCs w:val="24"/>
          <w:u w:val="single"/>
        </w:rPr>
        <w:t>Compliance Order No. 03 12 19C 003, issued January 11, 2019</w:t>
      </w:r>
      <w:r>
        <w:rPr>
          <w:rStyle w:val="HeaderChar"/>
          <w:rFonts w:ascii="Palatino Linotype" w:hAnsi="Palatino Linotype" w:eastAsia="Palatino Linotype" w:cs="Palatino Linotype"/>
          <w:sz w:val="24"/>
          <w:szCs w:val="24"/>
        </w:rPr>
        <w:t xml:space="preserve"> – Bakman failed to comply with the Total Coliform MCL for November 2018. DDW received laboratory results for 32 bacteriological samples collected during November 2018 from the distribution system. Eight of the 32 samples analyzed were positive for total coliform bacteria</w:t>
      </w:r>
      <w:r w:rsidR="00D20FF7">
        <w:rPr>
          <w:rStyle w:val="HeaderChar"/>
          <w:rFonts w:ascii="Palatino Linotype" w:hAnsi="Palatino Linotype" w:eastAsia="Palatino Linotype" w:cs="Palatino Linotype"/>
          <w:sz w:val="24"/>
          <w:szCs w:val="24"/>
        </w:rPr>
        <w:t>.</w:t>
      </w:r>
      <w:r>
        <w:rPr>
          <w:rStyle w:val="FootnoteReference"/>
          <w:rFonts w:ascii="Palatino Linotype" w:hAnsi="Palatino Linotype" w:eastAsia="Palatino Linotype" w:cs="Palatino Linotype"/>
          <w:sz w:val="24"/>
          <w:szCs w:val="24"/>
        </w:rPr>
        <w:footnoteReference w:id="16"/>
      </w:r>
      <w:r w:rsidRPr="00E15976">
        <w:rPr>
          <w:rStyle w:val="FootnoteReference"/>
          <w:rFonts w:ascii="Palatino Linotype" w:hAnsi="Palatino Linotype" w:eastAsia="Palatino Linotype" w:cs="Palatino Linotype"/>
          <w:sz w:val="24"/>
          <w:szCs w:val="24"/>
        </w:rPr>
        <w:t xml:space="preserve"> </w:t>
      </w:r>
      <w:r>
        <w:t xml:space="preserve"> </w:t>
      </w:r>
      <w:r>
        <w:rPr>
          <w:rStyle w:val="HeaderChar"/>
          <w:rFonts w:ascii="Palatino Linotype" w:hAnsi="Palatino Linotype" w:eastAsia="Palatino Linotype" w:cs="Palatino Linotype"/>
          <w:sz w:val="24"/>
          <w:szCs w:val="24"/>
        </w:rPr>
        <w:t xml:space="preserve">None of the samples showed the presence of </w:t>
      </w:r>
      <w:r>
        <w:rPr>
          <w:rStyle w:val="HeaderChar"/>
          <w:rFonts w:ascii="Palatino Linotype" w:hAnsi="Palatino Linotype" w:eastAsia="Palatino Linotype" w:cs="Palatino Linotype"/>
          <w:i/>
          <w:iCs/>
          <w:sz w:val="24"/>
          <w:szCs w:val="24"/>
        </w:rPr>
        <w:t>Escherichia coli (E. coli)</w:t>
      </w:r>
      <w:r>
        <w:rPr>
          <w:rStyle w:val="HeaderChar"/>
          <w:rFonts w:ascii="Palatino Linotype" w:hAnsi="Palatino Linotype" w:eastAsia="Palatino Linotype" w:cs="Palatino Linotype"/>
          <w:sz w:val="24"/>
          <w:szCs w:val="24"/>
        </w:rPr>
        <w:t xml:space="preserve"> bacteria.</w:t>
      </w:r>
      <w:r>
        <w:rPr>
          <w:rStyle w:val="FootnoteReference"/>
          <w:rFonts w:ascii="Palatino Linotype" w:hAnsi="Palatino Linotype" w:eastAsia="Palatino Linotype" w:cs="Palatino Linotype"/>
          <w:sz w:val="24"/>
          <w:szCs w:val="24"/>
        </w:rPr>
        <w:footnoteReference w:id="17"/>
      </w:r>
      <w:r w:rsidRPr="00E15976">
        <w:rPr>
          <w:rStyle w:val="HeaderChar"/>
          <w:rFonts w:ascii="Palatino Linotype" w:hAnsi="Palatino Linotype" w:eastAsia="Palatino Linotype" w:cs="Palatino Linotype"/>
          <w:sz w:val="24"/>
          <w:szCs w:val="24"/>
        </w:rPr>
        <w:t xml:space="preserve"> </w:t>
      </w:r>
      <w:r>
        <w:rPr>
          <w:rStyle w:val="HeaderChar"/>
          <w:rFonts w:ascii="Palatino Linotype" w:hAnsi="Palatino Linotype" w:eastAsia="Palatino Linotype" w:cs="Palatino Linotype"/>
          <w:sz w:val="24"/>
          <w:szCs w:val="24"/>
        </w:rPr>
        <w:t>Bakman returned to compliance in December 2018 with the next round of bacteriological monitoring.</w:t>
      </w:r>
    </w:p>
    <w:p w:rsidR="000D1F9B" w:rsidRDefault="000D1F9B" w14:paraId="11181656" w14:textId="77777777">
      <w:pPr>
        <w:pStyle w:val="Body"/>
        <w:spacing w:after="0" w:line="240" w:lineRule="auto"/>
        <w:rPr>
          <w:rStyle w:val="HeaderChar"/>
          <w:rFonts w:ascii="Palatino Linotype" w:hAnsi="Palatino Linotype" w:eastAsia="Palatino Linotype" w:cs="Palatino Linotype"/>
          <w:sz w:val="24"/>
          <w:szCs w:val="24"/>
        </w:rPr>
      </w:pPr>
    </w:p>
    <w:p w:rsidR="00191345" w:rsidRDefault="000D1F9B" w14:paraId="54E34901" w14:textId="09FE651E">
      <w:pPr>
        <w:pStyle w:val="Body"/>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lastRenderedPageBreak/>
        <w:t>Currently, t</w:t>
      </w:r>
      <w:r w:rsidR="00191345">
        <w:rPr>
          <w:rStyle w:val="HeaderChar"/>
          <w:rFonts w:ascii="Palatino Linotype" w:hAnsi="Palatino Linotype" w:eastAsia="Palatino Linotype" w:cs="Palatino Linotype"/>
          <w:sz w:val="24"/>
          <w:szCs w:val="24"/>
        </w:rPr>
        <w:t xml:space="preserve">here are no outstanding </w:t>
      </w:r>
      <w:r w:rsidR="00E15976">
        <w:rPr>
          <w:rStyle w:val="HeaderChar"/>
          <w:rFonts w:ascii="Palatino Linotype" w:hAnsi="Palatino Linotype" w:eastAsia="Palatino Linotype" w:cs="Palatino Linotype"/>
          <w:sz w:val="24"/>
          <w:szCs w:val="24"/>
        </w:rPr>
        <w:t xml:space="preserve">SRWCB DDW </w:t>
      </w:r>
      <w:r w:rsidR="00191345">
        <w:rPr>
          <w:rStyle w:val="HeaderChar"/>
          <w:rFonts w:ascii="Palatino Linotype" w:hAnsi="Palatino Linotype" w:eastAsia="Palatino Linotype" w:cs="Palatino Linotype"/>
          <w:sz w:val="24"/>
          <w:szCs w:val="24"/>
        </w:rPr>
        <w:t xml:space="preserve">compliance orders and </w:t>
      </w:r>
      <w:r w:rsidR="00E333FB">
        <w:rPr>
          <w:rStyle w:val="HeaderChar"/>
          <w:rFonts w:ascii="Palatino Linotype" w:hAnsi="Palatino Linotype" w:eastAsia="Palatino Linotype" w:cs="Palatino Linotype"/>
          <w:sz w:val="24"/>
          <w:szCs w:val="24"/>
        </w:rPr>
        <w:t>Bakman</w:t>
      </w:r>
      <w:r w:rsidR="00E15976">
        <w:rPr>
          <w:rStyle w:val="HeaderChar"/>
          <w:rFonts w:ascii="Palatino Linotype" w:hAnsi="Palatino Linotype" w:eastAsia="Palatino Linotype" w:cs="Palatino Linotype"/>
          <w:sz w:val="24"/>
          <w:szCs w:val="24"/>
        </w:rPr>
        <w:t xml:space="preserve"> is adhering</w:t>
      </w:r>
      <w:r w:rsidR="00722D85">
        <w:rPr>
          <w:rStyle w:val="HeaderChar"/>
          <w:rFonts w:ascii="Palatino Linotype" w:hAnsi="Palatino Linotype" w:eastAsia="Palatino Linotype" w:cs="Palatino Linotype"/>
          <w:sz w:val="24"/>
          <w:szCs w:val="24"/>
        </w:rPr>
        <w:t xml:space="preserve"> to </w:t>
      </w:r>
      <w:r w:rsidR="00E15976">
        <w:rPr>
          <w:rStyle w:val="HeaderChar"/>
          <w:rFonts w:ascii="Palatino Linotype" w:hAnsi="Palatino Linotype" w:eastAsia="Palatino Linotype" w:cs="Palatino Linotype"/>
          <w:sz w:val="24"/>
          <w:szCs w:val="24"/>
        </w:rPr>
        <w:t>all applicable water quality standards and regulations. Bakman</w:t>
      </w:r>
      <w:r w:rsidR="00191345">
        <w:rPr>
          <w:rStyle w:val="HeaderChar"/>
          <w:rFonts w:ascii="Palatino Linotype" w:hAnsi="Palatino Linotype" w:eastAsia="Palatino Linotype" w:cs="Palatino Linotype"/>
          <w:sz w:val="24"/>
          <w:szCs w:val="24"/>
        </w:rPr>
        <w:t xml:space="preserve"> has been filing annual reports</w:t>
      </w:r>
      <w:r w:rsidR="00722D85">
        <w:rPr>
          <w:rStyle w:val="HeaderChar"/>
          <w:rFonts w:ascii="Palatino Linotype" w:hAnsi="Palatino Linotype" w:eastAsia="Palatino Linotype" w:cs="Palatino Linotype"/>
          <w:sz w:val="24"/>
          <w:szCs w:val="24"/>
        </w:rPr>
        <w:t xml:space="preserve"> on-time</w:t>
      </w:r>
      <w:r w:rsidR="00191345">
        <w:rPr>
          <w:rStyle w:val="HeaderChar"/>
          <w:rFonts w:ascii="Palatino Linotype" w:hAnsi="Palatino Linotype" w:eastAsia="Palatino Linotype" w:cs="Palatino Linotype"/>
          <w:sz w:val="24"/>
          <w:szCs w:val="24"/>
        </w:rPr>
        <w:t xml:space="preserve"> as required</w:t>
      </w:r>
      <w:r w:rsidR="00E15976">
        <w:rPr>
          <w:rStyle w:val="HeaderChar"/>
          <w:rFonts w:ascii="Palatino Linotype" w:hAnsi="Palatino Linotype" w:eastAsia="Palatino Linotype" w:cs="Palatino Linotype"/>
          <w:sz w:val="24"/>
          <w:szCs w:val="24"/>
        </w:rPr>
        <w:t xml:space="preserve"> by the Commission.</w:t>
      </w:r>
    </w:p>
    <w:p w:rsidR="00676581" w:rsidRDefault="00676581" w14:paraId="7F79F25B" w14:textId="77777777">
      <w:pPr>
        <w:pStyle w:val="Body"/>
        <w:spacing w:after="0" w:line="240" w:lineRule="auto"/>
        <w:rPr>
          <w:rStyle w:val="HeaderChar"/>
          <w:rFonts w:ascii="Palatino Linotype" w:hAnsi="Palatino Linotype" w:eastAsia="Palatino Linotype" w:cs="Palatino Linotype"/>
          <w:sz w:val="24"/>
          <w:szCs w:val="24"/>
        </w:rPr>
      </w:pPr>
    </w:p>
    <w:p w:rsidRPr="009617C9" w:rsidR="001E2FB4" w:rsidRDefault="00AE57DD" w14:paraId="37B63885"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9617C9">
        <w:rPr>
          <w:rStyle w:val="HeaderChar"/>
          <w:rFonts w:ascii="Palatino Linotype" w:hAnsi="Palatino Linotype" w:eastAsia="Palatino Linotype" w:cs="Palatino Linotype"/>
          <w:b/>
          <w:bCs/>
          <w:sz w:val="28"/>
          <w:szCs w:val="28"/>
          <w:u w:val="single"/>
          <w:lang w:val="de-DE"/>
        </w:rPr>
        <w:t>COMMENTS</w:t>
      </w:r>
    </w:p>
    <w:p w:rsidRPr="009617C9" w:rsidR="001E2FB4" w:rsidRDefault="001E2FB4" w14:paraId="64A31763" w14:textId="77777777">
      <w:pPr>
        <w:pStyle w:val="BodyText"/>
        <w:rPr>
          <w:rFonts w:ascii="Palatino Linotype" w:hAnsi="Palatino Linotype" w:eastAsia="Palatino Linotype" w:cs="Palatino Linotype"/>
          <w:b/>
          <w:bCs/>
        </w:rPr>
      </w:pPr>
    </w:p>
    <w:p w:rsidRPr="009617C9" w:rsidR="000C11F6" w:rsidP="001C64C2" w:rsidRDefault="00AE57DD" w14:paraId="5FC51F55" w14:textId="77777777">
      <w:pPr>
        <w:pStyle w:val="Body"/>
        <w:tabs>
          <w:tab w:val="right" w:pos="9340"/>
        </w:tabs>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Public </w:t>
      </w:r>
      <w:r w:rsidRPr="009617C9" w:rsidR="001C64C2">
        <w:rPr>
          <w:rStyle w:val="HeaderChar"/>
          <w:rFonts w:ascii="Palatino Linotype" w:hAnsi="Palatino Linotype" w:eastAsia="Palatino Linotype" w:cs="Palatino Linotype"/>
          <w:sz w:val="24"/>
          <w:szCs w:val="24"/>
        </w:rPr>
        <w:t>Utilities Code section 311(g)(</w:t>
      </w:r>
      <w:r w:rsidRPr="009617C9" w:rsidR="000C11F6">
        <w:rPr>
          <w:rStyle w:val="HeaderChar"/>
          <w:rFonts w:ascii="Palatino Linotype" w:hAnsi="Palatino Linotype" w:eastAsia="Palatino Linotype" w:cs="Palatino Linotype"/>
          <w:sz w:val="24"/>
          <w:szCs w:val="24"/>
        </w:rPr>
        <w:t>1</w:t>
      </w:r>
      <w:r w:rsidRPr="009617C9">
        <w:rPr>
          <w:rStyle w:val="HeaderChar"/>
          <w:rFonts w:ascii="Palatino Linotype" w:hAnsi="Palatino Linotype" w:eastAsia="Palatino Linotype" w:cs="Palatino Linotype"/>
          <w:sz w:val="24"/>
          <w:szCs w:val="24"/>
        </w:rPr>
        <w:t>)</w:t>
      </w:r>
      <w:r w:rsidRPr="009617C9" w:rsidR="001C64C2">
        <w:rPr>
          <w:rStyle w:val="HeaderChar"/>
          <w:rFonts w:ascii="Palatino Linotype" w:hAnsi="Palatino Linotype" w:eastAsia="Palatino Linotype" w:cs="Palatino Linotype"/>
          <w:sz w:val="24"/>
          <w:szCs w:val="24"/>
        </w:rPr>
        <w:t xml:space="preserve">, </w:t>
      </w:r>
      <w:r w:rsidRPr="009617C9" w:rsidR="000C11F6">
        <w:rPr>
          <w:rStyle w:val="HeaderChar"/>
          <w:rFonts w:ascii="Palatino Linotype" w:hAnsi="Palatino Linotype" w:eastAsia="Palatino Linotype" w:cs="Palatino Linotype"/>
          <w:sz w:val="24"/>
          <w:szCs w:val="24"/>
        </w:rPr>
        <w:t>provides that</w:t>
      </w:r>
      <w:r w:rsidRPr="009617C9" w:rsidR="001C64C2">
        <w:rPr>
          <w:rStyle w:val="HeaderChar"/>
          <w:rFonts w:ascii="Palatino Linotype" w:hAnsi="Palatino Linotype" w:eastAsia="Palatino Linotype" w:cs="Palatino Linotype"/>
          <w:sz w:val="24"/>
          <w:szCs w:val="24"/>
        </w:rPr>
        <w:t xml:space="preserve"> resolution</w:t>
      </w:r>
      <w:r w:rsidRPr="009617C9" w:rsidR="000C11F6">
        <w:rPr>
          <w:rStyle w:val="HeaderChar"/>
          <w:rFonts w:ascii="Palatino Linotype" w:hAnsi="Palatino Linotype" w:eastAsia="Palatino Linotype" w:cs="Palatino Linotype"/>
          <w:sz w:val="24"/>
          <w:szCs w:val="24"/>
        </w:rPr>
        <w:t>s generally must be served on all parties and subject to at least 30 days public review and comment prior to a vote of the Commission.</w:t>
      </w:r>
    </w:p>
    <w:p w:rsidRPr="009617C9" w:rsidR="0044343F" w:rsidP="004B6E29" w:rsidRDefault="0044343F" w14:paraId="3B2212C9" w14:textId="77777777">
      <w:pPr>
        <w:pStyle w:val="Body"/>
        <w:tabs>
          <w:tab w:val="right" w:pos="9340"/>
        </w:tabs>
        <w:spacing w:after="0" w:line="240" w:lineRule="auto"/>
        <w:rPr>
          <w:rStyle w:val="HeaderChar"/>
          <w:rFonts w:ascii="Palatino Linotype" w:hAnsi="Palatino Linotype" w:eastAsia="Palatino Linotype" w:cs="Palatino Linotype"/>
          <w:sz w:val="24"/>
          <w:szCs w:val="24"/>
        </w:rPr>
      </w:pPr>
    </w:p>
    <w:p w:rsidR="004B6E29" w:rsidP="004B6E29" w:rsidRDefault="004B6E29" w14:paraId="1D9374A9" w14:textId="74DE5F05">
      <w:pPr>
        <w:pStyle w:val="Body"/>
        <w:tabs>
          <w:tab w:val="right" w:pos="9340"/>
        </w:tabs>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Accordingly, the draft resolution was mailed to the service list, protestants, and made available for public comment on</w:t>
      </w:r>
      <w:r w:rsidR="00573328">
        <w:rPr>
          <w:rStyle w:val="HeaderChar"/>
          <w:rFonts w:ascii="Palatino Linotype" w:hAnsi="Palatino Linotype" w:eastAsia="Palatino Linotype" w:cs="Palatino Linotype"/>
          <w:sz w:val="24"/>
          <w:szCs w:val="24"/>
        </w:rPr>
        <w:t xml:space="preserve"> January 23,</w:t>
      </w:r>
      <w:r w:rsidR="00FC100A">
        <w:rPr>
          <w:rStyle w:val="HeaderChar"/>
          <w:rFonts w:ascii="Palatino Linotype" w:hAnsi="Palatino Linotype" w:eastAsia="Palatino Linotype" w:cs="Palatino Linotype"/>
          <w:sz w:val="24"/>
          <w:szCs w:val="24"/>
        </w:rPr>
        <w:t xml:space="preserve"> 20</w:t>
      </w:r>
      <w:r w:rsidR="00573328">
        <w:rPr>
          <w:rStyle w:val="HeaderChar"/>
          <w:rFonts w:ascii="Palatino Linotype" w:hAnsi="Palatino Linotype" w:eastAsia="Palatino Linotype" w:cs="Palatino Linotype"/>
          <w:sz w:val="24"/>
          <w:szCs w:val="24"/>
        </w:rPr>
        <w:t>20</w:t>
      </w:r>
      <w:r w:rsidRPr="009617C9">
        <w:rPr>
          <w:rStyle w:val="HeaderChar"/>
          <w:rFonts w:ascii="Palatino Linotype" w:hAnsi="Palatino Linotype" w:eastAsia="Palatino Linotype" w:cs="Palatino Linotype"/>
          <w:sz w:val="24"/>
          <w:szCs w:val="24"/>
        </w:rPr>
        <w:t>.</w:t>
      </w:r>
    </w:p>
    <w:p w:rsidRPr="009617C9" w:rsidR="0009672F" w:rsidP="004B6E29" w:rsidRDefault="0009672F" w14:paraId="5ECFBA32" w14:textId="77777777">
      <w:pPr>
        <w:pStyle w:val="Body"/>
        <w:tabs>
          <w:tab w:val="right" w:pos="9340"/>
        </w:tabs>
        <w:spacing w:after="0" w:line="240" w:lineRule="auto"/>
        <w:rPr>
          <w:rStyle w:val="HeaderChar"/>
          <w:rFonts w:ascii="Palatino Linotype" w:hAnsi="Palatino Linotype" w:eastAsia="Palatino Linotype" w:cs="Palatino Linotype"/>
          <w:sz w:val="24"/>
          <w:szCs w:val="24"/>
        </w:rPr>
      </w:pPr>
    </w:p>
    <w:p w:rsidRPr="00E9026F" w:rsidR="001E2FB4" w:rsidRDefault="00AE57DD" w14:paraId="5E2DDA14" w14:textId="77777777">
      <w:pPr>
        <w:pStyle w:val="Body"/>
        <w:tabs>
          <w:tab w:val="right" w:pos="9340"/>
        </w:tabs>
        <w:spacing w:after="0" w:line="240" w:lineRule="auto"/>
        <w:rPr>
          <w:rStyle w:val="HeaderChar"/>
          <w:rFonts w:ascii="Palatino Linotype" w:hAnsi="Palatino Linotype" w:eastAsia="Palatino Linotype" w:cs="Palatino Linotype"/>
          <w:b/>
          <w:bCs/>
          <w:sz w:val="24"/>
          <w:szCs w:val="24"/>
          <w:u w:val="single"/>
        </w:rPr>
      </w:pPr>
      <w:r w:rsidRPr="009617C9">
        <w:rPr>
          <w:rStyle w:val="HeaderChar"/>
          <w:rFonts w:ascii="Palatino Linotype" w:hAnsi="Palatino Linotype" w:eastAsia="Palatino Linotype" w:cs="Palatino Linotype"/>
          <w:b/>
          <w:bCs/>
          <w:sz w:val="28"/>
          <w:szCs w:val="28"/>
          <w:u w:val="single"/>
        </w:rPr>
        <w:t>FINDINGS</w:t>
      </w:r>
      <w:r w:rsidRPr="009617C9" w:rsidR="00CC3212">
        <w:rPr>
          <w:rStyle w:val="HeaderChar"/>
          <w:rFonts w:ascii="Palatino Linotype" w:hAnsi="Palatino Linotype" w:eastAsia="Palatino Linotype" w:cs="Palatino Linotype"/>
          <w:b/>
          <w:bCs/>
          <w:sz w:val="28"/>
          <w:szCs w:val="28"/>
          <w:u w:val="single"/>
        </w:rPr>
        <w:br/>
      </w:r>
    </w:p>
    <w:p w:rsidRPr="009617C9" w:rsidR="001E2FB4" w:rsidRDefault="00AE57DD" w14:paraId="201420B0" w14:textId="77777777">
      <w:pPr>
        <w:pStyle w:val="ListParagraph"/>
        <w:numPr>
          <w:ilvl w:val="0"/>
          <w:numId w:val="2"/>
        </w:numPr>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The Summary of Earnings (Appendix A) recommended by </w:t>
      </w:r>
      <w:r w:rsidRPr="009617C9" w:rsidR="00407C6C">
        <w:rPr>
          <w:rStyle w:val="HeaderChar"/>
          <w:rFonts w:ascii="Palatino Linotype" w:hAnsi="Palatino Linotype" w:eastAsia="Palatino Linotype" w:cs="Palatino Linotype"/>
          <w:sz w:val="24"/>
          <w:szCs w:val="24"/>
        </w:rPr>
        <w:t xml:space="preserve">the </w:t>
      </w:r>
      <w:r w:rsidRPr="009617C9">
        <w:rPr>
          <w:rStyle w:val="HeaderChar"/>
          <w:rFonts w:ascii="Palatino Linotype" w:hAnsi="Palatino Linotype" w:eastAsia="Palatino Linotype" w:cs="Palatino Linotype"/>
          <w:sz w:val="24"/>
          <w:szCs w:val="24"/>
        </w:rPr>
        <w:t xml:space="preserve">Water Division (WD) is reasonable and should be adopted.  </w:t>
      </w:r>
    </w:p>
    <w:p w:rsidRPr="009617C9" w:rsidR="001E2FB4" w:rsidRDefault="001E2FB4" w14:paraId="3F36B73C" w14:textId="77777777">
      <w:pPr>
        <w:pStyle w:val="ListParagraph"/>
        <w:tabs>
          <w:tab w:val="left" w:pos="1350"/>
        </w:tabs>
        <w:spacing w:after="0" w:line="240" w:lineRule="auto"/>
        <w:rPr>
          <w:rStyle w:val="HeaderChar"/>
          <w:rFonts w:ascii="Palatino Linotype" w:hAnsi="Palatino Linotype" w:eastAsia="Palatino Linotype" w:cs="Palatino Linotype"/>
          <w:sz w:val="24"/>
          <w:szCs w:val="24"/>
        </w:rPr>
      </w:pPr>
    </w:p>
    <w:p w:rsidRPr="009617C9" w:rsidR="001E2FB4" w:rsidRDefault="00AE57DD" w14:paraId="31205496" w14:textId="77777777">
      <w:pPr>
        <w:pStyle w:val="ListParagraph"/>
        <w:numPr>
          <w:ilvl w:val="0"/>
          <w:numId w:val="2"/>
        </w:numPr>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The rates recommended by the WD (Appendix B) are reasonable and should be adopted.  </w:t>
      </w:r>
    </w:p>
    <w:p w:rsidRPr="009617C9" w:rsidR="001E2FB4" w:rsidRDefault="001E2FB4" w14:paraId="4059C586" w14:textId="77777777">
      <w:pPr>
        <w:pStyle w:val="ListParagraph"/>
        <w:tabs>
          <w:tab w:val="left" w:pos="1350"/>
        </w:tabs>
        <w:spacing w:after="0" w:line="240" w:lineRule="auto"/>
        <w:rPr>
          <w:rStyle w:val="HeaderChar"/>
          <w:rFonts w:ascii="Palatino Linotype" w:hAnsi="Palatino Linotype" w:eastAsia="Palatino Linotype" w:cs="Palatino Linotype"/>
          <w:sz w:val="24"/>
          <w:szCs w:val="24"/>
        </w:rPr>
      </w:pPr>
    </w:p>
    <w:p w:rsidRPr="009617C9" w:rsidR="00805143" w:rsidRDefault="00AE57DD" w14:paraId="4EFB8703" w14:textId="77777777">
      <w:pPr>
        <w:pStyle w:val="ListParagraph"/>
        <w:numPr>
          <w:ilvl w:val="0"/>
          <w:numId w:val="2"/>
        </w:numPr>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The quantities (Appendix </w:t>
      </w:r>
      <w:r w:rsidRPr="009617C9" w:rsidR="005D0B08">
        <w:rPr>
          <w:rStyle w:val="HeaderChar"/>
          <w:rFonts w:ascii="Palatino Linotype" w:hAnsi="Palatino Linotype" w:eastAsia="Palatino Linotype" w:cs="Palatino Linotype"/>
          <w:sz w:val="24"/>
          <w:szCs w:val="24"/>
        </w:rPr>
        <w:t>D</w:t>
      </w:r>
      <w:r w:rsidRPr="009617C9">
        <w:rPr>
          <w:rStyle w:val="HeaderChar"/>
          <w:rFonts w:ascii="Palatino Linotype" w:hAnsi="Palatino Linotype" w:eastAsia="Palatino Linotype" w:cs="Palatino Linotype"/>
          <w:sz w:val="24"/>
          <w:szCs w:val="24"/>
        </w:rPr>
        <w:t xml:space="preserve">) used to develop the WD’s recommendations are reasonable and should be adopted. </w:t>
      </w:r>
    </w:p>
    <w:p w:rsidRPr="009617C9" w:rsidR="00805143" w:rsidP="00214FF1" w:rsidRDefault="00805143" w14:paraId="572D3A5D" w14:textId="77777777">
      <w:pPr>
        <w:pStyle w:val="ListParagraph"/>
        <w:numPr>
          <w:ilvl w:val="0"/>
          <w:numId w:val="2"/>
        </w:numPr>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 xml:space="preserve">The </w:t>
      </w:r>
      <w:r w:rsidRPr="009617C9" w:rsidR="00EC3E58">
        <w:rPr>
          <w:rStyle w:val="HeaderChar"/>
          <w:rFonts w:ascii="Palatino Linotype" w:hAnsi="Palatino Linotype" w:eastAsia="Palatino Linotype" w:cs="Palatino Linotype"/>
          <w:sz w:val="24"/>
          <w:szCs w:val="24"/>
        </w:rPr>
        <w:t xml:space="preserve">water </w:t>
      </w:r>
      <w:r w:rsidRPr="009617C9">
        <w:rPr>
          <w:rStyle w:val="HeaderChar"/>
          <w:rFonts w:ascii="Palatino Linotype" w:hAnsi="Palatino Linotype" w:eastAsia="Palatino Linotype" w:cs="Palatino Linotype"/>
          <w:sz w:val="24"/>
          <w:szCs w:val="24"/>
        </w:rPr>
        <w:t>rate increase authorized herein is justified and the resulting rates are just and reasonable.</w:t>
      </w:r>
      <w:r w:rsidRPr="009617C9" w:rsidR="00934C0A">
        <w:rPr>
          <w:rStyle w:val="HeaderChar"/>
          <w:rFonts w:ascii="Palatino Linotype" w:hAnsi="Palatino Linotype" w:eastAsia="Palatino Linotype" w:cs="Palatino Linotype"/>
          <w:sz w:val="24"/>
          <w:szCs w:val="24"/>
        </w:rPr>
        <w:br/>
      </w:r>
    </w:p>
    <w:p w:rsidRPr="009617C9" w:rsidR="00805143" w:rsidP="00AF39FC" w:rsidRDefault="00805143" w14:paraId="7D24F579" w14:textId="5659D08B">
      <w:pPr>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overflowPunct w:val="0"/>
        <w:autoSpaceDE w:val="0"/>
        <w:autoSpaceDN w:val="0"/>
        <w:adjustRightInd w:val="0"/>
        <w:textAlignment w:val="baseline"/>
        <w:rPr>
          <w:rFonts w:ascii="Palatino Linotype" w:hAnsi="Palatino Linotype"/>
        </w:rPr>
      </w:pPr>
      <w:r w:rsidRPr="009617C9">
        <w:rPr>
          <w:rFonts w:ascii="Palatino Linotype" w:hAnsi="Palatino Linotype" w:eastAsia="Palatino Linotype" w:cs="Palatino Linotype"/>
        </w:rPr>
        <w:t>T</w:t>
      </w:r>
      <w:r w:rsidRPr="009617C9">
        <w:rPr>
          <w:rFonts w:ascii="Palatino Linotype" w:hAnsi="Palatino Linotype" w:eastAsia="Palatino Linotype" w:cs="Palatino Linotype"/>
          <w:spacing w:val="-1"/>
        </w:rPr>
        <w:t>h</w:t>
      </w:r>
      <w:r w:rsidRPr="009617C9">
        <w:rPr>
          <w:rFonts w:ascii="Palatino Linotype" w:hAnsi="Palatino Linotype" w:eastAsia="Palatino Linotype" w:cs="Palatino Linotype"/>
        </w:rPr>
        <w:t xml:space="preserve">e </w:t>
      </w:r>
      <w:r w:rsidRPr="009617C9" w:rsidR="00CD0DBD">
        <w:rPr>
          <w:rFonts w:ascii="Palatino Linotype" w:hAnsi="Palatino Linotype" w:eastAsia="Palatino Linotype" w:cs="Palatino Linotype"/>
        </w:rPr>
        <w:t>water served b</w:t>
      </w:r>
      <w:r w:rsidRPr="009617C9">
        <w:rPr>
          <w:rFonts w:ascii="Palatino Linotype" w:hAnsi="Palatino Linotype" w:eastAsia="Palatino Linotype" w:cs="Palatino Linotype"/>
        </w:rPr>
        <w:t>y</w:t>
      </w:r>
      <w:r w:rsidRPr="009617C9">
        <w:rPr>
          <w:rFonts w:ascii="Palatino Linotype" w:hAnsi="Palatino Linotype" w:eastAsia="Palatino Linotype" w:cs="Palatino Linotype"/>
          <w:spacing w:val="-2"/>
        </w:rPr>
        <w:t xml:space="preserve"> </w:t>
      </w:r>
      <w:r w:rsidR="00E333FB">
        <w:rPr>
          <w:rFonts w:ascii="Palatino Linotype" w:hAnsi="Palatino Linotype" w:eastAsia="Palatino Linotype" w:cs="Palatino Linotype"/>
          <w:spacing w:val="-2"/>
        </w:rPr>
        <w:t>Bakman</w:t>
      </w:r>
      <w:r w:rsidR="005978A0">
        <w:rPr>
          <w:rFonts w:ascii="Palatino Linotype" w:hAnsi="Palatino Linotype" w:eastAsia="Palatino Linotype" w:cs="Palatino Linotype"/>
          <w:spacing w:val="-2"/>
        </w:rPr>
        <w:t xml:space="preserve"> Water Company </w:t>
      </w:r>
      <w:r w:rsidRPr="009617C9" w:rsidR="00CD0DBD">
        <w:rPr>
          <w:rFonts w:ascii="Palatino Linotype" w:hAnsi="Palatino Linotype" w:eastAsia="Palatino Linotype" w:cs="Palatino Linotype"/>
          <w:spacing w:val="-2"/>
        </w:rPr>
        <w:t>meets all applicable water quality standards set-forth by State Water Resources Control Board, Division of Drinking Water</w:t>
      </w:r>
      <w:r w:rsidRPr="009617C9" w:rsidR="00A86027">
        <w:rPr>
          <w:rStyle w:val="HeaderChar"/>
          <w:rFonts w:ascii="Palatino Linotype" w:hAnsi="Palatino Linotype" w:eastAsia="Palatino Linotype" w:cs="Palatino Linotype"/>
        </w:rPr>
        <w:t>.</w:t>
      </w:r>
      <w:r w:rsidRPr="009617C9" w:rsidR="00E556A7">
        <w:rPr>
          <w:rStyle w:val="HeaderChar"/>
          <w:rFonts w:ascii="Palatino Linotype" w:hAnsi="Palatino Linotype" w:eastAsia="Palatino Linotype" w:cs="Palatino Linotype"/>
        </w:rPr>
        <w:br/>
      </w:r>
    </w:p>
    <w:p w:rsidRPr="00297814" w:rsidR="00297814" w:rsidP="00F313E6" w:rsidRDefault="00E333FB" w14:paraId="6833B685" w14:textId="5B24A751">
      <w:pPr>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overflowPunct w:val="0"/>
        <w:autoSpaceDE w:val="0"/>
        <w:autoSpaceDN w:val="0"/>
        <w:adjustRightInd w:val="0"/>
        <w:textAlignment w:val="baseline"/>
        <w:rPr>
          <w:rStyle w:val="HeaderChar"/>
          <w:rFonts w:ascii="Palatino Linotype" w:hAnsi="Palatino Linotype" w:eastAsia="Palatino Linotype" w:cs="Palatino Linotype"/>
          <w:bCs/>
          <w:color w:val="000000"/>
          <w:u w:val="single" w:color="000000"/>
          <w:lang w:val="de-DE"/>
        </w:rPr>
      </w:pPr>
      <w:r>
        <w:rPr>
          <w:rStyle w:val="HeaderChar"/>
          <w:rFonts w:ascii="Palatino Linotype" w:hAnsi="Palatino Linotype" w:eastAsia="Palatino Linotype" w:cs="Palatino Linotype"/>
        </w:rPr>
        <w:t>Bakman</w:t>
      </w:r>
      <w:r w:rsidRPr="009617C9" w:rsidR="00CD0DBD">
        <w:rPr>
          <w:rStyle w:val="HeaderChar"/>
          <w:rFonts w:ascii="Palatino Linotype" w:hAnsi="Palatino Linotype" w:eastAsia="Palatino Linotype" w:cs="Palatino Linotype"/>
        </w:rPr>
        <w:t xml:space="preserve"> </w:t>
      </w:r>
      <w:r w:rsidRPr="009617C9" w:rsidR="00805143">
        <w:rPr>
          <w:rStyle w:val="HeaderChar"/>
          <w:rFonts w:ascii="Palatino Linotype" w:hAnsi="Palatino Linotype" w:eastAsia="Palatino Linotype" w:cs="Palatino Linotype"/>
        </w:rPr>
        <w:t>should be allowed to file a su</w:t>
      </w:r>
      <w:r w:rsidRPr="009617C9" w:rsidR="00C836D7">
        <w:rPr>
          <w:rStyle w:val="HeaderChar"/>
          <w:rFonts w:ascii="Palatino Linotype" w:hAnsi="Palatino Linotype" w:eastAsia="Palatino Linotype" w:cs="Palatino Linotype"/>
        </w:rPr>
        <w:t xml:space="preserve">pplement to </w:t>
      </w:r>
      <w:r w:rsidRPr="009617C9" w:rsidR="0023568B">
        <w:rPr>
          <w:rStyle w:val="HeaderChar"/>
          <w:rFonts w:ascii="Palatino Linotype" w:hAnsi="Palatino Linotype" w:eastAsia="Palatino Linotype" w:cs="Palatino Linotype"/>
        </w:rPr>
        <w:t xml:space="preserve">Advice Letter No. </w:t>
      </w:r>
      <w:r w:rsidR="00D00036">
        <w:rPr>
          <w:rStyle w:val="HeaderChar"/>
          <w:rFonts w:ascii="Palatino Linotype" w:hAnsi="Palatino Linotype" w:eastAsia="Palatino Linotype" w:cs="Palatino Linotype"/>
        </w:rPr>
        <w:t>94</w:t>
      </w:r>
      <w:r w:rsidRPr="009617C9" w:rsidR="0012746C">
        <w:rPr>
          <w:rStyle w:val="HeaderChar"/>
          <w:rFonts w:ascii="Palatino Linotype" w:hAnsi="Palatino Linotype" w:eastAsia="Palatino Linotype" w:cs="Palatino Linotype"/>
        </w:rPr>
        <w:t>-</w:t>
      </w:r>
      <w:r w:rsidRPr="009617C9" w:rsidR="00CD0DBD">
        <w:rPr>
          <w:rStyle w:val="HeaderChar"/>
          <w:rFonts w:ascii="Palatino Linotype" w:hAnsi="Palatino Linotype" w:eastAsia="Palatino Linotype" w:cs="Palatino Linotype"/>
        </w:rPr>
        <w:t xml:space="preserve">W </w:t>
      </w:r>
      <w:r w:rsidRPr="009617C9" w:rsidR="00805143">
        <w:rPr>
          <w:rStyle w:val="HeaderChar"/>
          <w:rFonts w:ascii="Palatino Linotype" w:hAnsi="Palatino Linotype" w:eastAsia="Palatino Linotype" w:cs="Palatino Linotype"/>
        </w:rPr>
        <w:t>to incorporate the revised rate schedule</w:t>
      </w:r>
      <w:r w:rsidRPr="009617C9" w:rsidR="007013D5">
        <w:rPr>
          <w:rStyle w:val="HeaderChar"/>
          <w:rFonts w:ascii="Palatino Linotype" w:hAnsi="Palatino Linotype" w:eastAsia="Palatino Linotype" w:cs="Palatino Linotype"/>
        </w:rPr>
        <w:t>s</w:t>
      </w:r>
      <w:r w:rsidRPr="009617C9" w:rsidR="00805143">
        <w:rPr>
          <w:rStyle w:val="HeaderChar"/>
          <w:rFonts w:ascii="Palatino Linotype" w:hAnsi="Palatino Linotype" w:eastAsia="Palatino Linotype" w:cs="Palatino Linotype"/>
        </w:rPr>
        <w:t xml:space="preserve"> (Appendix B) and to concurrently </w:t>
      </w:r>
      <w:r w:rsidRPr="009617C9" w:rsidR="00630FB2">
        <w:rPr>
          <w:rStyle w:val="HeaderChar"/>
          <w:rFonts w:ascii="Palatino Linotype" w:hAnsi="Palatino Linotype" w:eastAsia="Palatino Linotype" w:cs="Palatino Linotype"/>
        </w:rPr>
        <w:t>cancel its presently effective r</w:t>
      </w:r>
      <w:r w:rsidRPr="009617C9" w:rsidR="00805143">
        <w:rPr>
          <w:rStyle w:val="HeaderChar"/>
          <w:rFonts w:ascii="Palatino Linotype" w:hAnsi="Palatino Linotype" w:eastAsia="Palatino Linotype" w:cs="Palatino Linotype"/>
        </w:rPr>
        <w:t xml:space="preserve">ate </w:t>
      </w:r>
      <w:r w:rsidRPr="009617C9" w:rsidR="004E6BF1">
        <w:rPr>
          <w:rStyle w:val="HeaderChar"/>
          <w:rFonts w:ascii="Palatino Linotype" w:hAnsi="Palatino Linotype" w:eastAsia="Palatino Linotype" w:cs="Palatino Linotype"/>
        </w:rPr>
        <w:t>s</w:t>
      </w:r>
      <w:r w:rsidRPr="009617C9" w:rsidR="00805143">
        <w:rPr>
          <w:rStyle w:val="HeaderChar"/>
          <w:rFonts w:ascii="Palatino Linotype" w:hAnsi="Palatino Linotype" w:eastAsia="Palatino Linotype" w:cs="Palatino Linotype"/>
        </w:rPr>
        <w:t>chedule</w:t>
      </w:r>
      <w:r w:rsidRPr="009617C9" w:rsidR="001C64C2">
        <w:rPr>
          <w:rStyle w:val="HeaderChar"/>
          <w:rFonts w:ascii="Palatino Linotype" w:hAnsi="Palatino Linotype" w:eastAsia="Palatino Linotype" w:cs="Palatino Linotype"/>
        </w:rPr>
        <w:t>s</w:t>
      </w:r>
      <w:r w:rsidRPr="009617C9" w:rsidR="00805143">
        <w:rPr>
          <w:rStyle w:val="HeaderChar"/>
          <w:rFonts w:ascii="Palatino Linotype" w:hAnsi="Palatino Linotype" w:eastAsia="Palatino Linotype" w:cs="Palatino Linotype"/>
        </w:rPr>
        <w:t xml:space="preserve">. </w:t>
      </w:r>
    </w:p>
    <w:p w:rsidRPr="00297814" w:rsidR="00297814" w:rsidP="00297814" w:rsidRDefault="00297814" w14:paraId="2833C4F7"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Style w:val="HeaderChar"/>
          <w:rFonts w:ascii="Palatino Linotype" w:hAnsi="Palatino Linotype" w:eastAsia="Palatino Linotype" w:cs="Palatino Linotype"/>
          <w:bCs/>
          <w:color w:val="000000"/>
          <w:u w:val="single" w:color="000000"/>
          <w:lang w:val="de-DE"/>
        </w:rPr>
      </w:pPr>
    </w:p>
    <w:p w:rsidRPr="00297814" w:rsidR="00297814" w:rsidP="00297814" w:rsidRDefault="00297814" w14:paraId="66E87A03" w14:textId="4EE54896">
      <w:pPr>
        <w:pStyle w:val="ListParagraph"/>
        <w:widowControl w:val="0"/>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tabs>
          <w:tab w:val="left" w:pos="1041"/>
        </w:tabs>
        <w:autoSpaceDE w:val="0"/>
        <w:autoSpaceDN w:val="0"/>
        <w:spacing w:before="24" w:after="0" w:line="240" w:lineRule="auto"/>
        <w:ind w:right="685"/>
        <w:rPr>
          <w:rFonts w:ascii="Palatino Linotype" w:hAnsi="Palatino Linotype"/>
          <w:sz w:val="24"/>
        </w:rPr>
      </w:pPr>
      <w:r>
        <w:rPr>
          <w:rFonts w:ascii="Palatino Linotype" w:hAnsi="Palatino Linotype"/>
          <w:sz w:val="24"/>
        </w:rPr>
        <w:t>Bakman</w:t>
      </w:r>
      <w:r w:rsidRPr="00297814">
        <w:rPr>
          <w:rFonts w:ascii="Palatino Linotype" w:hAnsi="Palatino Linotype"/>
          <w:sz w:val="24"/>
        </w:rPr>
        <w:t xml:space="preserve"> should be authorized to file a Tier 2 advice letter within 30 days from the effective date of this Resolution to collect the under-collected revenues from </w:t>
      </w:r>
      <w:r w:rsidR="0037729F">
        <w:rPr>
          <w:rFonts w:ascii="Palatino Linotype" w:hAnsi="Palatino Linotype"/>
          <w:sz w:val="24"/>
        </w:rPr>
        <w:t>July</w:t>
      </w:r>
      <w:r w:rsidRPr="00297814">
        <w:rPr>
          <w:rFonts w:ascii="Palatino Linotype" w:hAnsi="Palatino Linotype"/>
          <w:sz w:val="24"/>
        </w:rPr>
        <w:t xml:space="preserve"> 1</w:t>
      </w:r>
      <w:r w:rsidR="0037729F">
        <w:rPr>
          <w:rFonts w:ascii="Palatino Linotype" w:hAnsi="Palatino Linotype"/>
          <w:sz w:val="24"/>
        </w:rPr>
        <w:t>2</w:t>
      </w:r>
      <w:r w:rsidRPr="00297814">
        <w:rPr>
          <w:rFonts w:ascii="Palatino Linotype" w:hAnsi="Palatino Linotype"/>
          <w:sz w:val="24"/>
        </w:rPr>
        <w:t xml:space="preserve">, 2019, the interim rate date, to the effective date of </w:t>
      </w:r>
      <w:r w:rsidRPr="00297814">
        <w:rPr>
          <w:rFonts w:ascii="Palatino Linotype" w:hAnsi="Palatino Linotype"/>
          <w:sz w:val="24"/>
        </w:rPr>
        <w:lastRenderedPageBreak/>
        <w:t>the new rates.</w:t>
      </w:r>
    </w:p>
    <w:p w:rsidRPr="00297814" w:rsidR="00297814" w:rsidP="00297814" w:rsidRDefault="00297814" w14:paraId="1DFF030C"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Style w:val="HeaderChar"/>
          <w:rFonts w:ascii="Palatino Linotype" w:hAnsi="Palatino Linotype" w:eastAsia="Palatino Linotype" w:cs="Palatino Linotype"/>
          <w:bCs/>
          <w:color w:val="000000"/>
          <w:u w:val="single" w:color="000000"/>
          <w:lang w:val="de-DE"/>
        </w:rPr>
      </w:pPr>
    </w:p>
    <w:p w:rsidRPr="009617C9" w:rsidR="004F4881" w:rsidP="00297814" w:rsidRDefault="004F4881" w14:paraId="0DEA0E2F" w14:textId="6BA9B28D">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bCs/>
          <w:color w:val="000000"/>
          <w:u w:val="single" w:color="000000"/>
          <w:lang w:val="de-DE"/>
        </w:rPr>
      </w:pPr>
      <w:r w:rsidRPr="009617C9">
        <w:rPr>
          <w:rStyle w:val="HeaderChar"/>
          <w:rFonts w:ascii="Palatino Linotype" w:hAnsi="Palatino Linotype" w:eastAsia="Palatino Linotype" w:cs="Palatino Linotype"/>
          <w:b/>
          <w:bCs/>
          <w:sz w:val="28"/>
          <w:szCs w:val="28"/>
          <w:u w:val="single"/>
          <w:lang w:val="de-DE"/>
        </w:rPr>
        <w:br w:type="page"/>
      </w:r>
    </w:p>
    <w:p w:rsidRPr="009617C9" w:rsidR="001E2FB4" w:rsidRDefault="00AE57DD" w14:paraId="672ED1DA" w14:textId="77777777">
      <w:pPr>
        <w:pStyle w:val="Body"/>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b/>
          <w:bCs/>
          <w:sz w:val="28"/>
          <w:szCs w:val="28"/>
          <w:u w:val="single"/>
          <w:lang w:val="de-DE"/>
        </w:rPr>
        <w:lastRenderedPageBreak/>
        <w:t>THEREFORE, IT IS ORDERED THAT:</w:t>
      </w:r>
    </w:p>
    <w:p w:rsidR="001E2FB4" w:rsidRDefault="00AE57DD" w14:paraId="0A357B8E" w14:textId="1DD32B75">
      <w:pPr>
        <w:pStyle w:val="ListParagraph"/>
        <w:numPr>
          <w:ilvl w:val="0"/>
          <w:numId w:val="4"/>
        </w:numPr>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Authority is granted under Public Utilities Code Section 454</w:t>
      </w:r>
      <w:r w:rsidRPr="009617C9" w:rsidR="004E6BF1">
        <w:rPr>
          <w:rStyle w:val="HeaderChar"/>
          <w:rFonts w:ascii="Palatino Linotype" w:hAnsi="Palatino Linotype" w:eastAsia="Palatino Linotype" w:cs="Palatino Linotype"/>
          <w:sz w:val="24"/>
          <w:szCs w:val="24"/>
        </w:rPr>
        <w:t>,</w:t>
      </w:r>
      <w:r w:rsidRPr="009617C9">
        <w:rPr>
          <w:rStyle w:val="HeaderChar"/>
          <w:rFonts w:ascii="Palatino Linotype" w:hAnsi="Palatino Linotype" w:eastAsia="Palatino Linotype" w:cs="Palatino Linotype"/>
          <w:sz w:val="24"/>
          <w:szCs w:val="24"/>
        </w:rPr>
        <w:t xml:space="preserve"> for </w:t>
      </w:r>
      <w:r w:rsidR="00E333FB">
        <w:rPr>
          <w:rStyle w:val="HeaderChar"/>
          <w:rFonts w:ascii="Palatino Linotype" w:hAnsi="Palatino Linotype" w:eastAsia="Palatino Linotype" w:cs="Palatino Linotype"/>
          <w:sz w:val="24"/>
          <w:szCs w:val="24"/>
        </w:rPr>
        <w:t>Bakman</w:t>
      </w:r>
      <w:r w:rsidR="00856172">
        <w:rPr>
          <w:rStyle w:val="HeaderChar"/>
          <w:rFonts w:ascii="Palatino Linotype" w:hAnsi="Palatino Linotype" w:eastAsia="Palatino Linotype" w:cs="Palatino Linotype"/>
          <w:sz w:val="24"/>
          <w:szCs w:val="24"/>
        </w:rPr>
        <w:t xml:space="preserve"> Water Company</w:t>
      </w:r>
      <w:r w:rsidRPr="009617C9" w:rsidR="00A86027">
        <w:rPr>
          <w:rStyle w:val="HeaderChar"/>
          <w:rFonts w:ascii="Palatino Linotype" w:hAnsi="Palatino Linotype" w:eastAsia="Palatino Linotype" w:cs="Palatino Linotype"/>
          <w:sz w:val="24"/>
          <w:szCs w:val="24"/>
        </w:rPr>
        <w:t xml:space="preserve"> </w:t>
      </w:r>
      <w:r w:rsidRPr="009617C9">
        <w:rPr>
          <w:rStyle w:val="HeaderChar"/>
          <w:rFonts w:ascii="Palatino Linotype" w:hAnsi="Palatino Linotype" w:eastAsia="Palatino Linotype" w:cs="Palatino Linotype"/>
          <w:sz w:val="24"/>
          <w:szCs w:val="24"/>
        </w:rPr>
        <w:t>to file a supplement</w:t>
      </w:r>
      <w:r w:rsidRPr="009617C9" w:rsidR="00AF39FC">
        <w:rPr>
          <w:rStyle w:val="HeaderChar"/>
          <w:rFonts w:ascii="Palatino Linotype" w:hAnsi="Palatino Linotype" w:eastAsia="Palatino Linotype" w:cs="Palatino Linotype"/>
          <w:sz w:val="24"/>
          <w:szCs w:val="24"/>
        </w:rPr>
        <w:t xml:space="preserve"> to</w:t>
      </w:r>
      <w:r w:rsidRPr="009617C9">
        <w:rPr>
          <w:rStyle w:val="HeaderChar"/>
          <w:rFonts w:ascii="Palatino Linotype" w:hAnsi="Palatino Linotype" w:eastAsia="Palatino Linotype" w:cs="Palatino Linotype"/>
          <w:sz w:val="24"/>
          <w:szCs w:val="24"/>
        </w:rPr>
        <w:t xml:space="preserve"> Advice Letter </w:t>
      </w:r>
      <w:r w:rsidR="00D00036">
        <w:rPr>
          <w:rStyle w:val="HeaderChar"/>
          <w:rFonts w:ascii="Palatino Linotype" w:hAnsi="Palatino Linotype" w:eastAsia="Palatino Linotype" w:cs="Palatino Linotype"/>
          <w:sz w:val="24"/>
          <w:szCs w:val="24"/>
        </w:rPr>
        <w:t>94</w:t>
      </w:r>
      <w:r w:rsidRPr="009617C9" w:rsidR="00AF39FC">
        <w:rPr>
          <w:rStyle w:val="HeaderChar"/>
          <w:rFonts w:ascii="Palatino Linotype" w:hAnsi="Palatino Linotype" w:eastAsia="Palatino Linotype" w:cs="Palatino Linotype"/>
          <w:sz w:val="24"/>
          <w:szCs w:val="24"/>
        </w:rPr>
        <w:t xml:space="preserve">-W to incorporate </w:t>
      </w:r>
      <w:r w:rsidRPr="009617C9">
        <w:rPr>
          <w:rStyle w:val="HeaderChar"/>
          <w:rFonts w:ascii="Palatino Linotype" w:hAnsi="Palatino Linotype" w:eastAsia="Palatino Linotype" w:cs="Palatino Linotype"/>
          <w:sz w:val="24"/>
          <w:szCs w:val="24"/>
        </w:rPr>
        <w:t>the</w:t>
      </w:r>
      <w:r w:rsidR="001E1FB9">
        <w:rPr>
          <w:rStyle w:val="HeaderChar"/>
          <w:rFonts w:ascii="Palatino Linotype" w:hAnsi="Palatino Linotype" w:eastAsia="Palatino Linotype" w:cs="Palatino Linotype"/>
          <w:sz w:val="24"/>
          <w:szCs w:val="24"/>
        </w:rPr>
        <w:t xml:space="preserve"> </w:t>
      </w:r>
      <w:r w:rsidR="00856172">
        <w:rPr>
          <w:rStyle w:val="HeaderChar"/>
          <w:rFonts w:ascii="Palatino Linotype" w:hAnsi="Palatino Linotype" w:eastAsia="Palatino Linotype" w:cs="Palatino Linotype"/>
          <w:sz w:val="24"/>
          <w:szCs w:val="24"/>
        </w:rPr>
        <w:t xml:space="preserve">revised </w:t>
      </w:r>
      <w:r w:rsidRPr="009617C9">
        <w:rPr>
          <w:rStyle w:val="HeaderChar"/>
          <w:rFonts w:ascii="Palatino Linotype" w:hAnsi="Palatino Linotype" w:eastAsia="Palatino Linotype" w:cs="Palatino Linotype"/>
          <w:sz w:val="24"/>
          <w:szCs w:val="24"/>
        </w:rPr>
        <w:t>rate schedule</w:t>
      </w:r>
      <w:r w:rsidRPr="009617C9" w:rsidR="00C9646E">
        <w:rPr>
          <w:rStyle w:val="HeaderChar"/>
          <w:rFonts w:ascii="Palatino Linotype" w:hAnsi="Palatino Linotype" w:eastAsia="Palatino Linotype" w:cs="Palatino Linotype"/>
          <w:sz w:val="24"/>
          <w:szCs w:val="24"/>
        </w:rPr>
        <w:t>s</w:t>
      </w:r>
      <w:r w:rsidRPr="009617C9">
        <w:rPr>
          <w:rStyle w:val="HeaderChar"/>
          <w:rFonts w:ascii="Palatino Linotype" w:hAnsi="Palatino Linotype" w:eastAsia="Palatino Linotype" w:cs="Palatino Linotype"/>
          <w:sz w:val="24"/>
          <w:szCs w:val="24"/>
        </w:rPr>
        <w:t xml:space="preserve"> attached to this Resolution as Appendi</w:t>
      </w:r>
      <w:r w:rsidR="001E1FB9">
        <w:rPr>
          <w:rStyle w:val="HeaderChar"/>
          <w:rFonts w:ascii="Palatino Linotype" w:hAnsi="Palatino Linotype" w:eastAsia="Palatino Linotype" w:cs="Palatino Linotype"/>
          <w:sz w:val="24"/>
          <w:szCs w:val="24"/>
        </w:rPr>
        <w:t xml:space="preserve">x </w:t>
      </w:r>
      <w:r w:rsidRPr="009617C9">
        <w:rPr>
          <w:rStyle w:val="HeaderChar"/>
          <w:rFonts w:ascii="Palatino Linotype" w:hAnsi="Palatino Linotype" w:eastAsia="Palatino Linotype" w:cs="Palatino Linotype"/>
          <w:sz w:val="24"/>
          <w:szCs w:val="24"/>
        </w:rPr>
        <w:t>B</w:t>
      </w:r>
      <w:r w:rsidR="001E1FB9">
        <w:rPr>
          <w:rStyle w:val="HeaderChar"/>
          <w:rFonts w:ascii="Palatino Linotype" w:hAnsi="Palatino Linotype" w:eastAsia="Palatino Linotype" w:cs="Palatino Linotype"/>
          <w:sz w:val="24"/>
          <w:szCs w:val="24"/>
        </w:rPr>
        <w:t xml:space="preserve"> for Test Year 2019</w:t>
      </w:r>
      <w:r w:rsidRPr="009617C9">
        <w:rPr>
          <w:rStyle w:val="HeaderChar"/>
          <w:rFonts w:ascii="Palatino Linotype" w:hAnsi="Palatino Linotype" w:eastAsia="Palatino Linotype" w:cs="Palatino Linotype"/>
          <w:sz w:val="24"/>
          <w:szCs w:val="24"/>
        </w:rPr>
        <w:t>, and concurrently cancel its presently effective rate Schedule</w:t>
      </w:r>
      <w:r w:rsidRPr="009617C9" w:rsidR="00C9646E">
        <w:rPr>
          <w:rStyle w:val="HeaderChar"/>
          <w:rFonts w:ascii="Palatino Linotype" w:hAnsi="Palatino Linotype" w:eastAsia="Palatino Linotype" w:cs="Palatino Linotype"/>
          <w:sz w:val="24"/>
          <w:szCs w:val="24"/>
        </w:rPr>
        <w:t>s</w:t>
      </w:r>
      <w:r w:rsidRPr="009617C9">
        <w:rPr>
          <w:rStyle w:val="HeaderChar"/>
          <w:rFonts w:ascii="Palatino Linotype" w:hAnsi="Palatino Linotype" w:eastAsia="Palatino Linotype" w:cs="Palatino Linotype"/>
        </w:rPr>
        <w:t>:</w:t>
      </w:r>
      <w:r w:rsidR="00222A8B">
        <w:rPr>
          <w:rStyle w:val="HeaderChar"/>
          <w:rFonts w:ascii="Palatino Linotype" w:hAnsi="Palatino Linotype" w:eastAsia="Palatino Linotype" w:cs="Palatino Linotype"/>
        </w:rPr>
        <w:t xml:space="preserve"> Schedule No. 1, General Metered Service, Schedule No. 2,</w:t>
      </w:r>
      <w:r w:rsidR="00D00036">
        <w:rPr>
          <w:rStyle w:val="HeaderChar"/>
          <w:rFonts w:ascii="Palatino Linotype" w:hAnsi="Palatino Linotype" w:eastAsia="Palatino Linotype" w:cs="Palatino Linotype"/>
        </w:rPr>
        <w:t xml:space="preserve"> General </w:t>
      </w:r>
      <w:r w:rsidR="00222A8B">
        <w:rPr>
          <w:rStyle w:val="HeaderChar"/>
          <w:rFonts w:ascii="Palatino Linotype" w:hAnsi="Palatino Linotype" w:eastAsia="Palatino Linotype" w:cs="Palatino Linotype"/>
        </w:rPr>
        <w:t>Flat Rate Service</w:t>
      </w:r>
      <w:r w:rsidR="00D00036">
        <w:rPr>
          <w:rStyle w:val="HeaderChar"/>
          <w:rFonts w:ascii="Palatino Linotype" w:hAnsi="Palatino Linotype" w:eastAsia="Palatino Linotype" w:cs="Palatino Linotype"/>
        </w:rPr>
        <w:t>, Schedule No. 4,</w:t>
      </w:r>
      <w:r w:rsidR="00222A8B">
        <w:rPr>
          <w:rStyle w:val="HeaderChar"/>
          <w:rFonts w:ascii="Palatino Linotype" w:hAnsi="Palatino Linotype" w:eastAsia="Palatino Linotype" w:cs="Palatino Linotype"/>
        </w:rPr>
        <w:t xml:space="preserve"> Private Fire Protection Service</w:t>
      </w:r>
      <w:r w:rsidR="00D00036">
        <w:rPr>
          <w:rStyle w:val="HeaderChar"/>
          <w:rFonts w:ascii="Palatino Linotype" w:hAnsi="Palatino Linotype" w:eastAsia="Palatino Linotype" w:cs="Palatino Linotype"/>
        </w:rPr>
        <w:t xml:space="preserve"> and Schedule No. 5, Public Fire Protection Service</w:t>
      </w:r>
      <w:r w:rsidR="00222A8B">
        <w:rPr>
          <w:rStyle w:val="HeaderChar"/>
          <w:rFonts w:ascii="Palatino Linotype" w:hAnsi="Palatino Linotype" w:eastAsia="Palatino Linotype" w:cs="Palatino Linotype"/>
        </w:rPr>
        <w:t xml:space="preserve">. </w:t>
      </w:r>
      <w:r w:rsidRPr="009617C9">
        <w:rPr>
          <w:rStyle w:val="HeaderChar"/>
          <w:rFonts w:ascii="Palatino Linotype" w:hAnsi="Palatino Linotype" w:eastAsia="Palatino Linotype" w:cs="Palatino Linotype"/>
          <w:sz w:val="24"/>
          <w:szCs w:val="24"/>
        </w:rPr>
        <w:t>The effective date of the revised schedules shall be five days after the date of filing.</w:t>
      </w:r>
    </w:p>
    <w:p w:rsidR="0037729F" w:rsidP="0037729F" w:rsidRDefault="0037729F" w14:paraId="4936EBFD" w14:textId="77777777">
      <w:pPr>
        <w:pStyle w:val="ListParagraph"/>
        <w:spacing w:after="0" w:line="240" w:lineRule="auto"/>
        <w:rPr>
          <w:rStyle w:val="HeaderChar"/>
          <w:rFonts w:ascii="Palatino Linotype" w:hAnsi="Palatino Linotype" w:eastAsia="Palatino Linotype" w:cs="Palatino Linotype"/>
          <w:sz w:val="24"/>
          <w:szCs w:val="24"/>
        </w:rPr>
      </w:pPr>
    </w:p>
    <w:p w:rsidRPr="009617C9" w:rsidR="0037729F" w:rsidRDefault="0037729F" w14:paraId="2549DDEA" w14:textId="6BD01F27">
      <w:pPr>
        <w:pStyle w:val="ListParagraph"/>
        <w:numPr>
          <w:ilvl w:val="0"/>
          <w:numId w:val="4"/>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Bakman Water Company is authorized to file a Tier 2 advice letter within 30 days from the effective date of this Resolution to collect the under-collected revenues from July 12, 2019, the interim rate date, to the effective date of the new rates established in this Resolution. This advice letter shall become effective upon approval by Staff of the Division of Water and Audits.</w:t>
      </w:r>
    </w:p>
    <w:p w:rsidRPr="009617C9" w:rsidR="0043457E" w:rsidP="0043457E" w:rsidRDefault="0043457E" w14:paraId="40D1A484" w14:textId="77777777">
      <w:pPr>
        <w:pStyle w:val="ListParagraph"/>
        <w:spacing w:after="0" w:line="240" w:lineRule="auto"/>
        <w:rPr>
          <w:rStyle w:val="HeaderChar"/>
          <w:rFonts w:ascii="Palatino Linotype" w:hAnsi="Palatino Linotype" w:eastAsia="Palatino Linotype" w:cs="Palatino Linotype"/>
          <w:sz w:val="24"/>
          <w:szCs w:val="24"/>
        </w:rPr>
      </w:pPr>
    </w:p>
    <w:p w:rsidRPr="009617C9" w:rsidR="001E2FB4" w:rsidRDefault="00AE57DD" w14:paraId="56964787" w14:textId="77777777">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This Resolution is effective today.</w:t>
      </w:r>
    </w:p>
    <w:p w:rsidRPr="009617C9" w:rsidR="001E2FB4" w:rsidRDefault="001E2FB4" w14:paraId="5E42DEE8" w14:textId="77777777">
      <w:pPr>
        <w:pStyle w:val="Body"/>
        <w:spacing w:after="0" w:line="240" w:lineRule="auto"/>
        <w:rPr>
          <w:rStyle w:val="HeaderChar"/>
          <w:rFonts w:ascii="Palatino Linotype" w:hAnsi="Palatino Linotype" w:eastAsia="Palatino Linotype" w:cs="Palatino Linotype"/>
          <w:sz w:val="24"/>
          <w:szCs w:val="24"/>
        </w:rPr>
      </w:pPr>
    </w:p>
    <w:p w:rsidRPr="009617C9" w:rsidR="001E2FB4" w:rsidRDefault="00AE57DD" w14:paraId="466E5474" w14:textId="1CA8CBD4">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I certify that the foregoing resolution was duly introduced, passed, and adopted at a conference of the Public Utilities Commission of the State of California held</w:t>
      </w:r>
      <w:r w:rsidR="00222A8B">
        <w:rPr>
          <w:rStyle w:val="HeaderChar"/>
          <w:rFonts w:ascii="Palatino Linotype" w:hAnsi="Palatino Linotype" w:eastAsia="Palatino Linotype" w:cs="Palatino Linotype"/>
          <w:sz w:val="24"/>
          <w:szCs w:val="24"/>
        </w:rPr>
        <w:t xml:space="preserve"> </w:t>
      </w:r>
      <w:r w:rsidR="00676581">
        <w:rPr>
          <w:rStyle w:val="HeaderChar"/>
          <w:rFonts w:ascii="Palatino Linotype" w:hAnsi="Palatino Linotype" w:eastAsia="Palatino Linotype" w:cs="Palatino Linotype"/>
          <w:sz w:val="24"/>
          <w:szCs w:val="24"/>
        </w:rPr>
        <w:t>March</w:t>
      </w:r>
      <w:r w:rsidR="00D6393D">
        <w:rPr>
          <w:rStyle w:val="HeaderChar"/>
          <w:rFonts w:ascii="Palatino Linotype" w:hAnsi="Palatino Linotype" w:eastAsia="Palatino Linotype" w:cs="Palatino Linotype"/>
          <w:sz w:val="24"/>
          <w:szCs w:val="24"/>
        </w:rPr>
        <w:t xml:space="preserve"> 2</w:t>
      </w:r>
      <w:r w:rsidR="00676581">
        <w:rPr>
          <w:rStyle w:val="HeaderChar"/>
          <w:rFonts w:ascii="Palatino Linotype" w:hAnsi="Palatino Linotype" w:eastAsia="Palatino Linotype" w:cs="Palatino Linotype"/>
          <w:sz w:val="24"/>
          <w:szCs w:val="24"/>
        </w:rPr>
        <w:t>6</w:t>
      </w:r>
      <w:r w:rsidR="00222A8B">
        <w:rPr>
          <w:rStyle w:val="HeaderChar"/>
          <w:rFonts w:ascii="Palatino Linotype" w:hAnsi="Palatino Linotype" w:eastAsia="Palatino Linotype" w:cs="Palatino Linotype"/>
          <w:sz w:val="24"/>
          <w:szCs w:val="24"/>
        </w:rPr>
        <w:t>, 20</w:t>
      </w:r>
      <w:r w:rsidR="00FB56CC">
        <w:rPr>
          <w:rStyle w:val="HeaderChar"/>
          <w:rFonts w:ascii="Palatino Linotype" w:hAnsi="Palatino Linotype" w:eastAsia="Palatino Linotype" w:cs="Palatino Linotype"/>
          <w:sz w:val="24"/>
          <w:szCs w:val="24"/>
        </w:rPr>
        <w:t>20</w:t>
      </w:r>
      <w:r w:rsidRPr="009617C9">
        <w:rPr>
          <w:rStyle w:val="HeaderChar"/>
          <w:rFonts w:ascii="Palatino Linotype" w:hAnsi="Palatino Linotype" w:eastAsia="Palatino Linotype" w:cs="Palatino Linotype"/>
          <w:sz w:val="24"/>
          <w:szCs w:val="24"/>
        </w:rPr>
        <w:t>; the following Commissioners voting favorably thereon:</w:t>
      </w:r>
    </w:p>
    <w:p w:rsidRPr="009617C9" w:rsidR="001E2FB4" w:rsidRDefault="001E2FB4" w14:paraId="11AACEBE" w14:textId="77777777">
      <w:pPr>
        <w:pStyle w:val="Body"/>
        <w:spacing w:after="0" w:line="240" w:lineRule="auto"/>
        <w:rPr>
          <w:rFonts w:ascii="Palatino Linotype" w:hAnsi="Palatino Linotype" w:eastAsia="Palatino Linotype" w:cs="Palatino Linotype"/>
          <w:sz w:val="24"/>
          <w:szCs w:val="24"/>
        </w:rPr>
      </w:pPr>
    </w:p>
    <w:p w:rsidRPr="009617C9" w:rsidR="001E2FB4" w:rsidRDefault="001E2FB4" w14:paraId="60CA1860" w14:textId="77777777">
      <w:pPr>
        <w:pStyle w:val="Body"/>
        <w:spacing w:after="0" w:line="240" w:lineRule="auto"/>
        <w:rPr>
          <w:rFonts w:ascii="Palatino Linotype" w:hAnsi="Palatino Linotype" w:eastAsia="Palatino Linotype" w:cs="Palatino Linotype"/>
          <w:sz w:val="24"/>
          <w:szCs w:val="24"/>
        </w:rPr>
      </w:pPr>
    </w:p>
    <w:p w:rsidRPr="009617C9" w:rsidR="001E2FB4" w:rsidRDefault="001E2FB4" w14:paraId="44161469" w14:textId="77777777">
      <w:pPr>
        <w:pStyle w:val="Body"/>
        <w:spacing w:after="0" w:line="240" w:lineRule="auto"/>
        <w:rPr>
          <w:rFonts w:ascii="Palatino Linotype" w:hAnsi="Palatino Linotype" w:eastAsia="Palatino Linotype" w:cs="Palatino Linotype"/>
          <w:sz w:val="24"/>
          <w:szCs w:val="24"/>
        </w:rPr>
      </w:pPr>
    </w:p>
    <w:tbl>
      <w:tblPr>
        <w:tblW w:w="95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498"/>
        <w:gridCol w:w="3078"/>
      </w:tblGrid>
      <w:tr w:rsidRPr="009617C9" w:rsidR="001E2FB4" w14:paraId="0BB780F3" w14:textId="77777777">
        <w:trPr>
          <w:trHeight w:val="300"/>
        </w:trPr>
        <w:tc>
          <w:tcPr>
            <w:tcW w:w="6498" w:type="dxa"/>
            <w:tcBorders>
              <w:top w:val="nil"/>
              <w:left w:val="nil"/>
              <w:bottom w:val="nil"/>
              <w:right w:val="nil"/>
            </w:tcBorders>
            <w:shd w:val="clear" w:color="auto" w:fill="auto"/>
            <w:tcMar>
              <w:top w:w="80" w:type="dxa"/>
              <w:left w:w="80" w:type="dxa"/>
              <w:bottom w:w="80" w:type="dxa"/>
              <w:right w:w="80" w:type="dxa"/>
            </w:tcMar>
          </w:tcPr>
          <w:p w:rsidRPr="009617C9" w:rsidR="001E2FB4" w:rsidRDefault="001E2FB4" w14:paraId="1E19CB73" w14:textId="77777777">
            <w:pPr>
              <w:rPr>
                <w:rFonts w:ascii="Palatino Linotype" w:hAnsi="Palatino Linotype"/>
              </w:rPr>
            </w:pPr>
          </w:p>
        </w:tc>
        <w:tc>
          <w:tcPr>
            <w:tcW w:w="3078" w:type="dxa"/>
            <w:tcBorders>
              <w:top w:val="nil"/>
              <w:left w:val="nil"/>
              <w:bottom w:val="single" w:color="000000" w:sz="4" w:space="0"/>
              <w:right w:val="nil"/>
            </w:tcBorders>
            <w:shd w:val="clear" w:color="auto" w:fill="auto"/>
            <w:tcMar>
              <w:top w:w="80" w:type="dxa"/>
              <w:left w:w="80" w:type="dxa"/>
              <w:bottom w:w="80" w:type="dxa"/>
              <w:right w:w="80" w:type="dxa"/>
            </w:tcMar>
          </w:tcPr>
          <w:p w:rsidRPr="009617C9" w:rsidR="001E2FB4" w:rsidRDefault="001E2FB4" w14:paraId="5E9EC34E" w14:textId="77777777">
            <w:pPr>
              <w:rPr>
                <w:rFonts w:ascii="Palatino Linotype" w:hAnsi="Palatino Linotype"/>
              </w:rPr>
            </w:pPr>
          </w:p>
        </w:tc>
      </w:tr>
      <w:tr w:rsidRPr="009617C9" w:rsidR="001E2FB4" w14:paraId="7F291F73" w14:textId="77777777">
        <w:trPr>
          <w:trHeight w:val="580"/>
        </w:trPr>
        <w:tc>
          <w:tcPr>
            <w:tcW w:w="9576" w:type="dxa"/>
            <w:gridSpan w:val="2"/>
            <w:tcBorders>
              <w:top w:val="nil"/>
              <w:left w:val="nil"/>
              <w:bottom w:val="nil"/>
              <w:right w:val="nil"/>
            </w:tcBorders>
            <w:shd w:val="clear" w:color="auto" w:fill="auto"/>
            <w:tcMar>
              <w:top w:w="80" w:type="dxa"/>
              <w:left w:w="80" w:type="dxa"/>
              <w:bottom w:w="80" w:type="dxa"/>
              <w:right w:w="80" w:type="dxa"/>
            </w:tcMar>
            <w:vAlign w:val="center"/>
          </w:tcPr>
          <w:p w:rsidRPr="009617C9" w:rsidR="001E2FB4" w:rsidRDefault="00A86027" w14:paraId="19DA9630" w14:textId="77777777">
            <w:pPr>
              <w:pStyle w:val="Body"/>
              <w:spacing w:after="0" w:line="240" w:lineRule="auto"/>
              <w:jc w:val="right"/>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ALICE STEBBINS</w:t>
            </w:r>
          </w:p>
          <w:p w:rsidRPr="009617C9" w:rsidR="001E2FB4" w:rsidRDefault="00AE57DD" w14:paraId="71C073D8" w14:textId="77777777">
            <w:pPr>
              <w:pStyle w:val="Body"/>
              <w:spacing w:after="0" w:line="240" w:lineRule="auto"/>
              <w:jc w:val="right"/>
              <w:rPr>
                <w:rFonts w:ascii="Palatino Linotype" w:hAnsi="Palatino Linotype"/>
              </w:rPr>
            </w:pPr>
            <w:r w:rsidRPr="009617C9">
              <w:rPr>
                <w:rStyle w:val="HeaderChar"/>
                <w:rFonts w:ascii="Palatino Linotype" w:hAnsi="Palatino Linotype" w:eastAsia="Palatino Linotype" w:cs="Palatino Linotype"/>
                <w:sz w:val="24"/>
                <w:szCs w:val="24"/>
              </w:rPr>
              <w:t>Executive Director</w:t>
            </w:r>
          </w:p>
        </w:tc>
      </w:tr>
    </w:tbl>
    <w:p w:rsidRPr="009617C9" w:rsidR="001E2FB4" w:rsidRDefault="001E2FB4" w14:paraId="67A873E3" w14:textId="77777777">
      <w:pPr>
        <w:pStyle w:val="Body"/>
        <w:spacing w:after="0" w:line="240" w:lineRule="auto"/>
        <w:rPr>
          <w:rFonts w:ascii="Palatino Linotype" w:hAnsi="Palatino Linotype" w:eastAsia="Palatino Linotype" w:cs="Palatino Linotype"/>
          <w:sz w:val="24"/>
          <w:szCs w:val="24"/>
        </w:rPr>
      </w:pPr>
    </w:p>
    <w:p w:rsidRPr="009617C9" w:rsidR="00E556A7" w:rsidRDefault="00E556A7" w14:paraId="4472C812" w14:textId="77777777">
      <w:pPr>
        <w:rPr>
          <w:rFonts w:ascii="Palatino Linotype" w:hAnsi="Palatino Linotype"/>
        </w:rPr>
      </w:pPr>
      <w:r w:rsidRPr="009617C9">
        <w:rPr>
          <w:rFonts w:ascii="Palatino Linotype" w:hAnsi="Palatino Linotype"/>
        </w:rPr>
        <w:br w:type="page"/>
      </w:r>
    </w:p>
    <w:p w:rsidRPr="009617C9" w:rsidR="00417516" w:rsidP="00417516" w:rsidRDefault="00417516" w14:paraId="7F6E2A79"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A</w:t>
      </w:r>
    </w:p>
    <w:p w:rsidRPr="009617C9" w:rsidR="00417516" w:rsidP="00417516" w:rsidRDefault="00E333FB" w14:paraId="40605792" w14:textId="778F9B89">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Bakman</w:t>
      </w:r>
      <w:r w:rsidR="00417516">
        <w:rPr>
          <w:rStyle w:val="HeaderChar"/>
          <w:rFonts w:ascii="Palatino Linotype" w:hAnsi="Palatino Linotype" w:eastAsia="Palatino Linotype" w:cs="Palatino Linotype"/>
          <w:b/>
          <w:bCs/>
          <w:sz w:val="24"/>
          <w:szCs w:val="24"/>
        </w:rPr>
        <w:t xml:space="preserve"> </w:t>
      </w:r>
      <w:r w:rsidRPr="009617C9" w:rsidR="00417516">
        <w:rPr>
          <w:rStyle w:val="HeaderChar"/>
          <w:rFonts w:ascii="Palatino Linotype" w:hAnsi="Palatino Linotype" w:eastAsia="Palatino Linotype" w:cs="Palatino Linotype"/>
          <w:b/>
          <w:bCs/>
          <w:sz w:val="24"/>
          <w:szCs w:val="24"/>
        </w:rPr>
        <w:t>Water C</w:t>
      </w:r>
      <w:r w:rsidR="00417516">
        <w:rPr>
          <w:rStyle w:val="HeaderChar"/>
          <w:rFonts w:ascii="Palatino Linotype" w:hAnsi="Palatino Linotype" w:eastAsia="Palatino Linotype" w:cs="Palatino Linotype"/>
          <w:b/>
          <w:bCs/>
          <w:sz w:val="24"/>
          <w:szCs w:val="24"/>
        </w:rPr>
        <w:t>o.</w:t>
      </w:r>
    </w:p>
    <w:p w:rsidRPr="009617C9" w:rsidR="00417516" w:rsidP="00417516" w:rsidRDefault="00417516" w14:paraId="4B0C605E"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417516" w:rsidP="00417516" w:rsidRDefault="00417516" w14:paraId="34D9D84E" w14:textId="55CB6F3D">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Pr="009617C9" w:rsidR="00793611" w:rsidP="00417516" w:rsidRDefault="00793611" w14:paraId="78776AB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417516" w:rsidP="009341CC" w:rsidRDefault="00676581" w14:paraId="053EED29" w14:textId="6C2DA394">
      <w:pPr>
        <w:jc w:val="center"/>
        <w:rPr>
          <w:rFonts w:ascii="Palatino Linotype" w:hAnsi="Palatino Linotype" w:eastAsia="Calibri" w:cs="Calibri"/>
          <w:color w:val="000000"/>
          <w:sz w:val="22"/>
          <w:szCs w:val="22"/>
          <w:u w:color="000000"/>
        </w:rPr>
      </w:pPr>
      <w:r w:rsidRPr="00676581">
        <w:rPr>
          <w:noProof/>
        </w:rPr>
        <w:drawing>
          <wp:inline distT="0" distB="0" distL="0" distR="0" wp14:anchorId="7A4895F8" wp14:editId="00D8CE4D">
            <wp:extent cx="5403808" cy="6306754"/>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7188" cy="6334040"/>
                    </a:xfrm>
                    <a:prstGeom prst="rect">
                      <a:avLst/>
                    </a:prstGeom>
                    <a:noFill/>
                    <a:ln>
                      <a:noFill/>
                    </a:ln>
                  </pic:spPr>
                </pic:pic>
              </a:graphicData>
            </a:graphic>
          </wp:inline>
        </w:drawing>
      </w:r>
    </w:p>
    <w:p w:rsidR="008E5E1B" w:rsidP="005B387B" w:rsidRDefault="008E5E1B" w14:paraId="227E152E" w14:textId="77777777">
      <w:pPr>
        <w:rPr>
          <w:rFonts w:ascii="Palatino Linotype" w:hAnsi="Palatino Linotype" w:eastAsia="Calibri" w:cs="Calibri"/>
          <w:color w:val="000000"/>
          <w:sz w:val="22"/>
          <w:szCs w:val="22"/>
          <w:u w:color="000000"/>
        </w:rPr>
      </w:pPr>
    </w:p>
    <w:p w:rsidR="00417516" w:rsidP="00417516" w:rsidRDefault="00417516" w14:paraId="68701409" w14:textId="2EBD7D2D">
      <w:pPr>
        <w:jc w:val="center"/>
        <w:rPr>
          <w:rFonts w:ascii="Palatino Linotype" w:hAnsi="Palatino Linotype" w:eastAsia="Calibri" w:cs="Calibri"/>
          <w:color w:val="000000"/>
          <w:sz w:val="22"/>
          <w:szCs w:val="22"/>
          <w:u w:color="000000"/>
        </w:rPr>
      </w:pPr>
      <w:r w:rsidRPr="009617C9">
        <w:rPr>
          <w:rStyle w:val="HeaderChar"/>
          <w:rFonts w:ascii="Palatino Linotype" w:hAnsi="Palatino Linotype" w:eastAsia="Palatino Linotype" w:cs="Palatino Linotype"/>
          <w:b/>
          <w:bCs/>
        </w:rPr>
        <w:t>END OF APPENDIX A</w:t>
      </w:r>
    </w:p>
    <w:p w:rsidRPr="00681E9A" w:rsidR="002E32E7" w:rsidP="00681E9A" w:rsidRDefault="002E32E7" w14:paraId="75AF8D39"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2E32E7" w:rsidP="00681E9A" w:rsidRDefault="00E333FB" w14:paraId="6AC9AC61" w14:textId="685F36BB">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Bakman</w:t>
      </w:r>
      <w:r w:rsidR="002E32E7">
        <w:rPr>
          <w:rStyle w:val="HeaderChar"/>
          <w:rFonts w:ascii="Palatino Linotype" w:hAnsi="Palatino Linotype" w:eastAsia="Palatino Linotype" w:cs="Palatino Linotype"/>
          <w:b/>
          <w:bCs/>
          <w:sz w:val="24"/>
          <w:szCs w:val="24"/>
        </w:rPr>
        <w:t xml:space="preserve"> </w:t>
      </w:r>
      <w:r w:rsidRPr="009617C9" w:rsidR="002E32E7">
        <w:rPr>
          <w:rStyle w:val="HeaderChar"/>
          <w:rFonts w:ascii="Palatino Linotype" w:hAnsi="Palatino Linotype" w:eastAsia="Palatino Linotype" w:cs="Palatino Linotype"/>
          <w:b/>
          <w:bCs/>
          <w:sz w:val="24"/>
          <w:szCs w:val="24"/>
        </w:rPr>
        <w:t>Water Co.</w:t>
      </w:r>
    </w:p>
    <w:p w:rsidRPr="009617C9" w:rsidR="002E32E7" w:rsidP="00681E9A" w:rsidRDefault="002E32E7" w14:paraId="55E6FC00"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002E32E7" w:rsidP="00681E9A" w:rsidRDefault="002E32E7" w14:paraId="195E6218" w14:textId="45839F17">
      <w:pPr>
        <w:pStyle w:val="Body"/>
        <w:spacing w:after="0" w:line="240" w:lineRule="auto"/>
        <w:jc w:val="center"/>
        <w:rPr>
          <w:rFonts w:ascii="Palatino Linotype" w:hAnsi="Palatino Linotype"/>
          <w:b/>
          <w:sz w:val="24"/>
          <w:szCs w:val="24"/>
        </w:rPr>
      </w:pPr>
      <w:r w:rsidRPr="009617C9">
        <w:rPr>
          <w:rFonts w:ascii="Palatino Linotype" w:hAnsi="Palatino Linotype"/>
          <w:b/>
          <w:sz w:val="24"/>
          <w:szCs w:val="24"/>
        </w:rPr>
        <w:t xml:space="preserve">(Page </w:t>
      </w:r>
      <w:r>
        <w:rPr>
          <w:rFonts w:ascii="Palatino Linotype" w:hAnsi="Palatino Linotype"/>
          <w:b/>
          <w:sz w:val="24"/>
          <w:szCs w:val="24"/>
        </w:rPr>
        <w:t>1</w:t>
      </w:r>
      <w:r w:rsidRPr="009617C9">
        <w:rPr>
          <w:rFonts w:ascii="Palatino Linotype" w:hAnsi="Palatino Linotype"/>
          <w:b/>
          <w:sz w:val="24"/>
          <w:szCs w:val="24"/>
        </w:rPr>
        <w:t xml:space="preserve"> of </w:t>
      </w:r>
      <w:r w:rsidR="00BB5F68">
        <w:rPr>
          <w:rFonts w:ascii="Palatino Linotype" w:hAnsi="Palatino Linotype"/>
          <w:b/>
          <w:sz w:val="24"/>
          <w:szCs w:val="24"/>
        </w:rPr>
        <w:t>4</w:t>
      </w:r>
      <w:r w:rsidRPr="009617C9">
        <w:rPr>
          <w:rFonts w:ascii="Palatino Linotype" w:hAnsi="Palatino Linotype"/>
          <w:b/>
          <w:sz w:val="24"/>
          <w:szCs w:val="24"/>
        </w:rPr>
        <w:t>)</w:t>
      </w:r>
    </w:p>
    <w:p w:rsidR="009D379D" w:rsidP="00681E9A" w:rsidRDefault="009D379D" w14:paraId="657B1B42" w14:textId="77777777">
      <w:pPr>
        <w:pStyle w:val="Body"/>
        <w:spacing w:after="0" w:line="240" w:lineRule="auto"/>
        <w:jc w:val="center"/>
        <w:rPr>
          <w:rFonts w:ascii="Palatino Linotype" w:hAnsi="Palatino Linotype"/>
          <w:b/>
          <w:sz w:val="24"/>
          <w:szCs w:val="24"/>
        </w:rPr>
      </w:pPr>
    </w:p>
    <w:p w:rsidR="00417516" w:rsidP="009341CC" w:rsidRDefault="00676581" w14:paraId="7EB34934" w14:textId="4C7D7B63">
      <w:pPr>
        <w:jc w:val="center"/>
        <w:rPr>
          <w:rFonts w:ascii="Palatino Linotype" w:hAnsi="Palatino Linotype" w:eastAsia="Calibri" w:cs="Calibri"/>
          <w:color w:val="000000"/>
          <w:sz w:val="22"/>
          <w:szCs w:val="22"/>
          <w:u w:color="000000"/>
        </w:rPr>
      </w:pPr>
      <w:r w:rsidRPr="00676581">
        <w:rPr>
          <w:noProof/>
        </w:rPr>
        <w:drawing>
          <wp:inline distT="0" distB="0" distL="0" distR="0" wp14:anchorId="18F658CE" wp14:editId="29B2F551">
            <wp:extent cx="5565408" cy="64477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4935" cy="6458824"/>
                    </a:xfrm>
                    <a:prstGeom prst="rect">
                      <a:avLst/>
                    </a:prstGeom>
                    <a:noFill/>
                    <a:ln>
                      <a:noFill/>
                    </a:ln>
                  </pic:spPr>
                </pic:pic>
              </a:graphicData>
            </a:graphic>
          </wp:inline>
        </w:drawing>
      </w:r>
    </w:p>
    <w:p w:rsidR="002E32E7" w:rsidP="005B387B" w:rsidRDefault="002E32E7" w14:paraId="3A3CA6F3" w14:textId="7B5387B0">
      <w:pPr>
        <w:rPr>
          <w:rFonts w:ascii="Palatino Linotype" w:hAnsi="Palatino Linotype" w:eastAsia="Calibri" w:cs="Calibri"/>
          <w:color w:val="000000"/>
          <w:sz w:val="22"/>
          <w:szCs w:val="22"/>
          <w:u w:color="000000"/>
        </w:rPr>
      </w:pPr>
    </w:p>
    <w:p w:rsidRPr="00681E9A" w:rsidR="002E32E7" w:rsidP="00681E9A" w:rsidRDefault="002E32E7" w14:paraId="0721FE1A" w14:textId="13B2DB42">
      <w:pPr>
        <w:pStyle w:val="Body"/>
        <w:spacing w:after="0" w:line="240" w:lineRule="auto"/>
        <w:jc w:val="center"/>
        <w:rPr>
          <w:rStyle w:val="HeaderChar"/>
          <w:rFonts w:ascii="Palatino Linotype" w:hAnsi="Palatino Linotype" w:eastAsia="Palatino Linotype" w:cs="Palatino Linotype"/>
          <w:b/>
          <w:bCs/>
          <w:sz w:val="24"/>
          <w:szCs w:val="24"/>
        </w:rPr>
      </w:pPr>
      <w:r w:rsidRPr="008672EF">
        <w:rPr>
          <w:rStyle w:val="HeaderChar"/>
          <w:rFonts w:ascii="Palatino Linotype" w:hAnsi="Palatino Linotype" w:eastAsia="Palatino Linotype" w:cs="Palatino Linotype"/>
          <w:b/>
          <w:bCs/>
          <w:sz w:val="24"/>
          <w:szCs w:val="24"/>
          <w:lang w:val="es-ES_tradnl"/>
        </w:rPr>
        <w:lastRenderedPageBreak/>
        <w:t>APPENDIX B</w:t>
      </w:r>
    </w:p>
    <w:p w:rsidRPr="009617C9" w:rsidR="002E32E7" w:rsidP="00681E9A" w:rsidRDefault="00E333FB" w14:paraId="3E1DE6A4" w14:textId="27C38DA9">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Bakman</w:t>
      </w:r>
      <w:r w:rsidR="002E32E7">
        <w:rPr>
          <w:rStyle w:val="HeaderChar"/>
          <w:rFonts w:ascii="Palatino Linotype" w:hAnsi="Palatino Linotype" w:eastAsia="Palatino Linotype" w:cs="Palatino Linotype"/>
          <w:b/>
          <w:bCs/>
          <w:sz w:val="24"/>
          <w:szCs w:val="24"/>
        </w:rPr>
        <w:t xml:space="preserve"> </w:t>
      </w:r>
      <w:r w:rsidRPr="009617C9" w:rsidR="002E32E7">
        <w:rPr>
          <w:rStyle w:val="HeaderChar"/>
          <w:rFonts w:ascii="Palatino Linotype" w:hAnsi="Palatino Linotype" w:eastAsia="Palatino Linotype" w:cs="Palatino Linotype"/>
          <w:b/>
          <w:bCs/>
          <w:sz w:val="24"/>
          <w:szCs w:val="24"/>
        </w:rPr>
        <w:t>Water Co.</w:t>
      </w:r>
    </w:p>
    <w:p w:rsidRPr="009617C9" w:rsidR="002E32E7" w:rsidP="00681E9A" w:rsidRDefault="002E32E7" w14:paraId="1C25E817"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002E32E7" w:rsidP="00681E9A" w:rsidRDefault="002E32E7" w14:paraId="75456AE8" w14:textId="42E31B08">
      <w:pPr>
        <w:pStyle w:val="Body"/>
        <w:spacing w:after="0" w:line="240" w:lineRule="auto"/>
        <w:jc w:val="center"/>
        <w:rPr>
          <w:rFonts w:ascii="Palatino Linotype" w:hAnsi="Palatino Linotype"/>
          <w:b/>
          <w:sz w:val="24"/>
          <w:szCs w:val="24"/>
        </w:rPr>
      </w:pPr>
      <w:r w:rsidRPr="009617C9">
        <w:rPr>
          <w:rFonts w:ascii="Palatino Linotype" w:hAnsi="Palatino Linotype"/>
          <w:b/>
          <w:sz w:val="24"/>
          <w:szCs w:val="24"/>
        </w:rPr>
        <w:t xml:space="preserve">(Page </w:t>
      </w:r>
      <w:r>
        <w:rPr>
          <w:rFonts w:ascii="Palatino Linotype" w:hAnsi="Palatino Linotype"/>
          <w:b/>
          <w:sz w:val="24"/>
          <w:szCs w:val="24"/>
        </w:rPr>
        <w:t>2</w:t>
      </w:r>
      <w:r w:rsidRPr="009617C9">
        <w:rPr>
          <w:rFonts w:ascii="Palatino Linotype" w:hAnsi="Palatino Linotype"/>
          <w:b/>
          <w:sz w:val="24"/>
          <w:szCs w:val="24"/>
        </w:rPr>
        <w:t xml:space="preserve"> of </w:t>
      </w:r>
      <w:r w:rsidR="00BB5F68">
        <w:rPr>
          <w:rFonts w:ascii="Palatino Linotype" w:hAnsi="Palatino Linotype"/>
          <w:b/>
          <w:sz w:val="24"/>
          <w:szCs w:val="24"/>
        </w:rPr>
        <w:t>4</w:t>
      </w:r>
      <w:r w:rsidRPr="009617C9">
        <w:rPr>
          <w:rFonts w:ascii="Palatino Linotype" w:hAnsi="Palatino Linotype"/>
          <w:b/>
          <w:sz w:val="24"/>
          <w:szCs w:val="24"/>
        </w:rPr>
        <w:t>)</w:t>
      </w:r>
    </w:p>
    <w:p w:rsidR="002E32E7" w:rsidP="002E32E7" w:rsidRDefault="002E32E7" w14:paraId="1EE83726" w14:textId="77777777">
      <w:pPr>
        <w:pStyle w:val="Body"/>
        <w:spacing w:after="0" w:line="240" w:lineRule="auto"/>
        <w:jc w:val="center"/>
        <w:rPr>
          <w:rFonts w:ascii="Palatino Linotype" w:hAnsi="Palatino Linotype"/>
          <w:b/>
          <w:sz w:val="24"/>
          <w:szCs w:val="24"/>
        </w:rPr>
      </w:pPr>
    </w:p>
    <w:p w:rsidR="002E32E7" w:rsidP="002E32E7" w:rsidRDefault="00676581" w14:paraId="31468C87" w14:textId="2115BDAD">
      <w:pPr>
        <w:pStyle w:val="Body"/>
        <w:spacing w:after="0" w:line="240" w:lineRule="auto"/>
        <w:jc w:val="center"/>
        <w:rPr>
          <w:rFonts w:ascii="Palatino Linotype" w:hAnsi="Palatino Linotype"/>
          <w:b/>
          <w:sz w:val="24"/>
          <w:szCs w:val="24"/>
        </w:rPr>
      </w:pPr>
      <w:r w:rsidRPr="00676581">
        <w:rPr>
          <w:noProof/>
        </w:rPr>
        <w:drawing>
          <wp:inline distT="0" distB="0" distL="0" distR="0" wp14:anchorId="5DDB6BE7" wp14:editId="28C9FD45">
            <wp:extent cx="5943600" cy="6701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701155"/>
                    </a:xfrm>
                    <a:prstGeom prst="rect">
                      <a:avLst/>
                    </a:prstGeom>
                    <a:noFill/>
                    <a:ln>
                      <a:noFill/>
                    </a:ln>
                  </pic:spPr>
                </pic:pic>
              </a:graphicData>
            </a:graphic>
          </wp:inline>
        </w:drawing>
      </w:r>
    </w:p>
    <w:p w:rsidRPr="00681E9A" w:rsidR="002E32E7" w:rsidP="00681E9A" w:rsidRDefault="002E32E7" w14:paraId="4436DBC9"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681E9A">
        <w:rPr>
          <w:rStyle w:val="HeaderChar"/>
          <w:rFonts w:ascii="Palatino Linotype" w:hAnsi="Palatino Linotype" w:eastAsia="Palatino Linotype" w:cs="Palatino Linotype"/>
          <w:b/>
          <w:bCs/>
          <w:sz w:val="24"/>
          <w:szCs w:val="24"/>
          <w:lang w:val="es-ES_tradnl"/>
        </w:rPr>
        <w:lastRenderedPageBreak/>
        <w:t>APPENDIX B</w:t>
      </w:r>
    </w:p>
    <w:p w:rsidRPr="009617C9" w:rsidR="002E32E7" w:rsidP="00681E9A" w:rsidRDefault="00E333FB" w14:paraId="079A93A0" w14:textId="677B0192">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Bakman</w:t>
      </w:r>
      <w:r w:rsidR="002E32E7">
        <w:rPr>
          <w:rStyle w:val="HeaderChar"/>
          <w:rFonts w:ascii="Palatino Linotype" w:hAnsi="Palatino Linotype" w:eastAsia="Palatino Linotype" w:cs="Palatino Linotype"/>
          <w:b/>
          <w:bCs/>
          <w:sz w:val="24"/>
          <w:szCs w:val="24"/>
        </w:rPr>
        <w:t xml:space="preserve"> </w:t>
      </w:r>
      <w:r w:rsidRPr="009617C9" w:rsidR="002E32E7">
        <w:rPr>
          <w:rStyle w:val="HeaderChar"/>
          <w:rFonts w:ascii="Palatino Linotype" w:hAnsi="Palatino Linotype" w:eastAsia="Palatino Linotype" w:cs="Palatino Linotype"/>
          <w:b/>
          <w:bCs/>
          <w:sz w:val="24"/>
          <w:szCs w:val="24"/>
        </w:rPr>
        <w:t>Water Co.</w:t>
      </w:r>
    </w:p>
    <w:p w:rsidRPr="009617C9" w:rsidR="002E32E7" w:rsidP="00681E9A" w:rsidRDefault="002E32E7" w14:paraId="501E204A"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002E32E7" w:rsidP="002E32E7" w:rsidRDefault="002E32E7" w14:paraId="46E01CA6" w14:textId="493F6559">
      <w:pPr>
        <w:pStyle w:val="Body"/>
        <w:spacing w:after="0" w:line="240" w:lineRule="auto"/>
        <w:jc w:val="center"/>
        <w:rPr>
          <w:rFonts w:ascii="Palatino Linotype" w:hAnsi="Palatino Linotype"/>
          <w:b/>
          <w:sz w:val="24"/>
          <w:szCs w:val="24"/>
        </w:rPr>
      </w:pPr>
      <w:r w:rsidRPr="009617C9">
        <w:rPr>
          <w:rFonts w:ascii="Palatino Linotype" w:hAnsi="Palatino Linotype"/>
          <w:b/>
          <w:sz w:val="24"/>
          <w:szCs w:val="24"/>
        </w:rPr>
        <w:t xml:space="preserve">(Page </w:t>
      </w:r>
      <w:r>
        <w:rPr>
          <w:rFonts w:ascii="Palatino Linotype" w:hAnsi="Palatino Linotype"/>
          <w:b/>
          <w:sz w:val="24"/>
          <w:szCs w:val="24"/>
        </w:rPr>
        <w:t>3</w:t>
      </w:r>
      <w:r w:rsidRPr="009617C9">
        <w:rPr>
          <w:rFonts w:ascii="Palatino Linotype" w:hAnsi="Palatino Linotype"/>
          <w:b/>
          <w:sz w:val="24"/>
          <w:szCs w:val="24"/>
        </w:rPr>
        <w:t xml:space="preserve"> of </w:t>
      </w:r>
      <w:r w:rsidR="00BB5F68">
        <w:rPr>
          <w:rFonts w:ascii="Palatino Linotype" w:hAnsi="Palatino Linotype"/>
          <w:b/>
          <w:sz w:val="24"/>
          <w:szCs w:val="24"/>
        </w:rPr>
        <w:t>4</w:t>
      </w:r>
      <w:r w:rsidRPr="009617C9">
        <w:rPr>
          <w:rFonts w:ascii="Palatino Linotype" w:hAnsi="Palatino Linotype"/>
          <w:b/>
          <w:sz w:val="24"/>
          <w:szCs w:val="24"/>
        </w:rPr>
        <w:t>)</w:t>
      </w:r>
    </w:p>
    <w:p w:rsidR="008672EF" w:rsidP="002E32E7" w:rsidRDefault="008672EF" w14:paraId="201FD170" w14:textId="77777777">
      <w:pPr>
        <w:pStyle w:val="Body"/>
        <w:spacing w:after="0" w:line="240" w:lineRule="auto"/>
        <w:jc w:val="center"/>
        <w:rPr>
          <w:rFonts w:ascii="Palatino Linotype" w:hAnsi="Palatino Linotype"/>
          <w:b/>
          <w:sz w:val="24"/>
          <w:szCs w:val="24"/>
        </w:rPr>
      </w:pPr>
    </w:p>
    <w:p w:rsidR="0075238B" w:rsidP="002E32E7" w:rsidRDefault="00296E02" w14:paraId="2BA33DE5" w14:textId="15DCD063">
      <w:pPr>
        <w:pStyle w:val="Body"/>
        <w:spacing w:after="0" w:line="240" w:lineRule="auto"/>
        <w:jc w:val="center"/>
        <w:rPr>
          <w:rFonts w:ascii="Palatino Linotype" w:hAnsi="Palatino Linotype"/>
          <w:b/>
          <w:sz w:val="24"/>
          <w:szCs w:val="24"/>
        </w:rPr>
      </w:pPr>
      <w:r w:rsidRPr="00296E02">
        <w:rPr>
          <w:noProof/>
        </w:rPr>
        <w:drawing>
          <wp:inline distT="0" distB="0" distL="0" distR="0" wp14:anchorId="442C08EE" wp14:editId="3C84AF21">
            <wp:extent cx="5273942" cy="6680326"/>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5080" cy="6681768"/>
                    </a:xfrm>
                    <a:prstGeom prst="rect">
                      <a:avLst/>
                    </a:prstGeom>
                    <a:noFill/>
                    <a:ln>
                      <a:noFill/>
                    </a:ln>
                  </pic:spPr>
                </pic:pic>
              </a:graphicData>
            </a:graphic>
          </wp:inline>
        </w:drawing>
      </w:r>
    </w:p>
    <w:p w:rsidRPr="00681E9A" w:rsidR="00BB5F68" w:rsidP="00BB5F68" w:rsidRDefault="00BB5F68" w14:paraId="74BD14C9"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681E9A">
        <w:rPr>
          <w:rStyle w:val="HeaderChar"/>
          <w:rFonts w:ascii="Palatino Linotype" w:hAnsi="Palatino Linotype" w:eastAsia="Palatino Linotype" w:cs="Palatino Linotype"/>
          <w:b/>
          <w:bCs/>
          <w:sz w:val="24"/>
          <w:szCs w:val="24"/>
          <w:lang w:val="es-ES_tradnl"/>
        </w:rPr>
        <w:lastRenderedPageBreak/>
        <w:t>APPENDIX B</w:t>
      </w:r>
    </w:p>
    <w:p w:rsidRPr="009617C9" w:rsidR="00BB5F68" w:rsidP="00BB5F68" w:rsidRDefault="00BB5F68" w14:paraId="14D36925"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Bakman </w:t>
      </w:r>
      <w:r w:rsidRPr="009617C9">
        <w:rPr>
          <w:rStyle w:val="HeaderChar"/>
          <w:rFonts w:ascii="Palatino Linotype" w:hAnsi="Palatino Linotype" w:eastAsia="Palatino Linotype" w:cs="Palatino Linotype"/>
          <w:b/>
          <w:bCs/>
          <w:sz w:val="24"/>
          <w:szCs w:val="24"/>
        </w:rPr>
        <w:t>Water Co.</w:t>
      </w:r>
    </w:p>
    <w:p w:rsidRPr="009617C9" w:rsidR="00BB5F68" w:rsidP="00BB5F68" w:rsidRDefault="00BB5F68" w14:paraId="0D756951"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00BB5F68" w:rsidP="00BB5F68" w:rsidRDefault="00BB5F68" w14:paraId="6C55F6BB" w14:textId="769D9265">
      <w:pPr>
        <w:pStyle w:val="Body"/>
        <w:spacing w:after="0" w:line="240" w:lineRule="auto"/>
        <w:jc w:val="center"/>
        <w:rPr>
          <w:rFonts w:ascii="Palatino Linotype" w:hAnsi="Palatino Linotype"/>
          <w:b/>
          <w:sz w:val="24"/>
          <w:szCs w:val="24"/>
        </w:rPr>
      </w:pPr>
      <w:r w:rsidRPr="009617C9">
        <w:rPr>
          <w:rFonts w:ascii="Palatino Linotype" w:hAnsi="Palatino Linotype"/>
          <w:b/>
          <w:sz w:val="24"/>
          <w:szCs w:val="24"/>
        </w:rPr>
        <w:t xml:space="preserve">(Page </w:t>
      </w:r>
      <w:r>
        <w:rPr>
          <w:rFonts w:ascii="Palatino Linotype" w:hAnsi="Palatino Linotype"/>
          <w:b/>
          <w:sz w:val="24"/>
          <w:szCs w:val="24"/>
        </w:rPr>
        <w:t>4</w:t>
      </w:r>
      <w:r w:rsidRPr="009617C9">
        <w:rPr>
          <w:rFonts w:ascii="Palatino Linotype" w:hAnsi="Palatino Linotype"/>
          <w:b/>
          <w:sz w:val="24"/>
          <w:szCs w:val="24"/>
        </w:rPr>
        <w:t xml:space="preserve"> of </w:t>
      </w:r>
      <w:r>
        <w:rPr>
          <w:rFonts w:ascii="Palatino Linotype" w:hAnsi="Palatino Linotype"/>
          <w:b/>
          <w:sz w:val="24"/>
          <w:szCs w:val="24"/>
        </w:rPr>
        <w:t>4</w:t>
      </w:r>
      <w:r w:rsidRPr="009617C9">
        <w:rPr>
          <w:rFonts w:ascii="Palatino Linotype" w:hAnsi="Palatino Linotype"/>
          <w:b/>
          <w:sz w:val="24"/>
          <w:szCs w:val="24"/>
        </w:rPr>
        <w:t>)</w:t>
      </w:r>
    </w:p>
    <w:p w:rsidR="00BB5F68" w:rsidP="002E32E7" w:rsidRDefault="00BB5F68" w14:paraId="63EC210E" w14:textId="04DB259C">
      <w:pPr>
        <w:pStyle w:val="Body"/>
        <w:spacing w:after="0" w:line="240" w:lineRule="auto"/>
        <w:jc w:val="center"/>
        <w:rPr>
          <w:rFonts w:ascii="Palatino Linotype" w:hAnsi="Palatino Linotype"/>
          <w:b/>
          <w:sz w:val="24"/>
          <w:szCs w:val="24"/>
        </w:rPr>
      </w:pPr>
    </w:p>
    <w:p w:rsidR="00BB5F68" w:rsidP="002E32E7" w:rsidRDefault="00676581" w14:paraId="402A066D" w14:textId="6300E919">
      <w:pPr>
        <w:pStyle w:val="Body"/>
        <w:spacing w:after="0" w:line="240" w:lineRule="auto"/>
        <w:jc w:val="center"/>
        <w:rPr>
          <w:rFonts w:ascii="Palatino Linotype" w:hAnsi="Palatino Linotype"/>
          <w:b/>
          <w:sz w:val="24"/>
          <w:szCs w:val="24"/>
        </w:rPr>
      </w:pPr>
      <w:r w:rsidRPr="00676581">
        <w:rPr>
          <w:noProof/>
        </w:rPr>
        <w:drawing>
          <wp:inline distT="0" distB="0" distL="0" distR="0" wp14:anchorId="031BF6F2" wp14:editId="14906E09">
            <wp:extent cx="5943600" cy="5820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820410"/>
                    </a:xfrm>
                    <a:prstGeom prst="rect">
                      <a:avLst/>
                    </a:prstGeom>
                    <a:noFill/>
                    <a:ln>
                      <a:noFill/>
                    </a:ln>
                  </pic:spPr>
                </pic:pic>
              </a:graphicData>
            </a:graphic>
          </wp:inline>
        </w:drawing>
      </w:r>
    </w:p>
    <w:p w:rsidR="00296E02" w:rsidP="002E32E7" w:rsidRDefault="00296E02" w14:paraId="41B49FB4" w14:textId="03DA13C2">
      <w:pPr>
        <w:pStyle w:val="Body"/>
        <w:spacing w:after="0" w:line="240" w:lineRule="auto"/>
        <w:jc w:val="center"/>
        <w:rPr>
          <w:rFonts w:ascii="Palatino Linotype" w:hAnsi="Palatino Linotype"/>
          <w:b/>
          <w:sz w:val="24"/>
          <w:szCs w:val="24"/>
        </w:rPr>
      </w:pPr>
    </w:p>
    <w:p w:rsidR="00676581" w:rsidP="002E32E7" w:rsidRDefault="00676581" w14:paraId="6034ADB3" w14:textId="77777777">
      <w:pPr>
        <w:pStyle w:val="Body"/>
        <w:spacing w:after="0" w:line="240" w:lineRule="auto"/>
        <w:jc w:val="center"/>
        <w:rPr>
          <w:rFonts w:ascii="Palatino Linotype" w:hAnsi="Palatino Linotype"/>
          <w:b/>
          <w:sz w:val="24"/>
          <w:szCs w:val="24"/>
        </w:rPr>
      </w:pPr>
    </w:p>
    <w:p w:rsidR="000C405E" w:rsidP="002E32E7" w:rsidRDefault="000C405E" w14:paraId="519FD998" w14:textId="77777777">
      <w:pPr>
        <w:pStyle w:val="Body"/>
        <w:spacing w:after="0" w:line="240" w:lineRule="auto"/>
        <w:jc w:val="center"/>
        <w:rPr>
          <w:rFonts w:ascii="Palatino Linotype" w:hAnsi="Palatino Linotype"/>
          <w:b/>
          <w:sz w:val="24"/>
          <w:szCs w:val="24"/>
        </w:rPr>
      </w:pPr>
    </w:p>
    <w:p w:rsidR="002E32E7" w:rsidP="002E32E7" w:rsidRDefault="002E32E7" w14:paraId="3D0F69EF" w14:textId="77F743AC">
      <w:pPr>
        <w:pStyle w:val="Body"/>
        <w:spacing w:after="0" w:line="240" w:lineRule="auto"/>
        <w:jc w:val="center"/>
        <w:rPr>
          <w:rFonts w:ascii="Palatino Linotype" w:hAnsi="Palatino Linotype"/>
          <w:b/>
          <w:sz w:val="24"/>
          <w:szCs w:val="24"/>
        </w:rPr>
      </w:pPr>
      <w:r>
        <w:rPr>
          <w:rFonts w:ascii="Palatino Linotype" w:hAnsi="Palatino Linotype"/>
          <w:b/>
          <w:sz w:val="24"/>
          <w:szCs w:val="24"/>
        </w:rPr>
        <w:t>END OF APPENDIX B</w:t>
      </w:r>
    </w:p>
    <w:p w:rsidRPr="00681E9A" w:rsidR="00A04B01" w:rsidP="00681E9A" w:rsidRDefault="00A04B01" w14:paraId="1DEE0E34" w14:textId="1CF07F08">
      <w:pPr>
        <w:pStyle w:val="Body"/>
        <w:spacing w:after="0" w:line="240" w:lineRule="auto"/>
        <w:jc w:val="center"/>
        <w:rPr>
          <w:rStyle w:val="HeaderChar"/>
          <w:rFonts w:ascii="Palatino Linotype" w:hAnsi="Palatino Linotype" w:eastAsia="Palatino Linotype" w:cs="Palatino Linotype"/>
          <w:b/>
          <w:bCs/>
          <w:sz w:val="24"/>
          <w:szCs w:val="24"/>
        </w:rPr>
      </w:pPr>
      <w:r w:rsidRPr="00681E9A">
        <w:rPr>
          <w:rStyle w:val="HeaderChar"/>
          <w:rFonts w:ascii="Palatino Linotype" w:hAnsi="Palatino Linotype" w:eastAsia="Palatino Linotype" w:cs="Palatino Linotype"/>
          <w:b/>
          <w:bCs/>
          <w:sz w:val="24"/>
          <w:szCs w:val="24"/>
          <w:lang w:val="es-ES_tradnl"/>
        </w:rPr>
        <w:lastRenderedPageBreak/>
        <w:t>APPENDIX C</w:t>
      </w:r>
    </w:p>
    <w:p w:rsidR="00A04B01" w:rsidP="00681E9A" w:rsidRDefault="00E333FB" w14:paraId="50A39664" w14:textId="04A5CB75">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Bakman</w:t>
      </w:r>
      <w:r w:rsidR="00A04B01">
        <w:rPr>
          <w:rStyle w:val="HeaderChar"/>
          <w:rFonts w:ascii="Palatino Linotype" w:hAnsi="Palatino Linotype" w:eastAsia="Palatino Linotype" w:cs="Palatino Linotype"/>
          <w:b/>
          <w:bCs/>
          <w:sz w:val="24"/>
          <w:szCs w:val="24"/>
        </w:rPr>
        <w:t xml:space="preserve"> </w:t>
      </w:r>
      <w:r w:rsidRPr="009617C9" w:rsidR="00A04B01">
        <w:rPr>
          <w:rStyle w:val="HeaderChar"/>
          <w:rFonts w:ascii="Palatino Linotype" w:hAnsi="Palatino Linotype" w:eastAsia="Palatino Linotype" w:cs="Palatino Linotype"/>
          <w:b/>
          <w:bCs/>
          <w:sz w:val="24"/>
          <w:szCs w:val="24"/>
        </w:rPr>
        <w:t>Water Co.</w:t>
      </w:r>
    </w:p>
    <w:p w:rsidRPr="009617C9" w:rsidR="00A04B01" w:rsidP="00681E9A" w:rsidRDefault="00A04B01" w14:paraId="7E6E6680" w14:textId="5310A543">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A04B01" w:rsidP="00681E9A" w:rsidRDefault="00A04B01" w14:paraId="2ECD4854" w14:textId="167E3F7B">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000C405E" w:rsidP="00681E9A" w:rsidRDefault="000C405E" w14:paraId="04561B91"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81E9A" w:rsidP="00A04B01" w:rsidRDefault="00676581" w14:paraId="466150E1" w14:textId="7B7E6A41">
      <w:pPr>
        <w:pStyle w:val="Body"/>
        <w:spacing w:after="0" w:line="240" w:lineRule="auto"/>
        <w:jc w:val="center"/>
        <w:rPr>
          <w:rStyle w:val="HeaderChar"/>
          <w:rFonts w:ascii="Palatino Linotype" w:hAnsi="Palatino Linotype" w:eastAsia="Palatino Linotype" w:cs="Palatino Linotype"/>
          <w:b/>
          <w:bCs/>
          <w:sz w:val="24"/>
          <w:szCs w:val="24"/>
        </w:rPr>
      </w:pPr>
      <w:r w:rsidRPr="00676581">
        <w:rPr>
          <w:rStyle w:val="HeaderChar"/>
          <w:noProof/>
        </w:rPr>
        <w:drawing>
          <wp:inline distT="0" distB="0" distL="0" distR="0" wp14:anchorId="3974B1C4" wp14:editId="1FF702F9">
            <wp:extent cx="5794054" cy="6282463"/>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7293" cy="6285975"/>
                    </a:xfrm>
                    <a:prstGeom prst="rect">
                      <a:avLst/>
                    </a:prstGeom>
                    <a:noFill/>
                    <a:ln>
                      <a:noFill/>
                    </a:ln>
                  </pic:spPr>
                </pic:pic>
              </a:graphicData>
            </a:graphic>
          </wp:inline>
        </w:drawing>
      </w:r>
    </w:p>
    <w:p w:rsidR="00681E9A" w:rsidP="00A04B01" w:rsidRDefault="00681E9A" w14:paraId="2EC95F6A" w14:textId="7E5E2A97">
      <w:pPr>
        <w:pStyle w:val="Body"/>
        <w:spacing w:after="0" w:line="240" w:lineRule="auto"/>
        <w:jc w:val="center"/>
        <w:rPr>
          <w:rStyle w:val="HeaderChar"/>
          <w:rFonts w:ascii="Palatino Linotype" w:hAnsi="Palatino Linotype" w:eastAsia="Palatino Linotype" w:cs="Palatino Linotype"/>
          <w:b/>
          <w:bCs/>
          <w:sz w:val="24"/>
          <w:szCs w:val="24"/>
        </w:rPr>
      </w:pPr>
    </w:p>
    <w:p w:rsidR="00681E9A" w:rsidP="00A04B01" w:rsidRDefault="00B13486" w14:paraId="7D94CED3" w14:textId="050B84D4">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END OF APPENDIX C</w:t>
      </w:r>
    </w:p>
    <w:p w:rsidR="00681E9A" w:rsidP="00681E9A" w:rsidRDefault="00681E9A" w14:paraId="13CD72B5" w14:textId="670ABC43">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00681E9A" w:rsidP="00681E9A" w:rsidRDefault="00E333FB" w14:paraId="4065211F" w14:textId="05C5247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Bakman</w:t>
      </w:r>
      <w:r w:rsidR="00681E9A">
        <w:rPr>
          <w:rStyle w:val="HeaderChar"/>
          <w:rFonts w:ascii="Palatino Linotype" w:hAnsi="Palatino Linotype" w:eastAsia="Palatino Linotype" w:cs="Palatino Linotype"/>
          <w:b/>
          <w:bCs/>
          <w:sz w:val="24"/>
          <w:szCs w:val="24"/>
        </w:rPr>
        <w:t xml:space="preserve"> </w:t>
      </w:r>
      <w:r w:rsidRPr="009617C9" w:rsidR="00681E9A">
        <w:rPr>
          <w:rStyle w:val="HeaderChar"/>
          <w:rFonts w:ascii="Palatino Linotype" w:hAnsi="Palatino Linotype" w:eastAsia="Palatino Linotype" w:cs="Palatino Linotype"/>
          <w:b/>
          <w:bCs/>
          <w:sz w:val="24"/>
          <w:szCs w:val="24"/>
        </w:rPr>
        <w:t>Water Co.</w:t>
      </w:r>
    </w:p>
    <w:p w:rsidRPr="009617C9" w:rsidR="00681E9A" w:rsidP="00681E9A" w:rsidRDefault="00681E9A" w14:paraId="02B46BB2" w14:textId="2E68F831">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681E9A" w:rsidP="00681E9A" w:rsidRDefault="00681E9A" w14:paraId="5E943F70" w14:textId="0C064B24">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00681E9A" w:rsidP="00681E9A" w:rsidRDefault="00F9599C" w14:paraId="687D67A9" w14:textId="3AEAAED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(Page 1 of 2)</w:t>
      </w:r>
    </w:p>
    <w:p w:rsidR="00F9599C" w:rsidP="00681E9A" w:rsidRDefault="00F9599C" w14:paraId="58434979"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6A7D08" w:rsidR="00681E9A" w:rsidP="00681E9A" w:rsidRDefault="00681E9A" w14:paraId="63149407" w14:textId="13D3707F">
      <w:pPr>
        <w:pStyle w:val="Body"/>
        <w:numPr>
          <w:ilvl w:val="0"/>
          <w:numId w:val="16"/>
        </w:numPr>
        <w:spacing w:after="0" w:line="240" w:lineRule="auto"/>
        <w:rPr>
          <w:rStyle w:val="HeaderChar"/>
          <w:rFonts w:ascii="Palatino Linotype" w:hAnsi="Palatino Linotype" w:eastAsia="Palatino Linotype" w:cs="Palatino Linotype"/>
          <w:sz w:val="24"/>
          <w:szCs w:val="24"/>
        </w:rPr>
      </w:pPr>
      <w:r w:rsidRPr="006A7D08">
        <w:rPr>
          <w:rStyle w:val="HeaderChar"/>
          <w:rFonts w:ascii="Palatino Linotype" w:hAnsi="Palatino Linotype" w:eastAsia="Palatino Linotype" w:cs="Palatino Linotype"/>
          <w:sz w:val="24"/>
          <w:szCs w:val="24"/>
        </w:rPr>
        <w:t>Purchased Power (Electric)</w:t>
      </w:r>
    </w:p>
    <w:p w:rsidRPr="006A7D08" w:rsidR="00681E9A" w:rsidP="00681E9A" w:rsidRDefault="00681E9A" w14:paraId="6FFF3A47" w14:textId="1F78DAF0">
      <w:pPr>
        <w:ind w:left="1440"/>
        <w:rPr>
          <w:rFonts w:ascii="Palatino Linotype" w:hAnsi="Palatino Linotype" w:eastAsia="Calibri" w:cs="Calibri"/>
          <w:color w:val="000000"/>
          <w:u w:color="000000"/>
        </w:rPr>
      </w:pPr>
      <w:r w:rsidRPr="006A7D08">
        <w:rPr>
          <w:rFonts w:ascii="Palatino Linotype" w:hAnsi="Palatino Linotype" w:eastAsia="Calibri" w:cs="Calibri"/>
          <w:color w:val="000000"/>
          <w:u w:color="000000"/>
        </w:rPr>
        <w:t>Vendor:</w:t>
      </w:r>
      <w:r w:rsidRPr="006A7D08">
        <w:rPr>
          <w:rFonts w:ascii="Palatino Linotype" w:hAnsi="Palatino Linotype" w:eastAsia="Calibri" w:cs="Calibri"/>
          <w:color w:val="000000"/>
          <w:u w:color="000000"/>
        </w:rPr>
        <w:tab/>
      </w:r>
      <w:r w:rsidRPr="006A7D08">
        <w:rPr>
          <w:rFonts w:ascii="Palatino Linotype" w:hAnsi="Palatino Linotype" w:eastAsia="Calibri" w:cs="Calibri"/>
          <w:color w:val="000000"/>
          <w:u w:color="000000"/>
        </w:rPr>
        <w:tab/>
      </w:r>
      <w:r w:rsidRPr="006A7D08">
        <w:rPr>
          <w:rFonts w:ascii="Palatino Linotype" w:hAnsi="Palatino Linotype" w:eastAsia="Calibri" w:cs="Calibri"/>
          <w:color w:val="000000"/>
          <w:u w:color="000000"/>
        </w:rPr>
        <w:tab/>
      </w:r>
      <w:r w:rsidR="006302EB">
        <w:rPr>
          <w:rFonts w:ascii="Palatino Linotype" w:hAnsi="Palatino Linotype" w:eastAsia="Calibri" w:cs="Calibri"/>
          <w:color w:val="000000"/>
          <w:u w:color="000000"/>
        </w:rPr>
        <w:t>PG&amp;E</w:t>
      </w:r>
    </w:p>
    <w:p w:rsidRPr="006A7D08" w:rsidR="00681E9A" w:rsidP="00681E9A" w:rsidRDefault="00681E9A" w14:paraId="5E2E147B" w14:textId="4880B88E">
      <w:pPr>
        <w:ind w:left="1440"/>
        <w:rPr>
          <w:rFonts w:ascii="Palatino Linotype" w:hAnsi="Palatino Linotype" w:eastAsia="Calibri" w:cs="Calibri"/>
          <w:color w:val="000000"/>
          <w:u w:color="000000"/>
        </w:rPr>
      </w:pPr>
      <w:r w:rsidRPr="006A7D08">
        <w:rPr>
          <w:rFonts w:ascii="Palatino Linotype" w:hAnsi="Palatino Linotype" w:eastAsia="Calibri" w:cs="Calibri"/>
          <w:color w:val="000000"/>
          <w:u w:color="000000"/>
        </w:rPr>
        <w:t>Total Cost:</w:t>
      </w:r>
      <w:r w:rsidRPr="006A7D08">
        <w:rPr>
          <w:rFonts w:ascii="Palatino Linotype" w:hAnsi="Palatino Linotype" w:eastAsia="Calibri" w:cs="Calibri"/>
          <w:color w:val="000000"/>
          <w:u w:color="000000"/>
        </w:rPr>
        <w:tab/>
      </w:r>
      <w:r w:rsidRPr="006A7D08">
        <w:rPr>
          <w:rFonts w:ascii="Palatino Linotype" w:hAnsi="Palatino Linotype" w:eastAsia="Calibri" w:cs="Calibri"/>
          <w:color w:val="000000"/>
          <w:u w:color="000000"/>
        </w:rPr>
        <w:tab/>
      </w:r>
      <w:r w:rsidRPr="006A7D08">
        <w:rPr>
          <w:rFonts w:ascii="Palatino Linotype" w:hAnsi="Palatino Linotype" w:eastAsia="Calibri" w:cs="Calibri"/>
          <w:color w:val="000000"/>
          <w:u w:color="000000"/>
        </w:rPr>
        <w:tab/>
        <w:t>$</w:t>
      </w:r>
      <w:r w:rsidR="006302EB">
        <w:rPr>
          <w:rFonts w:ascii="Palatino Linotype" w:hAnsi="Palatino Linotype" w:eastAsia="Calibri" w:cs="Calibri"/>
          <w:color w:val="000000"/>
          <w:u w:color="000000"/>
        </w:rPr>
        <w:t>37</w:t>
      </w:r>
      <w:r w:rsidR="00676581">
        <w:rPr>
          <w:rFonts w:ascii="Palatino Linotype" w:hAnsi="Palatino Linotype" w:eastAsia="Calibri" w:cs="Calibri"/>
          <w:color w:val="000000"/>
          <w:u w:color="000000"/>
        </w:rPr>
        <w:t>3</w:t>
      </w:r>
      <w:r w:rsidR="002736BB">
        <w:rPr>
          <w:rFonts w:ascii="Palatino Linotype" w:hAnsi="Palatino Linotype" w:eastAsia="Calibri" w:cs="Calibri"/>
          <w:color w:val="000000"/>
          <w:u w:color="000000"/>
        </w:rPr>
        <w:t>,</w:t>
      </w:r>
      <w:r w:rsidR="00676581">
        <w:rPr>
          <w:rFonts w:ascii="Palatino Linotype" w:hAnsi="Palatino Linotype" w:eastAsia="Calibri" w:cs="Calibri"/>
          <w:color w:val="000000"/>
          <w:u w:color="000000"/>
        </w:rPr>
        <w:t>328</w:t>
      </w:r>
    </w:p>
    <w:p w:rsidRPr="006A7D08" w:rsidR="00681E9A" w:rsidP="00681E9A" w:rsidRDefault="00681E9A" w14:paraId="71612FB9" w14:textId="63F95A5E">
      <w:pPr>
        <w:ind w:left="1440"/>
        <w:rPr>
          <w:rFonts w:ascii="Palatino Linotype" w:hAnsi="Palatino Linotype" w:eastAsia="Calibri" w:cs="Calibri"/>
          <w:color w:val="000000"/>
          <w:u w:color="000000"/>
        </w:rPr>
      </w:pPr>
      <w:r w:rsidRPr="006A7D08">
        <w:rPr>
          <w:rFonts w:ascii="Palatino Linotype" w:hAnsi="Palatino Linotype" w:eastAsia="Calibri" w:cs="Calibri"/>
          <w:color w:val="000000"/>
          <w:u w:color="000000"/>
        </w:rPr>
        <w:t xml:space="preserve">kWh Used: </w:t>
      </w:r>
      <w:r w:rsidRPr="006A7D08">
        <w:rPr>
          <w:rFonts w:ascii="Palatino Linotype" w:hAnsi="Palatino Linotype" w:eastAsia="Calibri" w:cs="Calibri"/>
          <w:color w:val="000000"/>
          <w:u w:color="000000"/>
        </w:rPr>
        <w:tab/>
      </w:r>
      <w:r w:rsidRPr="006A7D08">
        <w:rPr>
          <w:rFonts w:ascii="Palatino Linotype" w:hAnsi="Palatino Linotype" w:eastAsia="Calibri" w:cs="Calibri"/>
          <w:color w:val="000000"/>
          <w:u w:color="000000"/>
        </w:rPr>
        <w:tab/>
      </w:r>
      <w:r w:rsidRPr="006A7D08">
        <w:rPr>
          <w:rFonts w:ascii="Palatino Linotype" w:hAnsi="Palatino Linotype" w:eastAsia="Calibri" w:cs="Calibri"/>
          <w:color w:val="000000"/>
          <w:u w:color="000000"/>
        </w:rPr>
        <w:tab/>
      </w:r>
      <w:r w:rsidR="006302EB">
        <w:rPr>
          <w:rFonts w:ascii="Palatino Linotype" w:hAnsi="Palatino Linotype" w:eastAsia="Calibri" w:cs="Calibri"/>
          <w:color w:val="000000"/>
          <w:u w:color="000000"/>
        </w:rPr>
        <w:t>1</w:t>
      </w:r>
      <w:r w:rsidR="002736BB">
        <w:rPr>
          <w:rFonts w:ascii="Palatino Linotype" w:hAnsi="Palatino Linotype" w:eastAsia="Calibri" w:cs="Calibri"/>
          <w:color w:val="000000"/>
          <w:u w:color="000000"/>
        </w:rPr>
        <w:t>,</w:t>
      </w:r>
      <w:r w:rsidR="006302EB">
        <w:rPr>
          <w:rFonts w:ascii="Palatino Linotype" w:hAnsi="Palatino Linotype" w:eastAsia="Calibri" w:cs="Calibri"/>
          <w:color w:val="000000"/>
          <w:u w:color="000000"/>
        </w:rPr>
        <w:t>885,647</w:t>
      </w:r>
    </w:p>
    <w:p w:rsidRPr="006A7D08" w:rsidR="00681E9A" w:rsidP="00681E9A" w:rsidRDefault="00681E9A" w14:paraId="762D089F" w14:textId="38B0A5A3">
      <w:pPr>
        <w:rPr>
          <w:rFonts w:ascii="Palatino Linotype" w:hAnsi="Palatino Linotype" w:eastAsia="Calibri" w:cs="Calibri"/>
          <w:color w:val="000000"/>
          <w:u w:color="000000"/>
        </w:rPr>
      </w:pPr>
    </w:p>
    <w:p w:rsidRPr="006A7D08" w:rsidR="00681E9A" w:rsidP="006A7D08" w:rsidRDefault="006A7D08" w14:paraId="6DED4D64" w14:textId="08C5B08D">
      <w:pPr>
        <w:pStyle w:val="ListParagraph"/>
        <w:numPr>
          <w:ilvl w:val="0"/>
          <w:numId w:val="16"/>
        </w:numPr>
        <w:rPr>
          <w:rFonts w:ascii="Palatino Linotype" w:hAnsi="Palatino Linotype"/>
          <w:sz w:val="24"/>
          <w:szCs w:val="24"/>
        </w:rPr>
      </w:pPr>
      <w:r w:rsidRPr="006A7D08">
        <w:rPr>
          <w:rFonts w:ascii="Palatino Linotype" w:hAnsi="Palatino Linotype"/>
          <w:sz w:val="24"/>
          <w:szCs w:val="24"/>
        </w:rPr>
        <w:t>Service Connections –</w:t>
      </w:r>
    </w:p>
    <w:tbl>
      <w:tblPr>
        <w:tblStyle w:val="TableGrid"/>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1080"/>
      </w:tblGrid>
      <w:tr w:rsidR="006302EB" w:rsidTr="00AC7234" w14:paraId="70E08BAD" w14:textId="77777777">
        <w:tc>
          <w:tcPr>
            <w:tcW w:w="2155" w:type="dxa"/>
          </w:tcPr>
          <w:p w:rsidR="006302EB" w:rsidP="006A7D08" w:rsidRDefault="006302EB" w14:paraId="6F52F8F0" w14:textId="0BCFD896">
            <w:pPr>
              <w:rPr>
                <w:rFonts w:ascii="Palatino Linotype" w:hAnsi="Palatino Linotype"/>
                <w:u w:val="single"/>
              </w:rPr>
            </w:pPr>
            <w:r>
              <w:rPr>
                <w:rFonts w:ascii="Palatino Linotype" w:hAnsi="Palatino Linotype"/>
                <w:u w:val="single"/>
              </w:rPr>
              <w:t>Meter Size:</w:t>
            </w:r>
          </w:p>
        </w:tc>
        <w:tc>
          <w:tcPr>
            <w:tcW w:w="1080" w:type="dxa"/>
          </w:tcPr>
          <w:p w:rsidR="006302EB" w:rsidP="006A7D08" w:rsidRDefault="006302EB" w14:paraId="5D25093F" w14:textId="77777777">
            <w:pPr>
              <w:rPr>
                <w:rFonts w:ascii="Palatino Linotype" w:hAnsi="Palatino Linotype"/>
                <w:u w:val="single"/>
              </w:rPr>
            </w:pPr>
          </w:p>
        </w:tc>
      </w:tr>
      <w:tr w:rsidR="006302EB" w:rsidTr="00AC7234" w14:paraId="770E6F5B" w14:textId="77777777">
        <w:tc>
          <w:tcPr>
            <w:tcW w:w="2155" w:type="dxa"/>
          </w:tcPr>
          <w:p w:rsidRPr="006302EB" w:rsidR="006302EB" w:rsidP="006A7D08" w:rsidRDefault="006302EB" w14:paraId="715B6B39" w14:textId="40BF4CA5">
            <w:pPr>
              <w:rPr>
                <w:rFonts w:ascii="Palatino Linotype" w:hAnsi="Palatino Linotype"/>
              </w:rPr>
            </w:pPr>
            <w:r w:rsidRPr="006302EB">
              <w:rPr>
                <w:rFonts w:ascii="Palatino Linotype" w:hAnsi="Palatino Linotype"/>
              </w:rPr>
              <w:t>1-inch</w:t>
            </w:r>
          </w:p>
        </w:tc>
        <w:tc>
          <w:tcPr>
            <w:tcW w:w="1080" w:type="dxa"/>
          </w:tcPr>
          <w:p w:rsidRPr="006302EB" w:rsidR="006302EB" w:rsidP="006302EB" w:rsidRDefault="006302EB" w14:paraId="5B2D61D1" w14:textId="19A34B6F">
            <w:pPr>
              <w:jc w:val="right"/>
              <w:rPr>
                <w:rFonts w:ascii="Palatino Linotype" w:hAnsi="Palatino Linotype"/>
              </w:rPr>
            </w:pPr>
            <w:r w:rsidRPr="006302EB">
              <w:rPr>
                <w:rFonts w:ascii="Palatino Linotype" w:hAnsi="Palatino Linotype"/>
              </w:rPr>
              <w:t>1797</w:t>
            </w:r>
          </w:p>
        </w:tc>
      </w:tr>
      <w:tr w:rsidR="006302EB" w:rsidTr="00AC7234" w14:paraId="171BB917" w14:textId="77777777">
        <w:tc>
          <w:tcPr>
            <w:tcW w:w="2155" w:type="dxa"/>
          </w:tcPr>
          <w:p w:rsidRPr="006302EB" w:rsidR="006302EB" w:rsidP="006A7D08" w:rsidRDefault="006302EB" w14:paraId="7FD2ED7E" w14:textId="6E518086">
            <w:pPr>
              <w:rPr>
                <w:rFonts w:ascii="Palatino Linotype" w:hAnsi="Palatino Linotype"/>
              </w:rPr>
            </w:pPr>
            <w:r w:rsidRPr="006302EB">
              <w:rPr>
                <w:rFonts w:ascii="Palatino Linotype" w:hAnsi="Palatino Linotype"/>
              </w:rPr>
              <w:t>1-1/2-inch</w:t>
            </w:r>
          </w:p>
        </w:tc>
        <w:tc>
          <w:tcPr>
            <w:tcW w:w="1080" w:type="dxa"/>
          </w:tcPr>
          <w:p w:rsidRPr="006302EB" w:rsidR="006302EB" w:rsidP="006302EB" w:rsidRDefault="006302EB" w14:paraId="59EDE94B" w14:textId="73ABF3D1">
            <w:pPr>
              <w:jc w:val="right"/>
              <w:rPr>
                <w:rFonts w:ascii="Palatino Linotype" w:hAnsi="Palatino Linotype"/>
              </w:rPr>
            </w:pPr>
            <w:r w:rsidRPr="006302EB">
              <w:rPr>
                <w:rFonts w:ascii="Palatino Linotype" w:hAnsi="Palatino Linotype"/>
              </w:rPr>
              <w:t>560</w:t>
            </w:r>
          </w:p>
        </w:tc>
      </w:tr>
      <w:tr w:rsidR="006302EB" w:rsidTr="00AC7234" w14:paraId="7EDE8FEA" w14:textId="77777777">
        <w:tc>
          <w:tcPr>
            <w:tcW w:w="2155" w:type="dxa"/>
          </w:tcPr>
          <w:p w:rsidRPr="006302EB" w:rsidR="006302EB" w:rsidP="006A7D08" w:rsidRDefault="006302EB" w14:paraId="1D986ED7" w14:textId="336B7731">
            <w:pPr>
              <w:rPr>
                <w:rFonts w:ascii="Palatino Linotype" w:hAnsi="Palatino Linotype"/>
              </w:rPr>
            </w:pPr>
            <w:r w:rsidRPr="006302EB">
              <w:rPr>
                <w:rFonts w:ascii="Palatino Linotype" w:hAnsi="Palatino Linotype"/>
              </w:rPr>
              <w:t>2-inch</w:t>
            </w:r>
          </w:p>
        </w:tc>
        <w:tc>
          <w:tcPr>
            <w:tcW w:w="1080" w:type="dxa"/>
          </w:tcPr>
          <w:p w:rsidRPr="006302EB" w:rsidR="006302EB" w:rsidP="006302EB" w:rsidRDefault="006302EB" w14:paraId="7BE0EC84" w14:textId="2D4B3C87">
            <w:pPr>
              <w:jc w:val="right"/>
              <w:rPr>
                <w:rFonts w:ascii="Palatino Linotype" w:hAnsi="Palatino Linotype"/>
              </w:rPr>
            </w:pPr>
            <w:r w:rsidRPr="006302EB">
              <w:rPr>
                <w:rFonts w:ascii="Palatino Linotype" w:hAnsi="Palatino Linotype"/>
              </w:rPr>
              <w:t>145</w:t>
            </w:r>
          </w:p>
        </w:tc>
      </w:tr>
      <w:tr w:rsidR="006302EB" w:rsidTr="00AC7234" w14:paraId="7A8D2015" w14:textId="77777777">
        <w:tc>
          <w:tcPr>
            <w:tcW w:w="2155" w:type="dxa"/>
          </w:tcPr>
          <w:p w:rsidRPr="006302EB" w:rsidR="006302EB" w:rsidP="006A7D08" w:rsidRDefault="006302EB" w14:paraId="3B440FE6" w14:textId="4FC84C2C">
            <w:pPr>
              <w:rPr>
                <w:rFonts w:ascii="Palatino Linotype" w:hAnsi="Palatino Linotype"/>
              </w:rPr>
            </w:pPr>
            <w:r w:rsidRPr="006302EB">
              <w:rPr>
                <w:rFonts w:ascii="Palatino Linotype" w:hAnsi="Palatino Linotype"/>
              </w:rPr>
              <w:t>3-inch</w:t>
            </w:r>
          </w:p>
        </w:tc>
        <w:tc>
          <w:tcPr>
            <w:tcW w:w="1080" w:type="dxa"/>
          </w:tcPr>
          <w:p w:rsidRPr="006302EB" w:rsidR="006302EB" w:rsidP="006302EB" w:rsidRDefault="006302EB" w14:paraId="3D22C931" w14:textId="3A5DDC89">
            <w:pPr>
              <w:jc w:val="right"/>
              <w:rPr>
                <w:rFonts w:ascii="Palatino Linotype" w:hAnsi="Palatino Linotype"/>
              </w:rPr>
            </w:pPr>
            <w:r w:rsidRPr="006302EB">
              <w:rPr>
                <w:rFonts w:ascii="Palatino Linotype" w:hAnsi="Palatino Linotype"/>
              </w:rPr>
              <w:t>7</w:t>
            </w:r>
          </w:p>
        </w:tc>
      </w:tr>
      <w:tr w:rsidR="006302EB" w:rsidTr="00AC7234" w14:paraId="6613FFA4" w14:textId="77777777">
        <w:tc>
          <w:tcPr>
            <w:tcW w:w="2155" w:type="dxa"/>
          </w:tcPr>
          <w:p w:rsidRPr="006302EB" w:rsidR="006302EB" w:rsidP="006A7D08" w:rsidRDefault="006302EB" w14:paraId="1314CA2E" w14:textId="70B2F28D">
            <w:pPr>
              <w:rPr>
                <w:rFonts w:ascii="Palatino Linotype" w:hAnsi="Palatino Linotype"/>
              </w:rPr>
            </w:pPr>
            <w:r w:rsidRPr="006302EB">
              <w:rPr>
                <w:rFonts w:ascii="Palatino Linotype" w:hAnsi="Palatino Linotype"/>
              </w:rPr>
              <w:t>4-inch</w:t>
            </w:r>
          </w:p>
        </w:tc>
        <w:tc>
          <w:tcPr>
            <w:tcW w:w="1080" w:type="dxa"/>
          </w:tcPr>
          <w:p w:rsidRPr="006302EB" w:rsidR="006302EB" w:rsidP="006302EB" w:rsidRDefault="006302EB" w14:paraId="1F9D06A1" w14:textId="2F3AFAA9">
            <w:pPr>
              <w:jc w:val="right"/>
              <w:rPr>
                <w:rFonts w:ascii="Palatino Linotype" w:hAnsi="Palatino Linotype"/>
              </w:rPr>
            </w:pPr>
            <w:r w:rsidRPr="006302EB">
              <w:rPr>
                <w:rFonts w:ascii="Palatino Linotype" w:hAnsi="Palatino Linotype"/>
              </w:rPr>
              <w:t>18</w:t>
            </w:r>
          </w:p>
        </w:tc>
      </w:tr>
      <w:tr w:rsidR="006302EB" w:rsidTr="00AC7234" w14:paraId="42718724" w14:textId="77777777">
        <w:tc>
          <w:tcPr>
            <w:tcW w:w="2155" w:type="dxa"/>
          </w:tcPr>
          <w:p w:rsidRPr="006302EB" w:rsidR="006302EB" w:rsidP="006A7D08" w:rsidRDefault="006302EB" w14:paraId="2843166A" w14:textId="65EBDAD8">
            <w:pPr>
              <w:rPr>
                <w:rFonts w:ascii="Palatino Linotype" w:hAnsi="Palatino Linotype"/>
              </w:rPr>
            </w:pPr>
            <w:r w:rsidRPr="006302EB">
              <w:rPr>
                <w:rFonts w:ascii="Palatino Linotype" w:hAnsi="Palatino Linotype"/>
              </w:rPr>
              <w:t>8-inch</w:t>
            </w:r>
          </w:p>
        </w:tc>
        <w:tc>
          <w:tcPr>
            <w:tcW w:w="1080" w:type="dxa"/>
          </w:tcPr>
          <w:p w:rsidRPr="006302EB" w:rsidR="006302EB" w:rsidP="006302EB" w:rsidRDefault="006302EB" w14:paraId="30BFA033" w14:textId="04AF0442">
            <w:pPr>
              <w:jc w:val="right"/>
              <w:rPr>
                <w:rFonts w:ascii="Palatino Linotype" w:hAnsi="Palatino Linotype"/>
              </w:rPr>
            </w:pPr>
            <w:r w:rsidRPr="006302EB">
              <w:rPr>
                <w:rFonts w:ascii="Palatino Linotype" w:hAnsi="Palatino Linotype"/>
              </w:rPr>
              <w:t>1</w:t>
            </w:r>
          </w:p>
        </w:tc>
      </w:tr>
      <w:tr w:rsidR="006302EB" w:rsidTr="00AC7234" w14:paraId="6059D248" w14:textId="77777777">
        <w:tc>
          <w:tcPr>
            <w:tcW w:w="2155" w:type="dxa"/>
          </w:tcPr>
          <w:p w:rsidRPr="006302EB" w:rsidR="006302EB" w:rsidP="006302EB" w:rsidRDefault="006302EB" w14:paraId="306C155C" w14:textId="6AC4C37B">
            <w:pPr>
              <w:jc w:val="right"/>
              <w:rPr>
                <w:rFonts w:ascii="Palatino Linotype" w:hAnsi="Palatino Linotype"/>
              </w:rPr>
            </w:pPr>
            <w:r>
              <w:rPr>
                <w:rFonts w:ascii="Palatino Linotype" w:hAnsi="Palatino Linotype"/>
              </w:rPr>
              <w:t>Total:</w:t>
            </w:r>
          </w:p>
        </w:tc>
        <w:tc>
          <w:tcPr>
            <w:tcW w:w="1080" w:type="dxa"/>
          </w:tcPr>
          <w:p w:rsidRPr="006302EB" w:rsidR="006302EB" w:rsidP="006302EB" w:rsidRDefault="006302EB" w14:paraId="3D7C3068" w14:textId="77C46AF0">
            <w:pPr>
              <w:jc w:val="right"/>
              <w:rPr>
                <w:rFonts w:ascii="Palatino Linotype" w:hAnsi="Palatino Linotype"/>
              </w:rPr>
            </w:pPr>
            <w:r>
              <w:rPr>
                <w:rFonts w:ascii="Palatino Linotype" w:hAnsi="Palatino Linotype"/>
              </w:rPr>
              <w:t>2,528</w:t>
            </w:r>
          </w:p>
        </w:tc>
      </w:tr>
      <w:tr w:rsidR="006302EB" w:rsidTr="00AC7234" w14:paraId="73D7319F" w14:textId="77777777">
        <w:tc>
          <w:tcPr>
            <w:tcW w:w="2155" w:type="dxa"/>
          </w:tcPr>
          <w:p w:rsidRPr="006302EB" w:rsidR="006302EB" w:rsidP="006302EB" w:rsidRDefault="006302EB" w14:paraId="6420BC88" w14:textId="72CEFD5F">
            <w:pPr>
              <w:rPr>
                <w:rFonts w:ascii="Palatino Linotype" w:hAnsi="Palatino Linotype"/>
              </w:rPr>
            </w:pPr>
            <w:r>
              <w:rPr>
                <w:rFonts w:ascii="Palatino Linotype" w:hAnsi="Palatino Linotype"/>
                <w:u w:val="single"/>
              </w:rPr>
              <w:t>Flat Rate:</w:t>
            </w:r>
          </w:p>
        </w:tc>
        <w:tc>
          <w:tcPr>
            <w:tcW w:w="1080" w:type="dxa"/>
          </w:tcPr>
          <w:p w:rsidRPr="009D379D" w:rsidR="006302EB" w:rsidP="006302EB" w:rsidRDefault="009D379D" w14:paraId="56ED976E" w14:textId="2DD7FB3B">
            <w:pPr>
              <w:jc w:val="right"/>
              <w:rPr>
                <w:rFonts w:ascii="Palatino Linotype" w:hAnsi="Palatino Linotype"/>
              </w:rPr>
            </w:pPr>
            <w:r w:rsidRPr="009D379D">
              <w:rPr>
                <w:rFonts w:ascii="Palatino Linotype" w:hAnsi="Palatino Linotype"/>
              </w:rPr>
              <w:t>97</w:t>
            </w:r>
          </w:p>
        </w:tc>
      </w:tr>
    </w:tbl>
    <w:p w:rsidRPr="006A7D08" w:rsidR="006A7D08" w:rsidP="006A7D08" w:rsidRDefault="006A7D08" w14:paraId="3460C6C8" w14:textId="7FB6AAD6">
      <w:pPr>
        <w:ind w:left="1440"/>
        <w:rPr>
          <w:rFonts w:ascii="Palatino Linotype" w:hAnsi="Palatino Linotype"/>
        </w:rPr>
      </w:pPr>
    </w:p>
    <w:p w:rsidR="006A7D08" w:rsidP="006A7D08" w:rsidRDefault="006A7D08" w14:paraId="1DC4DF30" w14:textId="51CDC1C7">
      <w:pPr>
        <w:pStyle w:val="ListParagraph"/>
        <w:numPr>
          <w:ilvl w:val="0"/>
          <w:numId w:val="16"/>
        </w:numPr>
        <w:rPr>
          <w:rFonts w:ascii="Palatino Linotype" w:hAnsi="Palatino Linotype"/>
          <w:sz w:val="24"/>
          <w:szCs w:val="24"/>
        </w:rPr>
      </w:pPr>
      <w:r w:rsidRPr="006A7D08">
        <w:rPr>
          <w:rFonts w:ascii="Palatino Linotype" w:hAnsi="Palatino Linotype"/>
          <w:sz w:val="24"/>
          <w:szCs w:val="24"/>
        </w:rPr>
        <w:t>Metered Water Sales:</w:t>
      </w:r>
      <w:r w:rsidRPr="006A7D08">
        <w:rPr>
          <w:rFonts w:ascii="Palatino Linotype" w:hAnsi="Palatino Linotype"/>
          <w:sz w:val="24"/>
          <w:szCs w:val="24"/>
        </w:rPr>
        <w:tab/>
      </w:r>
      <w:r w:rsidRPr="006A7D08">
        <w:rPr>
          <w:rFonts w:ascii="Palatino Linotype" w:hAnsi="Palatino Linotype"/>
          <w:sz w:val="24"/>
          <w:szCs w:val="24"/>
        </w:rPr>
        <w:tab/>
      </w:r>
      <w:r w:rsidR="00AC7234">
        <w:rPr>
          <w:rFonts w:ascii="Palatino Linotype" w:hAnsi="Palatino Linotype"/>
          <w:sz w:val="24"/>
          <w:szCs w:val="24"/>
        </w:rPr>
        <w:t>779</w:t>
      </w:r>
      <w:r w:rsidR="002736BB">
        <w:rPr>
          <w:rFonts w:ascii="Palatino Linotype" w:hAnsi="Palatino Linotype"/>
          <w:sz w:val="24"/>
          <w:szCs w:val="24"/>
        </w:rPr>
        <w:t>,</w:t>
      </w:r>
      <w:r w:rsidR="00AC7234">
        <w:rPr>
          <w:rFonts w:ascii="Palatino Linotype" w:hAnsi="Palatino Linotype"/>
          <w:sz w:val="24"/>
          <w:szCs w:val="24"/>
        </w:rPr>
        <w:t>591</w:t>
      </w:r>
      <w:r w:rsidR="002736BB">
        <w:rPr>
          <w:rFonts w:ascii="Palatino Linotype" w:hAnsi="Palatino Linotype"/>
          <w:sz w:val="24"/>
          <w:szCs w:val="24"/>
        </w:rPr>
        <w:t xml:space="preserve"> </w:t>
      </w:r>
      <w:r w:rsidRPr="006A7D08">
        <w:rPr>
          <w:rFonts w:ascii="Palatino Linotype" w:hAnsi="Palatino Linotype"/>
          <w:sz w:val="24"/>
          <w:szCs w:val="24"/>
        </w:rPr>
        <w:t>CCF</w:t>
      </w:r>
    </w:p>
    <w:p w:rsidR="009D379D" w:rsidP="006A7D08" w:rsidRDefault="0046161C" w14:paraId="5D8FC3BC" w14:textId="28668418">
      <w:pPr>
        <w:pStyle w:val="ListParagraph"/>
        <w:numPr>
          <w:ilvl w:val="0"/>
          <w:numId w:val="16"/>
        </w:numPr>
        <w:rPr>
          <w:rFonts w:ascii="Palatino Linotype" w:hAnsi="Palatino Linotype"/>
          <w:sz w:val="24"/>
          <w:szCs w:val="24"/>
        </w:rPr>
      </w:pPr>
      <w:r>
        <w:rPr>
          <w:rFonts w:ascii="Palatino Linotype" w:hAnsi="Palatino Linotype"/>
          <w:sz w:val="24"/>
          <w:szCs w:val="24"/>
        </w:rPr>
        <w:t>Water Testing:</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$37,568</w:t>
      </w:r>
    </w:p>
    <w:p w:rsidR="00F9599C" w:rsidP="00F9599C" w:rsidRDefault="00F9599C" w14:paraId="7FE65E16" w14:textId="4B6A4220">
      <w:pPr>
        <w:rPr>
          <w:rFonts w:ascii="Palatino Linotype" w:hAnsi="Palatino Linotype"/>
        </w:rPr>
      </w:pPr>
    </w:p>
    <w:p w:rsidR="00F9599C" w:rsidP="00F9599C" w:rsidRDefault="00F9599C" w14:paraId="4677A6BB" w14:textId="77443D5B">
      <w:pPr>
        <w:rPr>
          <w:rFonts w:ascii="Palatino Linotype" w:hAnsi="Palatino Linotype"/>
        </w:rPr>
      </w:pPr>
    </w:p>
    <w:p w:rsidR="00F9599C" w:rsidP="00F9599C" w:rsidRDefault="00F9599C" w14:paraId="0FF2BBB4" w14:textId="6E17B4BD">
      <w:pPr>
        <w:rPr>
          <w:rFonts w:ascii="Palatino Linotype" w:hAnsi="Palatino Linotype"/>
        </w:rPr>
      </w:pPr>
    </w:p>
    <w:p w:rsidR="00F9599C" w:rsidP="00F9599C" w:rsidRDefault="00F9599C" w14:paraId="1E7DBA63" w14:textId="58642807">
      <w:pPr>
        <w:rPr>
          <w:rFonts w:ascii="Palatino Linotype" w:hAnsi="Palatino Linotype"/>
        </w:rPr>
      </w:pPr>
    </w:p>
    <w:p w:rsidR="00F9599C" w:rsidP="00F9599C" w:rsidRDefault="00F9599C" w14:paraId="15607A00" w14:textId="3135033B">
      <w:pPr>
        <w:rPr>
          <w:rFonts w:ascii="Palatino Linotype" w:hAnsi="Palatino Linotype"/>
        </w:rPr>
      </w:pPr>
    </w:p>
    <w:p w:rsidR="00F9599C" w:rsidP="00F9599C" w:rsidRDefault="00F9599C" w14:paraId="59C9AEDF" w14:textId="294682F2">
      <w:pPr>
        <w:rPr>
          <w:rFonts w:ascii="Palatino Linotype" w:hAnsi="Palatino Linotype"/>
        </w:rPr>
      </w:pPr>
    </w:p>
    <w:p w:rsidR="00F9599C" w:rsidP="00F9599C" w:rsidRDefault="00F9599C" w14:paraId="111A40E7" w14:textId="3738A03B">
      <w:pPr>
        <w:rPr>
          <w:rFonts w:ascii="Palatino Linotype" w:hAnsi="Palatino Linotype"/>
        </w:rPr>
      </w:pPr>
    </w:p>
    <w:p w:rsidR="00F9599C" w:rsidP="00F9599C" w:rsidRDefault="00F9599C" w14:paraId="1267C7C3" w14:textId="32672C87">
      <w:pPr>
        <w:rPr>
          <w:rFonts w:ascii="Palatino Linotype" w:hAnsi="Palatino Linotype"/>
        </w:rPr>
      </w:pPr>
    </w:p>
    <w:p w:rsidR="00F9599C" w:rsidP="00F9599C" w:rsidRDefault="00F9599C" w14:paraId="3B2402B9" w14:textId="6F893837">
      <w:pPr>
        <w:rPr>
          <w:rFonts w:ascii="Palatino Linotype" w:hAnsi="Palatino Linotype"/>
        </w:rPr>
      </w:pPr>
    </w:p>
    <w:p w:rsidR="00F9599C" w:rsidP="00F9599C" w:rsidRDefault="00F9599C" w14:paraId="7E3E7AFB" w14:textId="3E00E9B1">
      <w:pPr>
        <w:rPr>
          <w:rFonts w:ascii="Palatino Linotype" w:hAnsi="Palatino Linotype"/>
        </w:rPr>
      </w:pPr>
    </w:p>
    <w:p w:rsidR="00F9599C" w:rsidP="00F9599C" w:rsidRDefault="00F9599C" w14:paraId="4412048A" w14:textId="024508CA">
      <w:pPr>
        <w:rPr>
          <w:rFonts w:ascii="Palatino Linotype" w:hAnsi="Palatino Linotype"/>
        </w:rPr>
      </w:pPr>
    </w:p>
    <w:p w:rsidR="00F9599C" w:rsidP="00F9599C" w:rsidRDefault="00F9599C" w14:paraId="10D4F3B0"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00F9599C" w:rsidP="00F9599C" w:rsidRDefault="00F9599C" w14:paraId="54955923"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Bakman </w:t>
      </w:r>
      <w:r w:rsidRPr="009617C9">
        <w:rPr>
          <w:rStyle w:val="HeaderChar"/>
          <w:rFonts w:ascii="Palatino Linotype" w:hAnsi="Palatino Linotype" w:eastAsia="Palatino Linotype" w:cs="Palatino Linotype"/>
          <w:b/>
          <w:bCs/>
          <w:sz w:val="24"/>
          <w:szCs w:val="24"/>
        </w:rPr>
        <w:t>Water Co.</w:t>
      </w:r>
    </w:p>
    <w:p w:rsidRPr="009617C9" w:rsidR="00F9599C" w:rsidP="00F9599C" w:rsidRDefault="00F9599C" w14:paraId="00898862"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F9599C" w:rsidP="00F9599C" w:rsidRDefault="00F9599C" w14:paraId="3741C3F6" w14:textId="71077C39">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Test Year 201</w:t>
      </w:r>
      <w:r>
        <w:rPr>
          <w:rStyle w:val="HeaderChar"/>
          <w:rFonts w:ascii="Palatino Linotype" w:hAnsi="Palatino Linotype" w:eastAsia="Palatino Linotype" w:cs="Palatino Linotype"/>
          <w:b/>
          <w:bCs/>
          <w:sz w:val="24"/>
          <w:szCs w:val="24"/>
        </w:rPr>
        <w:t>9</w:t>
      </w:r>
    </w:p>
    <w:p w:rsidR="00F9599C" w:rsidP="00F9599C" w:rsidRDefault="00F9599C" w14:paraId="4735836E" w14:textId="4C3E14A3">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(Page 2 of 2)</w:t>
      </w:r>
    </w:p>
    <w:p w:rsidRPr="00F9599C" w:rsidR="00F9599C" w:rsidP="00F9599C" w:rsidRDefault="00F9599C" w14:paraId="2D6EDB04" w14:textId="77777777">
      <w:pPr>
        <w:rPr>
          <w:rFonts w:ascii="Palatino Linotype" w:hAnsi="Palatino Linotype"/>
        </w:rPr>
      </w:pPr>
    </w:p>
    <w:p w:rsidRPr="006A7D08" w:rsidR="006A7D08" w:rsidP="006A7D08" w:rsidRDefault="006A7D08" w14:paraId="561BC873" w14:textId="5CA20C2B">
      <w:pPr>
        <w:pStyle w:val="ListParagraph"/>
        <w:numPr>
          <w:ilvl w:val="0"/>
          <w:numId w:val="16"/>
        </w:numPr>
        <w:rPr>
          <w:rFonts w:ascii="Palatino Linotype" w:hAnsi="Palatino Linotype"/>
          <w:sz w:val="24"/>
          <w:szCs w:val="24"/>
        </w:rPr>
      </w:pPr>
      <w:r w:rsidRPr="006A7D08">
        <w:rPr>
          <w:rFonts w:ascii="Palatino Linotype" w:hAnsi="Palatino Linotype"/>
          <w:sz w:val="24"/>
          <w:szCs w:val="24"/>
        </w:rPr>
        <w:t>Tax Calculations</w:t>
      </w:r>
    </w:p>
    <w:p w:rsidR="002736BB" w:rsidP="006302EB" w:rsidRDefault="006A7D08" w14:paraId="6C144185" w14:textId="390EC447">
      <w:pPr>
        <w:pStyle w:val="ListParagraph"/>
        <w:ind w:left="1440"/>
        <w:rPr>
          <w:rFonts w:ascii="Palatino Linotype" w:hAnsi="Palatino Linotype"/>
          <w:sz w:val="24"/>
          <w:szCs w:val="24"/>
        </w:rPr>
      </w:pPr>
      <w:r w:rsidRPr="005D6F48">
        <w:rPr>
          <w:rFonts w:ascii="Palatino Linotype" w:hAnsi="Palatino Linotype"/>
          <w:b/>
          <w:bCs/>
          <w:sz w:val="24"/>
          <w:szCs w:val="24"/>
          <w:u w:val="single"/>
        </w:rPr>
        <w:t>Category</w:t>
      </w:r>
      <w:r w:rsidRPr="005D6F48">
        <w:rPr>
          <w:rFonts w:ascii="Palatino Linotype" w:hAnsi="Palatino Linotype"/>
          <w:b/>
          <w:bCs/>
          <w:sz w:val="24"/>
          <w:szCs w:val="24"/>
        </w:rPr>
        <w:tab/>
      </w:r>
      <w:r w:rsidRPr="005D6F48">
        <w:rPr>
          <w:rFonts w:ascii="Palatino Linotype" w:hAnsi="Palatino Linotype"/>
          <w:b/>
          <w:bCs/>
          <w:sz w:val="24"/>
          <w:szCs w:val="24"/>
        </w:rPr>
        <w:tab/>
      </w:r>
      <w:r w:rsidRPr="005D6F48">
        <w:rPr>
          <w:rFonts w:ascii="Palatino Linotype" w:hAnsi="Palatino Linotype"/>
          <w:b/>
          <w:bCs/>
          <w:sz w:val="24"/>
          <w:szCs w:val="24"/>
        </w:rPr>
        <w:tab/>
      </w:r>
      <w:r w:rsidRPr="005D6F48">
        <w:rPr>
          <w:rFonts w:ascii="Palatino Linotype" w:hAnsi="Palatino Linotype"/>
          <w:b/>
          <w:bCs/>
          <w:sz w:val="24"/>
          <w:szCs w:val="24"/>
        </w:rPr>
        <w:tab/>
      </w:r>
      <w:r w:rsidRPr="005D6F48">
        <w:rPr>
          <w:rFonts w:ascii="Palatino Linotype" w:hAnsi="Palatino Linotype"/>
          <w:b/>
          <w:bCs/>
          <w:sz w:val="24"/>
          <w:szCs w:val="24"/>
        </w:rPr>
        <w:tab/>
      </w:r>
      <w:r w:rsidRPr="005D6F48" w:rsidR="00EE6D1B">
        <w:rPr>
          <w:rFonts w:ascii="Palatino Linotype" w:hAnsi="Palatino Linotype"/>
          <w:b/>
          <w:bCs/>
          <w:sz w:val="24"/>
          <w:szCs w:val="24"/>
        </w:rPr>
        <w:tab/>
      </w:r>
      <w:r w:rsidRPr="005D6F48" w:rsidR="00EE6D1B">
        <w:rPr>
          <w:rFonts w:ascii="Palatino Linotype" w:hAnsi="Palatino Linotype"/>
          <w:b/>
          <w:bCs/>
          <w:sz w:val="24"/>
          <w:szCs w:val="24"/>
        </w:rPr>
        <w:tab/>
      </w:r>
      <w:r w:rsidRPr="005D6F48">
        <w:rPr>
          <w:rFonts w:ascii="Palatino Linotype" w:hAnsi="Palatino Linotype"/>
          <w:b/>
          <w:bCs/>
          <w:sz w:val="24"/>
          <w:szCs w:val="24"/>
          <w:u w:val="single"/>
        </w:rPr>
        <w:t>TY 2019</w:t>
      </w:r>
      <w:r w:rsidRPr="005D6F48">
        <w:rPr>
          <w:rFonts w:ascii="Palatino Linotype" w:hAnsi="Palatino Linotype"/>
          <w:b/>
          <w:bCs/>
          <w:sz w:val="24"/>
          <w:szCs w:val="24"/>
          <w:u w:val="single"/>
        </w:rPr>
        <w:br/>
      </w:r>
      <w:r w:rsidRPr="005D6F48">
        <w:rPr>
          <w:rFonts w:ascii="Palatino Linotype" w:hAnsi="Palatino Linotype"/>
          <w:sz w:val="24"/>
          <w:szCs w:val="24"/>
        </w:rPr>
        <w:t>Operating Revenues</w:t>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sidR="00EE6D1B">
        <w:rPr>
          <w:rFonts w:ascii="Palatino Linotype" w:hAnsi="Palatino Linotype"/>
          <w:sz w:val="24"/>
          <w:szCs w:val="24"/>
        </w:rPr>
        <w:tab/>
      </w:r>
      <w:r w:rsidRPr="005D6F48" w:rsidR="00EE6D1B">
        <w:rPr>
          <w:rFonts w:ascii="Palatino Linotype" w:hAnsi="Palatino Linotype"/>
          <w:sz w:val="24"/>
          <w:szCs w:val="24"/>
        </w:rPr>
        <w:tab/>
      </w:r>
      <w:r w:rsidRPr="005D6F48" w:rsidR="002736BB">
        <w:rPr>
          <w:rFonts w:ascii="Palatino Linotype" w:hAnsi="Palatino Linotype"/>
          <w:sz w:val="24"/>
          <w:szCs w:val="24"/>
        </w:rPr>
        <w:t>$</w:t>
      </w:r>
      <w:r w:rsidRPr="005D6F48" w:rsidR="00E66ECA">
        <w:rPr>
          <w:rFonts w:ascii="Palatino Linotype" w:hAnsi="Palatino Linotype"/>
          <w:sz w:val="24"/>
          <w:szCs w:val="24"/>
        </w:rPr>
        <w:t>3,1</w:t>
      </w:r>
      <w:r w:rsidR="00704E31">
        <w:rPr>
          <w:rFonts w:ascii="Palatino Linotype" w:hAnsi="Palatino Linotype"/>
          <w:sz w:val="24"/>
          <w:szCs w:val="24"/>
        </w:rPr>
        <w:t>34</w:t>
      </w:r>
      <w:r w:rsidRPr="005D6F48" w:rsidR="00E66ECA">
        <w:rPr>
          <w:rFonts w:ascii="Palatino Linotype" w:hAnsi="Palatino Linotype"/>
          <w:sz w:val="24"/>
          <w:szCs w:val="24"/>
        </w:rPr>
        <w:t>,</w:t>
      </w:r>
      <w:r w:rsidR="00704E31">
        <w:rPr>
          <w:rFonts w:ascii="Palatino Linotype" w:hAnsi="Palatino Linotype"/>
          <w:sz w:val="24"/>
          <w:szCs w:val="24"/>
        </w:rPr>
        <w:t>434</w:t>
      </w:r>
      <w:r w:rsidRPr="005D6F48">
        <w:rPr>
          <w:rFonts w:ascii="Palatino Linotype" w:hAnsi="Palatino Linotype"/>
          <w:sz w:val="24"/>
          <w:szCs w:val="24"/>
        </w:rPr>
        <w:br/>
        <w:t>Operating Expenses</w:t>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sidR="00EE6D1B">
        <w:rPr>
          <w:rFonts w:ascii="Palatino Linotype" w:hAnsi="Palatino Linotype"/>
          <w:sz w:val="24"/>
          <w:szCs w:val="24"/>
        </w:rPr>
        <w:tab/>
      </w:r>
      <w:r w:rsidRPr="005D6F48" w:rsidR="00EE6D1B">
        <w:rPr>
          <w:rFonts w:ascii="Palatino Linotype" w:hAnsi="Palatino Linotype"/>
          <w:sz w:val="24"/>
          <w:szCs w:val="24"/>
        </w:rPr>
        <w:tab/>
      </w:r>
      <w:r w:rsidRPr="005D6F48">
        <w:rPr>
          <w:rFonts w:ascii="Palatino Linotype" w:hAnsi="Palatino Linotype"/>
          <w:sz w:val="24"/>
          <w:szCs w:val="24"/>
        </w:rPr>
        <w:t>$</w:t>
      </w:r>
      <w:r w:rsidRPr="005D6F48" w:rsidR="00E66ECA">
        <w:rPr>
          <w:rFonts w:ascii="Palatino Linotype" w:hAnsi="Palatino Linotype"/>
          <w:sz w:val="24"/>
          <w:szCs w:val="24"/>
        </w:rPr>
        <w:t>2,</w:t>
      </w:r>
      <w:r w:rsidR="00704E31">
        <w:rPr>
          <w:rFonts w:ascii="Palatino Linotype" w:hAnsi="Palatino Linotype"/>
          <w:sz w:val="24"/>
          <w:szCs w:val="24"/>
        </w:rPr>
        <w:t>197</w:t>
      </w:r>
      <w:r w:rsidRPr="005D6F48" w:rsidR="00E66ECA">
        <w:rPr>
          <w:rFonts w:ascii="Palatino Linotype" w:hAnsi="Palatino Linotype"/>
          <w:sz w:val="24"/>
          <w:szCs w:val="24"/>
        </w:rPr>
        <w:t>,</w:t>
      </w:r>
      <w:r w:rsidR="00704E31">
        <w:rPr>
          <w:rFonts w:ascii="Palatino Linotype" w:hAnsi="Palatino Linotype"/>
          <w:sz w:val="24"/>
          <w:szCs w:val="24"/>
        </w:rPr>
        <w:t>551</w:t>
      </w:r>
      <w:r w:rsidRPr="005D6F48">
        <w:rPr>
          <w:rFonts w:ascii="Palatino Linotype" w:hAnsi="Palatino Linotype"/>
          <w:sz w:val="24"/>
          <w:szCs w:val="24"/>
        </w:rPr>
        <w:br/>
        <w:t>Taxes Other than Income</w:t>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sidR="00EE6D1B">
        <w:rPr>
          <w:rFonts w:ascii="Palatino Linotype" w:hAnsi="Palatino Linotype"/>
          <w:sz w:val="24"/>
          <w:szCs w:val="24"/>
        </w:rPr>
        <w:tab/>
      </w:r>
      <w:r w:rsidRPr="005D6F48" w:rsidR="00EE6D1B">
        <w:rPr>
          <w:rFonts w:ascii="Palatino Linotype" w:hAnsi="Palatino Linotype"/>
          <w:sz w:val="24"/>
          <w:szCs w:val="24"/>
        </w:rPr>
        <w:tab/>
      </w:r>
      <w:r w:rsidRPr="005D6F48">
        <w:rPr>
          <w:rFonts w:ascii="Palatino Linotype" w:hAnsi="Palatino Linotype"/>
          <w:sz w:val="24"/>
          <w:szCs w:val="24"/>
        </w:rPr>
        <w:t>$</w:t>
      </w:r>
      <w:r w:rsidRPr="005D6F48" w:rsidR="00E66ECA">
        <w:rPr>
          <w:rFonts w:ascii="Palatino Linotype" w:hAnsi="Palatino Linotype"/>
          <w:sz w:val="24"/>
          <w:szCs w:val="24"/>
        </w:rPr>
        <w:t>67,673</w:t>
      </w:r>
      <w:r w:rsidRPr="005D6F48">
        <w:rPr>
          <w:rFonts w:ascii="Palatino Linotype" w:hAnsi="Palatino Linotype"/>
          <w:sz w:val="24"/>
          <w:szCs w:val="24"/>
        </w:rPr>
        <w:br/>
        <w:t>Depreciation</w:t>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sidR="00EE6D1B">
        <w:rPr>
          <w:rFonts w:ascii="Palatino Linotype" w:hAnsi="Palatino Linotype"/>
          <w:sz w:val="24"/>
          <w:szCs w:val="24"/>
        </w:rPr>
        <w:tab/>
      </w:r>
      <w:r w:rsidRPr="005D6F48" w:rsidR="00EE6D1B">
        <w:rPr>
          <w:rFonts w:ascii="Palatino Linotype" w:hAnsi="Palatino Linotype"/>
          <w:sz w:val="24"/>
          <w:szCs w:val="24"/>
        </w:rPr>
        <w:tab/>
      </w:r>
      <w:r w:rsidRPr="005D6F48">
        <w:rPr>
          <w:rFonts w:ascii="Palatino Linotype" w:hAnsi="Palatino Linotype"/>
          <w:sz w:val="24"/>
          <w:szCs w:val="24"/>
        </w:rPr>
        <w:t>$</w:t>
      </w:r>
      <w:r w:rsidRPr="005D6F48" w:rsidR="00E66ECA">
        <w:rPr>
          <w:rFonts w:ascii="Palatino Linotype" w:hAnsi="Palatino Linotype"/>
          <w:sz w:val="24"/>
          <w:szCs w:val="24"/>
        </w:rPr>
        <w:t>161,640</w:t>
      </w:r>
      <w:r w:rsidRPr="005D6F48">
        <w:rPr>
          <w:rFonts w:ascii="Palatino Linotype" w:hAnsi="Palatino Linotype"/>
          <w:sz w:val="24"/>
          <w:szCs w:val="24"/>
        </w:rPr>
        <w:br/>
        <w:t>Taxable Income for State</w:t>
      </w:r>
      <w:r w:rsidRPr="005D6F48">
        <w:rPr>
          <w:rFonts w:ascii="Palatino Linotype" w:hAnsi="Palatino Linotype"/>
          <w:sz w:val="24"/>
          <w:szCs w:val="24"/>
        </w:rPr>
        <w:tab/>
      </w:r>
      <w:r w:rsidRPr="005D6F48">
        <w:rPr>
          <w:rFonts w:ascii="Palatino Linotype" w:hAnsi="Palatino Linotype"/>
          <w:sz w:val="24"/>
          <w:szCs w:val="24"/>
        </w:rPr>
        <w:tab/>
      </w:r>
      <w:r w:rsidRPr="005D6F48">
        <w:rPr>
          <w:rFonts w:ascii="Palatino Linotype" w:hAnsi="Palatino Linotype"/>
          <w:sz w:val="24"/>
          <w:szCs w:val="24"/>
        </w:rPr>
        <w:tab/>
      </w:r>
      <w:r w:rsidRPr="005D6F48" w:rsidR="00EE6D1B">
        <w:rPr>
          <w:rFonts w:ascii="Palatino Linotype" w:hAnsi="Palatino Linotype"/>
          <w:sz w:val="24"/>
          <w:szCs w:val="24"/>
        </w:rPr>
        <w:tab/>
      </w:r>
      <w:r w:rsidRPr="005D6F48" w:rsidR="00EE6D1B">
        <w:rPr>
          <w:rFonts w:ascii="Palatino Linotype" w:hAnsi="Palatino Linotype"/>
          <w:sz w:val="24"/>
          <w:szCs w:val="24"/>
        </w:rPr>
        <w:tab/>
      </w:r>
      <w:r w:rsidRPr="005D6F48">
        <w:rPr>
          <w:rFonts w:ascii="Palatino Linotype" w:hAnsi="Palatino Linotype"/>
          <w:sz w:val="24"/>
          <w:szCs w:val="24"/>
        </w:rPr>
        <w:t>$</w:t>
      </w:r>
      <w:r w:rsidRPr="005D6F48" w:rsidR="005D6F48">
        <w:rPr>
          <w:rFonts w:ascii="Palatino Linotype" w:hAnsi="Palatino Linotype"/>
          <w:sz w:val="24"/>
          <w:szCs w:val="24"/>
        </w:rPr>
        <w:t>71</w:t>
      </w:r>
      <w:r w:rsidR="00824D94">
        <w:rPr>
          <w:rFonts w:ascii="Palatino Linotype" w:hAnsi="Palatino Linotype"/>
          <w:sz w:val="24"/>
          <w:szCs w:val="24"/>
        </w:rPr>
        <w:t>5</w:t>
      </w:r>
      <w:r w:rsidRPr="005D6F48" w:rsidR="005D6F48">
        <w:rPr>
          <w:rFonts w:ascii="Palatino Linotype" w:hAnsi="Palatino Linotype"/>
          <w:sz w:val="24"/>
          <w:szCs w:val="24"/>
        </w:rPr>
        <w:t>,3</w:t>
      </w:r>
      <w:r w:rsidR="00824D94">
        <w:rPr>
          <w:rFonts w:ascii="Palatino Linotype" w:hAnsi="Palatino Linotype"/>
          <w:sz w:val="24"/>
          <w:szCs w:val="24"/>
        </w:rPr>
        <w:t>98</w:t>
      </w:r>
      <w:r w:rsidRPr="005D6F48">
        <w:rPr>
          <w:rFonts w:ascii="Palatino Linotype" w:hAnsi="Palatino Linotype"/>
          <w:sz w:val="24"/>
          <w:szCs w:val="24"/>
        </w:rPr>
        <w:br/>
        <w:t>State Taxes</w:t>
      </w:r>
      <w:r w:rsidRPr="005D6F48" w:rsidR="00EE6D1B">
        <w:rPr>
          <w:rFonts w:ascii="Palatino Linotype" w:hAnsi="Palatino Linotype"/>
          <w:sz w:val="24"/>
          <w:szCs w:val="24"/>
        </w:rPr>
        <w:t xml:space="preserve"> (Corporate rate </w:t>
      </w:r>
      <w:r w:rsidRPr="005D6F48" w:rsidR="00614C83">
        <w:rPr>
          <w:rFonts w:ascii="Palatino Linotype" w:hAnsi="Palatino Linotype"/>
          <w:sz w:val="24"/>
          <w:szCs w:val="24"/>
        </w:rPr>
        <w:t>8</w:t>
      </w:r>
      <w:r w:rsidRPr="005D6F48" w:rsidR="00EE6D1B">
        <w:rPr>
          <w:rFonts w:ascii="Palatino Linotype" w:hAnsi="Palatino Linotype"/>
          <w:sz w:val="24"/>
          <w:szCs w:val="24"/>
        </w:rPr>
        <w:t>.</w:t>
      </w:r>
      <w:r w:rsidRPr="005D6F48" w:rsidR="00614C83">
        <w:rPr>
          <w:rFonts w:ascii="Palatino Linotype" w:hAnsi="Palatino Linotype"/>
          <w:sz w:val="24"/>
          <w:szCs w:val="24"/>
        </w:rPr>
        <w:t>84</w:t>
      </w:r>
      <w:r w:rsidRPr="005D6F48" w:rsidR="00EE6D1B">
        <w:rPr>
          <w:rFonts w:ascii="Palatino Linotype" w:hAnsi="Palatino Linotype"/>
          <w:sz w:val="24"/>
          <w:szCs w:val="24"/>
        </w:rPr>
        <w:t>%)</w:t>
      </w:r>
      <w:r w:rsidRPr="005D6F48">
        <w:rPr>
          <w:rFonts w:ascii="Palatino Linotype" w:hAnsi="Palatino Linotype"/>
          <w:sz w:val="24"/>
          <w:szCs w:val="24"/>
        </w:rPr>
        <w:tab/>
      </w:r>
      <w:r w:rsidRPr="005D6F48" w:rsidR="00EE6D1B">
        <w:rPr>
          <w:rFonts w:ascii="Palatino Linotype" w:hAnsi="Palatino Linotype"/>
          <w:sz w:val="24"/>
          <w:szCs w:val="24"/>
        </w:rPr>
        <w:tab/>
      </w:r>
      <w:r w:rsidRPr="005D6F48" w:rsidR="00EE6D1B">
        <w:rPr>
          <w:rFonts w:ascii="Palatino Linotype" w:hAnsi="Palatino Linotype"/>
          <w:sz w:val="24"/>
          <w:szCs w:val="24"/>
        </w:rPr>
        <w:tab/>
      </w:r>
      <w:r w:rsidRPr="005D6F48">
        <w:rPr>
          <w:rFonts w:ascii="Palatino Linotype" w:hAnsi="Palatino Linotype"/>
          <w:sz w:val="24"/>
          <w:szCs w:val="24"/>
        </w:rPr>
        <w:t>$</w:t>
      </w:r>
      <w:r w:rsidRPr="005D6F48" w:rsidR="005D6F48">
        <w:rPr>
          <w:rFonts w:ascii="Palatino Linotype" w:hAnsi="Palatino Linotype"/>
          <w:sz w:val="24"/>
          <w:szCs w:val="24"/>
        </w:rPr>
        <w:t>6</w:t>
      </w:r>
      <w:r w:rsidR="00704E31">
        <w:rPr>
          <w:rFonts w:ascii="Palatino Linotype" w:hAnsi="Palatino Linotype"/>
          <w:sz w:val="24"/>
          <w:szCs w:val="24"/>
        </w:rPr>
        <w:t>2</w:t>
      </w:r>
      <w:r w:rsidRPr="005D6F48" w:rsidR="002736BB">
        <w:rPr>
          <w:rFonts w:ascii="Palatino Linotype" w:hAnsi="Palatino Linotype"/>
          <w:sz w:val="24"/>
          <w:szCs w:val="24"/>
        </w:rPr>
        <w:t>,</w:t>
      </w:r>
      <w:r w:rsidR="00704E31">
        <w:rPr>
          <w:rFonts w:ascii="Palatino Linotype" w:hAnsi="Palatino Linotype"/>
          <w:sz w:val="24"/>
          <w:szCs w:val="24"/>
        </w:rPr>
        <w:t>549</w:t>
      </w:r>
      <w:r w:rsidRPr="005D6F48">
        <w:rPr>
          <w:rFonts w:ascii="Palatino Linotype" w:hAnsi="Palatino Linotype"/>
          <w:sz w:val="24"/>
          <w:szCs w:val="24"/>
        </w:rPr>
        <w:br/>
        <w:t>Taxable Income for Federal</w:t>
      </w:r>
      <w:r w:rsidRPr="005D6F48">
        <w:rPr>
          <w:rFonts w:ascii="Palatino Linotype" w:hAnsi="Palatino Linotype"/>
          <w:sz w:val="24"/>
          <w:szCs w:val="24"/>
        </w:rPr>
        <w:tab/>
      </w:r>
      <w:r w:rsidRPr="005D6F48">
        <w:rPr>
          <w:rFonts w:ascii="Palatino Linotype" w:hAnsi="Palatino Linotype"/>
          <w:sz w:val="24"/>
          <w:szCs w:val="24"/>
        </w:rPr>
        <w:tab/>
      </w:r>
      <w:r w:rsidRPr="005D6F48" w:rsidR="00EE6D1B">
        <w:rPr>
          <w:rFonts w:ascii="Palatino Linotype" w:hAnsi="Palatino Linotype"/>
          <w:sz w:val="24"/>
          <w:szCs w:val="24"/>
        </w:rPr>
        <w:tab/>
      </w:r>
      <w:r w:rsidRPr="005D6F48" w:rsidR="00EE6D1B">
        <w:rPr>
          <w:rFonts w:ascii="Palatino Linotype" w:hAnsi="Palatino Linotype"/>
          <w:sz w:val="24"/>
          <w:szCs w:val="24"/>
        </w:rPr>
        <w:tab/>
      </w:r>
      <w:r w:rsidRPr="005D6F48">
        <w:rPr>
          <w:rFonts w:ascii="Palatino Linotype" w:hAnsi="Palatino Linotype"/>
          <w:sz w:val="24"/>
          <w:szCs w:val="24"/>
        </w:rPr>
        <w:t>$</w:t>
      </w:r>
      <w:r w:rsidRPr="005D6F48" w:rsidR="005D6F48">
        <w:rPr>
          <w:rFonts w:ascii="Palatino Linotype" w:hAnsi="Palatino Linotype"/>
          <w:sz w:val="24"/>
          <w:szCs w:val="24"/>
        </w:rPr>
        <w:t>6</w:t>
      </w:r>
      <w:r w:rsidR="00704E31">
        <w:rPr>
          <w:rFonts w:ascii="Palatino Linotype" w:hAnsi="Palatino Linotype"/>
          <w:sz w:val="24"/>
          <w:szCs w:val="24"/>
        </w:rPr>
        <w:t>45</w:t>
      </w:r>
      <w:r w:rsidRPr="005D6F48" w:rsidR="002736BB">
        <w:rPr>
          <w:rFonts w:ascii="Palatino Linotype" w:hAnsi="Palatino Linotype"/>
          <w:sz w:val="24"/>
          <w:szCs w:val="24"/>
        </w:rPr>
        <w:t>,</w:t>
      </w:r>
      <w:r w:rsidR="00704E31">
        <w:rPr>
          <w:rFonts w:ascii="Palatino Linotype" w:hAnsi="Palatino Linotype"/>
          <w:sz w:val="24"/>
          <w:szCs w:val="24"/>
        </w:rPr>
        <w:t>020</w:t>
      </w:r>
      <w:r w:rsidRPr="005D6F48">
        <w:rPr>
          <w:rFonts w:ascii="Palatino Linotype" w:hAnsi="Palatino Linotype"/>
          <w:sz w:val="24"/>
          <w:szCs w:val="24"/>
        </w:rPr>
        <w:br/>
        <w:t>Federal Income Taxes</w:t>
      </w:r>
      <w:r w:rsidRPr="005D6F48" w:rsidR="002736BB">
        <w:rPr>
          <w:rFonts w:ascii="Palatino Linotype" w:hAnsi="Palatino Linotype"/>
          <w:sz w:val="24"/>
          <w:szCs w:val="24"/>
        </w:rPr>
        <w:t xml:space="preserve"> (</w:t>
      </w:r>
      <w:r w:rsidRPr="005D6F48" w:rsidR="00EE6D1B">
        <w:rPr>
          <w:rFonts w:ascii="Palatino Linotype" w:hAnsi="Palatino Linotype"/>
          <w:sz w:val="24"/>
          <w:szCs w:val="24"/>
        </w:rPr>
        <w:t>Corporate rate 21.00%)</w:t>
      </w:r>
      <w:r w:rsidRPr="005D6F48" w:rsidR="002736BB">
        <w:rPr>
          <w:rFonts w:ascii="Palatino Linotype" w:hAnsi="Palatino Linotype"/>
          <w:sz w:val="24"/>
          <w:szCs w:val="24"/>
        </w:rPr>
        <w:t>)</w:t>
      </w:r>
      <w:r w:rsidRPr="005D6F48">
        <w:rPr>
          <w:rFonts w:ascii="Palatino Linotype" w:hAnsi="Palatino Linotype"/>
          <w:sz w:val="24"/>
          <w:szCs w:val="24"/>
        </w:rPr>
        <w:tab/>
      </w:r>
      <w:r w:rsidRPr="005D6F48" w:rsidR="00EE6D1B">
        <w:rPr>
          <w:rFonts w:ascii="Palatino Linotype" w:hAnsi="Palatino Linotype"/>
          <w:sz w:val="24"/>
          <w:szCs w:val="24"/>
        </w:rPr>
        <w:tab/>
      </w:r>
      <w:r w:rsidRPr="005D6F48">
        <w:rPr>
          <w:rFonts w:ascii="Palatino Linotype" w:hAnsi="Palatino Linotype"/>
          <w:sz w:val="24"/>
          <w:szCs w:val="24"/>
        </w:rPr>
        <w:t>$</w:t>
      </w:r>
      <w:r w:rsidRPr="005D6F48" w:rsidR="005D6F48">
        <w:rPr>
          <w:rFonts w:ascii="Palatino Linotype" w:hAnsi="Palatino Linotype"/>
          <w:sz w:val="24"/>
          <w:szCs w:val="24"/>
        </w:rPr>
        <w:t>13</w:t>
      </w:r>
      <w:r w:rsidR="00704E31">
        <w:rPr>
          <w:rFonts w:ascii="Palatino Linotype" w:hAnsi="Palatino Linotype"/>
          <w:sz w:val="24"/>
          <w:szCs w:val="24"/>
        </w:rPr>
        <w:t>5</w:t>
      </w:r>
      <w:r w:rsidRPr="005D6F48" w:rsidR="005D6F48">
        <w:rPr>
          <w:rFonts w:ascii="Palatino Linotype" w:hAnsi="Palatino Linotype"/>
          <w:sz w:val="24"/>
          <w:szCs w:val="24"/>
        </w:rPr>
        <w:t>,</w:t>
      </w:r>
      <w:r w:rsidR="00704E31">
        <w:rPr>
          <w:rFonts w:ascii="Palatino Linotype" w:hAnsi="Palatino Linotype"/>
          <w:sz w:val="24"/>
          <w:szCs w:val="24"/>
        </w:rPr>
        <w:t>454</w:t>
      </w:r>
    </w:p>
    <w:p w:rsidR="00F9599C" w:rsidP="006302EB" w:rsidRDefault="00F9599C" w14:paraId="1FADB25A" w14:textId="659FEF13">
      <w:pPr>
        <w:pStyle w:val="ListParagraph"/>
        <w:ind w:left="1440"/>
        <w:rPr>
          <w:rFonts w:ascii="Palatino Linotype" w:hAnsi="Palatino Linotype"/>
          <w:b/>
          <w:bCs/>
        </w:rPr>
      </w:pPr>
    </w:p>
    <w:p w:rsidR="00F9599C" w:rsidP="006302EB" w:rsidRDefault="00F9599C" w14:paraId="43A39793" w14:textId="75FABCEA">
      <w:pPr>
        <w:pStyle w:val="ListParagraph"/>
        <w:ind w:left="1440"/>
        <w:rPr>
          <w:rFonts w:ascii="Palatino Linotype" w:hAnsi="Palatino Linotype"/>
          <w:b/>
          <w:bCs/>
        </w:rPr>
      </w:pPr>
    </w:p>
    <w:p w:rsidR="00F9599C" w:rsidP="006302EB" w:rsidRDefault="00F9599C" w14:paraId="2F2E4708" w14:textId="1D67D8A6">
      <w:pPr>
        <w:pStyle w:val="ListParagraph"/>
        <w:ind w:left="1440"/>
        <w:rPr>
          <w:rFonts w:ascii="Palatino Linotype" w:hAnsi="Palatino Linotype"/>
          <w:b/>
          <w:bCs/>
        </w:rPr>
      </w:pPr>
    </w:p>
    <w:p w:rsidR="00F9599C" w:rsidP="006302EB" w:rsidRDefault="00F9599C" w14:paraId="33EF0A82" w14:textId="7472EB86">
      <w:pPr>
        <w:pStyle w:val="ListParagraph"/>
        <w:ind w:left="1440"/>
        <w:rPr>
          <w:rFonts w:ascii="Palatino Linotype" w:hAnsi="Palatino Linotype"/>
          <w:b/>
          <w:bCs/>
        </w:rPr>
      </w:pPr>
    </w:p>
    <w:p w:rsidR="00F9599C" w:rsidP="006302EB" w:rsidRDefault="00F9599C" w14:paraId="77C26CC3" w14:textId="78D3630E">
      <w:pPr>
        <w:pStyle w:val="ListParagraph"/>
        <w:ind w:left="1440"/>
        <w:rPr>
          <w:rFonts w:ascii="Palatino Linotype" w:hAnsi="Palatino Linotype"/>
          <w:b/>
          <w:bCs/>
        </w:rPr>
      </w:pPr>
    </w:p>
    <w:p w:rsidR="00F9599C" w:rsidP="006302EB" w:rsidRDefault="00F9599C" w14:paraId="608C17C8" w14:textId="79792BB2">
      <w:pPr>
        <w:pStyle w:val="ListParagraph"/>
        <w:ind w:left="1440"/>
        <w:rPr>
          <w:rFonts w:ascii="Palatino Linotype" w:hAnsi="Palatino Linotype"/>
          <w:b/>
          <w:bCs/>
        </w:rPr>
      </w:pPr>
    </w:p>
    <w:p w:rsidR="00F9599C" w:rsidP="006302EB" w:rsidRDefault="00F9599C" w14:paraId="388E35EA" w14:textId="42B71B5D">
      <w:pPr>
        <w:pStyle w:val="ListParagraph"/>
        <w:ind w:left="1440"/>
        <w:rPr>
          <w:rFonts w:ascii="Palatino Linotype" w:hAnsi="Palatino Linotype"/>
          <w:b/>
          <w:bCs/>
        </w:rPr>
      </w:pPr>
    </w:p>
    <w:p w:rsidR="00F9599C" w:rsidP="006302EB" w:rsidRDefault="00F9599C" w14:paraId="05A191F6" w14:textId="22692F4F">
      <w:pPr>
        <w:pStyle w:val="ListParagraph"/>
        <w:ind w:left="1440"/>
        <w:rPr>
          <w:rFonts w:ascii="Palatino Linotype" w:hAnsi="Palatino Linotype"/>
          <w:b/>
          <w:bCs/>
        </w:rPr>
      </w:pPr>
    </w:p>
    <w:p w:rsidR="00F9599C" w:rsidP="006302EB" w:rsidRDefault="00F9599C" w14:paraId="3848B23B" w14:textId="57EA54AE">
      <w:pPr>
        <w:pStyle w:val="ListParagraph"/>
        <w:ind w:left="1440"/>
        <w:rPr>
          <w:rFonts w:ascii="Palatino Linotype" w:hAnsi="Palatino Linotype"/>
          <w:b/>
          <w:bCs/>
        </w:rPr>
      </w:pPr>
    </w:p>
    <w:p w:rsidR="00F9599C" w:rsidP="006302EB" w:rsidRDefault="00F9599C" w14:paraId="05862221" w14:textId="50344C70">
      <w:pPr>
        <w:pStyle w:val="ListParagraph"/>
        <w:ind w:left="1440"/>
        <w:rPr>
          <w:rFonts w:ascii="Palatino Linotype" w:hAnsi="Palatino Linotype"/>
          <w:b/>
          <w:bCs/>
        </w:rPr>
      </w:pPr>
    </w:p>
    <w:p w:rsidR="006A7D08" w:rsidP="006A7D08" w:rsidRDefault="006A7D08" w14:paraId="01B154F1" w14:textId="05D7F461">
      <w:pPr>
        <w:jc w:val="center"/>
        <w:rPr>
          <w:rFonts w:ascii="Palatino Linotype" w:hAnsi="Palatino Linotype"/>
          <w:b/>
          <w:bCs/>
        </w:rPr>
      </w:pPr>
      <w:r>
        <w:rPr>
          <w:rFonts w:ascii="Palatino Linotype" w:hAnsi="Palatino Linotype"/>
          <w:b/>
          <w:bCs/>
        </w:rPr>
        <w:t>END OF APPENDIX D</w:t>
      </w:r>
    </w:p>
    <w:p w:rsidR="00F9599C" w:rsidP="006A7D08" w:rsidRDefault="00F9599C" w14:paraId="48C6DD0B" w14:textId="77777777">
      <w:pPr>
        <w:jc w:val="center"/>
        <w:rPr>
          <w:rFonts w:ascii="Palatino Linotype" w:hAnsi="Palatino Linotype"/>
          <w:b/>
          <w:bCs/>
        </w:rPr>
      </w:pPr>
    </w:p>
    <w:p w:rsidRPr="009617C9" w:rsidR="006A7D08" w:rsidP="006A7D08" w:rsidRDefault="006302EB" w14:paraId="679CE5D8" w14:textId="0090D63A">
      <w:pPr>
        <w:pStyle w:val="Body"/>
        <w:spacing w:after="0" w:line="240" w:lineRule="auto"/>
        <w:jc w:val="center"/>
        <w:rPr>
          <w:rStyle w:val="HeaderChar"/>
          <w:rFonts w:ascii="Palatino Linotype" w:hAnsi="Palatino Linotype" w:eastAsia="Palatino Linotype" w:cs="Palatino Linotype"/>
          <w:b/>
          <w:bCs/>
          <w:sz w:val="28"/>
          <w:szCs w:val="28"/>
        </w:rPr>
      </w:pPr>
      <w:r>
        <w:rPr>
          <w:rStyle w:val="HeaderChar"/>
          <w:rFonts w:ascii="Palatino Linotype" w:hAnsi="Palatino Linotype" w:eastAsia="Palatino Linotype" w:cs="Palatino Linotype"/>
          <w:b/>
          <w:bCs/>
          <w:sz w:val="28"/>
          <w:szCs w:val="28"/>
        </w:rPr>
        <w:lastRenderedPageBreak/>
        <w:t>BAKMAN</w:t>
      </w:r>
      <w:r w:rsidRPr="009617C9" w:rsidR="006A7D08">
        <w:rPr>
          <w:rStyle w:val="HeaderChar"/>
          <w:rFonts w:ascii="Palatino Linotype" w:hAnsi="Palatino Linotype" w:eastAsia="Palatino Linotype" w:cs="Palatino Linotype"/>
          <w:b/>
          <w:bCs/>
          <w:sz w:val="28"/>
          <w:szCs w:val="28"/>
        </w:rPr>
        <w:t xml:space="preserve"> WATER COMPANY</w:t>
      </w:r>
    </w:p>
    <w:p w:rsidRPr="009617C9" w:rsidR="006A7D08" w:rsidP="006A7D08" w:rsidRDefault="006A7D08" w14:paraId="092A8D80" w14:textId="28FC5497">
      <w:pPr>
        <w:pStyle w:val="Body"/>
        <w:spacing w:after="0" w:line="240" w:lineRule="auto"/>
        <w:jc w:val="center"/>
        <w:rPr>
          <w:rStyle w:val="HeaderChar"/>
          <w:rFonts w:ascii="Palatino Linotype" w:hAnsi="Palatino Linotype" w:eastAsia="Palatino Linotype" w:cs="Palatino Linotype"/>
          <w:b/>
          <w:bCs/>
          <w:sz w:val="28"/>
          <w:szCs w:val="28"/>
        </w:rPr>
      </w:pPr>
      <w:r w:rsidRPr="009617C9">
        <w:rPr>
          <w:rStyle w:val="HeaderChar"/>
          <w:rFonts w:ascii="Palatino Linotype" w:hAnsi="Palatino Linotype" w:eastAsia="Palatino Linotype" w:cs="Palatino Linotype"/>
          <w:b/>
          <w:bCs/>
          <w:sz w:val="28"/>
          <w:szCs w:val="28"/>
          <w:lang w:val="de-DE"/>
        </w:rPr>
        <w:t xml:space="preserve">ADVICE LETTER </w:t>
      </w:r>
      <w:r>
        <w:rPr>
          <w:rStyle w:val="HeaderChar"/>
          <w:rFonts w:ascii="Palatino Linotype" w:hAnsi="Palatino Linotype" w:eastAsia="Palatino Linotype" w:cs="Palatino Linotype"/>
          <w:b/>
          <w:bCs/>
          <w:sz w:val="28"/>
          <w:szCs w:val="28"/>
          <w:lang w:val="de-DE"/>
        </w:rPr>
        <w:t>9</w:t>
      </w:r>
      <w:r w:rsidR="006302EB">
        <w:rPr>
          <w:rStyle w:val="HeaderChar"/>
          <w:rFonts w:ascii="Palatino Linotype" w:hAnsi="Palatino Linotype" w:eastAsia="Palatino Linotype" w:cs="Palatino Linotype"/>
          <w:b/>
          <w:bCs/>
          <w:sz w:val="28"/>
          <w:szCs w:val="28"/>
          <w:lang w:val="de-DE"/>
        </w:rPr>
        <w:t>4</w:t>
      </w:r>
      <w:r w:rsidRPr="009617C9">
        <w:rPr>
          <w:rStyle w:val="HeaderChar"/>
          <w:rFonts w:ascii="Palatino Linotype" w:hAnsi="Palatino Linotype" w:eastAsia="Palatino Linotype" w:cs="Palatino Linotype"/>
          <w:b/>
          <w:bCs/>
          <w:sz w:val="28"/>
          <w:szCs w:val="28"/>
          <w:lang w:val="de-DE"/>
        </w:rPr>
        <w:t>-W</w:t>
      </w:r>
    </w:p>
    <w:p w:rsidRPr="006A7D08" w:rsidR="006A7D08" w:rsidP="006A7D08" w:rsidRDefault="006A7D08" w14:paraId="55873A6A" w14:textId="40832EE8">
      <w:pPr>
        <w:jc w:val="center"/>
        <w:rPr>
          <w:rFonts w:ascii="Palatino Linotype" w:hAnsi="Palatino Linotype"/>
        </w:rPr>
      </w:pPr>
      <w:r w:rsidRPr="009617C9">
        <w:rPr>
          <w:rStyle w:val="HeaderChar"/>
          <w:rFonts w:ascii="Palatino Linotype" w:hAnsi="Palatino Linotype" w:eastAsia="Palatino Linotype" w:cs="Palatino Linotype"/>
          <w:b/>
          <w:bCs/>
          <w:sz w:val="28"/>
          <w:szCs w:val="28"/>
          <w:lang w:val="de-DE"/>
        </w:rPr>
        <w:t>SERVICE LIST</w:t>
      </w:r>
    </w:p>
    <w:p w:rsidRPr="006302EB" w:rsidR="00230935" w:rsidP="00A50993" w:rsidRDefault="00230935" w14:paraId="7A569CAF" w14:textId="1C9EE131">
      <w:pPr>
        <w:rPr>
          <w:rFonts w:ascii="Palatino Linotype" w:hAnsi="Palatino Linotype"/>
        </w:rPr>
      </w:pPr>
    </w:p>
    <w:tbl>
      <w:tblPr>
        <w:tblStyle w:val="TableGrid"/>
        <w:tblW w:w="0" w:type="auto"/>
        <w:tblLook w:val="04A0" w:firstRow="1" w:lastRow="0" w:firstColumn="1" w:lastColumn="0" w:noHBand="0" w:noVBand="1"/>
      </w:tblPr>
      <w:tblGrid>
        <w:gridCol w:w="3116"/>
        <w:gridCol w:w="3117"/>
        <w:gridCol w:w="3117"/>
      </w:tblGrid>
      <w:tr w:rsidRPr="006302EB" w:rsidR="00A50993" w:rsidTr="00F10F6B" w14:paraId="25D871D3" w14:textId="77777777">
        <w:trPr>
          <w:trHeight w:val="1079"/>
        </w:trPr>
        <w:tc>
          <w:tcPr>
            <w:tcW w:w="3116" w:type="dxa"/>
          </w:tcPr>
          <w:p w:rsidR="00A50993" w:rsidP="00A50993" w:rsidRDefault="006302EB" w14:paraId="50C74D32" w14:textId="541762AA">
            <w:pPr>
              <w:rPr>
                <w:rFonts w:ascii="Palatino Linotype" w:hAnsi="Palatino Linotype"/>
                <w:sz w:val="20"/>
                <w:szCs w:val="20"/>
              </w:rPr>
            </w:pPr>
            <w:bookmarkStart w:name="_Hlk33431605" w:id="2"/>
            <w:r w:rsidRPr="006302EB">
              <w:rPr>
                <w:rFonts w:ascii="Palatino Linotype" w:hAnsi="Palatino Linotype"/>
                <w:sz w:val="20"/>
                <w:szCs w:val="20"/>
              </w:rPr>
              <w:t>Richard Tim Bakman</w:t>
            </w:r>
            <w:bookmarkEnd w:id="2"/>
          </w:p>
          <w:p w:rsidRPr="006302EB" w:rsidR="006302EB" w:rsidP="00A50993" w:rsidRDefault="006302EB" w14:paraId="2030E821" w14:textId="32BAE1D4">
            <w:pPr>
              <w:rPr>
                <w:rFonts w:ascii="Palatino Linotype" w:hAnsi="Palatino Linotype"/>
                <w:sz w:val="20"/>
                <w:szCs w:val="20"/>
              </w:rPr>
            </w:pPr>
            <w:r>
              <w:rPr>
                <w:rFonts w:ascii="Palatino Linotype" w:hAnsi="Palatino Linotype"/>
                <w:sz w:val="20"/>
                <w:szCs w:val="20"/>
              </w:rPr>
              <w:t>President</w:t>
            </w:r>
          </w:p>
          <w:p w:rsidRPr="006302EB" w:rsidR="006302EB" w:rsidP="00A50993" w:rsidRDefault="006302EB" w14:paraId="78430E24" w14:textId="671F6367">
            <w:pPr>
              <w:rPr>
                <w:rFonts w:ascii="Palatino Linotype" w:hAnsi="Palatino Linotype"/>
                <w:sz w:val="20"/>
                <w:szCs w:val="20"/>
              </w:rPr>
            </w:pPr>
            <w:r w:rsidRPr="006302EB">
              <w:rPr>
                <w:rFonts w:ascii="Palatino Linotype" w:hAnsi="Palatino Linotype"/>
                <w:sz w:val="20"/>
                <w:szCs w:val="20"/>
              </w:rPr>
              <w:t>Bakman Water Company</w:t>
            </w:r>
          </w:p>
          <w:p w:rsidRPr="006302EB" w:rsidR="006302EB" w:rsidP="00A50993" w:rsidRDefault="006302EB" w14:paraId="3A354A99" w14:textId="7F5DCB2F">
            <w:pPr>
              <w:rPr>
                <w:rFonts w:ascii="Palatino Linotype" w:hAnsi="Palatino Linotype"/>
                <w:sz w:val="20"/>
                <w:szCs w:val="20"/>
              </w:rPr>
            </w:pPr>
            <w:r w:rsidRPr="006302EB">
              <w:rPr>
                <w:rFonts w:ascii="Palatino Linotype" w:hAnsi="Palatino Linotype"/>
                <w:sz w:val="20"/>
                <w:szCs w:val="20"/>
              </w:rPr>
              <w:t>P.O. Box 7965</w:t>
            </w:r>
          </w:p>
          <w:p w:rsidRPr="006302EB" w:rsidR="006302EB" w:rsidP="00A50993" w:rsidRDefault="006302EB" w14:paraId="4C48C4CE" w14:textId="60BA5EDC">
            <w:pPr>
              <w:rPr>
                <w:rFonts w:ascii="Palatino Linotype" w:hAnsi="Palatino Linotype"/>
                <w:sz w:val="20"/>
                <w:szCs w:val="20"/>
              </w:rPr>
            </w:pPr>
            <w:r w:rsidRPr="006302EB">
              <w:rPr>
                <w:rFonts w:ascii="Palatino Linotype" w:hAnsi="Palatino Linotype"/>
                <w:sz w:val="20"/>
                <w:szCs w:val="20"/>
              </w:rPr>
              <w:t>Fresno, CA 93747</w:t>
            </w:r>
          </w:p>
          <w:p w:rsidRPr="006302EB" w:rsidR="006302EB" w:rsidP="00A50993" w:rsidRDefault="006302EB" w14:paraId="25E6C4B5" w14:textId="02ECC828">
            <w:pPr>
              <w:rPr>
                <w:rFonts w:ascii="Palatino Linotype" w:hAnsi="Palatino Linotype"/>
                <w:sz w:val="20"/>
                <w:szCs w:val="20"/>
              </w:rPr>
            </w:pPr>
          </w:p>
        </w:tc>
        <w:tc>
          <w:tcPr>
            <w:tcW w:w="3117" w:type="dxa"/>
          </w:tcPr>
          <w:p w:rsidR="00A50993" w:rsidP="00A50993" w:rsidRDefault="006302EB" w14:paraId="0C8DE7FD" w14:textId="77777777">
            <w:pPr>
              <w:rPr>
                <w:rFonts w:ascii="Palatino Linotype" w:hAnsi="Palatino Linotype"/>
                <w:sz w:val="20"/>
                <w:szCs w:val="20"/>
              </w:rPr>
            </w:pPr>
            <w:r>
              <w:rPr>
                <w:rFonts w:ascii="Palatino Linotype" w:hAnsi="Palatino Linotype"/>
                <w:sz w:val="20"/>
                <w:szCs w:val="20"/>
              </w:rPr>
              <w:t>Henry Laughlin</w:t>
            </w:r>
          </w:p>
          <w:p w:rsidR="006302EB" w:rsidP="00A50993" w:rsidRDefault="006302EB" w14:paraId="6E63D4A3" w14:textId="77777777">
            <w:pPr>
              <w:rPr>
                <w:rFonts w:ascii="Palatino Linotype" w:hAnsi="Palatino Linotype"/>
                <w:sz w:val="20"/>
                <w:szCs w:val="20"/>
              </w:rPr>
            </w:pPr>
            <w:r>
              <w:rPr>
                <w:rFonts w:ascii="Palatino Linotype" w:hAnsi="Palatino Linotype"/>
                <w:sz w:val="20"/>
                <w:szCs w:val="20"/>
              </w:rPr>
              <w:t>City of Fresno</w:t>
            </w:r>
          </w:p>
          <w:p w:rsidR="006302EB" w:rsidP="00A50993" w:rsidRDefault="006302EB" w14:paraId="0AAD33CA" w14:textId="77777777">
            <w:pPr>
              <w:rPr>
                <w:rFonts w:ascii="Palatino Linotype" w:hAnsi="Palatino Linotype"/>
                <w:sz w:val="20"/>
                <w:szCs w:val="20"/>
              </w:rPr>
            </w:pPr>
            <w:r>
              <w:rPr>
                <w:rFonts w:ascii="Palatino Linotype" w:hAnsi="Palatino Linotype"/>
                <w:sz w:val="20"/>
                <w:szCs w:val="20"/>
              </w:rPr>
              <w:t>Water Division</w:t>
            </w:r>
          </w:p>
          <w:p w:rsidR="006302EB" w:rsidP="00A50993" w:rsidRDefault="006302EB" w14:paraId="51DEFA75" w14:textId="77777777">
            <w:pPr>
              <w:rPr>
                <w:rFonts w:ascii="Palatino Linotype" w:hAnsi="Palatino Linotype"/>
                <w:sz w:val="20"/>
                <w:szCs w:val="20"/>
              </w:rPr>
            </w:pPr>
            <w:r>
              <w:rPr>
                <w:rFonts w:ascii="Palatino Linotype" w:hAnsi="Palatino Linotype"/>
                <w:sz w:val="20"/>
                <w:szCs w:val="20"/>
              </w:rPr>
              <w:t>1910 East University Avenue</w:t>
            </w:r>
          </w:p>
          <w:p w:rsidRPr="006302EB" w:rsidR="006302EB" w:rsidP="00A50993" w:rsidRDefault="006302EB" w14:paraId="21152654" w14:textId="3DD9FBBF">
            <w:pPr>
              <w:rPr>
                <w:rFonts w:ascii="Palatino Linotype" w:hAnsi="Palatino Linotype"/>
                <w:sz w:val="20"/>
                <w:szCs w:val="20"/>
              </w:rPr>
            </w:pPr>
            <w:r>
              <w:rPr>
                <w:rFonts w:ascii="Palatino Linotype" w:hAnsi="Palatino Linotype"/>
                <w:sz w:val="20"/>
                <w:szCs w:val="20"/>
              </w:rPr>
              <w:t>Fresno, CA 93703-2927</w:t>
            </w:r>
          </w:p>
        </w:tc>
        <w:tc>
          <w:tcPr>
            <w:tcW w:w="3117" w:type="dxa"/>
          </w:tcPr>
          <w:p w:rsidR="00A50993" w:rsidP="00A50993" w:rsidRDefault="006302EB" w14:paraId="2F57B802" w14:textId="77777777">
            <w:pPr>
              <w:rPr>
                <w:rFonts w:ascii="Palatino Linotype" w:hAnsi="Palatino Linotype"/>
                <w:sz w:val="20"/>
                <w:szCs w:val="20"/>
              </w:rPr>
            </w:pPr>
            <w:r>
              <w:rPr>
                <w:rFonts w:ascii="Palatino Linotype" w:hAnsi="Palatino Linotype"/>
                <w:sz w:val="20"/>
                <w:szCs w:val="20"/>
              </w:rPr>
              <w:t>County of Fresno</w:t>
            </w:r>
          </w:p>
          <w:p w:rsidR="006302EB" w:rsidP="00A50993" w:rsidRDefault="006302EB" w14:paraId="32893511" w14:textId="77777777">
            <w:pPr>
              <w:rPr>
                <w:rFonts w:ascii="Palatino Linotype" w:hAnsi="Palatino Linotype"/>
                <w:sz w:val="20"/>
                <w:szCs w:val="20"/>
              </w:rPr>
            </w:pPr>
            <w:r>
              <w:rPr>
                <w:rFonts w:ascii="Palatino Linotype" w:hAnsi="Palatino Linotype"/>
                <w:sz w:val="20"/>
                <w:szCs w:val="20"/>
              </w:rPr>
              <w:t>Public Works and Planning Department</w:t>
            </w:r>
          </w:p>
          <w:p w:rsidR="006302EB" w:rsidP="00A50993" w:rsidRDefault="006302EB" w14:paraId="0CC8BA1C" w14:textId="77777777">
            <w:pPr>
              <w:rPr>
                <w:rFonts w:ascii="Palatino Linotype" w:hAnsi="Palatino Linotype"/>
                <w:sz w:val="20"/>
                <w:szCs w:val="20"/>
              </w:rPr>
            </w:pPr>
            <w:r>
              <w:rPr>
                <w:rFonts w:ascii="Palatino Linotype" w:hAnsi="Palatino Linotype"/>
                <w:sz w:val="20"/>
                <w:szCs w:val="20"/>
              </w:rPr>
              <w:t>2220 Tulare Street, 6</w:t>
            </w:r>
            <w:r w:rsidRPr="006302EB">
              <w:rPr>
                <w:rFonts w:ascii="Palatino Linotype" w:hAnsi="Palatino Linotype"/>
                <w:sz w:val="20"/>
                <w:szCs w:val="20"/>
                <w:vertAlign w:val="superscript"/>
              </w:rPr>
              <w:t>th</w:t>
            </w:r>
            <w:r>
              <w:rPr>
                <w:rFonts w:ascii="Palatino Linotype" w:hAnsi="Palatino Linotype"/>
                <w:sz w:val="20"/>
                <w:szCs w:val="20"/>
              </w:rPr>
              <w:t xml:space="preserve"> Floor</w:t>
            </w:r>
          </w:p>
          <w:p w:rsidRPr="006302EB" w:rsidR="006302EB" w:rsidP="00A50993" w:rsidRDefault="006302EB" w14:paraId="436C1E6F" w14:textId="627B14F1">
            <w:pPr>
              <w:rPr>
                <w:rFonts w:ascii="Palatino Linotype" w:hAnsi="Palatino Linotype"/>
                <w:sz w:val="20"/>
                <w:szCs w:val="20"/>
              </w:rPr>
            </w:pPr>
            <w:r>
              <w:rPr>
                <w:rFonts w:ascii="Palatino Linotype" w:hAnsi="Palatino Linotype"/>
                <w:sz w:val="20"/>
                <w:szCs w:val="20"/>
              </w:rPr>
              <w:t>Fresno, CA 93721-2102</w:t>
            </w:r>
          </w:p>
        </w:tc>
      </w:tr>
      <w:tr w:rsidRPr="00A50993" w:rsidR="00A50993" w:rsidTr="00F10F6B" w14:paraId="4910ECD9" w14:textId="77777777">
        <w:trPr>
          <w:trHeight w:val="1079"/>
        </w:trPr>
        <w:tc>
          <w:tcPr>
            <w:tcW w:w="3116" w:type="dxa"/>
          </w:tcPr>
          <w:p w:rsidRPr="006302EB" w:rsidR="00A50993" w:rsidP="00A50993" w:rsidRDefault="00A50993" w14:paraId="7B937BE6" w14:textId="2850B8EC">
            <w:pPr>
              <w:rPr>
                <w:rFonts w:ascii="Palatino Linotype" w:hAnsi="Palatino Linotype"/>
                <w:sz w:val="20"/>
                <w:szCs w:val="20"/>
              </w:rPr>
            </w:pPr>
          </w:p>
        </w:tc>
        <w:tc>
          <w:tcPr>
            <w:tcW w:w="3117" w:type="dxa"/>
          </w:tcPr>
          <w:p w:rsidRPr="006302EB" w:rsidR="00A50993" w:rsidP="00A50993" w:rsidRDefault="00A50993" w14:paraId="640514FF" w14:textId="368F08C8">
            <w:pPr>
              <w:rPr>
                <w:rFonts w:ascii="Palatino Linotype" w:hAnsi="Palatino Linotype"/>
                <w:sz w:val="20"/>
                <w:szCs w:val="20"/>
              </w:rPr>
            </w:pPr>
          </w:p>
        </w:tc>
        <w:tc>
          <w:tcPr>
            <w:tcW w:w="3117" w:type="dxa"/>
          </w:tcPr>
          <w:p w:rsidRPr="006302EB" w:rsidR="00A50993" w:rsidP="00A50993" w:rsidRDefault="00A50993" w14:paraId="320370F3" w14:textId="3158CBCB">
            <w:pPr>
              <w:rPr>
                <w:rFonts w:ascii="Palatino Linotype" w:hAnsi="Palatino Linotype"/>
                <w:sz w:val="20"/>
                <w:szCs w:val="20"/>
              </w:rPr>
            </w:pPr>
          </w:p>
        </w:tc>
      </w:tr>
      <w:tr w:rsidRPr="00A50993" w:rsidR="00A50993" w:rsidTr="00F10F6B" w14:paraId="79321265" w14:textId="77777777">
        <w:trPr>
          <w:trHeight w:val="1079"/>
        </w:trPr>
        <w:tc>
          <w:tcPr>
            <w:tcW w:w="3116" w:type="dxa"/>
          </w:tcPr>
          <w:p w:rsidRPr="006302EB" w:rsidR="00A50993" w:rsidP="00A50993" w:rsidRDefault="00A50993" w14:paraId="295B211E" w14:textId="16DE83D3">
            <w:pPr>
              <w:rPr>
                <w:rFonts w:ascii="Palatino Linotype" w:hAnsi="Palatino Linotype"/>
                <w:sz w:val="20"/>
                <w:szCs w:val="20"/>
              </w:rPr>
            </w:pPr>
            <w:bookmarkStart w:name="_GoBack" w:id="3"/>
            <w:bookmarkEnd w:id="3"/>
          </w:p>
        </w:tc>
        <w:tc>
          <w:tcPr>
            <w:tcW w:w="3117" w:type="dxa"/>
          </w:tcPr>
          <w:p w:rsidRPr="006302EB" w:rsidR="00A50993" w:rsidP="00A50993" w:rsidRDefault="00A50993" w14:paraId="28123F09" w14:textId="2AE10DE3">
            <w:pPr>
              <w:rPr>
                <w:rFonts w:ascii="Palatino Linotype" w:hAnsi="Palatino Linotype"/>
                <w:sz w:val="20"/>
                <w:szCs w:val="20"/>
              </w:rPr>
            </w:pPr>
          </w:p>
        </w:tc>
        <w:tc>
          <w:tcPr>
            <w:tcW w:w="3117" w:type="dxa"/>
          </w:tcPr>
          <w:p w:rsidRPr="006302EB" w:rsidR="00A50993" w:rsidP="00A50993" w:rsidRDefault="00A50993" w14:paraId="5F090C84" w14:textId="3BD30E86">
            <w:pPr>
              <w:rPr>
                <w:rFonts w:ascii="Palatino Linotype" w:hAnsi="Palatino Linotype"/>
                <w:sz w:val="20"/>
                <w:szCs w:val="20"/>
              </w:rPr>
            </w:pPr>
          </w:p>
        </w:tc>
      </w:tr>
      <w:tr w:rsidRPr="00A50993" w:rsidR="00A50993" w:rsidTr="00F10F6B" w14:paraId="632EF2CA" w14:textId="77777777">
        <w:trPr>
          <w:trHeight w:val="1079"/>
        </w:trPr>
        <w:tc>
          <w:tcPr>
            <w:tcW w:w="3116" w:type="dxa"/>
          </w:tcPr>
          <w:p w:rsidRPr="006302EB" w:rsidR="00A50993" w:rsidP="00A50993" w:rsidRDefault="00A50993" w14:paraId="10F8A2DB" w14:textId="3283AB7B">
            <w:pPr>
              <w:rPr>
                <w:rFonts w:ascii="Palatino Linotype" w:hAnsi="Palatino Linotype"/>
                <w:sz w:val="20"/>
                <w:szCs w:val="20"/>
              </w:rPr>
            </w:pPr>
          </w:p>
        </w:tc>
        <w:tc>
          <w:tcPr>
            <w:tcW w:w="3117" w:type="dxa"/>
          </w:tcPr>
          <w:p w:rsidRPr="006302EB" w:rsidR="00A50993" w:rsidP="00A50993" w:rsidRDefault="00A50993" w14:paraId="2D8C7045" w14:textId="09FC638C">
            <w:pPr>
              <w:rPr>
                <w:rFonts w:ascii="Palatino Linotype" w:hAnsi="Palatino Linotype"/>
                <w:sz w:val="20"/>
                <w:szCs w:val="20"/>
              </w:rPr>
            </w:pPr>
          </w:p>
        </w:tc>
        <w:tc>
          <w:tcPr>
            <w:tcW w:w="3117" w:type="dxa"/>
          </w:tcPr>
          <w:p w:rsidRPr="006302EB" w:rsidR="00A50993" w:rsidP="00A50993" w:rsidRDefault="00A50993" w14:paraId="7FBBD031" w14:textId="7173FEA1">
            <w:pPr>
              <w:rPr>
                <w:rFonts w:ascii="Palatino Linotype" w:hAnsi="Palatino Linotype"/>
                <w:sz w:val="20"/>
                <w:szCs w:val="20"/>
              </w:rPr>
            </w:pPr>
          </w:p>
        </w:tc>
      </w:tr>
      <w:tr w:rsidRPr="00A50993" w:rsidR="00A50993" w:rsidTr="00F10F6B" w14:paraId="4F5D93ED" w14:textId="77777777">
        <w:trPr>
          <w:trHeight w:val="1079"/>
        </w:trPr>
        <w:tc>
          <w:tcPr>
            <w:tcW w:w="3116" w:type="dxa"/>
          </w:tcPr>
          <w:p w:rsidRPr="006302EB" w:rsidR="00A50993" w:rsidP="00A50993" w:rsidRDefault="00A50993" w14:paraId="1B252D7D" w14:textId="083E56E9">
            <w:pPr>
              <w:rPr>
                <w:rFonts w:ascii="Palatino Linotype" w:hAnsi="Palatino Linotype"/>
                <w:sz w:val="20"/>
                <w:szCs w:val="20"/>
              </w:rPr>
            </w:pPr>
          </w:p>
        </w:tc>
        <w:tc>
          <w:tcPr>
            <w:tcW w:w="3117" w:type="dxa"/>
          </w:tcPr>
          <w:p w:rsidRPr="006302EB" w:rsidR="00A50993" w:rsidP="00A50993" w:rsidRDefault="00A50993" w14:paraId="7C4EE2C8" w14:textId="0BF9C66F">
            <w:pPr>
              <w:rPr>
                <w:rFonts w:ascii="Palatino Linotype" w:hAnsi="Palatino Linotype"/>
                <w:sz w:val="20"/>
                <w:szCs w:val="20"/>
              </w:rPr>
            </w:pPr>
          </w:p>
        </w:tc>
        <w:tc>
          <w:tcPr>
            <w:tcW w:w="3117" w:type="dxa"/>
          </w:tcPr>
          <w:p w:rsidRPr="006302EB" w:rsidR="00A50993" w:rsidP="00A50993" w:rsidRDefault="00A50993" w14:paraId="795F12B5" w14:textId="00565B50">
            <w:pPr>
              <w:rPr>
                <w:rFonts w:ascii="Palatino Linotype" w:hAnsi="Palatino Linotype"/>
                <w:sz w:val="20"/>
                <w:szCs w:val="20"/>
              </w:rPr>
            </w:pPr>
          </w:p>
        </w:tc>
      </w:tr>
      <w:tr w:rsidRPr="00A50993" w:rsidR="00A50993" w:rsidTr="00F10F6B" w14:paraId="32E29C70" w14:textId="77777777">
        <w:trPr>
          <w:trHeight w:val="1079"/>
        </w:trPr>
        <w:tc>
          <w:tcPr>
            <w:tcW w:w="3116" w:type="dxa"/>
          </w:tcPr>
          <w:p w:rsidRPr="006302EB" w:rsidR="00A50993" w:rsidP="00A50993" w:rsidRDefault="00A50993" w14:paraId="5400D3C6" w14:textId="125E3818">
            <w:pPr>
              <w:rPr>
                <w:rFonts w:ascii="Palatino Linotype" w:hAnsi="Palatino Linotype"/>
                <w:sz w:val="20"/>
                <w:szCs w:val="20"/>
              </w:rPr>
            </w:pPr>
          </w:p>
        </w:tc>
        <w:tc>
          <w:tcPr>
            <w:tcW w:w="3117" w:type="dxa"/>
          </w:tcPr>
          <w:p w:rsidRPr="006302EB" w:rsidR="00A50993" w:rsidP="00A50993" w:rsidRDefault="00A50993" w14:paraId="3EC92341" w14:textId="38042723">
            <w:pPr>
              <w:rPr>
                <w:rFonts w:ascii="Palatino Linotype" w:hAnsi="Palatino Linotype"/>
                <w:sz w:val="20"/>
                <w:szCs w:val="20"/>
              </w:rPr>
            </w:pPr>
          </w:p>
        </w:tc>
        <w:tc>
          <w:tcPr>
            <w:tcW w:w="3117" w:type="dxa"/>
          </w:tcPr>
          <w:p w:rsidRPr="006302EB" w:rsidR="00A50993" w:rsidP="00A50993" w:rsidRDefault="00A50993" w14:paraId="455A43AA" w14:textId="5A98EE8B">
            <w:pPr>
              <w:rPr>
                <w:rFonts w:ascii="Palatino Linotype" w:hAnsi="Palatino Linotype"/>
                <w:sz w:val="20"/>
                <w:szCs w:val="20"/>
              </w:rPr>
            </w:pPr>
          </w:p>
        </w:tc>
      </w:tr>
    </w:tbl>
    <w:p w:rsidRPr="006A7D08" w:rsidR="006A7D08" w:rsidP="006A7D08" w:rsidRDefault="006A7D08" w14:paraId="0A11257A" w14:textId="149815AB">
      <w:pPr>
        <w:pStyle w:val="ListParagraph"/>
        <w:ind w:left="1440"/>
        <w:rPr>
          <w:rFonts w:ascii="Palatino Linotype" w:hAnsi="Palatino Linotype"/>
          <w:sz w:val="24"/>
          <w:szCs w:val="24"/>
        </w:rPr>
      </w:pPr>
      <w:r w:rsidRPr="006A7D08">
        <w:rPr>
          <w:rFonts w:ascii="Palatino Linotype" w:hAnsi="Palatino Linotype"/>
        </w:rPr>
        <w:br/>
      </w:r>
    </w:p>
    <w:p w:rsidR="006A7D08" w:rsidP="006A7D08" w:rsidRDefault="006A7D08" w14:paraId="6447E956" w14:textId="35CF7FAE">
      <w:pPr>
        <w:pStyle w:val="ListParagraph"/>
        <w:ind w:left="1440"/>
        <w:rPr>
          <w:rFonts w:ascii="Palatino Linotype" w:hAnsi="Palatino Linotype"/>
        </w:rPr>
      </w:pPr>
    </w:p>
    <w:p w:rsidR="006A7D08" w:rsidP="006A7D08" w:rsidRDefault="006A7D08" w14:paraId="7461FE37" w14:textId="4BE88726">
      <w:pPr>
        <w:pStyle w:val="ListParagraph"/>
        <w:ind w:left="1440"/>
        <w:rPr>
          <w:rFonts w:ascii="Palatino Linotype" w:hAnsi="Palatino Linotype"/>
        </w:rPr>
      </w:pPr>
    </w:p>
    <w:p w:rsidR="008672EF" w:rsidP="006A7D08" w:rsidRDefault="008672EF" w14:paraId="32958C4E" w14:textId="2E345B76">
      <w:pPr>
        <w:pStyle w:val="ListParagraph"/>
        <w:ind w:left="1440"/>
        <w:rPr>
          <w:rFonts w:ascii="Palatino Linotype" w:hAnsi="Palatino Linotype"/>
        </w:rPr>
      </w:pPr>
    </w:p>
    <w:p w:rsidR="008672EF" w:rsidP="006A7D08" w:rsidRDefault="008672EF" w14:paraId="29A59084" w14:textId="4FA5D8D7">
      <w:pPr>
        <w:pStyle w:val="ListParagraph"/>
        <w:ind w:left="1440"/>
        <w:rPr>
          <w:rFonts w:ascii="Palatino Linotype" w:hAnsi="Palatino Linotype"/>
        </w:rPr>
      </w:pPr>
    </w:p>
    <w:p w:rsidRPr="006A7D08" w:rsidR="008672EF" w:rsidP="006A7D08" w:rsidRDefault="008672EF" w14:paraId="287C957C" w14:textId="77777777">
      <w:pPr>
        <w:pStyle w:val="ListParagraph"/>
        <w:ind w:left="1440"/>
        <w:rPr>
          <w:rFonts w:ascii="Palatino Linotype" w:hAnsi="Palatino Linotype"/>
        </w:rPr>
      </w:pPr>
    </w:p>
    <w:p w:rsidRPr="009617C9" w:rsidR="008672EF" w:rsidP="008672EF" w:rsidRDefault="008672EF" w14:paraId="7A32AA8B" w14:textId="77777777">
      <w:pPr>
        <w:jc w:val="center"/>
        <w:rPr>
          <w:rFonts w:ascii="Palatino Linotype" w:hAnsi="Palatino Linotype" w:cs="Arial"/>
          <w:b/>
          <w:color w:val="000000"/>
          <w:sz w:val="30"/>
          <w:szCs w:val="30"/>
        </w:rPr>
      </w:pPr>
      <w:r w:rsidRPr="009617C9">
        <w:rPr>
          <w:rFonts w:ascii="Palatino Linotype" w:hAnsi="Palatino Linotype" w:cs="Arial"/>
          <w:b/>
          <w:color w:val="000000"/>
          <w:sz w:val="30"/>
          <w:szCs w:val="30"/>
        </w:rPr>
        <w:lastRenderedPageBreak/>
        <w:t>CERTIFICATE OF SERVICE</w:t>
      </w:r>
    </w:p>
    <w:p w:rsidRPr="009617C9" w:rsidR="008672EF" w:rsidP="008672EF" w:rsidRDefault="008672EF" w14:paraId="04C59F52" w14:textId="77777777">
      <w:pPr>
        <w:jc w:val="center"/>
        <w:rPr>
          <w:rFonts w:ascii="Palatino Linotype" w:hAnsi="Palatino Linotype" w:cs="Arial"/>
          <w:color w:val="000000"/>
        </w:rPr>
      </w:pPr>
    </w:p>
    <w:p w:rsidRPr="009617C9" w:rsidR="008672EF" w:rsidP="008672EF" w:rsidRDefault="008672EF" w14:paraId="2C7DB3FA" w14:textId="0A8EA5F3">
      <w:pPr>
        <w:rPr>
          <w:rFonts w:ascii="Palatino Linotype" w:hAnsi="Palatino Linotype" w:cs="Arial"/>
          <w:color w:val="000000"/>
        </w:rPr>
      </w:pPr>
      <w:r w:rsidRPr="009617C9">
        <w:rPr>
          <w:rFonts w:ascii="Palatino Linotype" w:hAnsi="Palatino Linotype" w:cs="Arial"/>
          <w:color w:val="000000"/>
        </w:rPr>
        <w:t>I certify that I have by either electronic mail or postal mail, this day, served a true copy of Proposed Resolution No. W-</w:t>
      </w:r>
      <w:r w:rsidR="00BE3D1A">
        <w:rPr>
          <w:rFonts w:ascii="Palatino Linotype" w:hAnsi="Palatino Linotype" w:cs="Arial"/>
          <w:color w:val="000000"/>
        </w:rPr>
        <w:t>5217</w:t>
      </w:r>
      <w:r w:rsidRPr="009617C9">
        <w:rPr>
          <w:rFonts w:ascii="Palatino Linotype" w:hAnsi="Palatino Linotype" w:cs="Arial"/>
          <w:color w:val="000000"/>
        </w:rPr>
        <w:t xml:space="preserve"> on all parties in these filings or their attorneys as shown on the attached lists.</w:t>
      </w:r>
    </w:p>
    <w:p w:rsidRPr="009617C9" w:rsidR="008672EF" w:rsidP="008672EF" w:rsidRDefault="008672EF" w14:paraId="6D6E5795" w14:textId="1768100F">
      <w:pPr>
        <w:rPr>
          <w:rFonts w:ascii="Palatino Linotype" w:hAnsi="Palatino Linotype" w:cs="Arial"/>
          <w:color w:val="000000"/>
        </w:rPr>
      </w:pPr>
      <w:r w:rsidRPr="009617C9">
        <w:rPr>
          <w:rFonts w:ascii="Palatino Linotype" w:hAnsi="Palatino Linotype" w:cs="Arial"/>
          <w:color w:val="000000"/>
        </w:rPr>
        <w:br/>
        <w:t xml:space="preserve">Dated </w:t>
      </w:r>
      <w:r w:rsidR="00BE3D1A">
        <w:rPr>
          <w:rFonts w:ascii="Palatino Linotype" w:hAnsi="Palatino Linotype" w:cs="Arial"/>
          <w:color w:val="000000"/>
        </w:rPr>
        <w:t>March 24</w:t>
      </w:r>
      <w:r w:rsidRPr="009617C9">
        <w:rPr>
          <w:rFonts w:ascii="Palatino Linotype" w:hAnsi="Palatino Linotype" w:cs="Arial"/>
          <w:color w:val="000000"/>
        </w:rPr>
        <w:t>,</w:t>
      </w:r>
      <w:r>
        <w:rPr>
          <w:rFonts w:ascii="Palatino Linotype" w:hAnsi="Palatino Linotype" w:cs="Arial"/>
          <w:color w:val="000000"/>
        </w:rPr>
        <w:t xml:space="preserve"> 2020</w:t>
      </w:r>
      <w:r w:rsidRPr="009617C9">
        <w:rPr>
          <w:rFonts w:ascii="Palatino Linotype" w:hAnsi="Palatino Linotype" w:cs="Arial"/>
          <w:color w:val="000000"/>
        </w:rPr>
        <w:t xml:space="preserve"> at San Francisco, California.</w:t>
      </w:r>
    </w:p>
    <w:p w:rsidRPr="009617C9" w:rsidR="008672EF" w:rsidP="008672EF" w:rsidRDefault="008672EF" w14:paraId="3D22E032" w14:textId="77777777">
      <w:pPr>
        <w:rPr>
          <w:rFonts w:ascii="Palatino Linotype" w:hAnsi="Palatino Linotype" w:cs="Arial"/>
          <w:b/>
          <w:color w:val="000000"/>
        </w:rPr>
      </w:pPr>
    </w:p>
    <w:tbl>
      <w:tblPr>
        <w:tblW w:w="9576" w:type="dxa"/>
        <w:tblLook w:val="04A0" w:firstRow="1" w:lastRow="0" w:firstColumn="1" w:lastColumn="0" w:noHBand="0" w:noVBand="1"/>
      </w:tblPr>
      <w:tblGrid>
        <w:gridCol w:w="6498"/>
        <w:gridCol w:w="3078"/>
      </w:tblGrid>
      <w:tr w:rsidRPr="009617C9" w:rsidR="008672EF" w:rsidTr="003B773F" w14:paraId="65F47131" w14:textId="77777777">
        <w:tc>
          <w:tcPr>
            <w:tcW w:w="6498" w:type="dxa"/>
            <w:shd w:val="clear" w:color="auto" w:fill="auto"/>
          </w:tcPr>
          <w:p w:rsidRPr="009617C9" w:rsidR="008672EF" w:rsidP="003B773F" w:rsidRDefault="008672EF" w14:paraId="7DFFBBBF" w14:textId="77777777">
            <w:pPr>
              <w:rPr>
                <w:rFonts w:ascii="Palatino Linotype" w:hAnsi="Palatino Linotype"/>
              </w:rPr>
            </w:pPr>
          </w:p>
        </w:tc>
        <w:tc>
          <w:tcPr>
            <w:tcW w:w="3078" w:type="dxa"/>
            <w:tcBorders>
              <w:bottom w:val="single" w:color="auto" w:sz="4" w:space="0"/>
            </w:tcBorders>
            <w:shd w:val="clear" w:color="auto" w:fill="auto"/>
          </w:tcPr>
          <w:p w:rsidRPr="009617C9" w:rsidR="008672EF" w:rsidP="003B773F" w:rsidRDefault="00107E0B" w14:paraId="56D28991" w14:textId="1A2111F3">
            <w:pPr>
              <w:jc w:val="right"/>
              <w:rPr>
                <w:rFonts w:ascii="Palatino Linotype" w:hAnsi="Palatino Linotype"/>
              </w:rPr>
            </w:pPr>
            <w:r>
              <w:rPr>
                <w:rFonts w:ascii="Palatino Linotype" w:hAnsi="Palatino Linotype"/>
              </w:rPr>
              <w:t>/s/ Levi Goldman</w:t>
            </w:r>
          </w:p>
        </w:tc>
      </w:tr>
      <w:tr w:rsidRPr="009617C9" w:rsidR="008672EF" w:rsidTr="003B773F" w14:paraId="452BFEF7" w14:textId="77777777">
        <w:trPr>
          <w:trHeight w:val="440"/>
        </w:trPr>
        <w:tc>
          <w:tcPr>
            <w:tcW w:w="9576" w:type="dxa"/>
            <w:gridSpan w:val="2"/>
            <w:shd w:val="clear" w:color="auto" w:fill="auto"/>
            <w:vAlign w:val="center"/>
          </w:tcPr>
          <w:p w:rsidRPr="009617C9" w:rsidR="008672EF" w:rsidP="003B773F" w:rsidRDefault="00107E0B" w14:paraId="6DA745C1" w14:textId="153E8FA4">
            <w:pPr>
              <w:jc w:val="right"/>
              <w:rPr>
                <w:rFonts w:ascii="Palatino Linotype" w:hAnsi="Palatino Linotype"/>
              </w:rPr>
            </w:pPr>
            <w:r>
              <w:rPr>
                <w:rFonts w:ascii="Palatino Linotype" w:hAnsi="Palatino Linotype"/>
              </w:rPr>
              <w:t>Levi Goldman</w:t>
            </w:r>
          </w:p>
        </w:tc>
      </w:tr>
    </w:tbl>
    <w:p w:rsidRPr="009617C9" w:rsidR="008672EF" w:rsidP="008672EF" w:rsidRDefault="008672EF" w14:paraId="43E11B54" w14:textId="77777777">
      <w:pPr>
        <w:jc w:val="center"/>
        <w:rPr>
          <w:rFonts w:ascii="Palatino Linotype" w:hAnsi="Palatino Linotype"/>
          <w:b/>
          <w:bCs/>
          <w:szCs w:val="22"/>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9617C9" w:rsidR="008672EF" w:rsidTr="003B773F" w14:paraId="5A88C488" w14:textId="77777777">
        <w:tc>
          <w:tcPr>
            <w:tcW w:w="5130" w:type="dxa"/>
            <w:tcBorders>
              <w:top w:val="nil"/>
              <w:left w:val="nil"/>
              <w:bottom w:val="nil"/>
              <w:right w:val="nil"/>
            </w:tcBorders>
            <w:shd w:val="clear" w:color="auto" w:fill="auto"/>
          </w:tcPr>
          <w:p w:rsidRPr="009617C9" w:rsidR="008672EF" w:rsidP="003B773F" w:rsidRDefault="008672EF" w14:paraId="2DE237F0" w14:textId="77777777">
            <w:pPr>
              <w:rPr>
                <w:rFonts w:ascii="Palatino Linotype" w:hAnsi="Palatino Linotype" w:cs="Arial"/>
                <w:b/>
                <w:color w:val="000000"/>
              </w:rPr>
            </w:pPr>
            <w:r w:rsidRPr="009617C9">
              <w:rPr>
                <w:rFonts w:ascii="Palatino Linotype" w:hAnsi="Palatino Linotype" w:cs="Arial"/>
                <w:color w:val="000000"/>
              </w:rPr>
              <w:t>Parties should notify the Division of Water and Audits, Third Floor, California Public Utilities Commission, 505 Van Ness Avenue, San Francisco, CA 94102, of any change of address to ensure that they continue to receive documents. You must indicate the Resolution number on which your name appears.</w:t>
            </w:r>
          </w:p>
        </w:tc>
      </w:tr>
    </w:tbl>
    <w:p w:rsidRPr="006A7D08" w:rsidR="006A7D08" w:rsidP="006A7D08" w:rsidRDefault="006A7D08" w14:paraId="316BF487" w14:textId="46F5B5D1">
      <w:pPr>
        <w:ind w:left="1440"/>
        <w:rPr>
          <w:rFonts w:ascii="Palatino Linotype" w:hAnsi="Palatino Linotype"/>
        </w:rPr>
      </w:pPr>
    </w:p>
    <w:p w:rsidRPr="00681E9A" w:rsidR="006A7D08" w:rsidP="006A7D08" w:rsidRDefault="006A7D08" w14:paraId="3395EDD0" w14:textId="77777777">
      <w:pPr>
        <w:pStyle w:val="ListParagraph"/>
        <w:rPr>
          <w:rFonts w:ascii="Palatino Linotype" w:hAnsi="Palatino Linotype"/>
        </w:rPr>
      </w:pPr>
    </w:p>
    <w:p w:rsidR="00681E9A" w:rsidP="00681E9A" w:rsidRDefault="00681E9A" w14:paraId="699D61E4" w14:textId="6B95B714">
      <w:pPr>
        <w:ind w:left="360"/>
        <w:rPr>
          <w:rFonts w:ascii="Palatino Linotype" w:hAnsi="Palatino Linotype"/>
          <w:u w:color="000000"/>
        </w:rPr>
      </w:pPr>
    </w:p>
    <w:p w:rsidRPr="00681E9A" w:rsidR="00681E9A" w:rsidP="00681E9A" w:rsidRDefault="00681E9A" w14:paraId="214C9B18" w14:textId="77777777">
      <w:pPr>
        <w:rPr>
          <w:rFonts w:ascii="Palatino Linotype" w:hAnsi="Palatino Linotype"/>
          <w:u w:color="000000"/>
        </w:rPr>
      </w:pPr>
    </w:p>
    <w:sectPr w:rsidRPr="00681E9A" w:rsidR="00681E9A" w:rsidSect="009145E3">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668BA" w14:textId="77777777" w:rsidR="00FC7357" w:rsidRDefault="00FC7357">
      <w:r>
        <w:separator/>
      </w:r>
    </w:p>
  </w:endnote>
  <w:endnote w:type="continuationSeparator" w:id="0">
    <w:p w14:paraId="14F5AF29" w14:textId="77777777" w:rsidR="00FC7357" w:rsidRDefault="00FC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942060"/>
      <w:docPartObj>
        <w:docPartGallery w:val="Page Numbers (Bottom of Page)"/>
        <w:docPartUnique/>
      </w:docPartObj>
    </w:sdtPr>
    <w:sdtEndPr>
      <w:rPr>
        <w:noProof/>
      </w:rPr>
    </w:sdtEndPr>
    <w:sdtContent>
      <w:p w14:paraId="05E5DC60" w14:textId="707D1AFD" w:rsidR="00FE0DEE" w:rsidRDefault="00FE0D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2B0A" w14:textId="77777777" w:rsidR="00FE0DEE" w:rsidRDefault="00FE0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411035"/>
      <w:docPartObj>
        <w:docPartGallery w:val="Page Numbers (Bottom of Page)"/>
        <w:docPartUnique/>
      </w:docPartObj>
    </w:sdtPr>
    <w:sdtEndPr>
      <w:rPr>
        <w:noProof/>
      </w:rPr>
    </w:sdtEndPr>
    <w:sdtContent>
      <w:p w14:paraId="162A052C" w14:textId="78F409E0" w:rsidR="00FE0DEE" w:rsidRDefault="00FE0D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405CC" w14:textId="77777777" w:rsidR="00FE0DEE" w:rsidRDefault="00FE0DE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CCD2" w14:textId="77777777" w:rsidR="00FE0DEE" w:rsidRDefault="00FE0DE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F4FB6" w14:textId="77777777" w:rsidR="00FC7357" w:rsidRDefault="00FC7357">
      <w:r>
        <w:separator/>
      </w:r>
    </w:p>
  </w:footnote>
  <w:footnote w:type="continuationSeparator" w:id="0">
    <w:p w14:paraId="2BB9723C" w14:textId="77777777" w:rsidR="00FC7357" w:rsidRDefault="00FC7357">
      <w:r>
        <w:continuationSeparator/>
      </w:r>
    </w:p>
  </w:footnote>
  <w:footnote w:type="continuationNotice" w:id="1">
    <w:p w14:paraId="772850E8" w14:textId="77777777" w:rsidR="00FC7357" w:rsidRDefault="00FC7357"/>
  </w:footnote>
  <w:footnote w:id="2">
    <w:p w14:paraId="0DEC8CF5" w14:textId="4CBFDD59" w:rsidR="00FE0DEE" w:rsidRPr="00C34809" w:rsidRDefault="00FE0DEE">
      <w:pPr>
        <w:pStyle w:val="FootnoteText"/>
        <w:rPr>
          <w:rFonts w:ascii="Palatino Linotype" w:hAnsi="Palatino Linotype"/>
          <w:sz w:val="22"/>
          <w:szCs w:val="22"/>
        </w:rPr>
      </w:pPr>
      <w:r w:rsidRPr="00C34809">
        <w:rPr>
          <w:rStyle w:val="FootnoteReference"/>
          <w:rFonts w:ascii="Palatino Linotype" w:hAnsi="Palatino Linotype"/>
          <w:sz w:val="22"/>
          <w:szCs w:val="22"/>
        </w:rPr>
        <w:footnoteRef/>
      </w:r>
      <w:r w:rsidRPr="00C34809">
        <w:rPr>
          <w:rFonts w:ascii="Palatino Linotype" w:hAnsi="Palatino Linotype"/>
          <w:sz w:val="22"/>
          <w:szCs w:val="22"/>
        </w:rPr>
        <w:t xml:space="preserve"> This excludes </w:t>
      </w:r>
      <w:proofErr w:type="spellStart"/>
      <w:r w:rsidRPr="00C34809">
        <w:rPr>
          <w:rFonts w:ascii="Palatino Linotype" w:hAnsi="Palatino Linotype"/>
          <w:sz w:val="22"/>
          <w:szCs w:val="22"/>
        </w:rPr>
        <w:t>Bakman’s</w:t>
      </w:r>
      <w:proofErr w:type="spellEnd"/>
      <w:r w:rsidRPr="00C34809">
        <w:rPr>
          <w:rFonts w:ascii="Palatino Linotype" w:hAnsi="Palatino Linotype"/>
          <w:sz w:val="22"/>
          <w:szCs w:val="22"/>
        </w:rPr>
        <w:t xml:space="preserve"> recent acquisition of the Rolling Hills Water System. See Commission Res. W-5184.</w:t>
      </w:r>
    </w:p>
  </w:footnote>
  <w:footnote w:id="3">
    <w:p w14:paraId="62EB7815" w14:textId="78678B73" w:rsidR="00FE0DEE" w:rsidRPr="000D1F9B" w:rsidRDefault="00FE0DEE">
      <w:pPr>
        <w:pStyle w:val="FootnoteText"/>
        <w:rPr>
          <w:rFonts w:ascii="Palatino Linotype" w:hAnsi="Palatino Linotype"/>
          <w:sz w:val="22"/>
          <w:szCs w:val="22"/>
        </w:rPr>
      </w:pPr>
      <w:r w:rsidRPr="000D1F9B">
        <w:rPr>
          <w:rStyle w:val="FootnoteReference"/>
          <w:rFonts w:ascii="Palatino Linotype" w:hAnsi="Palatino Linotype"/>
          <w:sz w:val="22"/>
          <w:szCs w:val="22"/>
        </w:rPr>
        <w:footnoteRef/>
      </w:r>
      <w:r w:rsidRPr="000D1F9B">
        <w:rPr>
          <w:rFonts w:ascii="Palatino Linotype" w:hAnsi="Palatino Linotype"/>
          <w:sz w:val="22"/>
          <w:szCs w:val="22"/>
        </w:rPr>
        <w:t xml:space="preserve"> Per SWRCB</w:t>
      </w:r>
      <w:r>
        <w:rPr>
          <w:rFonts w:ascii="Palatino Linotype" w:hAnsi="Palatino Linotype"/>
          <w:sz w:val="22"/>
          <w:szCs w:val="22"/>
        </w:rPr>
        <w:t xml:space="preserve">, </w:t>
      </w:r>
      <w:r w:rsidRPr="000D1F9B">
        <w:rPr>
          <w:rFonts w:ascii="Palatino Linotype" w:hAnsi="Palatino Linotype"/>
          <w:sz w:val="22"/>
          <w:szCs w:val="22"/>
        </w:rPr>
        <w:t>standby sources can only be utilized in emergency situations and only for up to 15 days per year.</w:t>
      </w:r>
    </w:p>
  </w:footnote>
  <w:footnote w:id="4">
    <w:p w14:paraId="2DF9339A" w14:textId="71CB38C4" w:rsidR="00FE0DEE" w:rsidRPr="00595175" w:rsidRDefault="00FE0DEE">
      <w:pPr>
        <w:pStyle w:val="FootnoteText"/>
        <w:rPr>
          <w:rFonts w:ascii="Palatino Linotype" w:hAnsi="Palatino Linotype"/>
          <w:sz w:val="22"/>
          <w:szCs w:val="22"/>
        </w:rPr>
      </w:pPr>
      <w:r w:rsidRPr="00595175">
        <w:rPr>
          <w:rStyle w:val="FootnoteReference"/>
          <w:rFonts w:ascii="Palatino Linotype" w:hAnsi="Palatino Linotype"/>
          <w:sz w:val="22"/>
          <w:szCs w:val="22"/>
        </w:rPr>
        <w:footnoteRef/>
      </w:r>
      <w:r w:rsidRPr="00595175">
        <w:rPr>
          <w:rFonts w:ascii="Palatino Linotype" w:hAnsi="Palatino Linotype"/>
          <w:sz w:val="22"/>
          <w:szCs w:val="22"/>
        </w:rPr>
        <w:t xml:space="preserve"> See California Code of Regulations (CCR) Title 22 § 64554</w:t>
      </w:r>
      <w:r>
        <w:rPr>
          <w:rFonts w:ascii="Palatino Linotype" w:hAnsi="Palatino Linotype"/>
          <w:sz w:val="22"/>
          <w:szCs w:val="22"/>
        </w:rPr>
        <w:t>.</w:t>
      </w:r>
    </w:p>
  </w:footnote>
  <w:footnote w:id="5">
    <w:p w14:paraId="6D7357AA" w14:textId="2171118B" w:rsidR="00FE0DEE" w:rsidRPr="00595175" w:rsidRDefault="00FE0DEE">
      <w:pPr>
        <w:pStyle w:val="FootnoteText"/>
        <w:rPr>
          <w:rFonts w:ascii="Palatino Linotype" w:hAnsi="Palatino Linotype"/>
          <w:sz w:val="22"/>
          <w:szCs w:val="22"/>
        </w:rPr>
      </w:pPr>
      <w:r>
        <w:rPr>
          <w:rStyle w:val="FootnoteReference"/>
        </w:rPr>
        <w:footnoteRef/>
      </w:r>
      <w:r>
        <w:t xml:space="preserve"> </w:t>
      </w:r>
      <w:r w:rsidRPr="00595175">
        <w:rPr>
          <w:rFonts w:ascii="Palatino Linotype" w:hAnsi="Palatino Linotype"/>
          <w:sz w:val="22"/>
          <w:szCs w:val="22"/>
        </w:rPr>
        <w:t>The MDD and PHD were estimated by SWRCB using peaking factors.</w:t>
      </w:r>
    </w:p>
  </w:footnote>
  <w:footnote w:id="6">
    <w:p w14:paraId="257AA3E8" w14:textId="77777777" w:rsidR="00091C3A" w:rsidRPr="00740E23" w:rsidRDefault="00091C3A" w:rsidP="00091C3A">
      <w:pPr>
        <w:pStyle w:val="FootnoteText"/>
        <w:rPr>
          <w:rFonts w:ascii="Palatino Linotype" w:hAnsi="Palatino Linotype"/>
          <w:sz w:val="22"/>
          <w:szCs w:val="22"/>
        </w:rPr>
      </w:pPr>
      <w:r w:rsidRPr="00740E23">
        <w:rPr>
          <w:rStyle w:val="FootnoteReference"/>
          <w:rFonts w:ascii="Palatino Linotype" w:hAnsi="Palatino Linotype"/>
          <w:sz w:val="22"/>
          <w:szCs w:val="22"/>
        </w:rPr>
        <w:footnoteRef/>
      </w:r>
      <w:r w:rsidRPr="00740E23">
        <w:rPr>
          <w:rFonts w:ascii="Palatino Linotype" w:hAnsi="Palatino Linotype"/>
          <w:sz w:val="22"/>
          <w:szCs w:val="22"/>
        </w:rPr>
        <w:t xml:space="preserve"> </w:t>
      </w:r>
      <w:r>
        <w:rPr>
          <w:rFonts w:ascii="Palatino Linotype" w:hAnsi="Palatino Linotype"/>
          <w:sz w:val="22"/>
          <w:szCs w:val="22"/>
        </w:rPr>
        <w:t>1,2,3-TCP is a man-made chlorinated hydrocarbon commonly used as an industrial solvent, cleaner, and degreaser and utilized in the production of paint thinners. TCP is listed by the State of California to be a known carcinogen.</w:t>
      </w:r>
    </w:p>
  </w:footnote>
  <w:footnote w:id="7">
    <w:p w14:paraId="6CEEB353" w14:textId="77777777" w:rsidR="00091C3A" w:rsidRPr="004F663C" w:rsidRDefault="00091C3A" w:rsidP="00091C3A">
      <w:pPr>
        <w:pStyle w:val="FootnoteText"/>
        <w:rPr>
          <w:rFonts w:ascii="Palatino Linotype" w:hAnsi="Palatino Linotype"/>
          <w:sz w:val="22"/>
          <w:szCs w:val="22"/>
        </w:rPr>
      </w:pPr>
      <w:r w:rsidRPr="004F663C">
        <w:rPr>
          <w:rStyle w:val="FootnoteReference"/>
          <w:rFonts w:ascii="Palatino Linotype" w:hAnsi="Palatino Linotype"/>
          <w:sz w:val="22"/>
          <w:szCs w:val="22"/>
        </w:rPr>
        <w:footnoteRef/>
      </w:r>
      <w:r w:rsidRPr="004F663C">
        <w:rPr>
          <w:rFonts w:ascii="Palatino Linotype" w:hAnsi="Palatino Linotype"/>
          <w:sz w:val="22"/>
          <w:szCs w:val="22"/>
        </w:rPr>
        <w:t xml:space="preserve"> DBCP </w:t>
      </w:r>
      <w:r>
        <w:rPr>
          <w:rFonts w:ascii="Palatino Linotype" w:hAnsi="Palatino Linotype"/>
          <w:sz w:val="22"/>
          <w:szCs w:val="22"/>
        </w:rPr>
        <w:t>wa</w:t>
      </w:r>
      <w:r w:rsidRPr="004F663C">
        <w:rPr>
          <w:rFonts w:ascii="Palatino Linotype" w:hAnsi="Palatino Linotype"/>
          <w:sz w:val="22"/>
          <w:szCs w:val="22"/>
        </w:rPr>
        <w:t xml:space="preserve">s utilized in agriculture as a soil </w:t>
      </w:r>
      <w:r>
        <w:rPr>
          <w:rFonts w:ascii="Palatino Linotype" w:hAnsi="Palatino Linotype"/>
          <w:sz w:val="22"/>
          <w:szCs w:val="22"/>
        </w:rPr>
        <w:t>fumigant</w:t>
      </w:r>
      <w:r w:rsidRPr="004F663C">
        <w:rPr>
          <w:rFonts w:ascii="Palatino Linotype" w:hAnsi="Palatino Linotype"/>
          <w:sz w:val="22"/>
          <w:szCs w:val="22"/>
        </w:rPr>
        <w:t xml:space="preserve">. </w:t>
      </w:r>
      <w:r>
        <w:rPr>
          <w:rFonts w:ascii="Palatino Linotype" w:hAnsi="Palatino Linotype"/>
          <w:sz w:val="22"/>
          <w:szCs w:val="22"/>
        </w:rPr>
        <w:t>Although b</w:t>
      </w:r>
      <w:r w:rsidRPr="004F663C">
        <w:rPr>
          <w:rFonts w:ascii="Palatino Linotype" w:hAnsi="Palatino Linotype"/>
          <w:sz w:val="22"/>
          <w:szCs w:val="22"/>
        </w:rPr>
        <w:t>anned in 1979</w:t>
      </w:r>
      <w:r>
        <w:rPr>
          <w:rFonts w:ascii="Palatino Linotype" w:hAnsi="Palatino Linotype"/>
          <w:sz w:val="22"/>
          <w:szCs w:val="22"/>
        </w:rPr>
        <w:t xml:space="preserve"> due to significant health effects</w:t>
      </w:r>
      <w:r w:rsidRPr="004F663C">
        <w:rPr>
          <w:rFonts w:ascii="Palatino Linotype" w:hAnsi="Palatino Linotype"/>
          <w:sz w:val="22"/>
          <w:szCs w:val="22"/>
        </w:rPr>
        <w:t>, DBCP continues to persist in contaminated soil and groundwater.</w:t>
      </w:r>
    </w:p>
  </w:footnote>
  <w:footnote w:id="8">
    <w:p w14:paraId="1C627243" w14:textId="77777777" w:rsidR="00091C3A" w:rsidRDefault="00091C3A" w:rsidP="00091C3A">
      <w:pPr>
        <w:pStyle w:val="FootnoteText"/>
      </w:pPr>
      <w:r>
        <w:rPr>
          <w:rStyle w:val="FootnoteReference"/>
        </w:rPr>
        <w:footnoteRef/>
      </w:r>
      <w:r>
        <w:t xml:space="preserve"> </w:t>
      </w:r>
      <w:r w:rsidRPr="00740E23">
        <w:rPr>
          <w:rFonts w:ascii="Palatino Linotype" w:hAnsi="Palatino Linotype"/>
          <w:sz w:val="22"/>
          <w:szCs w:val="22"/>
        </w:rPr>
        <w:t>Granular activated carbon treatment is a process that removes a variety of contaminants from water or air by absorption. GAC treatment is most commonly used to separate organic contaminants.</w:t>
      </w:r>
    </w:p>
  </w:footnote>
  <w:footnote w:id="9">
    <w:p w14:paraId="07C6389A" w14:textId="77777777" w:rsidR="00091C3A" w:rsidRPr="00A855DB" w:rsidRDefault="00091C3A" w:rsidP="00091C3A">
      <w:pPr>
        <w:pStyle w:val="FootnoteText"/>
        <w:rPr>
          <w:rFonts w:ascii="Palatino Linotype" w:hAnsi="Palatino Linotype"/>
          <w:sz w:val="22"/>
          <w:szCs w:val="22"/>
        </w:rPr>
      </w:pPr>
      <w:r w:rsidRPr="000B706E">
        <w:rPr>
          <w:rStyle w:val="FootnoteReference"/>
          <w:rFonts w:ascii="Palatino Linotype" w:hAnsi="Palatino Linotype"/>
          <w:sz w:val="22"/>
          <w:szCs w:val="22"/>
        </w:rPr>
        <w:footnoteRef/>
      </w:r>
      <w:r w:rsidRPr="000B706E">
        <w:rPr>
          <w:rFonts w:ascii="Palatino Linotype" w:hAnsi="Palatino Linotype"/>
          <w:sz w:val="22"/>
          <w:szCs w:val="22"/>
        </w:rPr>
        <w:t xml:space="preserve"> The ion exchange process uses a Strong Base Anion (SBA) resin to capture nitrates from water </w:t>
      </w:r>
      <w:r w:rsidRPr="00A855DB">
        <w:rPr>
          <w:rFonts w:ascii="Palatino Linotype" w:hAnsi="Palatino Linotype"/>
          <w:sz w:val="22"/>
          <w:szCs w:val="22"/>
        </w:rPr>
        <w:t>entering the system.</w:t>
      </w:r>
    </w:p>
  </w:footnote>
  <w:footnote w:id="10">
    <w:p w14:paraId="6C4D3672" w14:textId="77777777" w:rsidR="007E39FA" w:rsidRDefault="007E39FA" w:rsidP="007E39FA">
      <w:pPr>
        <w:pStyle w:val="FootnoteText"/>
      </w:pPr>
      <w:r w:rsidRPr="00A855DB">
        <w:rPr>
          <w:rStyle w:val="FootnoteReference"/>
          <w:rFonts w:ascii="Palatino Linotype" w:hAnsi="Palatino Linotype"/>
          <w:sz w:val="22"/>
          <w:szCs w:val="22"/>
        </w:rPr>
        <w:footnoteRef/>
      </w:r>
      <w:r w:rsidRPr="00A855DB">
        <w:rPr>
          <w:rFonts w:ascii="Palatino Linotype" w:hAnsi="Palatino Linotype"/>
          <w:sz w:val="22"/>
          <w:szCs w:val="22"/>
        </w:rPr>
        <w:t xml:space="preserve"> PFAS, and subsequently PFOA and PFOS, are man-made substances that have been used in surface coating and protectant formulations. PFAS have been linked to adverse health effects in animals and humans.</w:t>
      </w:r>
      <w:r>
        <w:t xml:space="preserve"> </w:t>
      </w:r>
    </w:p>
  </w:footnote>
  <w:footnote w:id="11">
    <w:p w14:paraId="4F207576" w14:textId="5C43DEAA" w:rsidR="00FE0DEE" w:rsidRPr="00F86188" w:rsidRDefault="00FE0DEE">
      <w:pPr>
        <w:pStyle w:val="FootnoteText"/>
        <w:rPr>
          <w:rFonts w:ascii="Palatino Linotype" w:hAnsi="Palatino Linotype"/>
          <w:sz w:val="22"/>
          <w:szCs w:val="22"/>
        </w:rPr>
      </w:pPr>
      <w:r w:rsidRPr="00F86188">
        <w:rPr>
          <w:rStyle w:val="FootnoteReference"/>
          <w:rFonts w:ascii="Palatino Linotype" w:hAnsi="Palatino Linotype"/>
          <w:sz w:val="22"/>
          <w:szCs w:val="22"/>
        </w:rPr>
        <w:footnoteRef/>
      </w:r>
      <w:r w:rsidRPr="00F86188">
        <w:rPr>
          <w:rFonts w:ascii="Palatino Linotype" w:hAnsi="Palatino Linotype"/>
          <w:sz w:val="22"/>
          <w:szCs w:val="22"/>
        </w:rPr>
        <w:t xml:space="preserve"> See California Assembly Bill (AB) 1739, California Senate Bill (SB) 1168, and SB 1319.</w:t>
      </w:r>
    </w:p>
  </w:footnote>
  <w:footnote w:id="12">
    <w:p w14:paraId="24B17678" w14:textId="092BF519" w:rsidR="00FE0DEE" w:rsidRPr="00740E23" w:rsidRDefault="00FE0DEE">
      <w:pPr>
        <w:pStyle w:val="FootnoteText"/>
        <w:rPr>
          <w:rFonts w:ascii="Palatino Linotype" w:hAnsi="Palatino Linotype"/>
          <w:sz w:val="22"/>
          <w:szCs w:val="22"/>
        </w:rPr>
      </w:pPr>
      <w:r w:rsidRPr="00740E23">
        <w:rPr>
          <w:rStyle w:val="FootnoteReference"/>
          <w:rFonts w:ascii="Palatino Linotype" w:hAnsi="Palatino Linotype"/>
          <w:sz w:val="22"/>
          <w:szCs w:val="22"/>
        </w:rPr>
        <w:footnoteRef/>
      </w:r>
      <w:r w:rsidRPr="00740E23">
        <w:rPr>
          <w:rFonts w:ascii="Palatino Linotype" w:hAnsi="Palatino Linotype"/>
          <w:sz w:val="22"/>
          <w:szCs w:val="22"/>
        </w:rPr>
        <w:t xml:space="preserve"> See Ordering Paragraph 8, D.92-03-093.</w:t>
      </w:r>
    </w:p>
  </w:footnote>
  <w:footnote w:id="13">
    <w:p w14:paraId="68CFFBA3" w14:textId="2A40FAD2" w:rsidR="00FE0DEE" w:rsidRPr="00740E23" w:rsidRDefault="00FE0DEE" w:rsidP="004B0CEB">
      <w:pPr>
        <w:pStyle w:val="FootnoteText"/>
        <w:rPr>
          <w:rFonts w:ascii="Palatino Linotype" w:hAnsi="Palatino Linotype"/>
          <w:sz w:val="22"/>
          <w:szCs w:val="22"/>
        </w:rPr>
      </w:pPr>
      <w:r w:rsidRPr="00740E23">
        <w:rPr>
          <w:rStyle w:val="FootnoteReference"/>
          <w:rFonts w:ascii="Palatino Linotype" w:hAnsi="Palatino Linotype"/>
          <w:sz w:val="22"/>
          <w:szCs w:val="22"/>
        </w:rPr>
        <w:footnoteRef/>
      </w:r>
      <w:r w:rsidRPr="00740E23">
        <w:rPr>
          <w:rFonts w:ascii="Palatino Linotype" w:hAnsi="Palatino Linotype"/>
          <w:sz w:val="22"/>
          <w:szCs w:val="22"/>
        </w:rPr>
        <w:t xml:space="preserve"> The ROR/ROM memorandum can be found at</w:t>
      </w:r>
      <w:r w:rsidR="00313E3C">
        <w:rPr>
          <w:rFonts w:ascii="Palatino Linotype" w:hAnsi="Palatino Linotype"/>
          <w:sz w:val="22"/>
          <w:szCs w:val="22"/>
        </w:rPr>
        <w:t xml:space="preserve"> </w:t>
      </w:r>
      <w:r w:rsidRPr="00740E23">
        <w:rPr>
          <w:rFonts w:ascii="Palatino Linotype" w:hAnsi="Palatino Linotype"/>
          <w:sz w:val="22"/>
          <w:szCs w:val="22"/>
        </w:rPr>
        <w:t>https://www.cpuc.ca.gov/General.aspx?id=1404</w:t>
      </w:r>
    </w:p>
  </w:footnote>
  <w:footnote w:id="14">
    <w:p w14:paraId="10C6ECF2" w14:textId="3F33F649" w:rsidR="00FE0DEE" w:rsidRPr="004D4B9C" w:rsidRDefault="00FE0DEE">
      <w:pPr>
        <w:pStyle w:val="FootnoteText"/>
        <w:rPr>
          <w:rFonts w:ascii="Palatino Linotype" w:hAnsi="Palatino Linotype"/>
          <w:sz w:val="22"/>
          <w:szCs w:val="22"/>
        </w:rPr>
      </w:pPr>
      <w:r w:rsidRPr="004D4B9C">
        <w:rPr>
          <w:rStyle w:val="FootnoteReference"/>
          <w:rFonts w:ascii="Palatino Linotype" w:hAnsi="Palatino Linotype"/>
          <w:sz w:val="22"/>
          <w:szCs w:val="22"/>
        </w:rPr>
        <w:footnoteRef/>
      </w:r>
      <w:r w:rsidRPr="004D4B9C">
        <w:rPr>
          <w:rFonts w:ascii="Palatino Linotype" w:hAnsi="Palatino Linotype"/>
          <w:sz w:val="22"/>
          <w:szCs w:val="22"/>
        </w:rPr>
        <w:t xml:space="preserve"> One CCF is equal to 748 gallons of water.</w:t>
      </w:r>
    </w:p>
  </w:footnote>
  <w:footnote w:id="15">
    <w:p w14:paraId="70A515DE" w14:textId="6FC43DA7" w:rsidR="00FE0DEE" w:rsidRPr="00740E23" w:rsidRDefault="00FE0DEE">
      <w:pPr>
        <w:pStyle w:val="FootnoteText"/>
        <w:rPr>
          <w:rFonts w:ascii="Palatino Linotype" w:hAnsi="Palatino Linotype"/>
          <w:sz w:val="22"/>
          <w:szCs w:val="22"/>
        </w:rPr>
      </w:pPr>
      <w:r w:rsidRPr="00740E23">
        <w:rPr>
          <w:rStyle w:val="FootnoteReference"/>
          <w:rFonts w:ascii="Palatino Linotype" w:hAnsi="Palatino Linotype"/>
          <w:sz w:val="22"/>
          <w:szCs w:val="22"/>
        </w:rPr>
        <w:footnoteRef/>
      </w:r>
      <w:r w:rsidRPr="00740E23">
        <w:rPr>
          <w:rFonts w:ascii="Palatino Linotype" w:hAnsi="Palatino Linotype"/>
          <w:sz w:val="22"/>
          <w:szCs w:val="22"/>
        </w:rPr>
        <w:t xml:space="preserve"> The MHI calculation is for informational purposes only.</w:t>
      </w:r>
    </w:p>
  </w:footnote>
  <w:footnote w:id="16">
    <w:p w14:paraId="6FC5EFB0" w14:textId="77777777" w:rsidR="00FE0DEE" w:rsidRPr="00E15976" w:rsidRDefault="00FE0DEE" w:rsidP="00E15976">
      <w:pPr>
        <w:pStyle w:val="FootnoteText"/>
        <w:rPr>
          <w:rFonts w:ascii="Palatino Linotype" w:hAnsi="Palatino Linotype"/>
          <w:sz w:val="22"/>
          <w:szCs w:val="22"/>
        </w:rPr>
      </w:pPr>
      <w:r w:rsidRPr="00E15976">
        <w:rPr>
          <w:rStyle w:val="FootnoteReference"/>
          <w:rFonts w:ascii="Palatino Linotype" w:hAnsi="Palatino Linotype"/>
          <w:sz w:val="22"/>
          <w:szCs w:val="22"/>
        </w:rPr>
        <w:footnoteRef/>
      </w:r>
      <w:r w:rsidRPr="00E15976">
        <w:rPr>
          <w:rFonts w:ascii="Palatino Linotype" w:hAnsi="Palatino Linotype"/>
          <w:sz w:val="22"/>
          <w:szCs w:val="22"/>
        </w:rPr>
        <w:t xml:space="preserve"> Total coliforms are a group of bacteria that while generally not harmful to humans can potentially cause health problems if ingested by humans. Total coliforms are used to determine the adequacy of water treatment and integrity of the distribution system.</w:t>
      </w:r>
    </w:p>
  </w:footnote>
  <w:footnote w:id="17">
    <w:p w14:paraId="1CF48D97" w14:textId="3CDBB1E6" w:rsidR="00FE0DEE" w:rsidRPr="00E15976" w:rsidRDefault="00FE0DEE">
      <w:pPr>
        <w:pStyle w:val="FootnoteText"/>
        <w:rPr>
          <w:rFonts w:ascii="Palatino Linotype" w:hAnsi="Palatino Linotype"/>
          <w:i/>
          <w:iCs/>
          <w:sz w:val="22"/>
          <w:szCs w:val="22"/>
        </w:rPr>
      </w:pPr>
      <w:r w:rsidRPr="00E15976">
        <w:rPr>
          <w:rStyle w:val="FootnoteReference"/>
          <w:rFonts w:ascii="Palatino Linotype" w:hAnsi="Palatino Linotype"/>
          <w:sz w:val="22"/>
          <w:szCs w:val="22"/>
        </w:rPr>
        <w:footnoteRef/>
      </w:r>
      <w:r w:rsidRPr="00E15976">
        <w:rPr>
          <w:rFonts w:ascii="Palatino Linotype" w:hAnsi="Palatino Linotype"/>
          <w:sz w:val="22"/>
          <w:szCs w:val="22"/>
        </w:rPr>
        <w:t xml:space="preserve"> </w:t>
      </w:r>
      <w:r w:rsidRPr="00E15976">
        <w:rPr>
          <w:rFonts w:ascii="Palatino Linotype" w:hAnsi="Palatino Linotype"/>
          <w:i/>
          <w:iCs/>
          <w:sz w:val="22"/>
          <w:szCs w:val="22"/>
        </w:rPr>
        <w:t>Escherichia coli</w:t>
      </w:r>
      <w:r>
        <w:rPr>
          <w:rFonts w:ascii="Palatino Linotype" w:hAnsi="Palatino Linotype"/>
          <w:sz w:val="22"/>
          <w:szCs w:val="22"/>
        </w:rPr>
        <w:t xml:space="preserve"> is a group of bacteria normally found in the intestines. Certain strains can cause food poisoning, pneumonia, and urinary tract infections.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19" w:type="dxa"/>
      <w:jc w:val="center"/>
      <w:tblLook w:val="04A0" w:firstRow="1" w:lastRow="0" w:firstColumn="1" w:lastColumn="0" w:noHBand="0" w:noVBand="1"/>
    </w:tblPr>
    <w:tblGrid>
      <w:gridCol w:w="4630"/>
      <w:gridCol w:w="4989"/>
    </w:tblGrid>
    <w:tr w:rsidR="00FE0DEE" w:rsidRPr="002548ED" w14:paraId="4175E370" w14:textId="77777777" w:rsidTr="0009672F">
      <w:trPr>
        <w:jc w:val="center"/>
      </w:trPr>
      <w:tc>
        <w:tcPr>
          <w:tcW w:w="9619" w:type="dxa"/>
          <w:gridSpan w:val="2"/>
          <w:shd w:val="clear" w:color="auto" w:fill="auto"/>
          <w:vAlign w:val="center"/>
        </w:tcPr>
        <w:p w14:paraId="74AD8FE3" w14:textId="77777777" w:rsidR="00FE0DEE" w:rsidRPr="002548ED" w:rsidRDefault="00FE0DEE" w:rsidP="00075B50">
          <w:pPr>
            <w:pStyle w:val="Header"/>
            <w:jc w:val="center"/>
            <w:rPr>
              <w:rFonts w:ascii="Palatino Linotype" w:hAnsi="Palatino Linotype"/>
              <w:b/>
              <w:sz w:val="30"/>
              <w:szCs w:val="30"/>
            </w:rPr>
          </w:pPr>
          <w:r w:rsidRPr="002548ED">
            <w:rPr>
              <w:rFonts w:ascii="Palatino Linotype" w:hAnsi="Palatino Linotype"/>
              <w:b/>
              <w:sz w:val="30"/>
              <w:szCs w:val="30"/>
            </w:rPr>
            <w:t>PROPOSED RESOLUTION</w:t>
          </w:r>
        </w:p>
      </w:tc>
    </w:tr>
    <w:tr w:rsidR="00FE0DEE" w:rsidRPr="002548ED" w14:paraId="60D278E0" w14:textId="77777777" w:rsidTr="0009672F">
      <w:trPr>
        <w:jc w:val="center"/>
      </w:trPr>
      <w:tc>
        <w:tcPr>
          <w:tcW w:w="4630" w:type="dxa"/>
          <w:shd w:val="clear" w:color="auto" w:fill="auto"/>
          <w:vAlign w:val="center"/>
        </w:tcPr>
        <w:p w14:paraId="62A30FC9" w14:textId="4EC3879B" w:rsidR="00FE0DEE" w:rsidRPr="00075B50" w:rsidRDefault="00FE0DEE" w:rsidP="00075B50">
          <w:pPr>
            <w:pStyle w:val="Header"/>
            <w:rPr>
              <w:rFonts w:ascii="Palatino Linotype" w:hAnsi="Palatino Linotype"/>
              <w:b/>
              <w:sz w:val="24"/>
              <w:szCs w:val="24"/>
            </w:rPr>
          </w:pPr>
          <w:r w:rsidRPr="00075B50">
            <w:rPr>
              <w:rFonts w:ascii="Palatino Linotype" w:hAnsi="Palatino Linotype"/>
              <w:b/>
              <w:sz w:val="24"/>
              <w:szCs w:val="24"/>
            </w:rPr>
            <w:t>Resolution W-</w:t>
          </w:r>
          <w:r>
            <w:rPr>
              <w:rFonts w:ascii="Palatino Linotype" w:hAnsi="Palatino Linotype"/>
              <w:b/>
              <w:sz w:val="24"/>
              <w:szCs w:val="24"/>
            </w:rPr>
            <w:t>XXXX</w:t>
          </w:r>
        </w:p>
        <w:p w14:paraId="24A17287" w14:textId="77777777" w:rsidR="00FE0DEE" w:rsidRPr="00075B50" w:rsidRDefault="00FE0DEE" w:rsidP="00075B50">
          <w:pPr>
            <w:pStyle w:val="Header"/>
            <w:rPr>
              <w:rFonts w:ascii="Palatino Linotype" w:hAnsi="Palatino Linotype"/>
              <w:b/>
              <w:sz w:val="24"/>
              <w:szCs w:val="24"/>
            </w:rPr>
          </w:pPr>
          <w:r w:rsidRPr="00075B50">
            <w:rPr>
              <w:rFonts w:ascii="Palatino Linotype" w:hAnsi="Palatino Linotype"/>
              <w:b/>
              <w:sz w:val="24"/>
              <w:szCs w:val="24"/>
            </w:rPr>
            <w:t>WD</w:t>
          </w:r>
        </w:p>
      </w:tc>
      <w:tc>
        <w:tcPr>
          <w:tcW w:w="4989" w:type="dxa"/>
          <w:shd w:val="clear" w:color="auto" w:fill="auto"/>
        </w:tcPr>
        <w:p w14:paraId="60B37D15" w14:textId="7527C314" w:rsidR="00FE0DEE" w:rsidRPr="00075B50" w:rsidRDefault="00FE0DEE" w:rsidP="00075B50">
          <w:pPr>
            <w:pStyle w:val="Header"/>
            <w:jc w:val="right"/>
            <w:rPr>
              <w:rFonts w:ascii="Palatino Linotype" w:hAnsi="Palatino Linotype"/>
              <w:b/>
              <w:sz w:val="24"/>
              <w:szCs w:val="24"/>
            </w:rPr>
          </w:pPr>
          <w:r>
            <w:rPr>
              <w:rFonts w:ascii="Palatino Linotype" w:hAnsi="Palatino Linotype"/>
              <w:b/>
              <w:sz w:val="24"/>
              <w:szCs w:val="24"/>
            </w:rPr>
            <w:t>A</w:t>
          </w:r>
          <w:r>
            <w:rPr>
              <w:b/>
            </w:rPr>
            <w:t>ugust 6</w:t>
          </w:r>
          <w:r>
            <w:rPr>
              <w:rFonts w:ascii="Palatino Linotype" w:hAnsi="Palatino Linotype"/>
              <w:b/>
              <w:sz w:val="24"/>
              <w:szCs w:val="24"/>
            </w:rPr>
            <w:t>, 2019</w:t>
          </w:r>
        </w:p>
      </w:tc>
    </w:tr>
  </w:tbl>
  <w:p w14:paraId="7DC02D7C" w14:textId="77777777" w:rsidR="00FE0DEE" w:rsidRDefault="00FE0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44952" w14:textId="77777777" w:rsidR="00FE0DEE" w:rsidRDefault="00FE0DEE" w:rsidP="00A966DA">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749DD68E" w14:textId="2239B0F4" w:rsidR="00FE0DEE" w:rsidRDefault="00FE0DEE" w:rsidP="00A966DA">
    <w:pPr>
      <w:tabs>
        <w:tab w:val="right" w:pos="11070"/>
      </w:tabs>
      <w:spacing w:before="80"/>
      <w:rPr>
        <w:rFonts w:ascii="Arial" w:hAnsi="Arial"/>
      </w:rPr>
    </w:pPr>
    <w:r>
      <w:rPr>
        <w:noProof/>
      </w:rPr>
      <w:drawing>
        <wp:anchor distT="0" distB="0" distL="114300" distR="114300" simplePos="0" relativeHeight="251659264" behindDoc="0" locked="0" layoutInCell="1" allowOverlap="1" wp14:anchorId="608F61B5" wp14:editId="02086D97">
          <wp:simplePos x="0" y="0"/>
          <wp:positionH relativeFrom="column">
            <wp:posOffset>5039360</wp:posOffset>
          </wp:positionH>
          <wp:positionV relativeFrom="paragraph">
            <wp:posOffset>107315</wp:posOffset>
          </wp:positionV>
          <wp:extent cx="659130" cy="659130"/>
          <wp:effectExtent l="0" t="0" r="7620" b="7620"/>
          <wp:wrapSquare wrapText="bothSides"/>
          <wp:docPr id="4" name="Picture 4" descr="PUC_ColorSeal_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C_ColorSeal_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PUBLIC UTILITIES COMMISSION</w:t>
    </w:r>
  </w:p>
  <w:p w14:paraId="663D0AE2" w14:textId="77777777" w:rsidR="00FE0DEE" w:rsidRDefault="00FE0DEE" w:rsidP="00A966DA">
    <w:pPr>
      <w:tabs>
        <w:tab w:val="right" w:pos="11070"/>
      </w:tabs>
      <w:spacing w:before="80"/>
      <w:rPr>
        <w:rFonts w:ascii="Arial" w:hAnsi="Arial"/>
        <w:sz w:val="12"/>
      </w:rPr>
    </w:pPr>
    <w:r>
      <w:rPr>
        <w:rFonts w:ascii="Arial" w:hAnsi="Arial"/>
        <w:sz w:val="12"/>
      </w:rPr>
      <w:t>505 VAN NESS AVENUE</w:t>
    </w:r>
  </w:p>
  <w:p w14:paraId="4ED75F56" w14:textId="77777777" w:rsidR="00FE0DEE" w:rsidRDefault="00FE0DEE" w:rsidP="00A966DA">
    <w:pPr>
      <w:tabs>
        <w:tab w:val="right" w:pos="11070"/>
      </w:tabs>
      <w:spacing w:before="80"/>
      <w:rPr>
        <w:rFonts w:ascii="Arial" w:hAnsi="Arial"/>
        <w:sz w:val="12"/>
      </w:rPr>
    </w:pPr>
    <w:r>
      <w:rPr>
        <w:rFonts w:ascii="Arial" w:hAnsi="Arial"/>
        <w:sz w:val="12"/>
      </w:rPr>
      <w:t>SAN FRANCISCO, CA  94102-3298</w:t>
    </w:r>
  </w:p>
  <w:p w14:paraId="37713AE9" w14:textId="77777777" w:rsidR="00FE0DEE" w:rsidRDefault="00FE0DEE" w:rsidP="00A966DA">
    <w:pPr>
      <w:rPr>
        <w:sz w:val="26"/>
      </w:rPr>
    </w:pPr>
  </w:p>
  <w:p w14:paraId="3DB10199" w14:textId="77777777" w:rsidR="00FE0DEE" w:rsidRDefault="00FE0DEE">
    <w:pPr>
      <w:pStyle w:val="Header"/>
      <w:jc w:val="right"/>
      <w:rPr>
        <w:rStyle w:val="HeaderChar"/>
        <w:rFonts w:ascii="Palatino Linotype" w:eastAsia="Palatino Linotype" w:hAnsi="Palatino Linotype" w:cs="Palatino Linotype"/>
        <w:b/>
        <w:bCs/>
      </w:rPr>
    </w:pPr>
    <w:r>
      <w:rPr>
        <w:rStyle w:val="HeaderCha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19" w:type="dxa"/>
      <w:jc w:val="center"/>
      <w:tblLook w:val="04A0" w:firstRow="1" w:lastRow="0" w:firstColumn="1" w:lastColumn="0" w:noHBand="0" w:noVBand="1"/>
    </w:tblPr>
    <w:tblGrid>
      <w:gridCol w:w="4630"/>
      <w:gridCol w:w="4989"/>
    </w:tblGrid>
    <w:tr w:rsidR="00FE0DEE" w:rsidRPr="0092227E" w14:paraId="22EDF4C7" w14:textId="77777777" w:rsidTr="003561D1">
      <w:trPr>
        <w:jc w:val="center"/>
      </w:trPr>
      <w:tc>
        <w:tcPr>
          <w:tcW w:w="9619" w:type="dxa"/>
          <w:gridSpan w:val="2"/>
          <w:shd w:val="clear" w:color="auto" w:fill="auto"/>
          <w:vAlign w:val="center"/>
        </w:tcPr>
        <w:p w14:paraId="295E54F5" w14:textId="77777777" w:rsidR="00FE0DEE" w:rsidRPr="0092227E" w:rsidRDefault="00FE0DEE"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FE0DEE" w:rsidRPr="0092227E" w14:paraId="02EC0505" w14:textId="77777777" w:rsidTr="003561D1">
      <w:trPr>
        <w:jc w:val="center"/>
      </w:trPr>
      <w:tc>
        <w:tcPr>
          <w:tcW w:w="4630" w:type="dxa"/>
          <w:shd w:val="clear" w:color="auto" w:fill="auto"/>
          <w:vAlign w:val="center"/>
        </w:tcPr>
        <w:p w14:paraId="1DD42B7F" w14:textId="7C5F12DF" w:rsidR="00FE0DEE" w:rsidRPr="0092227E" w:rsidRDefault="00FE0DEE" w:rsidP="003561D1">
          <w:pPr>
            <w:widowControl w:val="0"/>
            <w:tabs>
              <w:tab w:val="center" w:pos="4320"/>
              <w:tab w:val="right" w:pos="8640"/>
            </w:tabs>
            <w:rPr>
              <w:rFonts w:ascii="Palatino Linotype" w:eastAsia="Calibri" w:hAnsi="Palatino Linotype" w:cstheme="majorBidi"/>
              <w:b/>
              <w:szCs w:val="22"/>
            </w:rPr>
          </w:pPr>
          <w:r>
            <w:rPr>
              <w:rFonts w:ascii="Palatino Linotype" w:eastAsia="Calibri" w:hAnsi="Palatino Linotype" w:cstheme="majorBidi"/>
              <w:b/>
              <w:szCs w:val="22"/>
            </w:rPr>
            <w:t>Resolution W-</w:t>
          </w:r>
          <w:r w:rsidR="00BE3D1A">
            <w:rPr>
              <w:rFonts w:ascii="Palatino Linotype" w:eastAsia="Calibri" w:hAnsi="Palatino Linotype" w:cstheme="majorBidi"/>
              <w:b/>
              <w:szCs w:val="22"/>
            </w:rPr>
            <w:t>5217</w:t>
          </w:r>
        </w:p>
        <w:p w14:paraId="6F955943" w14:textId="77777777" w:rsidR="00FE0DEE" w:rsidRPr="0092227E" w:rsidRDefault="00FE0DEE" w:rsidP="003561D1">
          <w:pPr>
            <w:widowControl w:val="0"/>
            <w:tabs>
              <w:tab w:val="center" w:pos="4320"/>
              <w:tab w:val="right" w:pos="8640"/>
            </w:tabs>
            <w:rPr>
              <w:rFonts w:ascii="Palatino Linotype" w:eastAsia="Calibri" w:hAnsi="Palatino Linotype" w:cstheme="majorBidi"/>
              <w:b/>
              <w:szCs w:val="22"/>
            </w:rPr>
          </w:pPr>
          <w:r w:rsidRPr="0092227E">
            <w:rPr>
              <w:rFonts w:ascii="Palatino Linotype" w:eastAsia="Calibri" w:hAnsi="Palatino Linotype" w:cstheme="majorBidi"/>
              <w:b/>
              <w:szCs w:val="22"/>
            </w:rPr>
            <w:t>WD</w:t>
          </w:r>
        </w:p>
      </w:tc>
      <w:tc>
        <w:tcPr>
          <w:tcW w:w="4989" w:type="dxa"/>
          <w:shd w:val="clear" w:color="auto" w:fill="auto"/>
        </w:tcPr>
        <w:p w14:paraId="4F8E4D09" w14:textId="36FF6F2E" w:rsidR="00FE0DEE" w:rsidRDefault="00DE09FA" w:rsidP="003561D1">
          <w:pPr>
            <w:widowControl w:val="0"/>
            <w:tabs>
              <w:tab w:val="center" w:pos="4320"/>
              <w:tab w:val="right" w:pos="8640"/>
            </w:tabs>
            <w:jc w:val="right"/>
            <w:rPr>
              <w:rFonts w:ascii="Palatino Linotype" w:eastAsia="Calibri" w:hAnsi="Palatino Linotype" w:cstheme="majorBidi"/>
              <w:b/>
              <w:szCs w:val="22"/>
            </w:rPr>
          </w:pPr>
          <w:r>
            <w:rPr>
              <w:rFonts w:ascii="Palatino Linotype" w:eastAsia="Calibri" w:hAnsi="Palatino Linotype" w:cstheme="majorBidi"/>
              <w:b/>
              <w:szCs w:val="22"/>
            </w:rPr>
            <w:t>March</w:t>
          </w:r>
          <w:r w:rsidR="00FE0DEE">
            <w:rPr>
              <w:rFonts w:ascii="Palatino Linotype" w:eastAsia="Calibri" w:hAnsi="Palatino Linotype" w:cstheme="majorBidi"/>
              <w:b/>
              <w:szCs w:val="22"/>
            </w:rPr>
            <w:t xml:space="preserve"> 2</w:t>
          </w:r>
          <w:r>
            <w:rPr>
              <w:rFonts w:ascii="Palatino Linotype" w:eastAsia="Calibri" w:hAnsi="Palatino Linotype" w:cstheme="majorBidi"/>
              <w:b/>
              <w:szCs w:val="22"/>
            </w:rPr>
            <w:t>6</w:t>
          </w:r>
          <w:r w:rsidR="00FE0DEE">
            <w:rPr>
              <w:rFonts w:ascii="Palatino Linotype" w:eastAsia="Calibri" w:hAnsi="Palatino Linotype" w:cstheme="majorBidi"/>
              <w:b/>
              <w:szCs w:val="22"/>
            </w:rPr>
            <w:t>, 2020</w:t>
          </w:r>
        </w:p>
        <w:p w14:paraId="212E291D" w14:textId="77777777" w:rsidR="00FE0DEE" w:rsidRPr="0092227E" w:rsidRDefault="00FE0DEE" w:rsidP="003561D1">
          <w:pPr>
            <w:widowControl w:val="0"/>
            <w:tabs>
              <w:tab w:val="center" w:pos="4320"/>
              <w:tab w:val="right" w:pos="8640"/>
            </w:tabs>
            <w:jc w:val="right"/>
            <w:rPr>
              <w:rFonts w:ascii="Palatino Linotype" w:eastAsia="Calibri" w:hAnsi="Palatino Linotype" w:cstheme="majorBidi"/>
              <w:b/>
              <w:szCs w:val="22"/>
            </w:rPr>
          </w:pPr>
        </w:p>
      </w:tc>
    </w:tr>
  </w:tbl>
  <w:p w14:paraId="33894F3C" w14:textId="77777777" w:rsidR="00FE0DEE" w:rsidRDefault="00FE0DEE" w:rsidP="009F2A28">
    <w:pPr>
      <w:pStyle w:val="Body"/>
      <w:spacing w:after="0" w:line="240" w:lineRule="auto"/>
      <w:jc w:val="center"/>
      <w:rPr>
        <w:rStyle w:val="HeaderChar"/>
        <w:rFonts w:ascii="Palatino Linotype" w:eastAsia="Palatino Linotype" w:hAnsi="Palatino Linotype" w:cs="Palatino Linotype"/>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19" w:type="dxa"/>
      <w:jc w:val="center"/>
      <w:tblLook w:val="04A0" w:firstRow="1" w:lastRow="0" w:firstColumn="1" w:lastColumn="0" w:noHBand="0" w:noVBand="1"/>
    </w:tblPr>
    <w:tblGrid>
      <w:gridCol w:w="4630"/>
      <w:gridCol w:w="4989"/>
    </w:tblGrid>
    <w:tr w:rsidR="00FE0DEE" w:rsidRPr="0092227E" w14:paraId="166A78E7" w14:textId="77777777" w:rsidTr="003561D1">
      <w:trPr>
        <w:jc w:val="center"/>
      </w:trPr>
      <w:tc>
        <w:tcPr>
          <w:tcW w:w="9619" w:type="dxa"/>
          <w:gridSpan w:val="2"/>
          <w:shd w:val="clear" w:color="auto" w:fill="auto"/>
          <w:vAlign w:val="center"/>
        </w:tcPr>
        <w:p w14:paraId="2AEB0D50" w14:textId="77777777" w:rsidR="00FE0DEE" w:rsidRPr="0092227E" w:rsidRDefault="00FE0DEE"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FE0DEE" w:rsidRPr="009C7583" w14:paraId="03109597" w14:textId="77777777" w:rsidTr="003561D1">
      <w:trPr>
        <w:jc w:val="center"/>
      </w:trPr>
      <w:tc>
        <w:tcPr>
          <w:tcW w:w="4630" w:type="dxa"/>
          <w:shd w:val="clear" w:color="auto" w:fill="auto"/>
          <w:vAlign w:val="center"/>
        </w:tcPr>
        <w:p w14:paraId="0DACEA4C" w14:textId="320D89E0" w:rsidR="00FE0DEE" w:rsidRPr="0092227E" w:rsidRDefault="00FE0DEE" w:rsidP="003561D1">
          <w:pPr>
            <w:widowControl w:val="0"/>
            <w:tabs>
              <w:tab w:val="center" w:pos="4320"/>
              <w:tab w:val="right" w:pos="8640"/>
            </w:tabs>
            <w:rPr>
              <w:rFonts w:ascii="Palatino Linotype" w:eastAsia="Calibri" w:hAnsi="Palatino Linotype" w:cstheme="majorBidi"/>
              <w:b/>
              <w:szCs w:val="22"/>
            </w:rPr>
          </w:pPr>
          <w:r>
            <w:rPr>
              <w:rFonts w:ascii="Palatino Linotype" w:eastAsia="Calibri" w:hAnsi="Palatino Linotype" w:cstheme="majorBidi"/>
              <w:b/>
              <w:szCs w:val="22"/>
            </w:rPr>
            <w:t>Resolution W-</w:t>
          </w:r>
          <w:r w:rsidR="00E075FA">
            <w:rPr>
              <w:rFonts w:ascii="Palatino Linotype" w:eastAsia="Calibri" w:hAnsi="Palatino Linotype" w:cstheme="majorBidi"/>
              <w:b/>
              <w:szCs w:val="22"/>
            </w:rPr>
            <w:t>5217</w:t>
          </w:r>
        </w:p>
        <w:p w14:paraId="3DA517D0" w14:textId="77777777" w:rsidR="00FE0DEE" w:rsidRPr="0092227E" w:rsidRDefault="00FE0DEE" w:rsidP="003561D1">
          <w:pPr>
            <w:widowControl w:val="0"/>
            <w:tabs>
              <w:tab w:val="center" w:pos="4320"/>
              <w:tab w:val="right" w:pos="8640"/>
            </w:tabs>
            <w:rPr>
              <w:rFonts w:ascii="Palatino Linotype" w:eastAsia="Calibri" w:hAnsi="Palatino Linotype" w:cstheme="majorBidi"/>
              <w:b/>
              <w:szCs w:val="22"/>
            </w:rPr>
          </w:pPr>
          <w:r w:rsidRPr="0092227E">
            <w:rPr>
              <w:rFonts w:ascii="Palatino Linotype" w:eastAsia="Calibri" w:hAnsi="Palatino Linotype" w:cstheme="majorBidi"/>
              <w:b/>
              <w:szCs w:val="22"/>
            </w:rPr>
            <w:t>WD</w:t>
          </w:r>
        </w:p>
      </w:tc>
      <w:tc>
        <w:tcPr>
          <w:tcW w:w="4989" w:type="dxa"/>
          <w:shd w:val="clear" w:color="auto" w:fill="auto"/>
        </w:tcPr>
        <w:p w14:paraId="018F54DE" w14:textId="7F3BFDD4" w:rsidR="00FE0DEE" w:rsidRPr="009C7583" w:rsidRDefault="00FE0DEE" w:rsidP="003561D1">
          <w:pPr>
            <w:widowControl w:val="0"/>
            <w:tabs>
              <w:tab w:val="center" w:pos="4320"/>
              <w:tab w:val="right" w:pos="8640"/>
            </w:tabs>
            <w:jc w:val="right"/>
            <w:rPr>
              <w:rFonts w:eastAsia="Calibri" w:cstheme="majorBidi"/>
              <w:b/>
              <w:bCs/>
              <w:szCs w:val="22"/>
            </w:rPr>
          </w:pPr>
          <w:r>
            <w:rPr>
              <w:rFonts w:eastAsia="Calibri" w:cstheme="majorBidi"/>
              <w:b/>
              <w:bCs/>
              <w:szCs w:val="22"/>
            </w:rPr>
            <w:t>Agenda ID #</w:t>
          </w:r>
          <w:r w:rsidR="009C7583" w:rsidRPr="009C7583">
            <w:rPr>
              <w:rFonts w:eastAsia="Calibri" w:cstheme="majorBidi"/>
              <w:b/>
              <w:bCs/>
              <w:szCs w:val="22"/>
            </w:rPr>
            <w:t>18194</w:t>
          </w:r>
        </w:p>
        <w:p w14:paraId="72B77501" w14:textId="77777777" w:rsidR="00FE0DEE" w:rsidRPr="009C7583" w:rsidRDefault="00FE0DEE" w:rsidP="003561D1">
          <w:pPr>
            <w:widowControl w:val="0"/>
            <w:tabs>
              <w:tab w:val="center" w:pos="4320"/>
              <w:tab w:val="right" w:pos="8640"/>
            </w:tabs>
            <w:jc w:val="right"/>
            <w:rPr>
              <w:rFonts w:eastAsia="Calibri" w:cstheme="majorBidi"/>
              <w:b/>
              <w:bCs/>
              <w:szCs w:val="22"/>
            </w:rPr>
          </w:pPr>
        </w:p>
      </w:tc>
    </w:tr>
  </w:tbl>
  <w:p w14:paraId="2E476200" w14:textId="77777777" w:rsidR="00FE0DEE" w:rsidRDefault="00FE0DE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2" w15:restartNumberingAfterBreak="0">
    <w:nsid w:val="0FE16A2C"/>
    <w:multiLevelType w:val="hybridMultilevel"/>
    <w:tmpl w:val="E99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E6FC4"/>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15910B38"/>
    <w:multiLevelType w:val="multilevel"/>
    <w:tmpl w:val="035AEF58"/>
    <w:numStyleLink w:val="ImportedStyle1"/>
  </w:abstractNum>
  <w:abstractNum w:abstractNumId="5"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A13D9"/>
    <w:multiLevelType w:val="hybridMultilevel"/>
    <w:tmpl w:val="4DE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148FD"/>
    <w:multiLevelType w:val="hybridMultilevel"/>
    <w:tmpl w:val="8C449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945FD8"/>
    <w:multiLevelType w:val="hybridMultilevel"/>
    <w:tmpl w:val="DAD01910"/>
    <w:numStyleLink w:val="ImportedStyle2"/>
  </w:abstractNum>
  <w:abstractNum w:abstractNumId="9"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5A41C14"/>
    <w:multiLevelType w:val="hybridMultilevel"/>
    <w:tmpl w:val="61BE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54E76"/>
    <w:multiLevelType w:val="hybridMultilevel"/>
    <w:tmpl w:val="AF10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14" w15:restartNumberingAfterBreak="0">
    <w:nsid w:val="430F5323"/>
    <w:multiLevelType w:val="hybridMultilevel"/>
    <w:tmpl w:val="70A8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4ADB7FD8"/>
    <w:multiLevelType w:val="hybridMultilevel"/>
    <w:tmpl w:val="9D5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A5095F"/>
    <w:multiLevelType w:val="hybridMultilevel"/>
    <w:tmpl w:val="F95C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35808"/>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986122"/>
    <w:multiLevelType w:val="hybridMultilevel"/>
    <w:tmpl w:val="E996C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5"/>
  </w:num>
  <w:num w:numId="4">
    <w:abstractNumId w:val="8"/>
  </w:num>
  <w:num w:numId="5">
    <w:abstractNumId w:val="22"/>
  </w:num>
  <w:num w:numId="6">
    <w:abstractNumId w:val="23"/>
  </w:num>
  <w:num w:numId="7">
    <w:abstractNumId w:val="13"/>
    <w:lvlOverride w:ilvl="0">
      <w:startOverride w:val="1"/>
    </w:lvlOverride>
  </w:num>
  <w:num w:numId="8">
    <w:abstractNumId w:val="1"/>
  </w:num>
  <w:num w:numId="9">
    <w:abstractNumId w:val="5"/>
  </w:num>
  <w:num w:numId="10">
    <w:abstractNumId w:val="18"/>
  </w:num>
  <w:num w:numId="11">
    <w:abstractNumId w:val="24"/>
  </w:num>
  <w:num w:numId="12">
    <w:abstractNumId w:val="17"/>
  </w:num>
  <w:num w:numId="13">
    <w:abstractNumId w:val="12"/>
  </w:num>
  <w:num w:numId="14">
    <w:abstractNumId w:val="0"/>
  </w:num>
  <w:num w:numId="15">
    <w:abstractNumId w:val="20"/>
  </w:num>
  <w:num w:numId="16">
    <w:abstractNumId w:val="3"/>
  </w:num>
  <w:num w:numId="17">
    <w:abstractNumId w:val="6"/>
  </w:num>
  <w:num w:numId="18">
    <w:abstractNumId w:val="7"/>
  </w:num>
  <w:num w:numId="19">
    <w:abstractNumId w:val="14"/>
  </w:num>
  <w:num w:numId="20">
    <w:abstractNumId w:val="10"/>
  </w:num>
  <w:num w:numId="21">
    <w:abstractNumId w:val="19"/>
  </w:num>
  <w:num w:numId="22">
    <w:abstractNumId w:val="2"/>
  </w:num>
  <w:num w:numId="23">
    <w:abstractNumId w:val="11"/>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ABE"/>
    <w:rsid w:val="00000F8C"/>
    <w:rsid w:val="00003A6E"/>
    <w:rsid w:val="00004A57"/>
    <w:rsid w:val="000056CD"/>
    <w:rsid w:val="00005871"/>
    <w:rsid w:val="000074F6"/>
    <w:rsid w:val="00007B22"/>
    <w:rsid w:val="00007CFD"/>
    <w:rsid w:val="00010984"/>
    <w:rsid w:val="00010AF0"/>
    <w:rsid w:val="00011419"/>
    <w:rsid w:val="00011D10"/>
    <w:rsid w:val="00012712"/>
    <w:rsid w:val="00012C7C"/>
    <w:rsid w:val="00013077"/>
    <w:rsid w:val="000133A8"/>
    <w:rsid w:val="000143F8"/>
    <w:rsid w:val="000152FD"/>
    <w:rsid w:val="00015FA2"/>
    <w:rsid w:val="000164D5"/>
    <w:rsid w:val="000170E6"/>
    <w:rsid w:val="000177BE"/>
    <w:rsid w:val="00021A28"/>
    <w:rsid w:val="00021F50"/>
    <w:rsid w:val="00023474"/>
    <w:rsid w:val="00023857"/>
    <w:rsid w:val="0002424A"/>
    <w:rsid w:val="00025256"/>
    <w:rsid w:val="00025B2F"/>
    <w:rsid w:val="00026358"/>
    <w:rsid w:val="000264C0"/>
    <w:rsid w:val="000269B4"/>
    <w:rsid w:val="00027417"/>
    <w:rsid w:val="000304D7"/>
    <w:rsid w:val="0003246E"/>
    <w:rsid w:val="000325FE"/>
    <w:rsid w:val="00033897"/>
    <w:rsid w:val="00033FF9"/>
    <w:rsid w:val="00036A33"/>
    <w:rsid w:val="00037C32"/>
    <w:rsid w:val="00040B57"/>
    <w:rsid w:val="00041018"/>
    <w:rsid w:val="00042480"/>
    <w:rsid w:val="000424DA"/>
    <w:rsid w:val="00043965"/>
    <w:rsid w:val="000441CA"/>
    <w:rsid w:val="00044996"/>
    <w:rsid w:val="00046388"/>
    <w:rsid w:val="00046B78"/>
    <w:rsid w:val="00046CE8"/>
    <w:rsid w:val="00046FBE"/>
    <w:rsid w:val="00053241"/>
    <w:rsid w:val="00054A03"/>
    <w:rsid w:val="0005549B"/>
    <w:rsid w:val="00057543"/>
    <w:rsid w:val="0006100D"/>
    <w:rsid w:val="00065D5C"/>
    <w:rsid w:val="00066B4A"/>
    <w:rsid w:val="000671FA"/>
    <w:rsid w:val="000720B7"/>
    <w:rsid w:val="000729AC"/>
    <w:rsid w:val="00073A74"/>
    <w:rsid w:val="00073C95"/>
    <w:rsid w:val="00074694"/>
    <w:rsid w:val="00075B50"/>
    <w:rsid w:val="00076ACB"/>
    <w:rsid w:val="00077227"/>
    <w:rsid w:val="00077AD1"/>
    <w:rsid w:val="00080A77"/>
    <w:rsid w:val="00080A8D"/>
    <w:rsid w:val="00082BB3"/>
    <w:rsid w:val="00082D7C"/>
    <w:rsid w:val="00083C9E"/>
    <w:rsid w:val="00084770"/>
    <w:rsid w:val="00084804"/>
    <w:rsid w:val="00085554"/>
    <w:rsid w:val="000872DD"/>
    <w:rsid w:val="000919C9"/>
    <w:rsid w:val="00091C3A"/>
    <w:rsid w:val="0009672F"/>
    <w:rsid w:val="00096B90"/>
    <w:rsid w:val="0009721E"/>
    <w:rsid w:val="000A21A2"/>
    <w:rsid w:val="000A2D88"/>
    <w:rsid w:val="000A2E74"/>
    <w:rsid w:val="000A34BA"/>
    <w:rsid w:val="000A41AB"/>
    <w:rsid w:val="000A59AE"/>
    <w:rsid w:val="000A7629"/>
    <w:rsid w:val="000B0150"/>
    <w:rsid w:val="000B03D9"/>
    <w:rsid w:val="000B11E2"/>
    <w:rsid w:val="000B1DAB"/>
    <w:rsid w:val="000B21AD"/>
    <w:rsid w:val="000B2403"/>
    <w:rsid w:val="000B27F4"/>
    <w:rsid w:val="000B44E4"/>
    <w:rsid w:val="000B46D5"/>
    <w:rsid w:val="000B4CB1"/>
    <w:rsid w:val="000B52ED"/>
    <w:rsid w:val="000B5A65"/>
    <w:rsid w:val="000B706E"/>
    <w:rsid w:val="000B7694"/>
    <w:rsid w:val="000B7E10"/>
    <w:rsid w:val="000C11F6"/>
    <w:rsid w:val="000C405E"/>
    <w:rsid w:val="000C4A01"/>
    <w:rsid w:val="000C4C87"/>
    <w:rsid w:val="000C5B67"/>
    <w:rsid w:val="000C6B2C"/>
    <w:rsid w:val="000C6EA8"/>
    <w:rsid w:val="000C7D79"/>
    <w:rsid w:val="000D1F9B"/>
    <w:rsid w:val="000D24A0"/>
    <w:rsid w:val="000D3AB8"/>
    <w:rsid w:val="000D47D7"/>
    <w:rsid w:val="000D4D31"/>
    <w:rsid w:val="000D7AE2"/>
    <w:rsid w:val="000D7F15"/>
    <w:rsid w:val="000E0714"/>
    <w:rsid w:val="000E45CF"/>
    <w:rsid w:val="000E4B7B"/>
    <w:rsid w:val="000E4CD4"/>
    <w:rsid w:val="000E627E"/>
    <w:rsid w:val="000E66C3"/>
    <w:rsid w:val="000F074F"/>
    <w:rsid w:val="000F0C16"/>
    <w:rsid w:val="000F1DF9"/>
    <w:rsid w:val="000F410A"/>
    <w:rsid w:val="000F46C0"/>
    <w:rsid w:val="000F7457"/>
    <w:rsid w:val="000F79B8"/>
    <w:rsid w:val="0010252F"/>
    <w:rsid w:val="001028C9"/>
    <w:rsid w:val="00102D89"/>
    <w:rsid w:val="001043E5"/>
    <w:rsid w:val="00104AD2"/>
    <w:rsid w:val="00105028"/>
    <w:rsid w:val="00105C01"/>
    <w:rsid w:val="00106E22"/>
    <w:rsid w:val="00107E0B"/>
    <w:rsid w:val="00111829"/>
    <w:rsid w:val="00112701"/>
    <w:rsid w:val="00112B47"/>
    <w:rsid w:val="00113878"/>
    <w:rsid w:val="001142FC"/>
    <w:rsid w:val="001147F0"/>
    <w:rsid w:val="00114F4F"/>
    <w:rsid w:val="001164A1"/>
    <w:rsid w:val="00116577"/>
    <w:rsid w:val="001175A6"/>
    <w:rsid w:val="00124499"/>
    <w:rsid w:val="00125E99"/>
    <w:rsid w:val="0012746C"/>
    <w:rsid w:val="001301BE"/>
    <w:rsid w:val="00131ED5"/>
    <w:rsid w:val="00132132"/>
    <w:rsid w:val="00133198"/>
    <w:rsid w:val="001335F8"/>
    <w:rsid w:val="0014324B"/>
    <w:rsid w:val="00144800"/>
    <w:rsid w:val="001474D9"/>
    <w:rsid w:val="00151511"/>
    <w:rsid w:val="0015164D"/>
    <w:rsid w:val="00152118"/>
    <w:rsid w:val="001522CE"/>
    <w:rsid w:val="00152FFF"/>
    <w:rsid w:val="00153388"/>
    <w:rsid w:val="00153EFD"/>
    <w:rsid w:val="00154DA3"/>
    <w:rsid w:val="00157199"/>
    <w:rsid w:val="001606D6"/>
    <w:rsid w:val="00160A26"/>
    <w:rsid w:val="00161B7F"/>
    <w:rsid w:val="00163592"/>
    <w:rsid w:val="00164C58"/>
    <w:rsid w:val="0016540C"/>
    <w:rsid w:val="00166EA8"/>
    <w:rsid w:val="00167C5C"/>
    <w:rsid w:val="001711A4"/>
    <w:rsid w:val="00171E73"/>
    <w:rsid w:val="0017208E"/>
    <w:rsid w:val="00172538"/>
    <w:rsid w:val="0017269A"/>
    <w:rsid w:val="00172B75"/>
    <w:rsid w:val="001733D7"/>
    <w:rsid w:val="001742D9"/>
    <w:rsid w:val="00175A51"/>
    <w:rsid w:val="00175F5D"/>
    <w:rsid w:val="001775FC"/>
    <w:rsid w:val="00177715"/>
    <w:rsid w:val="001805CE"/>
    <w:rsid w:val="00180971"/>
    <w:rsid w:val="001812EC"/>
    <w:rsid w:val="0018170E"/>
    <w:rsid w:val="00181B61"/>
    <w:rsid w:val="00184571"/>
    <w:rsid w:val="00185241"/>
    <w:rsid w:val="001863C4"/>
    <w:rsid w:val="0018708B"/>
    <w:rsid w:val="001872A0"/>
    <w:rsid w:val="00190B0B"/>
    <w:rsid w:val="00191345"/>
    <w:rsid w:val="0019175F"/>
    <w:rsid w:val="00191B48"/>
    <w:rsid w:val="00192184"/>
    <w:rsid w:val="0019418A"/>
    <w:rsid w:val="001945BF"/>
    <w:rsid w:val="001947A0"/>
    <w:rsid w:val="001958BF"/>
    <w:rsid w:val="00195EAE"/>
    <w:rsid w:val="00196949"/>
    <w:rsid w:val="001A15A9"/>
    <w:rsid w:val="001A31C1"/>
    <w:rsid w:val="001A3816"/>
    <w:rsid w:val="001A5800"/>
    <w:rsid w:val="001B00A0"/>
    <w:rsid w:val="001B1376"/>
    <w:rsid w:val="001B2E86"/>
    <w:rsid w:val="001B3A83"/>
    <w:rsid w:val="001B42C4"/>
    <w:rsid w:val="001B4A27"/>
    <w:rsid w:val="001B4F41"/>
    <w:rsid w:val="001B6CBE"/>
    <w:rsid w:val="001B70E1"/>
    <w:rsid w:val="001C0521"/>
    <w:rsid w:val="001C08EE"/>
    <w:rsid w:val="001C0F52"/>
    <w:rsid w:val="001C1151"/>
    <w:rsid w:val="001C1B34"/>
    <w:rsid w:val="001C33A6"/>
    <w:rsid w:val="001C3499"/>
    <w:rsid w:val="001C3B30"/>
    <w:rsid w:val="001C4209"/>
    <w:rsid w:val="001C4B29"/>
    <w:rsid w:val="001C4BE3"/>
    <w:rsid w:val="001C4CD5"/>
    <w:rsid w:val="001C4F78"/>
    <w:rsid w:val="001C57E4"/>
    <w:rsid w:val="001C64C2"/>
    <w:rsid w:val="001C67AC"/>
    <w:rsid w:val="001C7314"/>
    <w:rsid w:val="001C749C"/>
    <w:rsid w:val="001D053C"/>
    <w:rsid w:val="001D1099"/>
    <w:rsid w:val="001D3121"/>
    <w:rsid w:val="001D4525"/>
    <w:rsid w:val="001D4731"/>
    <w:rsid w:val="001D4953"/>
    <w:rsid w:val="001D5600"/>
    <w:rsid w:val="001D6F11"/>
    <w:rsid w:val="001E1FB9"/>
    <w:rsid w:val="001E2DB9"/>
    <w:rsid w:val="001E2FB4"/>
    <w:rsid w:val="001E37D7"/>
    <w:rsid w:val="001E3CDE"/>
    <w:rsid w:val="001E3FFD"/>
    <w:rsid w:val="001E4B1B"/>
    <w:rsid w:val="001E4E92"/>
    <w:rsid w:val="001E59DD"/>
    <w:rsid w:val="001E5F38"/>
    <w:rsid w:val="001E644A"/>
    <w:rsid w:val="001F08C9"/>
    <w:rsid w:val="001F0B7F"/>
    <w:rsid w:val="001F1037"/>
    <w:rsid w:val="001F161C"/>
    <w:rsid w:val="001F1D9E"/>
    <w:rsid w:val="001F3A6B"/>
    <w:rsid w:val="001F3AA2"/>
    <w:rsid w:val="001F5B86"/>
    <w:rsid w:val="001F67A1"/>
    <w:rsid w:val="001F6EEC"/>
    <w:rsid w:val="002015DF"/>
    <w:rsid w:val="00201868"/>
    <w:rsid w:val="00202274"/>
    <w:rsid w:val="00203139"/>
    <w:rsid w:val="002044F3"/>
    <w:rsid w:val="0020488E"/>
    <w:rsid w:val="002058F4"/>
    <w:rsid w:val="00210ED4"/>
    <w:rsid w:val="00212B1C"/>
    <w:rsid w:val="00214FF1"/>
    <w:rsid w:val="0021504C"/>
    <w:rsid w:val="0021696D"/>
    <w:rsid w:val="002176A8"/>
    <w:rsid w:val="002200A0"/>
    <w:rsid w:val="002209E7"/>
    <w:rsid w:val="00222A8B"/>
    <w:rsid w:val="00226094"/>
    <w:rsid w:val="00230935"/>
    <w:rsid w:val="002314B9"/>
    <w:rsid w:val="00233A0C"/>
    <w:rsid w:val="0023568B"/>
    <w:rsid w:val="00236564"/>
    <w:rsid w:val="00243D3E"/>
    <w:rsid w:val="002440C8"/>
    <w:rsid w:val="0024416C"/>
    <w:rsid w:val="002458D7"/>
    <w:rsid w:val="002470A7"/>
    <w:rsid w:val="0024750B"/>
    <w:rsid w:val="0024770C"/>
    <w:rsid w:val="00247C67"/>
    <w:rsid w:val="002503BB"/>
    <w:rsid w:val="00252393"/>
    <w:rsid w:val="00252776"/>
    <w:rsid w:val="002528D1"/>
    <w:rsid w:val="00254D1E"/>
    <w:rsid w:val="00255039"/>
    <w:rsid w:val="0025557D"/>
    <w:rsid w:val="002565AF"/>
    <w:rsid w:val="00256610"/>
    <w:rsid w:val="00257DBF"/>
    <w:rsid w:val="00260327"/>
    <w:rsid w:val="002616E3"/>
    <w:rsid w:val="002623C2"/>
    <w:rsid w:val="002635CC"/>
    <w:rsid w:val="002652DA"/>
    <w:rsid w:val="00265322"/>
    <w:rsid w:val="00266585"/>
    <w:rsid w:val="00266BB2"/>
    <w:rsid w:val="00267E88"/>
    <w:rsid w:val="00272411"/>
    <w:rsid w:val="002736BB"/>
    <w:rsid w:val="00274A49"/>
    <w:rsid w:val="002761C4"/>
    <w:rsid w:val="00277230"/>
    <w:rsid w:val="002818AB"/>
    <w:rsid w:val="00283D8E"/>
    <w:rsid w:val="0028437C"/>
    <w:rsid w:val="002857F7"/>
    <w:rsid w:val="00286367"/>
    <w:rsid w:val="00287259"/>
    <w:rsid w:val="00291B5C"/>
    <w:rsid w:val="0029411E"/>
    <w:rsid w:val="002962F8"/>
    <w:rsid w:val="00296E02"/>
    <w:rsid w:val="00297814"/>
    <w:rsid w:val="002A007C"/>
    <w:rsid w:val="002A06AA"/>
    <w:rsid w:val="002A6133"/>
    <w:rsid w:val="002A6537"/>
    <w:rsid w:val="002A6F97"/>
    <w:rsid w:val="002A6FAB"/>
    <w:rsid w:val="002B0812"/>
    <w:rsid w:val="002B1191"/>
    <w:rsid w:val="002B357C"/>
    <w:rsid w:val="002B4E99"/>
    <w:rsid w:val="002B61B0"/>
    <w:rsid w:val="002B62FF"/>
    <w:rsid w:val="002B6D84"/>
    <w:rsid w:val="002B75A5"/>
    <w:rsid w:val="002C0229"/>
    <w:rsid w:val="002C0B80"/>
    <w:rsid w:val="002C0E37"/>
    <w:rsid w:val="002C10D0"/>
    <w:rsid w:val="002C17D4"/>
    <w:rsid w:val="002C2494"/>
    <w:rsid w:val="002C300C"/>
    <w:rsid w:val="002C3450"/>
    <w:rsid w:val="002C432A"/>
    <w:rsid w:val="002C7ACF"/>
    <w:rsid w:val="002D02C3"/>
    <w:rsid w:val="002D1E13"/>
    <w:rsid w:val="002D2582"/>
    <w:rsid w:val="002D71C4"/>
    <w:rsid w:val="002E1316"/>
    <w:rsid w:val="002E1AFD"/>
    <w:rsid w:val="002E32E7"/>
    <w:rsid w:val="002E49D6"/>
    <w:rsid w:val="002E4AAE"/>
    <w:rsid w:val="002E6EE0"/>
    <w:rsid w:val="002E740B"/>
    <w:rsid w:val="002F2B4D"/>
    <w:rsid w:val="002F2FA0"/>
    <w:rsid w:val="002F4800"/>
    <w:rsid w:val="002F49B0"/>
    <w:rsid w:val="002F67A8"/>
    <w:rsid w:val="002F7F54"/>
    <w:rsid w:val="003006A7"/>
    <w:rsid w:val="0030289A"/>
    <w:rsid w:val="00302B7B"/>
    <w:rsid w:val="00302FC0"/>
    <w:rsid w:val="003032E7"/>
    <w:rsid w:val="00305276"/>
    <w:rsid w:val="003057E6"/>
    <w:rsid w:val="00305B14"/>
    <w:rsid w:val="00307550"/>
    <w:rsid w:val="00313BB2"/>
    <w:rsid w:val="00313E3C"/>
    <w:rsid w:val="003149DB"/>
    <w:rsid w:val="00314EFD"/>
    <w:rsid w:val="003156CC"/>
    <w:rsid w:val="00315814"/>
    <w:rsid w:val="00316434"/>
    <w:rsid w:val="00316526"/>
    <w:rsid w:val="00316DED"/>
    <w:rsid w:val="003174EB"/>
    <w:rsid w:val="00317514"/>
    <w:rsid w:val="003175DD"/>
    <w:rsid w:val="0032099F"/>
    <w:rsid w:val="00320A87"/>
    <w:rsid w:val="00320BC2"/>
    <w:rsid w:val="00320F05"/>
    <w:rsid w:val="0032179F"/>
    <w:rsid w:val="00323CCD"/>
    <w:rsid w:val="00323D64"/>
    <w:rsid w:val="00324332"/>
    <w:rsid w:val="00326167"/>
    <w:rsid w:val="003268EB"/>
    <w:rsid w:val="00332095"/>
    <w:rsid w:val="00332D37"/>
    <w:rsid w:val="003332DF"/>
    <w:rsid w:val="00333827"/>
    <w:rsid w:val="003363BA"/>
    <w:rsid w:val="00337559"/>
    <w:rsid w:val="00337844"/>
    <w:rsid w:val="003400FD"/>
    <w:rsid w:val="00340AFA"/>
    <w:rsid w:val="003411A4"/>
    <w:rsid w:val="003416CC"/>
    <w:rsid w:val="00341AC7"/>
    <w:rsid w:val="00342FDF"/>
    <w:rsid w:val="003438D4"/>
    <w:rsid w:val="003447CD"/>
    <w:rsid w:val="003453F2"/>
    <w:rsid w:val="003464B5"/>
    <w:rsid w:val="003473A0"/>
    <w:rsid w:val="00347402"/>
    <w:rsid w:val="00347F5D"/>
    <w:rsid w:val="00350179"/>
    <w:rsid w:val="0035114A"/>
    <w:rsid w:val="0035163E"/>
    <w:rsid w:val="003526E0"/>
    <w:rsid w:val="00352FF5"/>
    <w:rsid w:val="00354396"/>
    <w:rsid w:val="00355DD7"/>
    <w:rsid w:val="003561D1"/>
    <w:rsid w:val="00360338"/>
    <w:rsid w:val="0036070B"/>
    <w:rsid w:val="0036126E"/>
    <w:rsid w:val="00362C06"/>
    <w:rsid w:val="00364295"/>
    <w:rsid w:val="003644E3"/>
    <w:rsid w:val="00364A22"/>
    <w:rsid w:val="00365E25"/>
    <w:rsid w:val="00365EC3"/>
    <w:rsid w:val="00367096"/>
    <w:rsid w:val="0036766C"/>
    <w:rsid w:val="00370EB7"/>
    <w:rsid w:val="00371A97"/>
    <w:rsid w:val="003736B5"/>
    <w:rsid w:val="003743D0"/>
    <w:rsid w:val="00374744"/>
    <w:rsid w:val="00374AF9"/>
    <w:rsid w:val="00375298"/>
    <w:rsid w:val="003768A5"/>
    <w:rsid w:val="00376FF2"/>
    <w:rsid w:val="0037729F"/>
    <w:rsid w:val="00377621"/>
    <w:rsid w:val="003802A0"/>
    <w:rsid w:val="00381930"/>
    <w:rsid w:val="003836C0"/>
    <w:rsid w:val="00383D54"/>
    <w:rsid w:val="003844B2"/>
    <w:rsid w:val="00385214"/>
    <w:rsid w:val="003901E8"/>
    <w:rsid w:val="003904E7"/>
    <w:rsid w:val="003905B1"/>
    <w:rsid w:val="003923FB"/>
    <w:rsid w:val="00392474"/>
    <w:rsid w:val="00394585"/>
    <w:rsid w:val="00395FB7"/>
    <w:rsid w:val="00396BC1"/>
    <w:rsid w:val="00397572"/>
    <w:rsid w:val="003A08A6"/>
    <w:rsid w:val="003A1DEC"/>
    <w:rsid w:val="003A23FE"/>
    <w:rsid w:val="003A2DCA"/>
    <w:rsid w:val="003A6037"/>
    <w:rsid w:val="003A7503"/>
    <w:rsid w:val="003B031C"/>
    <w:rsid w:val="003B0AC2"/>
    <w:rsid w:val="003B15A0"/>
    <w:rsid w:val="003B254D"/>
    <w:rsid w:val="003B281B"/>
    <w:rsid w:val="003B3F69"/>
    <w:rsid w:val="003B7FD4"/>
    <w:rsid w:val="003C0353"/>
    <w:rsid w:val="003C1DCF"/>
    <w:rsid w:val="003C4691"/>
    <w:rsid w:val="003C4AC3"/>
    <w:rsid w:val="003C4DBB"/>
    <w:rsid w:val="003C50C5"/>
    <w:rsid w:val="003C5595"/>
    <w:rsid w:val="003C629A"/>
    <w:rsid w:val="003C7FEE"/>
    <w:rsid w:val="003D1064"/>
    <w:rsid w:val="003D2E91"/>
    <w:rsid w:val="003D428E"/>
    <w:rsid w:val="003D49C8"/>
    <w:rsid w:val="003D4F01"/>
    <w:rsid w:val="003D5A99"/>
    <w:rsid w:val="003D7F93"/>
    <w:rsid w:val="003E3ADC"/>
    <w:rsid w:val="003E3D46"/>
    <w:rsid w:val="003E3E5C"/>
    <w:rsid w:val="003E3F00"/>
    <w:rsid w:val="003E4BF5"/>
    <w:rsid w:val="003E5152"/>
    <w:rsid w:val="003E556D"/>
    <w:rsid w:val="003E5C65"/>
    <w:rsid w:val="003E7596"/>
    <w:rsid w:val="003E7A17"/>
    <w:rsid w:val="003F0566"/>
    <w:rsid w:val="003F0C20"/>
    <w:rsid w:val="003F0D42"/>
    <w:rsid w:val="003F0F40"/>
    <w:rsid w:val="003F19B3"/>
    <w:rsid w:val="003F3432"/>
    <w:rsid w:val="003F6394"/>
    <w:rsid w:val="003F71B1"/>
    <w:rsid w:val="003F7FE8"/>
    <w:rsid w:val="00400777"/>
    <w:rsid w:val="00400D67"/>
    <w:rsid w:val="00402763"/>
    <w:rsid w:val="00402898"/>
    <w:rsid w:val="00403097"/>
    <w:rsid w:val="0040313B"/>
    <w:rsid w:val="00404034"/>
    <w:rsid w:val="004044D3"/>
    <w:rsid w:val="00404C6E"/>
    <w:rsid w:val="00404F83"/>
    <w:rsid w:val="00405161"/>
    <w:rsid w:val="00407C6C"/>
    <w:rsid w:val="004107FE"/>
    <w:rsid w:val="00410B53"/>
    <w:rsid w:val="0041171F"/>
    <w:rsid w:val="004126BD"/>
    <w:rsid w:val="00413399"/>
    <w:rsid w:val="00415526"/>
    <w:rsid w:val="00415815"/>
    <w:rsid w:val="00417516"/>
    <w:rsid w:val="00422B2F"/>
    <w:rsid w:val="00423E50"/>
    <w:rsid w:val="0042444B"/>
    <w:rsid w:val="004248BA"/>
    <w:rsid w:val="004269E0"/>
    <w:rsid w:val="00426DFB"/>
    <w:rsid w:val="00427000"/>
    <w:rsid w:val="00427B44"/>
    <w:rsid w:val="00427EA5"/>
    <w:rsid w:val="00427F0B"/>
    <w:rsid w:val="00431EB0"/>
    <w:rsid w:val="00432AA9"/>
    <w:rsid w:val="00433F7D"/>
    <w:rsid w:val="0043457E"/>
    <w:rsid w:val="00434D5A"/>
    <w:rsid w:val="004364AA"/>
    <w:rsid w:val="00440448"/>
    <w:rsid w:val="0044201F"/>
    <w:rsid w:val="0044343F"/>
    <w:rsid w:val="004444A2"/>
    <w:rsid w:val="00444DC7"/>
    <w:rsid w:val="00445792"/>
    <w:rsid w:val="00447F3B"/>
    <w:rsid w:val="004503B8"/>
    <w:rsid w:val="00450A0F"/>
    <w:rsid w:val="00451EB2"/>
    <w:rsid w:val="0045673A"/>
    <w:rsid w:val="0046161C"/>
    <w:rsid w:val="00461748"/>
    <w:rsid w:val="00461C47"/>
    <w:rsid w:val="00461DBC"/>
    <w:rsid w:val="00461EE2"/>
    <w:rsid w:val="00463495"/>
    <w:rsid w:val="00463BFD"/>
    <w:rsid w:val="004642BE"/>
    <w:rsid w:val="00464B0B"/>
    <w:rsid w:val="004669A9"/>
    <w:rsid w:val="00471A55"/>
    <w:rsid w:val="00472601"/>
    <w:rsid w:val="00472A18"/>
    <w:rsid w:val="00474C65"/>
    <w:rsid w:val="00474E98"/>
    <w:rsid w:val="0047566C"/>
    <w:rsid w:val="004766EE"/>
    <w:rsid w:val="004775C5"/>
    <w:rsid w:val="004775CD"/>
    <w:rsid w:val="00477CB6"/>
    <w:rsid w:val="004820F1"/>
    <w:rsid w:val="00482469"/>
    <w:rsid w:val="00483641"/>
    <w:rsid w:val="00483CC3"/>
    <w:rsid w:val="00484268"/>
    <w:rsid w:val="0048502A"/>
    <w:rsid w:val="00485CF4"/>
    <w:rsid w:val="00486006"/>
    <w:rsid w:val="00487141"/>
    <w:rsid w:val="00487AA9"/>
    <w:rsid w:val="004933FE"/>
    <w:rsid w:val="00495011"/>
    <w:rsid w:val="00497A3A"/>
    <w:rsid w:val="00497D07"/>
    <w:rsid w:val="00497FB5"/>
    <w:rsid w:val="004A00B5"/>
    <w:rsid w:val="004A0656"/>
    <w:rsid w:val="004A1F99"/>
    <w:rsid w:val="004A3487"/>
    <w:rsid w:val="004A3F41"/>
    <w:rsid w:val="004A45ED"/>
    <w:rsid w:val="004A7C92"/>
    <w:rsid w:val="004B0CEB"/>
    <w:rsid w:val="004B14F6"/>
    <w:rsid w:val="004B1602"/>
    <w:rsid w:val="004B1751"/>
    <w:rsid w:val="004B2573"/>
    <w:rsid w:val="004B3AFA"/>
    <w:rsid w:val="004B414F"/>
    <w:rsid w:val="004B4A1E"/>
    <w:rsid w:val="004B4B6A"/>
    <w:rsid w:val="004B52C3"/>
    <w:rsid w:val="004B59D5"/>
    <w:rsid w:val="004B6E29"/>
    <w:rsid w:val="004C0064"/>
    <w:rsid w:val="004C39AC"/>
    <w:rsid w:val="004C3BBA"/>
    <w:rsid w:val="004C42D6"/>
    <w:rsid w:val="004C5AB9"/>
    <w:rsid w:val="004C6124"/>
    <w:rsid w:val="004D0529"/>
    <w:rsid w:val="004D23A4"/>
    <w:rsid w:val="004D2573"/>
    <w:rsid w:val="004D3041"/>
    <w:rsid w:val="004D3A8F"/>
    <w:rsid w:val="004D4B9C"/>
    <w:rsid w:val="004D5C10"/>
    <w:rsid w:val="004D6E7A"/>
    <w:rsid w:val="004D72B1"/>
    <w:rsid w:val="004D7D37"/>
    <w:rsid w:val="004E228C"/>
    <w:rsid w:val="004E2A8C"/>
    <w:rsid w:val="004E2D05"/>
    <w:rsid w:val="004E3039"/>
    <w:rsid w:val="004E3721"/>
    <w:rsid w:val="004E37CC"/>
    <w:rsid w:val="004E3D10"/>
    <w:rsid w:val="004E3FF7"/>
    <w:rsid w:val="004E67D8"/>
    <w:rsid w:val="004E6A07"/>
    <w:rsid w:val="004E6BF1"/>
    <w:rsid w:val="004E7D52"/>
    <w:rsid w:val="004F13C3"/>
    <w:rsid w:val="004F1A6C"/>
    <w:rsid w:val="004F1F0E"/>
    <w:rsid w:val="004F3C73"/>
    <w:rsid w:val="004F3CF7"/>
    <w:rsid w:val="004F4522"/>
    <w:rsid w:val="004F4881"/>
    <w:rsid w:val="004F58EB"/>
    <w:rsid w:val="004F663C"/>
    <w:rsid w:val="00501EB9"/>
    <w:rsid w:val="00503541"/>
    <w:rsid w:val="00507A47"/>
    <w:rsid w:val="00507EAB"/>
    <w:rsid w:val="00510761"/>
    <w:rsid w:val="005108FD"/>
    <w:rsid w:val="005109CB"/>
    <w:rsid w:val="00511C73"/>
    <w:rsid w:val="0051461A"/>
    <w:rsid w:val="00517A76"/>
    <w:rsid w:val="00517EC1"/>
    <w:rsid w:val="005200FB"/>
    <w:rsid w:val="005202BD"/>
    <w:rsid w:val="00520CD4"/>
    <w:rsid w:val="00520ED0"/>
    <w:rsid w:val="00522F11"/>
    <w:rsid w:val="00523E40"/>
    <w:rsid w:val="00524371"/>
    <w:rsid w:val="00524C50"/>
    <w:rsid w:val="00527431"/>
    <w:rsid w:val="00530574"/>
    <w:rsid w:val="00530EF9"/>
    <w:rsid w:val="005317B6"/>
    <w:rsid w:val="005324F6"/>
    <w:rsid w:val="005332AB"/>
    <w:rsid w:val="005343F4"/>
    <w:rsid w:val="00536128"/>
    <w:rsid w:val="00540CFA"/>
    <w:rsid w:val="00541FA8"/>
    <w:rsid w:val="00542B83"/>
    <w:rsid w:val="00542D18"/>
    <w:rsid w:val="00543784"/>
    <w:rsid w:val="005438C9"/>
    <w:rsid w:val="00547BE9"/>
    <w:rsid w:val="00550110"/>
    <w:rsid w:val="00550376"/>
    <w:rsid w:val="00550598"/>
    <w:rsid w:val="00553376"/>
    <w:rsid w:val="0055476F"/>
    <w:rsid w:val="00554DFF"/>
    <w:rsid w:val="0055626E"/>
    <w:rsid w:val="0056028B"/>
    <w:rsid w:val="00561D67"/>
    <w:rsid w:val="005625B0"/>
    <w:rsid w:val="005646AD"/>
    <w:rsid w:val="00570C79"/>
    <w:rsid w:val="00570DDD"/>
    <w:rsid w:val="0057267F"/>
    <w:rsid w:val="00573328"/>
    <w:rsid w:val="00573A16"/>
    <w:rsid w:val="0057592B"/>
    <w:rsid w:val="005771BD"/>
    <w:rsid w:val="005811FA"/>
    <w:rsid w:val="005823C9"/>
    <w:rsid w:val="0058264E"/>
    <w:rsid w:val="0058285F"/>
    <w:rsid w:val="0058317A"/>
    <w:rsid w:val="00583549"/>
    <w:rsid w:val="00583DAC"/>
    <w:rsid w:val="00584892"/>
    <w:rsid w:val="00584D29"/>
    <w:rsid w:val="00584F9C"/>
    <w:rsid w:val="005857C8"/>
    <w:rsid w:val="00586146"/>
    <w:rsid w:val="00586841"/>
    <w:rsid w:val="0058755D"/>
    <w:rsid w:val="005919CE"/>
    <w:rsid w:val="00591C57"/>
    <w:rsid w:val="00592ACC"/>
    <w:rsid w:val="00592C7A"/>
    <w:rsid w:val="005930F5"/>
    <w:rsid w:val="00594E18"/>
    <w:rsid w:val="00595175"/>
    <w:rsid w:val="00595FAB"/>
    <w:rsid w:val="00595FF1"/>
    <w:rsid w:val="005978A0"/>
    <w:rsid w:val="00597DD8"/>
    <w:rsid w:val="005A07BF"/>
    <w:rsid w:val="005A1269"/>
    <w:rsid w:val="005A136C"/>
    <w:rsid w:val="005A2691"/>
    <w:rsid w:val="005A2D86"/>
    <w:rsid w:val="005A44D8"/>
    <w:rsid w:val="005A4D68"/>
    <w:rsid w:val="005A581C"/>
    <w:rsid w:val="005A6281"/>
    <w:rsid w:val="005A69BA"/>
    <w:rsid w:val="005A6C1A"/>
    <w:rsid w:val="005A726C"/>
    <w:rsid w:val="005B387B"/>
    <w:rsid w:val="005B3A7D"/>
    <w:rsid w:val="005B3C9C"/>
    <w:rsid w:val="005B5000"/>
    <w:rsid w:val="005B52FE"/>
    <w:rsid w:val="005B593D"/>
    <w:rsid w:val="005B6C3C"/>
    <w:rsid w:val="005C0D27"/>
    <w:rsid w:val="005C285B"/>
    <w:rsid w:val="005C3903"/>
    <w:rsid w:val="005C4A45"/>
    <w:rsid w:val="005C4D14"/>
    <w:rsid w:val="005C748B"/>
    <w:rsid w:val="005C784A"/>
    <w:rsid w:val="005D080E"/>
    <w:rsid w:val="005D0B08"/>
    <w:rsid w:val="005D0F5C"/>
    <w:rsid w:val="005D260C"/>
    <w:rsid w:val="005D32DB"/>
    <w:rsid w:val="005D4D94"/>
    <w:rsid w:val="005D6F48"/>
    <w:rsid w:val="005D79B7"/>
    <w:rsid w:val="005E0230"/>
    <w:rsid w:val="005E2BF0"/>
    <w:rsid w:val="005E3182"/>
    <w:rsid w:val="005E3771"/>
    <w:rsid w:val="005E4D57"/>
    <w:rsid w:val="005E4E1E"/>
    <w:rsid w:val="005E57FC"/>
    <w:rsid w:val="005E6069"/>
    <w:rsid w:val="005E6245"/>
    <w:rsid w:val="005F393B"/>
    <w:rsid w:val="005F43ED"/>
    <w:rsid w:val="005F6CA6"/>
    <w:rsid w:val="00601187"/>
    <w:rsid w:val="00601534"/>
    <w:rsid w:val="00602C8E"/>
    <w:rsid w:val="00602D50"/>
    <w:rsid w:val="0060336E"/>
    <w:rsid w:val="00604A49"/>
    <w:rsid w:val="00604BAC"/>
    <w:rsid w:val="00606125"/>
    <w:rsid w:val="0060777D"/>
    <w:rsid w:val="00607A64"/>
    <w:rsid w:val="00607BDE"/>
    <w:rsid w:val="00607F72"/>
    <w:rsid w:val="006141F4"/>
    <w:rsid w:val="00614C83"/>
    <w:rsid w:val="006164E4"/>
    <w:rsid w:val="0062059F"/>
    <w:rsid w:val="006212AF"/>
    <w:rsid w:val="006231DA"/>
    <w:rsid w:val="006248EC"/>
    <w:rsid w:val="0062725C"/>
    <w:rsid w:val="00627E72"/>
    <w:rsid w:val="00630172"/>
    <w:rsid w:val="006302EB"/>
    <w:rsid w:val="006305ED"/>
    <w:rsid w:val="00630A4E"/>
    <w:rsid w:val="00630FB2"/>
    <w:rsid w:val="00631168"/>
    <w:rsid w:val="006333B4"/>
    <w:rsid w:val="00635C4D"/>
    <w:rsid w:val="006404A4"/>
    <w:rsid w:val="00646296"/>
    <w:rsid w:val="00646D48"/>
    <w:rsid w:val="006476C2"/>
    <w:rsid w:val="00647FA6"/>
    <w:rsid w:val="006526E6"/>
    <w:rsid w:val="00654844"/>
    <w:rsid w:val="00654DE3"/>
    <w:rsid w:val="00661439"/>
    <w:rsid w:val="00661C62"/>
    <w:rsid w:val="006622BD"/>
    <w:rsid w:val="006623FC"/>
    <w:rsid w:val="00662EC9"/>
    <w:rsid w:val="00663442"/>
    <w:rsid w:val="006635D0"/>
    <w:rsid w:val="0066490B"/>
    <w:rsid w:val="00665251"/>
    <w:rsid w:val="0066594D"/>
    <w:rsid w:val="00667230"/>
    <w:rsid w:val="006673BB"/>
    <w:rsid w:val="0066794A"/>
    <w:rsid w:val="0067084A"/>
    <w:rsid w:val="0067176C"/>
    <w:rsid w:val="00672B64"/>
    <w:rsid w:val="00673A21"/>
    <w:rsid w:val="00676581"/>
    <w:rsid w:val="00676BC7"/>
    <w:rsid w:val="00676D12"/>
    <w:rsid w:val="00677D14"/>
    <w:rsid w:val="00681830"/>
    <w:rsid w:val="00681E9A"/>
    <w:rsid w:val="0068357B"/>
    <w:rsid w:val="00684D30"/>
    <w:rsid w:val="0068567E"/>
    <w:rsid w:val="00685E10"/>
    <w:rsid w:val="00685F50"/>
    <w:rsid w:val="00686541"/>
    <w:rsid w:val="0069034A"/>
    <w:rsid w:val="006906A6"/>
    <w:rsid w:val="00690DEE"/>
    <w:rsid w:val="006922DC"/>
    <w:rsid w:val="006938DB"/>
    <w:rsid w:val="00694576"/>
    <w:rsid w:val="00694F04"/>
    <w:rsid w:val="0069539C"/>
    <w:rsid w:val="006955BF"/>
    <w:rsid w:val="00696715"/>
    <w:rsid w:val="006A25BA"/>
    <w:rsid w:val="006A4350"/>
    <w:rsid w:val="006A445B"/>
    <w:rsid w:val="006A5AC3"/>
    <w:rsid w:val="006A5B62"/>
    <w:rsid w:val="006A66BD"/>
    <w:rsid w:val="006A70EF"/>
    <w:rsid w:val="006A7D08"/>
    <w:rsid w:val="006B00B8"/>
    <w:rsid w:val="006B1453"/>
    <w:rsid w:val="006B219C"/>
    <w:rsid w:val="006B568C"/>
    <w:rsid w:val="006B607A"/>
    <w:rsid w:val="006B6414"/>
    <w:rsid w:val="006B65BF"/>
    <w:rsid w:val="006B6A6B"/>
    <w:rsid w:val="006B6D84"/>
    <w:rsid w:val="006B6EFF"/>
    <w:rsid w:val="006C0F57"/>
    <w:rsid w:val="006C34D3"/>
    <w:rsid w:val="006C37F4"/>
    <w:rsid w:val="006C4A13"/>
    <w:rsid w:val="006D12A5"/>
    <w:rsid w:val="006D13F4"/>
    <w:rsid w:val="006D5011"/>
    <w:rsid w:val="006D6322"/>
    <w:rsid w:val="006D6F2F"/>
    <w:rsid w:val="006E2696"/>
    <w:rsid w:val="006E42C5"/>
    <w:rsid w:val="006E5827"/>
    <w:rsid w:val="006E5B24"/>
    <w:rsid w:val="006E6663"/>
    <w:rsid w:val="006E67ED"/>
    <w:rsid w:val="006E685E"/>
    <w:rsid w:val="006E7D3A"/>
    <w:rsid w:val="006F0142"/>
    <w:rsid w:val="006F0189"/>
    <w:rsid w:val="006F0D55"/>
    <w:rsid w:val="006F14E7"/>
    <w:rsid w:val="006F15F8"/>
    <w:rsid w:val="006F28B6"/>
    <w:rsid w:val="006F2F3C"/>
    <w:rsid w:val="006F3496"/>
    <w:rsid w:val="006F3B8D"/>
    <w:rsid w:val="006F3EBF"/>
    <w:rsid w:val="006F49AB"/>
    <w:rsid w:val="006F4E4A"/>
    <w:rsid w:val="006F6C95"/>
    <w:rsid w:val="006F72B2"/>
    <w:rsid w:val="007007C1"/>
    <w:rsid w:val="00700B25"/>
    <w:rsid w:val="00700D41"/>
    <w:rsid w:val="007013D5"/>
    <w:rsid w:val="00702637"/>
    <w:rsid w:val="00703A02"/>
    <w:rsid w:val="007049A9"/>
    <w:rsid w:val="00704E31"/>
    <w:rsid w:val="007068F1"/>
    <w:rsid w:val="0071246A"/>
    <w:rsid w:val="007124D5"/>
    <w:rsid w:val="00715CD1"/>
    <w:rsid w:val="0071701C"/>
    <w:rsid w:val="007214A3"/>
    <w:rsid w:val="007215CE"/>
    <w:rsid w:val="00722527"/>
    <w:rsid w:val="00722D85"/>
    <w:rsid w:val="00723016"/>
    <w:rsid w:val="00724FBF"/>
    <w:rsid w:val="00725C5E"/>
    <w:rsid w:val="007267B1"/>
    <w:rsid w:val="00727BA7"/>
    <w:rsid w:val="00730EF2"/>
    <w:rsid w:val="007325B5"/>
    <w:rsid w:val="00732D6A"/>
    <w:rsid w:val="007352F6"/>
    <w:rsid w:val="00735795"/>
    <w:rsid w:val="00735C13"/>
    <w:rsid w:val="007361C7"/>
    <w:rsid w:val="0073664A"/>
    <w:rsid w:val="007374E0"/>
    <w:rsid w:val="00737C8A"/>
    <w:rsid w:val="00740892"/>
    <w:rsid w:val="00740E0E"/>
    <w:rsid w:val="00740E23"/>
    <w:rsid w:val="00741EAA"/>
    <w:rsid w:val="00741F46"/>
    <w:rsid w:val="007458D7"/>
    <w:rsid w:val="007474DA"/>
    <w:rsid w:val="007474E3"/>
    <w:rsid w:val="0075238B"/>
    <w:rsid w:val="00753D53"/>
    <w:rsid w:val="00754223"/>
    <w:rsid w:val="0075437D"/>
    <w:rsid w:val="00755AFF"/>
    <w:rsid w:val="00755DE4"/>
    <w:rsid w:val="00755FB0"/>
    <w:rsid w:val="007575B0"/>
    <w:rsid w:val="007608A1"/>
    <w:rsid w:val="00760C11"/>
    <w:rsid w:val="00762251"/>
    <w:rsid w:val="00763AFB"/>
    <w:rsid w:val="0076473A"/>
    <w:rsid w:val="007658B0"/>
    <w:rsid w:val="00765FC4"/>
    <w:rsid w:val="00770EA2"/>
    <w:rsid w:val="00771C2B"/>
    <w:rsid w:val="00772FC7"/>
    <w:rsid w:val="00775527"/>
    <w:rsid w:val="00776D47"/>
    <w:rsid w:val="00781A69"/>
    <w:rsid w:val="00781D8B"/>
    <w:rsid w:val="00781F7D"/>
    <w:rsid w:val="00783D96"/>
    <w:rsid w:val="00786A43"/>
    <w:rsid w:val="00787431"/>
    <w:rsid w:val="00793611"/>
    <w:rsid w:val="007937B2"/>
    <w:rsid w:val="00793CF1"/>
    <w:rsid w:val="007945EA"/>
    <w:rsid w:val="007946C0"/>
    <w:rsid w:val="00797D87"/>
    <w:rsid w:val="007A0094"/>
    <w:rsid w:val="007A0251"/>
    <w:rsid w:val="007A108A"/>
    <w:rsid w:val="007A16FE"/>
    <w:rsid w:val="007A1FF5"/>
    <w:rsid w:val="007A2F0D"/>
    <w:rsid w:val="007A31AF"/>
    <w:rsid w:val="007A3809"/>
    <w:rsid w:val="007A57F3"/>
    <w:rsid w:val="007A6421"/>
    <w:rsid w:val="007A6B60"/>
    <w:rsid w:val="007A75AA"/>
    <w:rsid w:val="007B07F6"/>
    <w:rsid w:val="007B1CB9"/>
    <w:rsid w:val="007B1FFD"/>
    <w:rsid w:val="007B3780"/>
    <w:rsid w:val="007B4655"/>
    <w:rsid w:val="007B50CF"/>
    <w:rsid w:val="007B50D9"/>
    <w:rsid w:val="007B53BB"/>
    <w:rsid w:val="007B59A3"/>
    <w:rsid w:val="007B6C0E"/>
    <w:rsid w:val="007B72E6"/>
    <w:rsid w:val="007B7C71"/>
    <w:rsid w:val="007B7D62"/>
    <w:rsid w:val="007C071A"/>
    <w:rsid w:val="007C1BB7"/>
    <w:rsid w:val="007C1E5C"/>
    <w:rsid w:val="007C1ED4"/>
    <w:rsid w:val="007C283E"/>
    <w:rsid w:val="007C419C"/>
    <w:rsid w:val="007C5F68"/>
    <w:rsid w:val="007D0787"/>
    <w:rsid w:val="007D1676"/>
    <w:rsid w:val="007D18D5"/>
    <w:rsid w:val="007D37E2"/>
    <w:rsid w:val="007D39E2"/>
    <w:rsid w:val="007D40B6"/>
    <w:rsid w:val="007D578C"/>
    <w:rsid w:val="007D5E78"/>
    <w:rsid w:val="007D5FDA"/>
    <w:rsid w:val="007D7B63"/>
    <w:rsid w:val="007E1717"/>
    <w:rsid w:val="007E32A3"/>
    <w:rsid w:val="007E39BD"/>
    <w:rsid w:val="007E39FA"/>
    <w:rsid w:val="007E5D23"/>
    <w:rsid w:val="007F28ED"/>
    <w:rsid w:val="007F3E5D"/>
    <w:rsid w:val="007F6414"/>
    <w:rsid w:val="007F7246"/>
    <w:rsid w:val="007F753B"/>
    <w:rsid w:val="007F769B"/>
    <w:rsid w:val="007F7837"/>
    <w:rsid w:val="0080286A"/>
    <w:rsid w:val="00802FB2"/>
    <w:rsid w:val="00803483"/>
    <w:rsid w:val="0080365F"/>
    <w:rsid w:val="008049FB"/>
    <w:rsid w:val="00804F2D"/>
    <w:rsid w:val="00805143"/>
    <w:rsid w:val="00812489"/>
    <w:rsid w:val="00812959"/>
    <w:rsid w:val="00812EAA"/>
    <w:rsid w:val="00813B07"/>
    <w:rsid w:val="00814213"/>
    <w:rsid w:val="00814AC0"/>
    <w:rsid w:val="008155F6"/>
    <w:rsid w:val="0081603C"/>
    <w:rsid w:val="00820D4F"/>
    <w:rsid w:val="0082427A"/>
    <w:rsid w:val="00824D94"/>
    <w:rsid w:val="00825974"/>
    <w:rsid w:val="00825FDA"/>
    <w:rsid w:val="00827794"/>
    <w:rsid w:val="00827BD0"/>
    <w:rsid w:val="008338BD"/>
    <w:rsid w:val="00835046"/>
    <w:rsid w:val="008372DD"/>
    <w:rsid w:val="00837A4A"/>
    <w:rsid w:val="00840A68"/>
    <w:rsid w:val="00842E93"/>
    <w:rsid w:val="008450A5"/>
    <w:rsid w:val="00845E14"/>
    <w:rsid w:val="008461F4"/>
    <w:rsid w:val="0084620D"/>
    <w:rsid w:val="00853B65"/>
    <w:rsid w:val="00854B9E"/>
    <w:rsid w:val="00855BA6"/>
    <w:rsid w:val="00856172"/>
    <w:rsid w:val="00857142"/>
    <w:rsid w:val="0085773C"/>
    <w:rsid w:val="00857A79"/>
    <w:rsid w:val="008602F8"/>
    <w:rsid w:val="0086064E"/>
    <w:rsid w:val="0086124D"/>
    <w:rsid w:val="0086294B"/>
    <w:rsid w:val="00864232"/>
    <w:rsid w:val="008643E3"/>
    <w:rsid w:val="0086624A"/>
    <w:rsid w:val="008672EF"/>
    <w:rsid w:val="00870231"/>
    <w:rsid w:val="00871991"/>
    <w:rsid w:val="00877017"/>
    <w:rsid w:val="0087715F"/>
    <w:rsid w:val="00877FD9"/>
    <w:rsid w:val="008803BB"/>
    <w:rsid w:val="00881274"/>
    <w:rsid w:val="00882F74"/>
    <w:rsid w:val="0089340E"/>
    <w:rsid w:val="00893688"/>
    <w:rsid w:val="00893B03"/>
    <w:rsid w:val="008945FB"/>
    <w:rsid w:val="00895A4A"/>
    <w:rsid w:val="00897977"/>
    <w:rsid w:val="008A019E"/>
    <w:rsid w:val="008A043A"/>
    <w:rsid w:val="008A0528"/>
    <w:rsid w:val="008A22DA"/>
    <w:rsid w:val="008A2722"/>
    <w:rsid w:val="008A41E4"/>
    <w:rsid w:val="008A4D4B"/>
    <w:rsid w:val="008A62A4"/>
    <w:rsid w:val="008A6F47"/>
    <w:rsid w:val="008B0F0D"/>
    <w:rsid w:val="008B1BCC"/>
    <w:rsid w:val="008B1DF4"/>
    <w:rsid w:val="008B3843"/>
    <w:rsid w:val="008B4A92"/>
    <w:rsid w:val="008B4BDD"/>
    <w:rsid w:val="008B51B5"/>
    <w:rsid w:val="008B54C9"/>
    <w:rsid w:val="008B5C6B"/>
    <w:rsid w:val="008B6F74"/>
    <w:rsid w:val="008B739A"/>
    <w:rsid w:val="008B75B9"/>
    <w:rsid w:val="008B7955"/>
    <w:rsid w:val="008C2475"/>
    <w:rsid w:val="008C360D"/>
    <w:rsid w:val="008C3CA6"/>
    <w:rsid w:val="008C6654"/>
    <w:rsid w:val="008C6D90"/>
    <w:rsid w:val="008C7DD3"/>
    <w:rsid w:val="008C7FAC"/>
    <w:rsid w:val="008D4FB3"/>
    <w:rsid w:val="008D605F"/>
    <w:rsid w:val="008D6272"/>
    <w:rsid w:val="008E3721"/>
    <w:rsid w:val="008E3B9F"/>
    <w:rsid w:val="008E4597"/>
    <w:rsid w:val="008E539B"/>
    <w:rsid w:val="008E5546"/>
    <w:rsid w:val="008E5C9D"/>
    <w:rsid w:val="008E5E1B"/>
    <w:rsid w:val="008E6E8D"/>
    <w:rsid w:val="008E6F93"/>
    <w:rsid w:val="008E77B2"/>
    <w:rsid w:val="008E7F4F"/>
    <w:rsid w:val="008F11EE"/>
    <w:rsid w:val="008F2624"/>
    <w:rsid w:val="008F28D7"/>
    <w:rsid w:val="008F2BC7"/>
    <w:rsid w:val="008F3043"/>
    <w:rsid w:val="008F5785"/>
    <w:rsid w:val="008F6517"/>
    <w:rsid w:val="008F6EC1"/>
    <w:rsid w:val="008F700C"/>
    <w:rsid w:val="00900D24"/>
    <w:rsid w:val="009022F0"/>
    <w:rsid w:val="009038FB"/>
    <w:rsid w:val="00910FA3"/>
    <w:rsid w:val="0091145E"/>
    <w:rsid w:val="0091291F"/>
    <w:rsid w:val="00912C2A"/>
    <w:rsid w:val="00912DCE"/>
    <w:rsid w:val="009145E3"/>
    <w:rsid w:val="009147E1"/>
    <w:rsid w:val="009147F9"/>
    <w:rsid w:val="0091481A"/>
    <w:rsid w:val="00914A23"/>
    <w:rsid w:val="00914FD4"/>
    <w:rsid w:val="00915449"/>
    <w:rsid w:val="0091556E"/>
    <w:rsid w:val="00915F48"/>
    <w:rsid w:val="00917DF6"/>
    <w:rsid w:val="00917F8C"/>
    <w:rsid w:val="00921733"/>
    <w:rsid w:val="00925DE7"/>
    <w:rsid w:val="0092656E"/>
    <w:rsid w:val="00926F3E"/>
    <w:rsid w:val="009301EA"/>
    <w:rsid w:val="00930F56"/>
    <w:rsid w:val="00932899"/>
    <w:rsid w:val="0093296C"/>
    <w:rsid w:val="009341CC"/>
    <w:rsid w:val="009341D6"/>
    <w:rsid w:val="00934BE4"/>
    <w:rsid w:val="00934C0A"/>
    <w:rsid w:val="009352EB"/>
    <w:rsid w:val="00935428"/>
    <w:rsid w:val="0093622B"/>
    <w:rsid w:val="00937A31"/>
    <w:rsid w:val="009405BB"/>
    <w:rsid w:val="009407B9"/>
    <w:rsid w:val="00941328"/>
    <w:rsid w:val="0094194A"/>
    <w:rsid w:val="009420A1"/>
    <w:rsid w:val="00942427"/>
    <w:rsid w:val="00942852"/>
    <w:rsid w:val="0094319B"/>
    <w:rsid w:val="00943AC1"/>
    <w:rsid w:val="0094578A"/>
    <w:rsid w:val="00945F0F"/>
    <w:rsid w:val="00951A05"/>
    <w:rsid w:val="00953DCF"/>
    <w:rsid w:val="009543C5"/>
    <w:rsid w:val="009570A3"/>
    <w:rsid w:val="0096168C"/>
    <w:rsid w:val="009617C9"/>
    <w:rsid w:val="00962E0F"/>
    <w:rsid w:val="00963885"/>
    <w:rsid w:val="009642CE"/>
    <w:rsid w:val="00964827"/>
    <w:rsid w:val="009667E2"/>
    <w:rsid w:val="00966C39"/>
    <w:rsid w:val="00967A4F"/>
    <w:rsid w:val="00967C3C"/>
    <w:rsid w:val="00970EF3"/>
    <w:rsid w:val="00973057"/>
    <w:rsid w:val="00973431"/>
    <w:rsid w:val="00976677"/>
    <w:rsid w:val="0097705B"/>
    <w:rsid w:val="00983943"/>
    <w:rsid w:val="0098616F"/>
    <w:rsid w:val="00986CB0"/>
    <w:rsid w:val="00986CCB"/>
    <w:rsid w:val="00986DCE"/>
    <w:rsid w:val="00991A88"/>
    <w:rsid w:val="00993B03"/>
    <w:rsid w:val="00996092"/>
    <w:rsid w:val="009968C0"/>
    <w:rsid w:val="009975D1"/>
    <w:rsid w:val="009A000F"/>
    <w:rsid w:val="009A0C03"/>
    <w:rsid w:val="009A1B9A"/>
    <w:rsid w:val="009A2389"/>
    <w:rsid w:val="009A4840"/>
    <w:rsid w:val="009A5E2E"/>
    <w:rsid w:val="009A6E81"/>
    <w:rsid w:val="009A7E45"/>
    <w:rsid w:val="009B060C"/>
    <w:rsid w:val="009B0E03"/>
    <w:rsid w:val="009B10E2"/>
    <w:rsid w:val="009B1272"/>
    <w:rsid w:val="009B25F1"/>
    <w:rsid w:val="009B3230"/>
    <w:rsid w:val="009B4486"/>
    <w:rsid w:val="009B449E"/>
    <w:rsid w:val="009B48EC"/>
    <w:rsid w:val="009B4920"/>
    <w:rsid w:val="009B556A"/>
    <w:rsid w:val="009B652F"/>
    <w:rsid w:val="009C0989"/>
    <w:rsid w:val="009C14D3"/>
    <w:rsid w:val="009C151A"/>
    <w:rsid w:val="009C28DD"/>
    <w:rsid w:val="009C328E"/>
    <w:rsid w:val="009C40A7"/>
    <w:rsid w:val="009C5824"/>
    <w:rsid w:val="009C5B80"/>
    <w:rsid w:val="009C7583"/>
    <w:rsid w:val="009C7741"/>
    <w:rsid w:val="009D0F15"/>
    <w:rsid w:val="009D13B8"/>
    <w:rsid w:val="009D14AA"/>
    <w:rsid w:val="009D1C2A"/>
    <w:rsid w:val="009D2182"/>
    <w:rsid w:val="009D31C3"/>
    <w:rsid w:val="009D379D"/>
    <w:rsid w:val="009D4337"/>
    <w:rsid w:val="009D4795"/>
    <w:rsid w:val="009D4FDE"/>
    <w:rsid w:val="009D52E9"/>
    <w:rsid w:val="009D5BDA"/>
    <w:rsid w:val="009D5DCA"/>
    <w:rsid w:val="009E0E84"/>
    <w:rsid w:val="009E156A"/>
    <w:rsid w:val="009E369F"/>
    <w:rsid w:val="009E3BEC"/>
    <w:rsid w:val="009E499F"/>
    <w:rsid w:val="009E49EA"/>
    <w:rsid w:val="009E4B2A"/>
    <w:rsid w:val="009E4DD8"/>
    <w:rsid w:val="009E5475"/>
    <w:rsid w:val="009E632E"/>
    <w:rsid w:val="009E68A5"/>
    <w:rsid w:val="009E7924"/>
    <w:rsid w:val="009F2A28"/>
    <w:rsid w:val="009F7544"/>
    <w:rsid w:val="009F7DEC"/>
    <w:rsid w:val="00A00E1D"/>
    <w:rsid w:val="00A00EB5"/>
    <w:rsid w:val="00A012CB"/>
    <w:rsid w:val="00A029E2"/>
    <w:rsid w:val="00A02F22"/>
    <w:rsid w:val="00A04B01"/>
    <w:rsid w:val="00A05800"/>
    <w:rsid w:val="00A05C39"/>
    <w:rsid w:val="00A06413"/>
    <w:rsid w:val="00A10168"/>
    <w:rsid w:val="00A10203"/>
    <w:rsid w:val="00A123F6"/>
    <w:rsid w:val="00A12CF2"/>
    <w:rsid w:val="00A13370"/>
    <w:rsid w:val="00A14627"/>
    <w:rsid w:val="00A179AC"/>
    <w:rsid w:val="00A20E9B"/>
    <w:rsid w:val="00A227FE"/>
    <w:rsid w:val="00A23DA5"/>
    <w:rsid w:val="00A24EC3"/>
    <w:rsid w:val="00A250F2"/>
    <w:rsid w:val="00A25172"/>
    <w:rsid w:val="00A266B2"/>
    <w:rsid w:val="00A26EDC"/>
    <w:rsid w:val="00A3005B"/>
    <w:rsid w:val="00A31821"/>
    <w:rsid w:val="00A32131"/>
    <w:rsid w:val="00A3216A"/>
    <w:rsid w:val="00A3336D"/>
    <w:rsid w:val="00A3434E"/>
    <w:rsid w:val="00A408BF"/>
    <w:rsid w:val="00A41E56"/>
    <w:rsid w:val="00A41FB3"/>
    <w:rsid w:val="00A45AE4"/>
    <w:rsid w:val="00A46152"/>
    <w:rsid w:val="00A47391"/>
    <w:rsid w:val="00A47AB8"/>
    <w:rsid w:val="00A50224"/>
    <w:rsid w:val="00A50993"/>
    <w:rsid w:val="00A53A93"/>
    <w:rsid w:val="00A53DA9"/>
    <w:rsid w:val="00A548C2"/>
    <w:rsid w:val="00A571E7"/>
    <w:rsid w:val="00A60881"/>
    <w:rsid w:val="00A60D6F"/>
    <w:rsid w:val="00A61461"/>
    <w:rsid w:val="00A618C5"/>
    <w:rsid w:val="00A63479"/>
    <w:rsid w:val="00A64C2D"/>
    <w:rsid w:val="00A6708F"/>
    <w:rsid w:val="00A700FA"/>
    <w:rsid w:val="00A70217"/>
    <w:rsid w:val="00A7121E"/>
    <w:rsid w:val="00A716D3"/>
    <w:rsid w:val="00A71924"/>
    <w:rsid w:val="00A73480"/>
    <w:rsid w:val="00A73F57"/>
    <w:rsid w:val="00A7470F"/>
    <w:rsid w:val="00A758C1"/>
    <w:rsid w:val="00A762FD"/>
    <w:rsid w:val="00A76300"/>
    <w:rsid w:val="00A76E35"/>
    <w:rsid w:val="00A77982"/>
    <w:rsid w:val="00A800D4"/>
    <w:rsid w:val="00A803D3"/>
    <w:rsid w:val="00A81956"/>
    <w:rsid w:val="00A81D0F"/>
    <w:rsid w:val="00A8272E"/>
    <w:rsid w:val="00A8336B"/>
    <w:rsid w:val="00A837FD"/>
    <w:rsid w:val="00A84C13"/>
    <w:rsid w:val="00A84C73"/>
    <w:rsid w:val="00A855DB"/>
    <w:rsid w:val="00A86027"/>
    <w:rsid w:val="00A900E2"/>
    <w:rsid w:val="00A9058E"/>
    <w:rsid w:val="00A9068A"/>
    <w:rsid w:val="00A90765"/>
    <w:rsid w:val="00A90FC1"/>
    <w:rsid w:val="00A9202D"/>
    <w:rsid w:val="00A92280"/>
    <w:rsid w:val="00A923B6"/>
    <w:rsid w:val="00A9379C"/>
    <w:rsid w:val="00A949EE"/>
    <w:rsid w:val="00A94DC4"/>
    <w:rsid w:val="00A94F0F"/>
    <w:rsid w:val="00A966DA"/>
    <w:rsid w:val="00A9717C"/>
    <w:rsid w:val="00AA00B6"/>
    <w:rsid w:val="00AA13DB"/>
    <w:rsid w:val="00AA2016"/>
    <w:rsid w:val="00AA212B"/>
    <w:rsid w:val="00AA3F39"/>
    <w:rsid w:val="00AA64E2"/>
    <w:rsid w:val="00AB0B24"/>
    <w:rsid w:val="00AB34DF"/>
    <w:rsid w:val="00AB5275"/>
    <w:rsid w:val="00AC0664"/>
    <w:rsid w:val="00AC3112"/>
    <w:rsid w:val="00AC3454"/>
    <w:rsid w:val="00AC3572"/>
    <w:rsid w:val="00AC377B"/>
    <w:rsid w:val="00AC3F40"/>
    <w:rsid w:val="00AC43E8"/>
    <w:rsid w:val="00AC69E2"/>
    <w:rsid w:val="00AC6B74"/>
    <w:rsid w:val="00AC7234"/>
    <w:rsid w:val="00AD19B6"/>
    <w:rsid w:val="00AD45F4"/>
    <w:rsid w:val="00AD508E"/>
    <w:rsid w:val="00AD5422"/>
    <w:rsid w:val="00AE01CA"/>
    <w:rsid w:val="00AE09E4"/>
    <w:rsid w:val="00AE0F87"/>
    <w:rsid w:val="00AE19C3"/>
    <w:rsid w:val="00AE36EE"/>
    <w:rsid w:val="00AE53ED"/>
    <w:rsid w:val="00AE576B"/>
    <w:rsid w:val="00AE57DD"/>
    <w:rsid w:val="00AE604F"/>
    <w:rsid w:val="00AE7CE0"/>
    <w:rsid w:val="00AF0FE9"/>
    <w:rsid w:val="00AF12BA"/>
    <w:rsid w:val="00AF33E0"/>
    <w:rsid w:val="00AF37A9"/>
    <w:rsid w:val="00AF39FC"/>
    <w:rsid w:val="00AF4D79"/>
    <w:rsid w:val="00AF5252"/>
    <w:rsid w:val="00AF5D0C"/>
    <w:rsid w:val="00AF7B0F"/>
    <w:rsid w:val="00B031BF"/>
    <w:rsid w:val="00B03A2E"/>
    <w:rsid w:val="00B06095"/>
    <w:rsid w:val="00B06390"/>
    <w:rsid w:val="00B06FB4"/>
    <w:rsid w:val="00B07C80"/>
    <w:rsid w:val="00B11291"/>
    <w:rsid w:val="00B118AC"/>
    <w:rsid w:val="00B1191D"/>
    <w:rsid w:val="00B13486"/>
    <w:rsid w:val="00B13F9F"/>
    <w:rsid w:val="00B147FD"/>
    <w:rsid w:val="00B14CD8"/>
    <w:rsid w:val="00B150B0"/>
    <w:rsid w:val="00B17838"/>
    <w:rsid w:val="00B21803"/>
    <w:rsid w:val="00B21B38"/>
    <w:rsid w:val="00B222D3"/>
    <w:rsid w:val="00B2383F"/>
    <w:rsid w:val="00B23E1E"/>
    <w:rsid w:val="00B26957"/>
    <w:rsid w:val="00B26E29"/>
    <w:rsid w:val="00B27124"/>
    <w:rsid w:val="00B27D92"/>
    <w:rsid w:val="00B307C0"/>
    <w:rsid w:val="00B312B8"/>
    <w:rsid w:val="00B31DD0"/>
    <w:rsid w:val="00B320D3"/>
    <w:rsid w:val="00B3447D"/>
    <w:rsid w:val="00B37A8A"/>
    <w:rsid w:val="00B37EFF"/>
    <w:rsid w:val="00B420C1"/>
    <w:rsid w:val="00B42310"/>
    <w:rsid w:val="00B42B80"/>
    <w:rsid w:val="00B43544"/>
    <w:rsid w:val="00B438C6"/>
    <w:rsid w:val="00B43CF8"/>
    <w:rsid w:val="00B45E50"/>
    <w:rsid w:val="00B4632E"/>
    <w:rsid w:val="00B46881"/>
    <w:rsid w:val="00B46D72"/>
    <w:rsid w:val="00B5362F"/>
    <w:rsid w:val="00B55F78"/>
    <w:rsid w:val="00B560E3"/>
    <w:rsid w:val="00B572DD"/>
    <w:rsid w:val="00B57A5C"/>
    <w:rsid w:val="00B57E8D"/>
    <w:rsid w:val="00B6262D"/>
    <w:rsid w:val="00B63A73"/>
    <w:rsid w:val="00B63A8A"/>
    <w:rsid w:val="00B63B73"/>
    <w:rsid w:val="00B64088"/>
    <w:rsid w:val="00B64225"/>
    <w:rsid w:val="00B65E5F"/>
    <w:rsid w:val="00B67DF2"/>
    <w:rsid w:val="00B704BD"/>
    <w:rsid w:val="00B712A2"/>
    <w:rsid w:val="00B72B6A"/>
    <w:rsid w:val="00B72BDE"/>
    <w:rsid w:val="00B733E5"/>
    <w:rsid w:val="00B733F0"/>
    <w:rsid w:val="00B73BB4"/>
    <w:rsid w:val="00B73E50"/>
    <w:rsid w:val="00B73F3F"/>
    <w:rsid w:val="00B74305"/>
    <w:rsid w:val="00B747CE"/>
    <w:rsid w:val="00B7533E"/>
    <w:rsid w:val="00B777D7"/>
    <w:rsid w:val="00B77946"/>
    <w:rsid w:val="00B77EE8"/>
    <w:rsid w:val="00B80871"/>
    <w:rsid w:val="00B80D44"/>
    <w:rsid w:val="00B80E91"/>
    <w:rsid w:val="00B81F5B"/>
    <w:rsid w:val="00B82789"/>
    <w:rsid w:val="00B839B4"/>
    <w:rsid w:val="00B83FFB"/>
    <w:rsid w:val="00B8413B"/>
    <w:rsid w:val="00B85B96"/>
    <w:rsid w:val="00B876E0"/>
    <w:rsid w:val="00B87759"/>
    <w:rsid w:val="00B87E05"/>
    <w:rsid w:val="00B90813"/>
    <w:rsid w:val="00B91AA5"/>
    <w:rsid w:val="00B9367A"/>
    <w:rsid w:val="00B94C40"/>
    <w:rsid w:val="00B94DBE"/>
    <w:rsid w:val="00B96E2C"/>
    <w:rsid w:val="00B9765A"/>
    <w:rsid w:val="00BA0A59"/>
    <w:rsid w:val="00BA1480"/>
    <w:rsid w:val="00BA1FC7"/>
    <w:rsid w:val="00BA2B81"/>
    <w:rsid w:val="00BA38C3"/>
    <w:rsid w:val="00BA3B36"/>
    <w:rsid w:val="00BA42F6"/>
    <w:rsid w:val="00BA451B"/>
    <w:rsid w:val="00BA7835"/>
    <w:rsid w:val="00BB15E9"/>
    <w:rsid w:val="00BB22AB"/>
    <w:rsid w:val="00BB22CD"/>
    <w:rsid w:val="00BB2954"/>
    <w:rsid w:val="00BB451B"/>
    <w:rsid w:val="00BB4CC3"/>
    <w:rsid w:val="00BB4F28"/>
    <w:rsid w:val="00BB5F68"/>
    <w:rsid w:val="00BB65E9"/>
    <w:rsid w:val="00BB7862"/>
    <w:rsid w:val="00BC0179"/>
    <w:rsid w:val="00BC2A51"/>
    <w:rsid w:val="00BC4EA9"/>
    <w:rsid w:val="00BC5158"/>
    <w:rsid w:val="00BC5288"/>
    <w:rsid w:val="00BC5FB1"/>
    <w:rsid w:val="00BC72C4"/>
    <w:rsid w:val="00BC742C"/>
    <w:rsid w:val="00BC74AB"/>
    <w:rsid w:val="00BD0655"/>
    <w:rsid w:val="00BD2D20"/>
    <w:rsid w:val="00BD381F"/>
    <w:rsid w:val="00BD4079"/>
    <w:rsid w:val="00BD4469"/>
    <w:rsid w:val="00BD7541"/>
    <w:rsid w:val="00BE1185"/>
    <w:rsid w:val="00BE2A1D"/>
    <w:rsid w:val="00BE3D1A"/>
    <w:rsid w:val="00BE4F73"/>
    <w:rsid w:val="00BE633E"/>
    <w:rsid w:val="00BE6AC8"/>
    <w:rsid w:val="00BE6D3E"/>
    <w:rsid w:val="00BF176C"/>
    <w:rsid w:val="00BF1A88"/>
    <w:rsid w:val="00BF2DF0"/>
    <w:rsid w:val="00BF35F2"/>
    <w:rsid w:val="00BF4CC4"/>
    <w:rsid w:val="00BF6655"/>
    <w:rsid w:val="00BF7035"/>
    <w:rsid w:val="00BF7CA8"/>
    <w:rsid w:val="00BF7CDA"/>
    <w:rsid w:val="00C0037B"/>
    <w:rsid w:val="00C01675"/>
    <w:rsid w:val="00C02CFD"/>
    <w:rsid w:val="00C044BB"/>
    <w:rsid w:val="00C050BB"/>
    <w:rsid w:val="00C05817"/>
    <w:rsid w:val="00C062C5"/>
    <w:rsid w:val="00C105A0"/>
    <w:rsid w:val="00C1093B"/>
    <w:rsid w:val="00C11D0A"/>
    <w:rsid w:val="00C126D0"/>
    <w:rsid w:val="00C133DF"/>
    <w:rsid w:val="00C145DB"/>
    <w:rsid w:val="00C15656"/>
    <w:rsid w:val="00C15F85"/>
    <w:rsid w:val="00C16139"/>
    <w:rsid w:val="00C16644"/>
    <w:rsid w:val="00C16FD7"/>
    <w:rsid w:val="00C17830"/>
    <w:rsid w:val="00C17DFF"/>
    <w:rsid w:val="00C2022B"/>
    <w:rsid w:val="00C21C7A"/>
    <w:rsid w:val="00C22D93"/>
    <w:rsid w:val="00C23BAA"/>
    <w:rsid w:val="00C2494A"/>
    <w:rsid w:val="00C255CD"/>
    <w:rsid w:val="00C279FA"/>
    <w:rsid w:val="00C3051E"/>
    <w:rsid w:val="00C30AB4"/>
    <w:rsid w:val="00C3316C"/>
    <w:rsid w:val="00C34809"/>
    <w:rsid w:val="00C35115"/>
    <w:rsid w:val="00C35E46"/>
    <w:rsid w:val="00C3741B"/>
    <w:rsid w:val="00C42EDD"/>
    <w:rsid w:val="00C44348"/>
    <w:rsid w:val="00C44356"/>
    <w:rsid w:val="00C4443E"/>
    <w:rsid w:val="00C44DB3"/>
    <w:rsid w:val="00C45235"/>
    <w:rsid w:val="00C4600F"/>
    <w:rsid w:val="00C46DE7"/>
    <w:rsid w:val="00C477FD"/>
    <w:rsid w:val="00C47EE1"/>
    <w:rsid w:val="00C50D45"/>
    <w:rsid w:val="00C5138B"/>
    <w:rsid w:val="00C52A25"/>
    <w:rsid w:val="00C52E2F"/>
    <w:rsid w:val="00C5571E"/>
    <w:rsid w:val="00C55F09"/>
    <w:rsid w:val="00C5614B"/>
    <w:rsid w:val="00C5622F"/>
    <w:rsid w:val="00C56A63"/>
    <w:rsid w:val="00C629B0"/>
    <w:rsid w:val="00C65AE2"/>
    <w:rsid w:val="00C65E61"/>
    <w:rsid w:val="00C67C43"/>
    <w:rsid w:val="00C7047A"/>
    <w:rsid w:val="00C706C8"/>
    <w:rsid w:val="00C708BA"/>
    <w:rsid w:val="00C71736"/>
    <w:rsid w:val="00C71B90"/>
    <w:rsid w:val="00C725BA"/>
    <w:rsid w:val="00C72917"/>
    <w:rsid w:val="00C743DA"/>
    <w:rsid w:val="00C747AB"/>
    <w:rsid w:val="00C74D46"/>
    <w:rsid w:val="00C74F35"/>
    <w:rsid w:val="00C75A3F"/>
    <w:rsid w:val="00C77043"/>
    <w:rsid w:val="00C772C6"/>
    <w:rsid w:val="00C776C9"/>
    <w:rsid w:val="00C77AE5"/>
    <w:rsid w:val="00C80A8C"/>
    <w:rsid w:val="00C811BD"/>
    <w:rsid w:val="00C812E7"/>
    <w:rsid w:val="00C81773"/>
    <w:rsid w:val="00C821D1"/>
    <w:rsid w:val="00C836D7"/>
    <w:rsid w:val="00C838E3"/>
    <w:rsid w:val="00C852AC"/>
    <w:rsid w:val="00C85E5E"/>
    <w:rsid w:val="00C8735F"/>
    <w:rsid w:val="00C87C87"/>
    <w:rsid w:val="00C90B04"/>
    <w:rsid w:val="00C92998"/>
    <w:rsid w:val="00C9321E"/>
    <w:rsid w:val="00C94B8F"/>
    <w:rsid w:val="00C9646E"/>
    <w:rsid w:val="00C97327"/>
    <w:rsid w:val="00CA4194"/>
    <w:rsid w:val="00CA42EC"/>
    <w:rsid w:val="00CA4506"/>
    <w:rsid w:val="00CA529E"/>
    <w:rsid w:val="00CA6B4C"/>
    <w:rsid w:val="00CA7EE9"/>
    <w:rsid w:val="00CB1C86"/>
    <w:rsid w:val="00CB29F6"/>
    <w:rsid w:val="00CB3302"/>
    <w:rsid w:val="00CB3486"/>
    <w:rsid w:val="00CB437D"/>
    <w:rsid w:val="00CB4C48"/>
    <w:rsid w:val="00CB56F3"/>
    <w:rsid w:val="00CB5A20"/>
    <w:rsid w:val="00CB7E36"/>
    <w:rsid w:val="00CC0171"/>
    <w:rsid w:val="00CC3212"/>
    <w:rsid w:val="00CC40E4"/>
    <w:rsid w:val="00CC41B7"/>
    <w:rsid w:val="00CC5F0D"/>
    <w:rsid w:val="00CD0DBD"/>
    <w:rsid w:val="00CD229E"/>
    <w:rsid w:val="00CD387F"/>
    <w:rsid w:val="00CD594E"/>
    <w:rsid w:val="00CE0A1F"/>
    <w:rsid w:val="00CE1E89"/>
    <w:rsid w:val="00CE3E5B"/>
    <w:rsid w:val="00CE4F52"/>
    <w:rsid w:val="00CE6AE2"/>
    <w:rsid w:val="00CE6B30"/>
    <w:rsid w:val="00CE780B"/>
    <w:rsid w:val="00CF057A"/>
    <w:rsid w:val="00CF4113"/>
    <w:rsid w:val="00CF5692"/>
    <w:rsid w:val="00CF59CB"/>
    <w:rsid w:val="00CF5D39"/>
    <w:rsid w:val="00CF779F"/>
    <w:rsid w:val="00D00036"/>
    <w:rsid w:val="00D03068"/>
    <w:rsid w:val="00D030B4"/>
    <w:rsid w:val="00D03936"/>
    <w:rsid w:val="00D03A17"/>
    <w:rsid w:val="00D04DFD"/>
    <w:rsid w:val="00D04FA2"/>
    <w:rsid w:val="00D05041"/>
    <w:rsid w:val="00D05891"/>
    <w:rsid w:val="00D068CE"/>
    <w:rsid w:val="00D06E0B"/>
    <w:rsid w:val="00D070ED"/>
    <w:rsid w:val="00D07A24"/>
    <w:rsid w:val="00D07CDB"/>
    <w:rsid w:val="00D1102C"/>
    <w:rsid w:val="00D11AE2"/>
    <w:rsid w:val="00D122B3"/>
    <w:rsid w:val="00D152B6"/>
    <w:rsid w:val="00D15927"/>
    <w:rsid w:val="00D17D4E"/>
    <w:rsid w:val="00D17E2E"/>
    <w:rsid w:val="00D20170"/>
    <w:rsid w:val="00D20D45"/>
    <w:rsid w:val="00D20FF7"/>
    <w:rsid w:val="00D21F3A"/>
    <w:rsid w:val="00D224F4"/>
    <w:rsid w:val="00D2254A"/>
    <w:rsid w:val="00D22DA4"/>
    <w:rsid w:val="00D22E4E"/>
    <w:rsid w:val="00D25A57"/>
    <w:rsid w:val="00D26266"/>
    <w:rsid w:val="00D26B72"/>
    <w:rsid w:val="00D26EBB"/>
    <w:rsid w:val="00D30BA5"/>
    <w:rsid w:val="00D34007"/>
    <w:rsid w:val="00D35FF2"/>
    <w:rsid w:val="00D3750C"/>
    <w:rsid w:val="00D37D2D"/>
    <w:rsid w:val="00D37E38"/>
    <w:rsid w:val="00D40433"/>
    <w:rsid w:val="00D423CB"/>
    <w:rsid w:val="00D4578F"/>
    <w:rsid w:val="00D45D1E"/>
    <w:rsid w:val="00D45D33"/>
    <w:rsid w:val="00D465C1"/>
    <w:rsid w:val="00D46F75"/>
    <w:rsid w:val="00D50AA2"/>
    <w:rsid w:val="00D515FF"/>
    <w:rsid w:val="00D51A4A"/>
    <w:rsid w:val="00D5328E"/>
    <w:rsid w:val="00D564CB"/>
    <w:rsid w:val="00D568F3"/>
    <w:rsid w:val="00D6036B"/>
    <w:rsid w:val="00D60BE9"/>
    <w:rsid w:val="00D60F31"/>
    <w:rsid w:val="00D634F8"/>
    <w:rsid w:val="00D6393D"/>
    <w:rsid w:val="00D63944"/>
    <w:rsid w:val="00D64AD4"/>
    <w:rsid w:val="00D64EE1"/>
    <w:rsid w:val="00D65632"/>
    <w:rsid w:val="00D66426"/>
    <w:rsid w:val="00D6678D"/>
    <w:rsid w:val="00D66F70"/>
    <w:rsid w:val="00D6722B"/>
    <w:rsid w:val="00D719C8"/>
    <w:rsid w:val="00D71F27"/>
    <w:rsid w:val="00D734C1"/>
    <w:rsid w:val="00D76E29"/>
    <w:rsid w:val="00D83402"/>
    <w:rsid w:val="00D84172"/>
    <w:rsid w:val="00D85166"/>
    <w:rsid w:val="00D914AA"/>
    <w:rsid w:val="00D918AE"/>
    <w:rsid w:val="00D92450"/>
    <w:rsid w:val="00D92EAA"/>
    <w:rsid w:val="00D93AA0"/>
    <w:rsid w:val="00D94286"/>
    <w:rsid w:val="00D948DB"/>
    <w:rsid w:val="00D94D25"/>
    <w:rsid w:val="00D9560A"/>
    <w:rsid w:val="00D95753"/>
    <w:rsid w:val="00D9599B"/>
    <w:rsid w:val="00D97C37"/>
    <w:rsid w:val="00D97D54"/>
    <w:rsid w:val="00DA0514"/>
    <w:rsid w:val="00DA265E"/>
    <w:rsid w:val="00DA427A"/>
    <w:rsid w:val="00DA43CB"/>
    <w:rsid w:val="00DA49F3"/>
    <w:rsid w:val="00DA59B5"/>
    <w:rsid w:val="00DA6D63"/>
    <w:rsid w:val="00DA78EC"/>
    <w:rsid w:val="00DB0636"/>
    <w:rsid w:val="00DB15FD"/>
    <w:rsid w:val="00DB1E3C"/>
    <w:rsid w:val="00DB2641"/>
    <w:rsid w:val="00DB406C"/>
    <w:rsid w:val="00DB7524"/>
    <w:rsid w:val="00DB7CAC"/>
    <w:rsid w:val="00DC28EB"/>
    <w:rsid w:val="00DC3240"/>
    <w:rsid w:val="00DC3986"/>
    <w:rsid w:val="00DC3B68"/>
    <w:rsid w:val="00DC5DCB"/>
    <w:rsid w:val="00DC6AFA"/>
    <w:rsid w:val="00DC71E8"/>
    <w:rsid w:val="00DC74EA"/>
    <w:rsid w:val="00DD064C"/>
    <w:rsid w:val="00DD0847"/>
    <w:rsid w:val="00DD1933"/>
    <w:rsid w:val="00DD1B6E"/>
    <w:rsid w:val="00DD36A5"/>
    <w:rsid w:val="00DD4629"/>
    <w:rsid w:val="00DD4F4A"/>
    <w:rsid w:val="00DD5683"/>
    <w:rsid w:val="00DD5A76"/>
    <w:rsid w:val="00DE09FA"/>
    <w:rsid w:val="00DE0AF5"/>
    <w:rsid w:val="00DE0B89"/>
    <w:rsid w:val="00DE29A5"/>
    <w:rsid w:val="00DE2EA9"/>
    <w:rsid w:val="00DE3727"/>
    <w:rsid w:val="00DE4A96"/>
    <w:rsid w:val="00DE57A5"/>
    <w:rsid w:val="00DE6CC1"/>
    <w:rsid w:val="00DE79E4"/>
    <w:rsid w:val="00DF1A2D"/>
    <w:rsid w:val="00DF200F"/>
    <w:rsid w:val="00DF302F"/>
    <w:rsid w:val="00DF411F"/>
    <w:rsid w:val="00DF5647"/>
    <w:rsid w:val="00DF5FDC"/>
    <w:rsid w:val="00DF75D5"/>
    <w:rsid w:val="00E0046A"/>
    <w:rsid w:val="00E00AF8"/>
    <w:rsid w:val="00E00D57"/>
    <w:rsid w:val="00E0112B"/>
    <w:rsid w:val="00E03B41"/>
    <w:rsid w:val="00E04E03"/>
    <w:rsid w:val="00E06687"/>
    <w:rsid w:val="00E0735D"/>
    <w:rsid w:val="00E075FA"/>
    <w:rsid w:val="00E10A1C"/>
    <w:rsid w:val="00E12453"/>
    <w:rsid w:val="00E13573"/>
    <w:rsid w:val="00E14E00"/>
    <w:rsid w:val="00E15976"/>
    <w:rsid w:val="00E16E1B"/>
    <w:rsid w:val="00E2181D"/>
    <w:rsid w:val="00E21CFD"/>
    <w:rsid w:val="00E2247D"/>
    <w:rsid w:val="00E22FB2"/>
    <w:rsid w:val="00E2364F"/>
    <w:rsid w:val="00E24C62"/>
    <w:rsid w:val="00E25635"/>
    <w:rsid w:val="00E25EA8"/>
    <w:rsid w:val="00E30E25"/>
    <w:rsid w:val="00E315D8"/>
    <w:rsid w:val="00E32C6B"/>
    <w:rsid w:val="00E333FB"/>
    <w:rsid w:val="00E4021A"/>
    <w:rsid w:val="00E42057"/>
    <w:rsid w:val="00E4382E"/>
    <w:rsid w:val="00E43CF1"/>
    <w:rsid w:val="00E44E61"/>
    <w:rsid w:val="00E4574E"/>
    <w:rsid w:val="00E45B68"/>
    <w:rsid w:val="00E4656B"/>
    <w:rsid w:val="00E474C7"/>
    <w:rsid w:val="00E5441D"/>
    <w:rsid w:val="00E54432"/>
    <w:rsid w:val="00E54615"/>
    <w:rsid w:val="00E556A7"/>
    <w:rsid w:val="00E577A8"/>
    <w:rsid w:val="00E57942"/>
    <w:rsid w:val="00E636A5"/>
    <w:rsid w:val="00E64517"/>
    <w:rsid w:val="00E6494F"/>
    <w:rsid w:val="00E65EC6"/>
    <w:rsid w:val="00E66ECA"/>
    <w:rsid w:val="00E6777D"/>
    <w:rsid w:val="00E70DA7"/>
    <w:rsid w:val="00E72CC8"/>
    <w:rsid w:val="00E74AE4"/>
    <w:rsid w:val="00E76359"/>
    <w:rsid w:val="00E76546"/>
    <w:rsid w:val="00E76675"/>
    <w:rsid w:val="00E77D1E"/>
    <w:rsid w:val="00E80A75"/>
    <w:rsid w:val="00E8206A"/>
    <w:rsid w:val="00E823B3"/>
    <w:rsid w:val="00E82B9A"/>
    <w:rsid w:val="00E838FB"/>
    <w:rsid w:val="00E84090"/>
    <w:rsid w:val="00E8480B"/>
    <w:rsid w:val="00E87791"/>
    <w:rsid w:val="00E9026F"/>
    <w:rsid w:val="00E90780"/>
    <w:rsid w:val="00E90C53"/>
    <w:rsid w:val="00E91615"/>
    <w:rsid w:val="00E92B17"/>
    <w:rsid w:val="00E93016"/>
    <w:rsid w:val="00E935AA"/>
    <w:rsid w:val="00E94FF8"/>
    <w:rsid w:val="00E95A86"/>
    <w:rsid w:val="00E963B4"/>
    <w:rsid w:val="00E96439"/>
    <w:rsid w:val="00E96C29"/>
    <w:rsid w:val="00E97940"/>
    <w:rsid w:val="00E97B26"/>
    <w:rsid w:val="00E97DFD"/>
    <w:rsid w:val="00EA0EFE"/>
    <w:rsid w:val="00EA209D"/>
    <w:rsid w:val="00EA363A"/>
    <w:rsid w:val="00EA3FA7"/>
    <w:rsid w:val="00EA6F6D"/>
    <w:rsid w:val="00EB392D"/>
    <w:rsid w:val="00EB3B7A"/>
    <w:rsid w:val="00EB43CC"/>
    <w:rsid w:val="00EB4FC8"/>
    <w:rsid w:val="00EB51E6"/>
    <w:rsid w:val="00EB7B4C"/>
    <w:rsid w:val="00EC0050"/>
    <w:rsid w:val="00EC1B79"/>
    <w:rsid w:val="00EC1FB8"/>
    <w:rsid w:val="00EC3E58"/>
    <w:rsid w:val="00EC5115"/>
    <w:rsid w:val="00ED1E20"/>
    <w:rsid w:val="00ED2108"/>
    <w:rsid w:val="00ED3D42"/>
    <w:rsid w:val="00ED575F"/>
    <w:rsid w:val="00ED5830"/>
    <w:rsid w:val="00ED744C"/>
    <w:rsid w:val="00ED7535"/>
    <w:rsid w:val="00ED7C8C"/>
    <w:rsid w:val="00EE1360"/>
    <w:rsid w:val="00EE1EFA"/>
    <w:rsid w:val="00EE2E61"/>
    <w:rsid w:val="00EE356E"/>
    <w:rsid w:val="00EE36E6"/>
    <w:rsid w:val="00EE4076"/>
    <w:rsid w:val="00EE4B43"/>
    <w:rsid w:val="00EE6D1B"/>
    <w:rsid w:val="00EE6EB0"/>
    <w:rsid w:val="00EE6FD2"/>
    <w:rsid w:val="00EE7739"/>
    <w:rsid w:val="00EF04AC"/>
    <w:rsid w:val="00EF0A78"/>
    <w:rsid w:val="00EF0E01"/>
    <w:rsid w:val="00EF20A2"/>
    <w:rsid w:val="00EF3815"/>
    <w:rsid w:val="00EF3C20"/>
    <w:rsid w:val="00EF4371"/>
    <w:rsid w:val="00EF5CDA"/>
    <w:rsid w:val="00EF7DD9"/>
    <w:rsid w:val="00F005E2"/>
    <w:rsid w:val="00F01D55"/>
    <w:rsid w:val="00F01FBB"/>
    <w:rsid w:val="00F05982"/>
    <w:rsid w:val="00F06C5E"/>
    <w:rsid w:val="00F06D68"/>
    <w:rsid w:val="00F06ED0"/>
    <w:rsid w:val="00F07543"/>
    <w:rsid w:val="00F075CB"/>
    <w:rsid w:val="00F07D4B"/>
    <w:rsid w:val="00F10F6B"/>
    <w:rsid w:val="00F12A90"/>
    <w:rsid w:val="00F13675"/>
    <w:rsid w:val="00F14375"/>
    <w:rsid w:val="00F14C42"/>
    <w:rsid w:val="00F15D2A"/>
    <w:rsid w:val="00F1705B"/>
    <w:rsid w:val="00F1741C"/>
    <w:rsid w:val="00F2020D"/>
    <w:rsid w:val="00F2304D"/>
    <w:rsid w:val="00F234ED"/>
    <w:rsid w:val="00F236A7"/>
    <w:rsid w:val="00F23A91"/>
    <w:rsid w:val="00F2493F"/>
    <w:rsid w:val="00F25BE8"/>
    <w:rsid w:val="00F26353"/>
    <w:rsid w:val="00F313E6"/>
    <w:rsid w:val="00F3222F"/>
    <w:rsid w:val="00F32757"/>
    <w:rsid w:val="00F32CEF"/>
    <w:rsid w:val="00F335F6"/>
    <w:rsid w:val="00F33DF2"/>
    <w:rsid w:val="00F34592"/>
    <w:rsid w:val="00F34EA3"/>
    <w:rsid w:val="00F3522B"/>
    <w:rsid w:val="00F354DA"/>
    <w:rsid w:val="00F371FD"/>
    <w:rsid w:val="00F372DD"/>
    <w:rsid w:val="00F37650"/>
    <w:rsid w:val="00F40262"/>
    <w:rsid w:val="00F402A8"/>
    <w:rsid w:val="00F418A1"/>
    <w:rsid w:val="00F45638"/>
    <w:rsid w:val="00F45D6B"/>
    <w:rsid w:val="00F46BCB"/>
    <w:rsid w:val="00F471B1"/>
    <w:rsid w:val="00F5453D"/>
    <w:rsid w:val="00F551EB"/>
    <w:rsid w:val="00F55551"/>
    <w:rsid w:val="00F55786"/>
    <w:rsid w:val="00F55D48"/>
    <w:rsid w:val="00F601FD"/>
    <w:rsid w:val="00F60683"/>
    <w:rsid w:val="00F60EEB"/>
    <w:rsid w:val="00F61122"/>
    <w:rsid w:val="00F638CB"/>
    <w:rsid w:val="00F669AB"/>
    <w:rsid w:val="00F66DC9"/>
    <w:rsid w:val="00F66F27"/>
    <w:rsid w:val="00F710FD"/>
    <w:rsid w:val="00F716A6"/>
    <w:rsid w:val="00F71D89"/>
    <w:rsid w:val="00F72FCF"/>
    <w:rsid w:val="00F748D0"/>
    <w:rsid w:val="00F74EC2"/>
    <w:rsid w:val="00F7573C"/>
    <w:rsid w:val="00F7697C"/>
    <w:rsid w:val="00F77C11"/>
    <w:rsid w:val="00F8022F"/>
    <w:rsid w:val="00F8064C"/>
    <w:rsid w:val="00F808FC"/>
    <w:rsid w:val="00F814D6"/>
    <w:rsid w:val="00F82A37"/>
    <w:rsid w:val="00F8370F"/>
    <w:rsid w:val="00F83A66"/>
    <w:rsid w:val="00F84103"/>
    <w:rsid w:val="00F84BC9"/>
    <w:rsid w:val="00F84ECC"/>
    <w:rsid w:val="00F86188"/>
    <w:rsid w:val="00F86C29"/>
    <w:rsid w:val="00F86EE0"/>
    <w:rsid w:val="00F87442"/>
    <w:rsid w:val="00F877F5"/>
    <w:rsid w:val="00F87FD3"/>
    <w:rsid w:val="00F90745"/>
    <w:rsid w:val="00F913AD"/>
    <w:rsid w:val="00F92A61"/>
    <w:rsid w:val="00F92B45"/>
    <w:rsid w:val="00F92FB7"/>
    <w:rsid w:val="00F935F7"/>
    <w:rsid w:val="00F94C18"/>
    <w:rsid w:val="00F9599C"/>
    <w:rsid w:val="00F960E0"/>
    <w:rsid w:val="00F9646D"/>
    <w:rsid w:val="00F96668"/>
    <w:rsid w:val="00FA0A62"/>
    <w:rsid w:val="00FA3034"/>
    <w:rsid w:val="00FA3764"/>
    <w:rsid w:val="00FA39F8"/>
    <w:rsid w:val="00FA587A"/>
    <w:rsid w:val="00FA6C6C"/>
    <w:rsid w:val="00FA6EDF"/>
    <w:rsid w:val="00FA738A"/>
    <w:rsid w:val="00FA7494"/>
    <w:rsid w:val="00FA7A2A"/>
    <w:rsid w:val="00FB2B03"/>
    <w:rsid w:val="00FB5182"/>
    <w:rsid w:val="00FB5513"/>
    <w:rsid w:val="00FB56CC"/>
    <w:rsid w:val="00FB5AB8"/>
    <w:rsid w:val="00FB72B6"/>
    <w:rsid w:val="00FB78AE"/>
    <w:rsid w:val="00FB79A7"/>
    <w:rsid w:val="00FB7C99"/>
    <w:rsid w:val="00FC0A78"/>
    <w:rsid w:val="00FC100A"/>
    <w:rsid w:val="00FC1241"/>
    <w:rsid w:val="00FC2511"/>
    <w:rsid w:val="00FC379C"/>
    <w:rsid w:val="00FC55D5"/>
    <w:rsid w:val="00FC56E2"/>
    <w:rsid w:val="00FC6B7C"/>
    <w:rsid w:val="00FC7357"/>
    <w:rsid w:val="00FD0583"/>
    <w:rsid w:val="00FD08FD"/>
    <w:rsid w:val="00FD0A58"/>
    <w:rsid w:val="00FD0C28"/>
    <w:rsid w:val="00FD1610"/>
    <w:rsid w:val="00FD1FB7"/>
    <w:rsid w:val="00FD3741"/>
    <w:rsid w:val="00FD643C"/>
    <w:rsid w:val="00FD795D"/>
    <w:rsid w:val="00FD7F9E"/>
    <w:rsid w:val="00FE074A"/>
    <w:rsid w:val="00FE0DEE"/>
    <w:rsid w:val="00FE1598"/>
    <w:rsid w:val="00FE2ACD"/>
    <w:rsid w:val="00FE2C33"/>
    <w:rsid w:val="00FE2EBB"/>
    <w:rsid w:val="00FE31C4"/>
    <w:rsid w:val="00FE69A0"/>
    <w:rsid w:val="00FE7EFA"/>
    <w:rsid w:val="00FF01F1"/>
    <w:rsid w:val="00FF0844"/>
    <w:rsid w:val="00FF0CD6"/>
    <w:rsid w:val="00FF1579"/>
    <w:rsid w:val="00FF2AED"/>
    <w:rsid w:val="00FF3912"/>
    <w:rsid w:val="00FF3E78"/>
    <w:rsid w:val="00FF44FF"/>
    <w:rsid w:val="00FF68B8"/>
    <w:rsid w:val="00FF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FE877"/>
  <w15:docId w15:val="{563D2D14-57BA-4EAA-B02A-EF4B451A578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E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rsid w:val="00C65E61"/>
    <w:rPr>
      <w:rFonts w:ascii="Calibri" w:eastAsia="Calibri" w:hAnsi="Calibri" w:cs="Calibri"/>
      <w:color w:val="000000"/>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1"/>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
      </w:numPr>
    </w:pPr>
  </w:style>
  <w:style w:type="numbering" w:customStyle="1" w:styleId="ImportedStyle2">
    <w:name w:val="Imported Style 2"/>
    <w:rsid w:val="00C65E61"/>
    <w:pPr>
      <w:numPr>
        <w:numId w:val="3"/>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rsid w:val="00340AFA"/>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semiHidden/>
    <w:unhideWhenUsed/>
    <w:rsid w:val="003644E3"/>
    <w:rPr>
      <w:sz w:val="20"/>
      <w:szCs w:val="20"/>
    </w:rPr>
  </w:style>
  <w:style w:type="character" w:customStyle="1" w:styleId="CommentTextChar">
    <w:name w:val="Comment Text Char"/>
    <w:basedOn w:val="DefaultParagraphFont"/>
    <w:link w:val="CommentText"/>
    <w:uiPriority w:val="99"/>
    <w:semiHidden/>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qFormat/>
    <w:rsid w:val="00266BB2"/>
    <w:rPr>
      <w:b/>
      <w:bCs/>
      <w:smallCaps/>
      <w:spacing w:val="5"/>
    </w:rPr>
  </w:style>
  <w:style w:type="paragraph" w:styleId="Quote">
    <w:name w:val="Quote"/>
    <w:basedOn w:val="Normal"/>
    <w:next w:val="Normal"/>
    <w:link w:val="QuoteChar"/>
    <w:uiPriority w:val="29"/>
    <w:qFormat/>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styleId="UnresolvedMention">
    <w:name w:val="Unresolved Mention"/>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paragraph" w:styleId="EndnoteText">
    <w:name w:val="endnote text"/>
    <w:basedOn w:val="Normal"/>
    <w:link w:val="EndnoteTextChar"/>
    <w:uiPriority w:val="99"/>
    <w:semiHidden/>
    <w:unhideWhenUsed/>
    <w:rsid w:val="008155F6"/>
    <w:rPr>
      <w:sz w:val="20"/>
      <w:szCs w:val="20"/>
    </w:rPr>
  </w:style>
  <w:style w:type="character" w:customStyle="1" w:styleId="EndnoteTextChar">
    <w:name w:val="Endnote Text Char"/>
    <w:basedOn w:val="DefaultParagraphFont"/>
    <w:link w:val="EndnoteText"/>
    <w:uiPriority w:val="99"/>
    <w:semiHidden/>
    <w:rsid w:val="008155F6"/>
  </w:style>
  <w:style w:type="character" w:styleId="EndnoteReference">
    <w:name w:val="endnote reference"/>
    <w:basedOn w:val="DefaultParagraphFont"/>
    <w:uiPriority w:val="99"/>
    <w:semiHidden/>
    <w:unhideWhenUsed/>
    <w:rsid w:val="00815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211625417">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40013570">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516698270">
      <w:bodyDiv w:val="1"/>
      <w:marLeft w:val="0"/>
      <w:marRight w:val="0"/>
      <w:marTop w:val="0"/>
      <w:marBottom w:val="0"/>
      <w:divBdr>
        <w:top w:val="none" w:sz="0" w:space="0" w:color="auto"/>
        <w:left w:val="none" w:sz="0" w:space="0" w:color="auto"/>
        <w:bottom w:val="none" w:sz="0" w:space="0" w:color="auto"/>
        <w:right w:val="none" w:sz="0" w:space="0" w:color="auto"/>
      </w:divBdr>
    </w:div>
    <w:div w:id="676034261">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04841260">
      <w:bodyDiv w:val="1"/>
      <w:marLeft w:val="0"/>
      <w:marRight w:val="0"/>
      <w:marTop w:val="0"/>
      <w:marBottom w:val="0"/>
      <w:divBdr>
        <w:top w:val="none" w:sz="0" w:space="0" w:color="auto"/>
        <w:left w:val="none" w:sz="0" w:space="0" w:color="auto"/>
        <w:bottom w:val="none" w:sz="0" w:space="0" w:color="auto"/>
        <w:right w:val="none" w:sz="0" w:space="0" w:color="auto"/>
      </w:divBdr>
    </w:div>
    <w:div w:id="1460222544">
      <w:bodyDiv w:val="1"/>
      <w:marLeft w:val="0"/>
      <w:marRight w:val="0"/>
      <w:marTop w:val="0"/>
      <w:marBottom w:val="0"/>
      <w:divBdr>
        <w:top w:val="none" w:sz="0" w:space="0" w:color="auto"/>
        <w:left w:val="none" w:sz="0" w:space="0" w:color="auto"/>
        <w:bottom w:val="none" w:sz="0" w:space="0" w:color="auto"/>
        <w:right w:val="none" w:sz="0" w:space="0" w:color="auto"/>
      </w:divBdr>
    </w:div>
    <w:div w:id="1465851354">
      <w:bodyDiv w:val="1"/>
      <w:marLeft w:val="0"/>
      <w:marRight w:val="0"/>
      <w:marTop w:val="0"/>
      <w:marBottom w:val="0"/>
      <w:divBdr>
        <w:top w:val="none" w:sz="0" w:space="0" w:color="auto"/>
        <w:left w:val="none" w:sz="0" w:space="0" w:color="auto"/>
        <w:bottom w:val="none" w:sz="0" w:space="0" w:color="auto"/>
        <w:right w:val="none" w:sz="0" w:space="0" w:color="auto"/>
      </w:divBdr>
    </w:div>
    <w:div w:id="1515223888">
      <w:bodyDiv w:val="1"/>
      <w:marLeft w:val="0"/>
      <w:marRight w:val="0"/>
      <w:marTop w:val="0"/>
      <w:marBottom w:val="0"/>
      <w:divBdr>
        <w:top w:val="none" w:sz="0" w:space="0" w:color="auto"/>
        <w:left w:val="none" w:sz="0" w:space="0" w:color="auto"/>
        <w:bottom w:val="none" w:sz="0" w:space="0" w:color="auto"/>
        <w:right w:val="none" w:sz="0" w:space="0" w:color="auto"/>
      </w:divBdr>
    </w:div>
    <w:div w:id="1538663414">
      <w:bodyDiv w:val="1"/>
      <w:marLeft w:val="0"/>
      <w:marRight w:val="0"/>
      <w:marTop w:val="0"/>
      <w:marBottom w:val="0"/>
      <w:divBdr>
        <w:top w:val="none" w:sz="0" w:space="0" w:color="auto"/>
        <w:left w:val="none" w:sz="0" w:space="0" w:color="auto"/>
        <w:bottom w:val="none" w:sz="0" w:space="0" w:color="auto"/>
        <w:right w:val="none" w:sz="0" w:space="0" w:color="auto"/>
      </w:divBdr>
    </w:div>
    <w:div w:id="160106720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18298466">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1998534226">
      <w:bodyDiv w:val="1"/>
      <w:marLeft w:val="0"/>
      <w:marRight w:val="0"/>
      <w:marTop w:val="0"/>
      <w:marBottom w:val="0"/>
      <w:divBdr>
        <w:top w:val="none" w:sz="0" w:space="0" w:color="auto"/>
        <w:left w:val="none" w:sz="0" w:space="0" w:color="auto"/>
        <w:bottom w:val="none" w:sz="0" w:space="0" w:color="auto"/>
        <w:right w:val="none" w:sz="0" w:space="0" w:color="auto"/>
      </w:divBdr>
    </w:div>
    <w:div w:id="201634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Division@cpuc.ca.gov" TargetMode="Externa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mailto:Water.Division@cpuc.ca.gov" TargetMode="External"/><Relationship Id="rId14" Type="http://schemas.openxmlformats.org/officeDocument/2006/relationships/image" Target="media/image3.emf"/><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1971-0B34-4485-A859-6BF7F670451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4633</ap:Words>
  <ap:Characters>26413</ap:Characters>
  <ap:Application>Microsoft Office Word</ap:Application>
  <ap:DocSecurity>0</ap:DocSecurity>
  <ap:Lines>220</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30985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2020-02-10T22:49:00Z</cp:lastPrinted>
  <dcterms:created xsi:type="dcterms:W3CDTF">2020-02-24T10:32:31Z</dcterms:created>
  <dcterms:modified xsi:type="dcterms:W3CDTF">2020-02-24T10:32:31Z</dcterms:modified>
</cp:coreProperties>
</file>