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7F00" w:rsidR="003F6C68" w:rsidP="003F6C68" w:rsidRDefault="003F6C68" w14:paraId="131A5B3C" w14:textId="77777777">
      <w:pPr>
        <w:jc w:val="center"/>
        <w:rPr>
          <w:rFonts w:ascii="Palatino Linotype" w:hAnsi="Palatino Linotype"/>
          <w:b/>
          <w:sz w:val="24"/>
          <w:szCs w:val="24"/>
        </w:rPr>
      </w:pPr>
      <w:bookmarkStart w:name="_Hlk24984627" w:id="0"/>
      <w:r w:rsidRPr="00817F00">
        <w:rPr>
          <w:rFonts w:ascii="Palatino Linotype" w:hAnsi="Palatino Linotype"/>
          <w:b/>
          <w:sz w:val="24"/>
          <w:szCs w:val="24"/>
        </w:rPr>
        <w:softHyphen/>
      </w:r>
      <w:r w:rsidRPr="00817F00">
        <w:rPr>
          <w:rFonts w:ascii="Palatino Linotype" w:hAnsi="Palatino Linotype"/>
          <w:b/>
          <w:sz w:val="24"/>
          <w:szCs w:val="24"/>
        </w:rPr>
        <w:softHyphen/>
      </w:r>
    </w:p>
    <w:p w:rsidRPr="00817F00" w:rsidR="003F6C68" w:rsidP="003F6C68" w:rsidRDefault="003F6C68" w14:paraId="752AB854" w14:textId="77777777">
      <w:pPr>
        <w:jc w:val="center"/>
        <w:rPr>
          <w:rFonts w:ascii="Palatino Linotype" w:hAnsi="Palatino Linotype"/>
          <w:b/>
          <w:sz w:val="24"/>
          <w:szCs w:val="24"/>
        </w:rPr>
      </w:pPr>
      <w:r w:rsidRPr="00817F00">
        <w:rPr>
          <w:rFonts w:ascii="Palatino Linotype" w:hAnsi="Palatino Linotype"/>
          <w:b/>
          <w:sz w:val="24"/>
          <w:szCs w:val="24"/>
        </w:rPr>
        <w:t>PUBLIC UTILITIES COMMISSION OF THE STATE OF CALIFORNIA</w:t>
      </w:r>
    </w:p>
    <w:p w:rsidRPr="00817F00" w:rsidR="003F6C68" w:rsidP="003F6C68" w:rsidRDefault="003F6C68" w14:paraId="02EE5CD0" w14:textId="77777777">
      <w:pPr>
        <w:jc w:val="center"/>
        <w:rPr>
          <w:rFonts w:ascii="Palatino Linotype" w:hAnsi="Palatino Linotype"/>
          <w:b/>
          <w:sz w:val="24"/>
          <w:szCs w:val="24"/>
        </w:rPr>
      </w:pPr>
    </w:p>
    <w:p w:rsidRPr="00817F00" w:rsidR="003F6C68" w:rsidP="003F6C68" w:rsidRDefault="003F6C68" w14:paraId="0D6B596E" w14:textId="77777777">
      <w:pPr>
        <w:rPr>
          <w:rFonts w:ascii="Palatino Linotype" w:hAnsi="Palatino Linotype"/>
        </w:rPr>
      </w:pPr>
    </w:p>
    <w:tbl>
      <w:tblPr>
        <w:tblW w:w="0" w:type="auto"/>
        <w:tblInd w:w="198" w:type="dxa"/>
        <w:tblLayout w:type="fixed"/>
        <w:tblLook w:val="0000" w:firstRow="0" w:lastRow="0" w:firstColumn="0" w:lastColumn="0" w:noHBand="0" w:noVBand="0"/>
      </w:tblPr>
      <w:tblGrid>
        <w:gridCol w:w="5760"/>
        <w:gridCol w:w="3150"/>
      </w:tblGrid>
      <w:tr w:rsidRPr="00817F00" w:rsidR="003F6C68" w:rsidTr="005E105A" w14:paraId="39D22206" w14:textId="77777777">
        <w:tc>
          <w:tcPr>
            <w:tcW w:w="5760" w:type="dxa"/>
          </w:tcPr>
          <w:p w:rsidRPr="00817F00" w:rsidR="003F6C68" w:rsidP="005E105A" w:rsidRDefault="003F6C68" w14:paraId="6A527779" w14:textId="77777777">
            <w:pPr>
              <w:rPr>
                <w:rFonts w:ascii="Palatino Linotype" w:hAnsi="Palatino Linotype"/>
                <w:b/>
                <w:sz w:val="24"/>
                <w:szCs w:val="24"/>
              </w:rPr>
            </w:pPr>
            <w:bookmarkStart w:name="_Hlk532481256" w:id="1"/>
            <w:r w:rsidRPr="00817F00">
              <w:rPr>
                <w:rFonts w:ascii="Palatino Linotype" w:hAnsi="Palatino Linotype"/>
                <w:b/>
                <w:sz w:val="24"/>
                <w:szCs w:val="24"/>
              </w:rPr>
              <w:t>Communications Division</w:t>
            </w:r>
          </w:p>
        </w:tc>
        <w:tc>
          <w:tcPr>
            <w:tcW w:w="3150" w:type="dxa"/>
          </w:tcPr>
          <w:p w:rsidRPr="00817F00" w:rsidR="003F6C68" w:rsidP="005E105A" w:rsidRDefault="003F6C68" w14:paraId="78BE5BBC" w14:textId="77777777">
            <w:pPr>
              <w:pStyle w:val="xl24"/>
              <w:spacing w:before="0" w:beforeAutospacing="0" w:after="0" w:afterAutospacing="0"/>
              <w:rPr>
                <w:rFonts w:ascii="Palatino Linotype" w:hAnsi="Palatino Linotype" w:eastAsia="Times New Roman" w:cs="Times New Roman"/>
                <w:bCs w:val="0"/>
              </w:rPr>
            </w:pPr>
            <w:r w:rsidRPr="00817F00">
              <w:rPr>
                <w:rFonts w:ascii="Palatino Linotype" w:hAnsi="Palatino Linotype" w:eastAsia="Times New Roman" w:cs="Times New Roman"/>
                <w:bCs w:val="0"/>
              </w:rPr>
              <w:t>RESOLUTION T-17684</w:t>
            </w:r>
          </w:p>
        </w:tc>
      </w:tr>
      <w:tr w:rsidRPr="00817F00" w:rsidR="003F6C68" w:rsidTr="005E105A" w14:paraId="4D304A0D" w14:textId="77777777">
        <w:tc>
          <w:tcPr>
            <w:tcW w:w="5760" w:type="dxa"/>
          </w:tcPr>
          <w:p w:rsidRPr="00817F00" w:rsidR="003F6C68" w:rsidP="005E105A" w:rsidRDefault="003F6C68" w14:paraId="4D701B38" w14:textId="77777777">
            <w:pPr>
              <w:rPr>
                <w:rFonts w:ascii="Palatino Linotype" w:hAnsi="Palatino Linotype"/>
                <w:b/>
                <w:sz w:val="24"/>
                <w:szCs w:val="24"/>
              </w:rPr>
            </w:pPr>
            <w:r w:rsidRPr="00817F00">
              <w:rPr>
                <w:rFonts w:ascii="Palatino Linotype" w:hAnsi="Palatino Linotype"/>
                <w:b/>
                <w:sz w:val="24"/>
                <w:szCs w:val="24"/>
              </w:rPr>
              <w:t xml:space="preserve">Broadband, Video and Market Branch </w:t>
            </w:r>
          </w:p>
        </w:tc>
        <w:tc>
          <w:tcPr>
            <w:tcW w:w="3150" w:type="dxa"/>
          </w:tcPr>
          <w:p w:rsidRPr="00817F00" w:rsidR="003F6C68" w:rsidP="005E105A" w:rsidRDefault="003F6C68" w14:paraId="60D1016B" w14:textId="1612A30B">
            <w:pPr>
              <w:jc w:val="right"/>
              <w:rPr>
                <w:rFonts w:ascii="Palatino Linotype" w:hAnsi="Palatino Linotype"/>
                <w:b/>
                <w:sz w:val="24"/>
                <w:szCs w:val="24"/>
              </w:rPr>
            </w:pPr>
            <w:r w:rsidRPr="00817F00">
              <w:rPr>
                <w:rFonts w:ascii="Palatino Linotype" w:hAnsi="Palatino Linotype"/>
                <w:b/>
                <w:sz w:val="24"/>
                <w:szCs w:val="24"/>
              </w:rPr>
              <w:t xml:space="preserve">February </w:t>
            </w:r>
            <w:r w:rsidRPr="00817F00" w:rsidR="004465F9">
              <w:rPr>
                <w:rFonts w:ascii="Palatino Linotype" w:hAnsi="Palatino Linotype"/>
                <w:b/>
                <w:sz w:val="24"/>
                <w:szCs w:val="24"/>
              </w:rPr>
              <w:t>27</w:t>
            </w:r>
            <w:r w:rsidRPr="00817F00">
              <w:rPr>
                <w:rFonts w:ascii="Palatino Linotype" w:hAnsi="Palatino Linotype"/>
                <w:b/>
                <w:sz w:val="24"/>
                <w:szCs w:val="24"/>
              </w:rPr>
              <w:t>, 2020</w:t>
            </w:r>
          </w:p>
        </w:tc>
      </w:tr>
      <w:bookmarkEnd w:id="1"/>
    </w:tbl>
    <w:p w:rsidRPr="00817F00" w:rsidR="003F6C68" w:rsidP="003F6C68" w:rsidRDefault="003F6C68" w14:paraId="5095A8F1" w14:textId="77777777">
      <w:pPr>
        <w:rPr>
          <w:rFonts w:ascii="Palatino Linotype" w:hAnsi="Palatino Linotype"/>
          <w:sz w:val="24"/>
          <w:szCs w:val="24"/>
        </w:rPr>
      </w:pPr>
    </w:p>
    <w:p w:rsidRPr="00817F00" w:rsidR="003F6C68" w:rsidP="003F6C68" w:rsidRDefault="003F6C68" w14:paraId="187F05B0" w14:textId="77777777">
      <w:pPr>
        <w:jc w:val="center"/>
        <w:rPr>
          <w:rFonts w:ascii="Palatino Linotype" w:hAnsi="Palatino Linotype"/>
          <w:sz w:val="24"/>
          <w:szCs w:val="24"/>
          <w:u w:val="single"/>
        </w:rPr>
      </w:pPr>
      <w:bookmarkStart w:name="_Hlk27395129" w:id="2"/>
      <w:r w:rsidRPr="00817F00">
        <w:rPr>
          <w:rFonts w:ascii="Palatino Linotype" w:hAnsi="Palatino Linotype"/>
          <w:b/>
          <w:sz w:val="24"/>
          <w:szCs w:val="24"/>
          <w:u w:val="single"/>
        </w:rPr>
        <w:t>R</w:t>
      </w:r>
      <w:r w:rsidRPr="00817F00">
        <w:rPr>
          <w:rFonts w:ascii="Palatino Linotype" w:hAnsi="Palatino Linotype"/>
          <w:sz w:val="24"/>
          <w:szCs w:val="24"/>
          <w:u w:val="single"/>
        </w:rPr>
        <w:t xml:space="preserve"> </w:t>
      </w:r>
      <w:r w:rsidRPr="00817F00">
        <w:rPr>
          <w:rFonts w:ascii="Palatino Linotype" w:hAnsi="Palatino Linotype"/>
          <w:b/>
          <w:sz w:val="24"/>
          <w:szCs w:val="24"/>
          <w:u w:val="single"/>
        </w:rPr>
        <w:t>E</w:t>
      </w:r>
      <w:r w:rsidRPr="00817F00">
        <w:rPr>
          <w:rFonts w:ascii="Palatino Linotype" w:hAnsi="Palatino Linotype"/>
          <w:sz w:val="24"/>
          <w:szCs w:val="24"/>
          <w:u w:val="single"/>
        </w:rPr>
        <w:t xml:space="preserve"> </w:t>
      </w:r>
      <w:r w:rsidRPr="00817F00">
        <w:rPr>
          <w:rFonts w:ascii="Palatino Linotype" w:hAnsi="Palatino Linotype"/>
          <w:b/>
          <w:sz w:val="24"/>
          <w:szCs w:val="24"/>
          <w:u w:val="single"/>
        </w:rPr>
        <w:t>S</w:t>
      </w:r>
      <w:r w:rsidRPr="00817F00">
        <w:rPr>
          <w:rFonts w:ascii="Palatino Linotype" w:hAnsi="Palatino Linotype"/>
          <w:sz w:val="24"/>
          <w:szCs w:val="24"/>
          <w:u w:val="single"/>
        </w:rPr>
        <w:t xml:space="preserve"> </w:t>
      </w:r>
      <w:r w:rsidRPr="00817F00">
        <w:rPr>
          <w:rFonts w:ascii="Palatino Linotype" w:hAnsi="Palatino Linotype"/>
          <w:b/>
          <w:sz w:val="24"/>
          <w:szCs w:val="24"/>
          <w:u w:val="single"/>
        </w:rPr>
        <w:t>O</w:t>
      </w:r>
      <w:r w:rsidRPr="00817F00">
        <w:rPr>
          <w:rFonts w:ascii="Palatino Linotype" w:hAnsi="Palatino Linotype"/>
          <w:sz w:val="24"/>
          <w:szCs w:val="24"/>
          <w:u w:val="single"/>
        </w:rPr>
        <w:t xml:space="preserve"> </w:t>
      </w:r>
      <w:r w:rsidRPr="00817F00">
        <w:rPr>
          <w:rFonts w:ascii="Palatino Linotype" w:hAnsi="Palatino Linotype"/>
          <w:b/>
          <w:sz w:val="24"/>
          <w:szCs w:val="24"/>
          <w:u w:val="single"/>
        </w:rPr>
        <w:t>L</w:t>
      </w:r>
      <w:r w:rsidRPr="00817F00">
        <w:rPr>
          <w:rFonts w:ascii="Palatino Linotype" w:hAnsi="Palatino Linotype"/>
          <w:sz w:val="24"/>
          <w:szCs w:val="24"/>
          <w:u w:val="single"/>
        </w:rPr>
        <w:t xml:space="preserve"> </w:t>
      </w:r>
      <w:r w:rsidRPr="00817F00">
        <w:rPr>
          <w:rFonts w:ascii="Palatino Linotype" w:hAnsi="Palatino Linotype"/>
          <w:b/>
          <w:sz w:val="24"/>
          <w:szCs w:val="24"/>
          <w:u w:val="single"/>
        </w:rPr>
        <w:t>U</w:t>
      </w:r>
      <w:r w:rsidRPr="00817F00">
        <w:rPr>
          <w:rFonts w:ascii="Palatino Linotype" w:hAnsi="Palatino Linotype"/>
          <w:sz w:val="24"/>
          <w:szCs w:val="24"/>
          <w:u w:val="single"/>
        </w:rPr>
        <w:t xml:space="preserve"> </w:t>
      </w:r>
      <w:r w:rsidRPr="00817F00">
        <w:rPr>
          <w:rFonts w:ascii="Palatino Linotype" w:hAnsi="Palatino Linotype"/>
          <w:b/>
          <w:sz w:val="24"/>
          <w:szCs w:val="24"/>
          <w:u w:val="single"/>
        </w:rPr>
        <w:t>T</w:t>
      </w:r>
      <w:r w:rsidRPr="00817F00">
        <w:rPr>
          <w:rFonts w:ascii="Palatino Linotype" w:hAnsi="Palatino Linotype"/>
          <w:sz w:val="24"/>
          <w:szCs w:val="24"/>
          <w:u w:val="single"/>
        </w:rPr>
        <w:t xml:space="preserve"> </w:t>
      </w:r>
      <w:r w:rsidRPr="00817F00">
        <w:rPr>
          <w:rFonts w:ascii="Palatino Linotype" w:hAnsi="Palatino Linotype"/>
          <w:b/>
          <w:sz w:val="24"/>
          <w:szCs w:val="24"/>
          <w:u w:val="single"/>
        </w:rPr>
        <w:t>I</w:t>
      </w:r>
      <w:r w:rsidRPr="00817F00">
        <w:rPr>
          <w:rFonts w:ascii="Palatino Linotype" w:hAnsi="Palatino Linotype"/>
          <w:sz w:val="24"/>
          <w:szCs w:val="24"/>
          <w:u w:val="single"/>
        </w:rPr>
        <w:t xml:space="preserve"> </w:t>
      </w:r>
      <w:r w:rsidRPr="00817F00">
        <w:rPr>
          <w:rFonts w:ascii="Palatino Linotype" w:hAnsi="Palatino Linotype"/>
          <w:b/>
          <w:sz w:val="24"/>
          <w:szCs w:val="24"/>
          <w:u w:val="single"/>
        </w:rPr>
        <w:t>O</w:t>
      </w:r>
      <w:r w:rsidRPr="00817F00">
        <w:rPr>
          <w:rFonts w:ascii="Palatino Linotype" w:hAnsi="Palatino Linotype"/>
          <w:sz w:val="24"/>
          <w:szCs w:val="24"/>
          <w:u w:val="single"/>
        </w:rPr>
        <w:t xml:space="preserve"> </w:t>
      </w:r>
      <w:r w:rsidRPr="00817F00">
        <w:rPr>
          <w:rFonts w:ascii="Palatino Linotype" w:hAnsi="Palatino Linotype"/>
          <w:b/>
          <w:sz w:val="24"/>
          <w:szCs w:val="24"/>
          <w:u w:val="single"/>
        </w:rPr>
        <w:t>N</w:t>
      </w:r>
    </w:p>
    <w:p w:rsidRPr="00817F00" w:rsidR="003F6C68" w:rsidP="003F6C68" w:rsidRDefault="003F6C68" w14:paraId="5C09E623" w14:textId="77777777">
      <w:pPr>
        <w:jc w:val="right"/>
        <w:rPr>
          <w:rFonts w:ascii="Palatino Linotype" w:hAnsi="Palatino Linotype"/>
          <w:sz w:val="24"/>
          <w:szCs w:val="24"/>
        </w:rPr>
      </w:pPr>
    </w:p>
    <w:p w:rsidRPr="00817F00" w:rsidR="003F6C68" w:rsidP="003F6C68" w:rsidRDefault="003F6C68" w14:paraId="02CEA536" w14:textId="421BD381">
      <w:pPr>
        <w:rPr>
          <w:rFonts w:ascii="Palatino Linotype" w:hAnsi="Palatino Linotype"/>
          <w:b/>
          <w:bCs/>
          <w:sz w:val="24"/>
          <w:szCs w:val="24"/>
        </w:rPr>
      </w:pPr>
      <w:r w:rsidRPr="00817F00">
        <w:rPr>
          <w:rFonts w:ascii="Palatino Linotype" w:hAnsi="Palatino Linotype"/>
          <w:b/>
          <w:bCs/>
          <w:sz w:val="24"/>
          <w:szCs w:val="24"/>
        </w:rPr>
        <w:t xml:space="preserve">Resolution </w:t>
      </w:r>
      <w:bookmarkStart w:name="_Hlk27057388" w:id="3"/>
      <w:r w:rsidRPr="00817F00">
        <w:rPr>
          <w:rFonts w:ascii="Palatino Linotype" w:hAnsi="Palatino Linotype"/>
          <w:b/>
          <w:bCs/>
          <w:sz w:val="24"/>
          <w:szCs w:val="24"/>
        </w:rPr>
        <w:t>T-17684</w:t>
      </w:r>
      <w:bookmarkEnd w:id="3"/>
      <w:r w:rsidRPr="00817F00">
        <w:rPr>
          <w:rFonts w:ascii="Palatino Linotype" w:hAnsi="Palatino Linotype"/>
          <w:b/>
          <w:bCs/>
          <w:sz w:val="24"/>
          <w:szCs w:val="24"/>
        </w:rPr>
        <w:t>: Approval of funding for the grant application of Northern Valley Catholic Social Service from the California Advanced Services Fund, Broadband Public Housing Account in the amount of $</w:t>
      </w:r>
      <w:r w:rsidRPr="00817F00" w:rsidR="0084551F">
        <w:rPr>
          <w:rFonts w:ascii="Palatino Linotype" w:hAnsi="Palatino Linotype"/>
          <w:b/>
          <w:bCs/>
          <w:sz w:val="24"/>
          <w:szCs w:val="24"/>
        </w:rPr>
        <w:t>35,949</w:t>
      </w:r>
      <w:r w:rsidRPr="00817F00">
        <w:rPr>
          <w:rFonts w:ascii="Palatino Linotype" w:hAnsi="Palatino Linotype"/>
          <w:b/>
          <w:bCs/>
          <w:sz w:val="24"/>
          <w:szCs w:val="24"/>
        </w:rPr>
        <w:t xml:space="preserve"> for the Woodlands II Project.  </w:t>
      </w:r>
    </w:p>
    <w:p w:rsidRPr="00817F00" w:rsidR="003F6C68" w:rsidP="003F6C68" w:rsidRDefault="003F6C68" w14:paraId="4CA4A996" w14:textId="77777777">
      <w:pPr>
        <w:rPr>
          <w:rFonts w:ascii="Palatino Linotype" w:hAnsi="Palatino Linotype"/>
          <w:b/>
          <w:bCs/>
          <w:sz w:val="24"/>
          <w:szCs w:val="24"/>
        </w:rPr>
      </w:pPr>
      <w:r w:rsidRPr="00817F00">
        <w:rPr>
          <w:rFonts w:ascii="Palatino Linotype" w:hAnsi="Palatino Linotype"/>
          <w:b/>
          <w:bCs/>
          <w:sz w:val="24"/>
          <w:szCs w:val="24"/>
        </w:rPr>
        <w:t>_________________________________________________________________</w:t>
      </w:r>
    </w:p>
    <w:p w:rsidRPr="00817F00" w:rsidR="003F6C68" w:rsidP="003F6C68" w:rsidRDefault="003F6C68" w14:paraId="640AB656" w14:textId="77777777">
      <w:pPr>
        <w:rPr>
          <w:rFonts w:ascii="Palatino Linotype" w:hAnsi="Palatino Linotype"/>
          <w:sz w:val="24"/>
          <w:szCs w:val="24"/>
        </w:rPr>
      </w:pPr>
    </w:p>
    <w:p w:rsidRPr="00817F00" w:rsidR="003F6C68" w:rsidP="003F6C68" w:rsidRDefault="003F6C68" w14:paraId="0A01DFBB" w14:textId="77777777">
      <w:pPr>
        <w:pStyle w:val="Heading1"/>
        <w:rPr>
          <w:rFonts w:ascii="Palatino Linotype" w:hAnsi="Palatino Linotype"/>
          <w:sz w:val="26"/>
          <w:szCs w:val="26"/>
        </w:rPr>
      </w:pPr>
      <w:bookmarkStart w:name="_Toc444857024" w:id="4"/>
      <w:r w:rsidRPr="00817F00">
        <w:rPr>
          <w:rFonts w:ascii="Palatino Linotype" w:hAnsi="Palatino Linotype"/>
          <w:sz w:val="26"/>
          <w:szCs w:val="26"/>
        </w:rPr>
        <w:t>SUMMARY</w:t>
      </w:r>
      <w:bookmarkEnd w:id="4"/>
    </w:p>
    <w:p w:rsidRPr="00817F00" w:rsidR="003F6C68" w:rsidP="003F6C68" w:rsidRDefault="003F6C68" w14:paraId="04F0BE49"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817F00" w:rsidR="003F6C68" w:rsidP="003F6C68" w:rsidRDefault="003F6C68" w14:paraId="22C0B696" w14:textId="17FC6B1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r w:rsidRPr="00817F00">
        <w:rPr>
          <w:rFonts w:ascii="Palatino Linotype" w:hAnsi="Palatino Linotype" w:eastAsia="Times New Roman" w:cs="Palatino Linotype"/>
          <w:color w:val="000000"/>
          <w:szCs w:val="24"/>
        </w:rPr>
        <w:t>This Resolution approves $</w:t>
      </w:r>
      <w:r w:rsidRPr="00817F00" w:rsidR="0084551F">
        <w:rPr>
          <w:rFonts w:ascii="Palatino Linotype" w:hAnsi="Palatino Linotype" w:eastAsia="Times New Roman" w:cs="Palatino Linotype"/>
          <w:color w:val="000000"/>
          <w:szCs w:val="24"/>
        </w:rPr>
        <w:t>35,949</w:t>
      </w:r>
      <w:r w:rsidRPr="00817F00">
        <w:rPr>
          <w:rFonts w:ascii="Palatino Linotype" w:hAnsi="Palatino Linotype" w:eastAsia="Times New Roman" w:cs="Palatino Linotype"/>
          <w:color w:val="000000"/>
          <w:szCs w:val="24"/>
        </w:rPr>
        <w:t xml:space="preserve"> in funding from the California Advanced Services Fund (CASF) Broadband Public Housing Account (BPHA) to the grant application of Northern</w:t>
      </w:r>
      <w:r w:rsidRPr="00817F00">
        <w:rPr>
          <w:rFonts w:ascii="Palatino Linotype" w:hAnsi="Palatino Linotype" w:cs="Palatino Linotype"/>
          <w:szCs w:val="24"/>
        </w:rPr>
        <w:t xml:space="preserve"> Valley Catholic Social Service (NVCSS).  The proposed project will construct an inside broadband network with both wired and wireless components in order to connect the planned (not yet built) Woodlands Apartments II Development to broadband </w:t>
      </w:r>
      <w:r w:rsidR="00CE32CA">
        <w:rPr>
          <w:rFonts w:ascii="Palatino Linotype" w:hAnsi="Palatino Linotype" w:cs="Palatino Linotype"/>
          <w:szCs w:val="24"/>
        </w:rPr>
        <w:t>i</w:t>
      </w:r>
      <w:r w:rsidRPr="00817F00">
        <w:rPr>
          <w:rFonts w:ascii="Palatino Linotype" w:hAnsi="Palatino Linotype" w:cs="Palatino Linotype"/>
          <w:szCs w:val="24"/>
        </w:rPr>
        <w:t>nternet services.</w:t>
      </w:r>
      <w:r w:rsidRPr="00817F00" w:rsidR="008B3670">
        <w:rPr>
          <w:rStyle w:val="FootnoteReference"/>
          <w:rFonts w:ascii="Palatino Linotype" w:hAnsi="Palatino Linotype" w:cs="Palatino Linotype"/>
          <w:szCs w:val="24"/>
        </w:rPr>
        <w:footnoteReference w:id="1"/>
      </w:r>
      <w:r w:rsidRPr="00817F00">
        <w:rPr>
          <w:rFonts w:ascii="Palatino Linotype" w:hAnsi="Palatino Linotype" w:cs="Palatino Linotype"/>
          <w:szCs w:val="24"/>
        </w:rPr>
        <w:t xml:space="preserve"> </w:t>
      </w:r>
    </w:p>
    <w:bookmarkEnd w:id="2"/>
    <w:p w:rsidRPr="00817F00" w:rsidR="003F6C68" w:rsidP="003F6C68" w:rsidRDefault="003F6C68" w14:paraId="56295795"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817F00" w:rsidR="003F6C68" w:rsidP="003F6C68" w:rsidRDefault="003F6C68" w14:paraId="0B11C6B9" w14:textId="77777777">
      <w:pPr>
        <w:pStyle w:val="Heading1"/>
        <w:rPr>
          <w:rFonts w:ascii="Palatino Linotype" w:hAnsi="Palatino Linotype"/>
          <w:sz w:val="26"/>
          <w:szCs w:val="26"/>
        </w:rPr>
      </w:pPr>
      <w:r w:rsidRPr="00817F00">
        <w:rPr>
          <w:rFonts w:ascii="Palatino Linotype" w:hAnsi="Palatino Linotype"/>
          <w:sz w:val="26"/>
          <w:szCs w:val="26"/>
        </w:rPr>
        <w:t>BACKGROUND</w:t>
      </w:r>
    </w:p>
    <w:p w:rsidRPr="00817F00" w:rsidR="003F6C68" w:rsidP="003F6C68" w:rsidRDefault="003F6C68" w14:paraId="440167A5" w14:textId="77777777">
      <w:pPr>
        <w:keepLines/>
        <w:autoSpaceDE w:val="0"/>
        <w:autoSpaceDN w:val="0"/>
        <w:adjustRightInd w:val="0"/>
        <w:rPr>
          <w:rFonts w:ascii="Palatino Linotype" w:hAnsi="Palatino Linotype" w:cs="Palatino Linotype"/>
          <w:sz w:val="24"/>
          <w:szCs w:val="24"/>
        </w:rPr>
      </w:pPr>
    </w:p>
    <w:p w:rsidRPr="00817F00" w:rsidR="003F6C68" w:rsidP="003F6C68" w:rsidRDefault="003F6C68" w14:paraId="04F206E0" w14:textId="0DA9A716">
      <w:pPr>
        <w:keepLines/>
        <w:autoSpaceDE w:val="0"/>
        <w:autoSpaceDN w:val="0"/>
        <w:adjustRightInd w:val="0"/>
        <w:rPr>
          <w:rFonts w:ascii="Palatino Linotype" w:hAnsi="Palatino Linotype" w:cs="Palatino Linotype"/>
          <w:sz w:val="24"/>
          <w:szCs w:val="24"/>
        </w:rPr>
      </w:pPr>
      <w:r w:rsidRPr="00817F00">
        <w:rPr>
          <w:rFonts w:ascii="Palatino Linotype" w:hAnsi="Palatino Linotype" w:cs="Palatino Linotype"/>
          <w:sz w:val="24"/>
          <w:szCs w:val="24"/>
        </w:rPr>
        <w:t>On June 21, 2018, the California Public Utilities Commission (Commission) issued Decision (D.)18-06-032 which implemented provisions of AB 1665 specific to the CASF Adoption, Public Housing and Loan Accounts.</w:t>
      </w:r>
      <w:r w:rsidRPr="00817F00">
        <w:rPr>
          <w:rStyle w:val="FootnoteReference"/>
          <w:rFonts w:ascii="Palatino Linotype" w:hAnsi="Palatino Linotype" w:cs="Palatino Linotype"/>
          <w:sz w:val="24"/>
          <w:szCs w:val="24"/>
        </w:rPr>
        <w:footnoteReference w:id="2"/>
      </w:r>
      <w:r w:rsidRPr="00817F00">
        <w:rPr>
          <w:rFonts w:ascii="Palatino Linotype" w:hAnsi="Palatino Linotype" w:cs="Palatino Linotype"/>
          <w:sz w:val="24"/>
          <w:szCs w:val="24"/>
        </w:rPr>
        <w:t xml:space="preserve">  Key provisions of the Decision relevant to this Resolution include:</w:t>
      </w:r>
    </w:p>
    <w:p w:rsidRPr="00817F00" w:rsidR="003F6C68" w:rsidP="003F6C68" w:rsidRDefault="003F6C68" w14:paraId="53FE825C" w14:textId="77777777">
      <w:pPr>
        <w:pStyle w:val="ListParagraph"/>
        <w:keepLines/>
        <w:numPr>
          <w:ilvl w:val="0"/>
          <w:numId w:val="4"/>
        </w:numPr>
        <w:autoSpaceDE w:val="0"/>
        <w:autoSpaceDN w:val="0"/>
        <w:adjustRightInd w:val="0"/>
        <w:rPr>
          <w:rFonts w:ascii="Palatino Linotype" w:hAnsi="Palatino Linotype" w:cs="Palatino Linotype"/>
          <w:sz w:val="24"/>
          <w:szCs w:val="24"/>
        </w:rPr>
      </w:pPr>
      <w:r w:rsidRPr="00817F00">
        <w:rPr>
          <w:rFonts w:ascii="Palatino Linotype" w:hAnsi="Palatino Linotype" w:cs="Palatino Linotype"/>
          <w:sz w:val="24"/>
          <w:szCs w:val="24"/>
        </w:rPr>
        <w:t>BPHA grants can only be awarded to unserved housing developments.</w:t>
      </w:r>
      <w:r w:rsidRPr="00817F00">
        <w:rPr>
          <w:rStyle w:val="FootnoteReference"/>
          <w:rFonts w:ascii="Palatino Linotype" w:hAnsi="Palatino Linotype" w:cs="Palatino Linotype"/>
          <w:sz w:val="24"/>
          <w:szCs w:val="24"/>
        </w:rPr>
        <w:footnoteReference w:id="3"/>
      </w:r>
      <w:r w:rsidRPr="00817F00">
        <w:rPr>
          <w:rFonts w:ascii="Palatino Linotype" w:hAnsi="Palatino Linotype" w:cs="Palatino Linotype"/>
          <w:sz w:val="24"/>
          <w:szCs w:val="24"/>
        </w:rPr>
        <w:t xml:space="preserve"> </w:t>
      </w:r>
    </w:p>
    <w:p w:rsidRPr="00817F00" w:rsidR="003F6C68" w:rsidP="003F6C68" w:rsidRDefault="003F6C68" w14:paraId="65DBEC18" w14:textId="58DC4C6B">
      <w:pPr>
        <w:pStyle w:val="ListParagraph"/>
        <w:keepLines/>
        <w:numPr>
          <w:ilvl w:val="0"/>
          <w:numId w:val="4"/>
        </w:numPr>
        <w:autoSpaceDE w:val="0"/>
        <w:autoSpaceDN w:val="0"/>
        <w:adjustRightInd w:val="0"/>
        <w:rPr>
          <w:rFonts w:ascii="Palatino Linotype" w:hAnsi="Palatino Linotype" w:cs="Palatino Linotype"/>
          <w:sz w:val="24"/>
          <w:szCs w:val="24"/>
        </w:rPr>
      </w:pPr>
      <w:bookmarkStart w:name="_Hlk24969518" w:id="5"/>
      <w:r w:rsidRPr="00817F00">
        <w:rPr>
          <w:rFonts w:ascii="Palatino Linotype" w:hAnsi="Palatino Linotype" w:cs="Palatino Linotype"/>
          <w:sz w:val="24"/>
          <w:szCs w:val="24"/>
        </w:rPr>
        <w:lastRenderedPageBreak/>
        <w:t xml:space="preserve">An “unserved” housing development is a housing development where at least one housing unit within the housing development is not offered broadband </w:t>
      </w:r>
      <w:r w:rsidR="00CE32CA">
        <w:rPr>
          <w:rFonts w:ascii="Palatino Linotype" w:hAnsi="Palatino Linotype" w:cs="Palatino Linotype"/>
          <w:sz w:val="24"/>
          <w:szCs w:val="24"/>
        </w:rPr>
        <w:t>i</w:t>
      </w:r>
      <w:r w:rsidRPr="00817F00">
        <w:rPr>
          <w:rFonts w:ascii="Palatino Linotype" w:hAnsi="Palatino Linotype" w:cs="Palatino Linotype"/>
          <w:sz w:val="24"/>
          <w:szCs w:val="24"/>
        </w:rPr>
        <w:t xml:space="preserve">nternet service.  A housing unit “is not offered broadband </w:t>
      </w:r>
      <w:r w:rsidR="00CE32CA">
        <w:rPr>
          <w:rFonts w:ascii="Palatino Linotype" w:hAnsi="Palatino Linotype" w:cs="Palatino Linotype"/>
          <w:sz w:val="24"/>
          <w:szCs w:val="24"/>
        </w:rPr>
        <w:t>i</w:t>
      </w:r>
      <w:r w:rsidRPr="00817F00">
        <w:rPr>
          <w:rFonts w:ascii="Palatino Linotype" w:hAnsi="Palatino Linotype" w:cs="Palatino Linotype"/>
          <w:sz w:val="24"/>
          <w:szCs w:val="24"/>
        </w:rPr>
        <w:t xml:space="preserve">nternet service” if the unit does not have access to a commercially available broadband </w:t>
      </w:r>
      <w:r w:rsidR="00CE32CA">
        <w:rPr>
          <w:rFonts w:ascii="Palatino Linotype" w:hAnsi="Palatino Linotype" w:cs="Palatino Linotype"/>
          <w:sz w:val="24"/>
          <w:szCs w:val="24"/>
        </w:rPr>
        <w:t>i</w:t>
      </w:r>
      <w:r w:rsidRPr="00817F00">
        <w:rPr>
          <w:rFonts w:ascii="Palatino Linotype" w:hAnsi="Palatino Linotype" w:cs="Palatino Linotype"/>
          <w:sz w:val="24"/>
          <w:szCs w:val="24"/>
        </w:rPr>
        <w:t>nternet service, such as Digital Subscriber Line (DSL), a cable modem, or any other technology, available at the unit</w:t>
      </w:r>
      <w:bookmarkEnd w:id="5"/>
      <w:r w:rsidRPr="00817F00">
        <w:rPr>
          <w:rFonts w:ascii="Palatino Linotype" w:hAnsi="Palatino Linotype" w:cs="Palatino Linotype"/>
          <w:sz w:val="24"/>
          <w:szCs w:val="24"/>
        </w:rPr>
        <w:t>.</w:t>
      </w:r>
      <w:r w:rsidRPr="00817F00">
        <w:rPr>
          <w:rStyle w:val="FootnoteReference"/>
          <w:rFonts w:ascii="Palatino Linotype" w:hAnsi="Palatino Linotype" w:cs="Palatino Linotype"/>
          <w:sz w:val="24"/>
          <w:szCs w:val="24"/>
        </w:rPr>
        <w:footnoteReference w:id="4"/>
      </w:r>
      <w:r w:rsidRPr="00817F00">
        <w:rPr>
          <w:rFonts w:ascii="Palatino Linotype" w:hAnsi="Palatino Linotype" w:cs="Palatino Linotype"/>
          <w:sz w:val="24"/>
          <w:szCs w:val="24"/>
        </w:rPr>
        <w:t xml:space="preserve">  </w:t>
      </w:r>
    </w:p>
    <w:p w:rsidRPr="00817F00" w:rsidR="003F6C68" w:rsidP="003F6C68" w:rsidRDefault="003F6C68" w14:paraId="40FD4B68" w14:textId="77777777">
      <w:pPr>
        <w:autoSpaceDE w:val="0"/>
        <w:autoSpaceDN w:val="0"/>
        <w:adjustRightInd w:val="0"/>
        <w:rPr>
          <w:rFonts w:ascii="Palatino Linotype" w:hAnsi="Palatino Linotype" w:cs="Palatino Linotype"/>
          <w:sz w:val="24"/>
          <w:szCs w:val="24"/>
        </w:rPr>
      </w:pPr>
    </w:p>
    <w:p w:rsidRPr="00817F00" w:rsidR="003F6C68" w:rsidP="003F6C68" w:rsidRDefault="003F6C68" w14:paraId="5042A3D4" w14:textId="33262019">
      <w:pPr>
        <w:autoSpaceDE w:val="0"/>
        <w:autoSpaceDN w:val="0"/>
        <w:adjustRightInd w:val="0"/>
        <w:rPr>
          <w:rFonts w:ascii="Palatino Linotype" w:hAnsi="Palatino Linotype" w:cs="Palatino Linotype"/>
          <w:sz w:val="24"/>
          <w:szCs w:val="24"/>
        </w:rPr>
      </w:pPr>
      <w:r w:rsidRPr="00817F00">
        <w:rPr>
          <w:rFonts w:ascii="Palatino Linotype" w:hAnsi="Palatino Linotype" w:cs="Palatino Linotype"/>
          <w:sz w:val="24"/>
          <w:szCs w:val="24"/>
        </w:rPr>
        <w:t>On June 27, 2019, NVCSS submitted a BPHA Infrastructure application, requesting $45,280 to fund the low-voltage construction and equipment of an inside broadband network with both wired and wireless components in order to connect the planned (not yet built)</w:t>
      </w:r>
      <w:r w:rsidRPr="00817F00" w:rsidR="00A903E2">
        <w:rPr>
          <w:rStyle w:val="FootnoteReference"/>
          <w:rFonts w:ascii="Palatino Linotype" w:hAnsi="Palatino Linotype" w:cs="Palatino Linotype"/>
          <w:sz w:val="24"/>
          <w:szCs w:val="24"/>
        </w:rPr>
        <w:footnoteReference w:id="5"/>
      </w:r>
      <w:r w:rsidRPr="00817F00">
        <w:rPr>
          <w:rFonts w:ascii="Palatino Linotype" w:hAnsi="Palatino Linotype" w:cs="Palatino Linotype"/>
          <w:sz w:val="24"/>
          <w:szCs w:val="24"/>
        </w:rPr>
        <w:t xml:space="preserve"> Woodlands Apartments II Development to broadband </w:t>
      </w:r>
      <w:r w:rsidR="00CE32CA">
        <w:rPr>
          <w:rFonts w:ascii="Palatino Linotype" w:hAnsi="Palatino Linotype" w:cs="Palatino Linotype"/>
          <w:sz w:val="24"/>
          <w:szCs w:val="24"/>
        </w:rPr>
        <w:t>i</w:t>
      </w:r>
      <w:r w:rsidRPr="00817F00">
        <w:rPr>
          <w:rFonts w:ascii="Palatino Linotype" w:hAnsi="Palatino Linotype" w:cs="Palatino Linotype"/>
          <w:sz w:val="24"/>
          <w:szCs w:val="24"/>
        </w:rPr>
        <w:t xml:space="preserve">nternet services.  The address provided on the application (2950 Polk Street) was for the apartment development in the contiguous property.  </w:t>
      </w:r>
    </w:p>
    <w:p w:rsidRPr="00817F00" w:rsidR="003F6C68" w:rsidP="003F6C68" w:rsidRDefault="003F6C68" w14:paraId="2793EE0F" w14:textId="77777777">
      <w:pPr>
        <w:autoSpaceDE w:val="0"/>
        <w:autoSpaceDN w:val="0"/>
        <w:adjustRightInd w:val="0"/>
        <w:rPr>
          <w:rFonts w:ascii="Palatino Linotype" w:hAnsi="Palatino Linotype" w:cs="Palatino Linotype"/>
          <w:sz w:val="24"/>
          <w:szCs w:val="24"/>
        </w:rPr>
      </w:pPr>
    </w:p>
    <w:p w:rsidRPr="00817F00" w:rsidR="003F6C68" w:rsidP="003F6C68" w:rsidRDefault="003F6C68" w14:paraId="71207A75" w14:textId="77777777">
      <w:pPr>
        <w:autoSpaceDE w:val="0"/>
        <w:autoSpaceDN w:val="0"/>
        <w:adjustRightInd w:val="0"/>
        <w:rPr>
          <w:rFonts w:ascii="Palatino Linotype" w:hAnsi="Palatino Linotype" w:cs="Palatino Linotype"/>
          <w:sz w:val="24"/>
          <w:szCs w:val="24"/>
        </w:rPr>
      </w:pPr>
      <w:r w:rsidRPr="00817F00">
        <w:rPr>
          <w:rFonts w:ascii="Palatino Linotype" w:hAnsi="Palatino Linotype" w:cs="Palatino Linotype"/>
          <w:sz w:val="24"/>
          <w:szCs w:val="24"/>
        </w:rPr>
        <w:t xml:space="preserve">On August 23, 2019, NVCSS corrected and resubmitted the application.  In the amended application, NVCSS provided the correct address for the planned development (2900 Polk Street).  The funding request remained the same.  </w:t>
      </w:r>
    </w:p>
    <w:p w:rsidRPr="00817F00" w:rsidR="003F6C68" w:rsidP="003F6C68" w:rsidRDefault="003F6C68" w14:paraId="0606BF83" w14:textId="77777777">
      <w:pPr>
        <w:autoSpaceDE w:val="0"/>
        <w:autoSpaceDN w:val="0"/>
        <w:adjustRightInd w:val="0"/>
        <w:rPr>
          <w:rFonts w:ascii="Palatino Linotype" w:hAnsi="Palatino Linotype" w:cs="Palatino Linotype"/>
          <w:sz w:val="24"/>
          <w:szCs w:val="24"/>
        </w:rPr>
      </w:pPr>
    </w:p>
    <w:p w:rsidRPr="00817F00" w:rsidR="003F6C68" w:rsidP="003F6C68" w:rsidRDefault="003F6C68" w14:paraId="4BEDB25F" w14:textId="77777777">
      <w:pPr>
        <w:autoSpaceDE w:val="0"/>
        <w:autoSpaceDN w:val="0"/>
        <w:adjustRightInd w:val="0"/>
        <w:rPr>
          <w:rFonts w:ascii="Palatino Linotype" w:hAnsi="Palatino Linotype" w:cs="Palatino Linotype"/>
          <w:sz w:val="24"/>
          <w:szCs w:val="24"/>
        </w:rPr>
      </w:pPr>
      <w:r w:rsidRPr="00817F00">
        <w:rPr>
          <w:rFonts w:ascii="Palatino Linotype" w:hAnsi="Palatino Linotype" w:cs="Palatino Linotype"/>
          <w:sz w:val="24"/>
          <w:szCs w:val="24"/>
        </w:rPr>
        <w:t>The Woodlands Apartments II Development is a planned low-income housing development in Redding, CA.  Woodlands Apartments II is owned by a Limited Partnership (PC Redding Apartments II LP of which NVCSS is the managing general partner).</w:t>
      </w:r>
      <w:r w:rsidRPr="00817F00">
        <w:rPr>
          <w:rStyle w:val="FootnoteReference"/>
          <w:rFonts w:ascii="Palatino Linotype" w:hAnsi="Palatino Linotype" w:cs="Palatino Linotype"/>
          <w:sz w:val="24"/>
          <w:szCs w:val="24"/>
        </w:rPr>
        <w:footnoteReference w:id="6"/>
      </w:r>
      <w:r w:rsidRPr="00817F00">
        <w:rPr>
          <w:rFonts w:ascii="Palatino Linotype" w:hAnsi="Palatino Linotype" w:cs="Palatino Linotype"/>
          <w:sz w:val="24"/>
          <w:szCs w:val="24"/>
        </w:rPr>
        <w:t xml:space="preserve">  The housing development will have a total of 20 units (19 low-income units, and one unit for the building manager).  NVCSS plans to complete construction by the end of March 2020.  </w:t>
      </w:r>
    </w:p>
    <w:p w:rsidRPr="00817F00" w:rsidR="003F6C68" w:rsidP="003F6C68" w:rsidRDefault="003F6C68" w14:paraId="78E0BFAC" w14:textId="77777777">
      <w:pPr>
        <w:autoSpaceDE w:val="0"/>
        <w:autoSpaceDN w:val="0"/>
        <w:adjustRightInd w:val="0"/>
        <w:rPr>
          <w:rFonts w:ascii="Palatino Linotype" w:hAnsi="Palatino Linotype" w:cs="Palatino Linotype"/>
          <w:sz w:val="24"/>
          <w:szCs w:val="24"/>
        </w:rPr>
      </w:pPr>
    </w:p>
    <w:p w:rsidRPr="00817F00" w:rsidR="003F6C68" w:rsidP="003F6C68" w:rsidRDefault="003F6C68" w14:paraId="61262F88" w14:textId="14B0990F">
      <w:pPr>
        <w:rPr>
          <w:rFonts w:ascii="Palatino Linotype" w:hAnsi="Palatino Linotype" w:cs="Palatino Linotype"/>
          <w:sz w:val="24"/>
          <w:szCs w:val="24"/>
        </w:rPr>
      </w:pPr>
      <w:bookmarkStart w:name="_Hlk536696395" w:id="6"/>
      <w:r w:rsidRPr="00817F00">
        <w:rPr>
          <w:rFonts w:ascii="Palatino Linotype" w:hAnsi="Palatino Linotype" w:cs="Palatino Linotype"/>
          <w:sz w:val="24"/>
          <w:szCs w:val="24"/>
        </w:rPr>
        <w:t>NVCSS is an incorporated nonprofit organization that is currently exempt under section 501(c)(3) of the Internal Revenue Code.  It has received public funding to subsidize the construction of low-income housing and is an eligible applicant under the BPHA.</w:t>
      </w:r>
      <w:r w:rsidRPr="00817F00">
        <w:rPr>
          <w:rStyle w:val="FootnoteReference"/>
          <w:rFonts w:ascii="Palatino Linotype" w:hAnsi="Palatino Linotype" w:cs="Palatino Linotype"/>
          <w:sz w:val="24"/>
          <w:szCs w:val="24"/>
        </w:rPr>
        <w:footnoteReference w:id="7"/>
      </w:r>
      <w:r w:rsidRPr="00817F00">
        <w:rPr>
          <w:rFonts w:ascii="Palatino Linotype" w:hAnsi="Palatino Linotype" w:cs="Palatino Linotype"/>
          <w:sz w:val="24"/>
          <w:szCs w:val="24"/>
        </w:rPr>
        <w:t xml:space="preserve">  NVCSS provides low-cost or free mental health checkup</w:t>
      </w:r>
      <w:r w:rsidRPr="00817F00" w:rsidR="00D24A2D">
        <w:rPr>
          <w:rFonts w:ascii="Palatino Linotype" w:hAnsi="Palatino Linotype" w:cs="Palatino Linotype"/>
          <w:sz w:val="24"/>
          <w:szCs w:val="24"/>
        </w:rPr>
        <w:t>s</w:t>
      </w:r>
      <w:r w:rsidRPr="00817F00">
        <w:rPr>
          <w:rFonts w:ascii="Palatino Linotype" w:hAnsi="Palatino Linotype" w:cs="Palatino Linotype"/>
          <w:sz w:val="24"/>
          <w:szCs w:val="24"/>
        </w:rPr>
        <w:t xml:space="preserve">, housing, vocational, and support services to individuals and families in California's Northern Sacramento Valley.  It is operated by the Catholic Church.  </w:t>
      </w:r>
    </w:p>
    <w:p w:rsidR="003F6C68" w:rsidP="003F6C68" w:rsidRDefault="003F6C68" w14:paraId="10FA4C9A" w14:textId="1BFE03AB">
      <w:pPr>
        <w:autoSpaceDE w:val="0"/>
        <w:autoSpaceDN w:val="0"/>
        <w:adjustRightInd w:val="0"/>
        <w:rPr>
          <w:rFonts w:ascii="Palatino Linotype" w:hAnsi="Palatino Linotype"/>
          <w:b/>
          <w:bCs/>
          <w:sz w:val="26"/>
          <w:szCs w:val="26"/>
          <w:u w:val="single"/>
        </w:rPr>
      </w:pPr>
    </w:p>
    <w:p w:rsidRPr="00817F00" w:rsidR="00BB6E5F" w:rsidP="003F6C68" w:rsidRDefault="00BB6E5F" w14:paraId="7ADF83B2" w14:textId="77777777">
      <w:pPr>
        <w:autoSpaceDE w:val="0"/>
        <w:autoSpaceDN w:val="0"/>
        <w:adjustRightInd w:val="0"/>
        <w:rPr>
          <w:rFonts w:ascii="Palatino Linotype" w:hAnsi="Palatino Linotype"/>
          <w:b/>
          <w:bCs/>
          <w:sz w:val="26"/>
          <w:szCs w:val="26"/>
          <w:u w:val="single"/>
        </w:rPr>
      </w:pPr>
    </w:p>
    <w:p w:rsidRPr="00817F00" w:rsidR="003F6C68" w:rsidP="003F6C68" w:rsidRDefault="003F6C68" w14:paraId="6D595B67" w14:textId="77777777">
      <w:pPr>
        <w:autoSpaceDE w:val="0"/>
        <w:autoSpaceDN w:val="0"/>
        <w:adjustRightInd w:val="0"/>
        <w:rPr>
          <w:rFonts w:ascii="Palatino Linotype" w:hAnsi="Palatino Linotype"/>
          <w:b/>
          <w:bCs/>
          <w:sz w:val="26"/>
          <w:szCs w:val="26"/>
          <w:u w:val="single"/>
        </w:rPr>
      </w:pPr>
      <w:r w:rsidRPr="00817F00">
        <w:rPr>
          <w:rFonts w:ascii="Palatino Linotype" w:hAnsi="Palatino Linotype"/>
          <w:b/>
          <w:bCs/>
          <w:sz w:val="26"/>
          <w:szCs w:val="26"/>
          <w:u w:val="single"/>
        </w:rPr>
        <w:lastRenderedPageBreak/>
        <w:t>NOTICE</w:t>
      </w:r>
    </w:p>
    <w:p w:rsidRPr="00817F00" w:rsidR="003F6C68" w:rsidP="003F6C68" w:rsidRDefault="003F6C68" w14:paraId="181465BF" w14:textId="77777777">
      <w:pPr>
        <w:autoSpaceDE w:val="0"/>
        <w:autoSpaceDN w:val="0"/>
        <w:adjustRightInd w:val="0"/>
        <w:rPr>
          <w:rFonts w:ascii="Palatino Linotype" w:hAnsi="Palatino Linotype"/>
          <w:b/>
          <w:bCs/>
          <w:sz w:val="26"/>
          <w:szCs w:val="26"/>
          <w:u w:val="single"/>
        </w:rPr>
      </w:pPr>
    </w:p>
    <w:p w:rsidRPr="00817F00" w:rsidR="003F6C68" w:rsidP="003F6C68" w:rsidRDefault="003F6C68" w14:paraId="61901671" w14:textId="77777777">
      <w:pPr>
        <w:widowControl w:val="0"/>
        <w:autoSpaceDE w:val="0"/>
        <w:autoSpaceDN w:val="0"/>
        <w:adjustRightInd w:val="0"/>
        <w:rPr>
          <w:rFonts w:ascii="Palatino Linotype" w:hAnsi="Palatino Linotype"/>
          <w:color w:val="000000"/>
          <w:sz w:val="24"/>
          <w:szCs w:val="24"/>
        </w:rPr>
      </w:pPr>
      <w:r w:rsidRPr="00817F00">
        <w:rPr>
          <w:rFonts w:ascii="Palatino Linotype" w:hAnsi="Palatino Linotype"/>
          <w:sz w:val="24"/>
          <w:szCs w:val="24"/>
        </w:rPr>
        <w:t xml:space="preserve">On July 12, 2019, Staff posted the proposed project </w:t>
      </w:r>
      <w:r w:rsidRPr="00817F00">
        <w:rPr>
          <w:rFonts w:ascii="Palatino Linotype" w:hAnsi="Palatino Linotype"/>
          <w:color w:val="000000"/>
          <w:sz w:val="24"/>
          <w:szCs w:val="24"/>
        </w:rPr>
        <w:t xml:space="preserve">description on the </w:t>
      </w:r>
      <w:r w:rsidRPr="00817F00">
        <w:rPr>
          <w:rFonts w:ascii="Palatino Linotype" w:hAnsi="Palatino Linotype" w:cs="Palatino Linotype"/>
          <w:color w:val="000000"/>
          <w:sz w:val="24"/>
          <w:szCs w:val="24"/>
        </w:rPr>
        <w:t xml:space="preserve">Commission’s </w:t>
      </w:r>
      <w:r w:rsidRPr="00817F00">
        <w:rPr>
          <w:rFonts w:ascii="Palatino Linotype" w:hAnsi="Palatino Linotype"/>
          <w:color w:val="000000"/>
          <w:sz w:val="24"/>
          <w:szCs w:val="24"/>
        </w:rPr>
        <w:t>BPHA webpage</w:t>
      </w:r>
      <w:r w:rsidRPr="00817F00">
        <w:rPr>
          <w:rStyle w:val="FootnoteReference"/>
          <w:rFonts w:ascii="Palatino Linotype" w:hAnsi="Palatino Linotype"/>
          <w:color w:val="000000"/>
          <w:sz w:val="24"/>
          <w:szCs w:val="24"/>
        </w:rPr>
        <w:footnoteReference w:id="8"/>
      </w:r>
      <w:r w:rsidRPr="00817F00">
        <w:rPr>
          <w:rFonts w:ascii="Palatino Linotype" w:hAnsi="Palatino Linotype"/>
          <w:color w:val="000000"/>
          <w:sz w:val="24"/>
          <w:szCs w:val="24"/>
        </w:rPr>
        <w:t xml:space="preserve"> and sent a notice regarding the proposed project to the CASF Distribution List.  </w:t>
      </w:r>
    </w:p>
    <w:p w:rsidRPr="00817F00" w:rsidR="003F6C68" w:rsidP="003F6C68" w:rsidRDefault="003F6C68" w14:paraId="6FB9E6E2" w14:textId="77777777">
      <w:pPr>
        <w:autoSpaceDE w:val="0"/>
        <w:autoSpaceDN w:val="0"/>
        <w:adjustRightInd w:val="0"/>
        <w:rPr>
          <w:rFonts w:ascii="Palatino Linotype" w:hAnsi="Palatino Linotype"/>
          <w:sz w:val="24"/>
          <w:szCs w:val="24"/>
        </w:rPr>
      </w:pPr>
    </w:p>
    <w:p w:rsidRPr="00817F00" w:rsidR="003F6C68" w:rsidP="003F6C68" w:rsidRDefault="003F6C68" w14:paraId="49DB5347" w14:textId="77777777">
      <w:pPr>
        <w:autoSpaceDE w:val="0"/>
        <w:autoSpaceDN w:val="0"/>
        <w:adjustRightInd w:val="0"/>
        <w:rPr>
          <w:rFonts w:ascii="Palatino Linotype" w:hAnsi="Palatino Linotype"/>
          <w:color w:val="000000"/>
          <w:sz w:val="24"/>
          <w:szCs w:val="24"/>
        </w:rPr>
      </w:pPr>
      <w:r w:rsidRPr="00817F00">
        <w:rPr>
          <w:rFonts w:ascii="Palatino Linotype" w:hAnsi="Palatino Linotype"/>
          <w:color w:val="000000"/>
          <w:sz w:val="24"/>
          <w:szCs w:val="24"/>
        </w:rPr>
        <w:t xml:space="preserve">On September 3, 2019, Staff </w:t>
      </w:r>
      <w:r w:rsidRPr="00817F00">
        <w:rPr>
          <w:rFonts w:ascii="Palatino Linotype" w:hAnsi="Palatino Linotype"/>
          <w:sz w:val="24"/>
          <w:szCs w:val="24"/>
        </w:rPr>
        <w:t xml:space="preserve">posted the proposed project’s </w:t>
      </w:r>
      <w:r w:rsidRPr="00817F00">
        <w:rPr>
          <w:rFonts w:ascii="Palatino Linotype" w:hAnsi="Palatino Linotype"/>
          <w:color w:val="000000"/>
          <w:sz w:val="24"/>
          <w:szCs w:val="24"/>
        </w:rPr>
        <w:t xml:space="preserve">description for the amended application with the revised address on the </w:t>
      </w:r>
      <w:r w:rsidRPr="00817F00">
        <w:rPr>
          <w:rFonts w:ascii="Palatino Linotype" w:hAnsi="Palatino Linotype" w:cs="Palatino Linotype"/>
          <w:color w:val="000000"/>
          <w:sz w:val="24"/>
          <w:szCs w:val="24"/>
        </w:rPr>
        <w:t xml:space="preserve">Commission’s </w:t>
      </w:r>
      <w:r w:rsidRPr="00817F00">
        <w:rPr>
          <w:rFonts w:ascii="Palatino Linotype" w:hAnsi="Palatino Linotype"/>
          <w:color w:val="000000"/>
          <w:sz w:val="24"/>
          <w:szCs w:val="24"/>
        </w:rPr>
        <w:t xml:space="preserve">BPHA webpage and sent a notice regarding the change of address for the proposed project to the CASF Distribution List.  </w:t>
      </w:r>
    </w:p>
    <w:p w:rsidRPr="00817F00" w:rsidR="003F6C68" w:rsidP="003F6C68" w:rsidRDefault="003F6C68" w14:paraId="7E16A946" w14:textId="77777777">
      <w:pPr>
        <w:rPr>
          <w:rFonts w:ascii="Palatino Linotype" w:hAnsi="Palatino Linotype" w:cs="Palatino Linotype"/>
          <w:sz w:val="24"/>
          <w:szCs w:val="24"/>
        </w:rPr>
      </w:pPr>
    </w:p>
    <w:p w:rsidRPr="00817F00" w:rsidR="003F6C68" w:rsidP="003F6C68" w:rsidRDefault="003F6C68" w14:paraId="4668E481" w14:textId="77777777">
      <w:pPr>
        <w:autoSpaceDE w:val="0"/>
        <w:autoSpaceDN w:val="0"/>
        <w:adjustRightInd w:val="0"/>
        <w:rPr>
          <w:rFonts w:ascii="Palatino Linotype" w:hAnsi="Palatino Linotype"/>
          <w:b/>
          <w:bCs/>
          <w:sz w:val="26"/>
          <w:szCs w:val="26"/>
          <w:u w:val="single"/>
        </w:rPr>
      </w:pPr>
      <w:r w:rsidRPr="00817F00">
        <w:rPr>
          <w:rFonts w:ascii="Palatino Linotype" w:hAnsi="Palatino Linotype"/>
          <w:b/>
          <w:bCs/>
          <w:sz w:val="26"/>
          <w:szCs w:val="26"/>
          <w:u w:val="single"/>
        </w:rPr>
        <w:t>PROTESTS/CHALLENGES</w:t>
      </w:r>
    </w:p>
    <w:p w:rsidRPr="00817F00" w:rsidR="003F6C68" w:rsidP="003F6C68" w:rsidRDefault="003F6C68" w14:paraId="41130F4A" w14:textId="77777777">
      <w:pPr>
        <w:autoSpaceDE w:val="0"/>
        <w:autoSpaceDN w:val="0"/>
        <w:adjustRightInd w:val="0"/>
        <w:rPr>
          <w:rFonts w:ascii="Palatino Linotype" w:hAnsi="Palatino Linotype"/>
          <w:color w:val="000000"/>
          <w:sz w:val="24"/>
          <w:szCs w:val="24"/>
        </w:rPr>
      </w:pPr>
    </w:p>
    <w:p w:rsidRPr="00817F00" w:rsidR="003F6C68" w:rsidP="003F6C68" w:rsidRDefault="003F6C68" w14:paraId="133E6F57" w14:textId="782FED2C">
      <w:pPr>
        <w:autoSpaceDE w:val="0"/>
        <w:autoSpaceDN w:val="0"/>
        <w:adjustRightInd w:val="0"/>
        <w:rPr>
          <w:rFonts w:ascii="Palatino Linotype" w:hAnsi="Palatino Linotype"/>
          <w:color w:val="000000" w:themeColor="text1"/>
          <w:sz w:val="24"/>
          <w:szCs w:val="24"/>
        </w:rPr>
      </w:pPr>
      <w:bookmarkStart w:name="_Hlk27398191" w:id="7"/>
      <w:r w:rsidRPr="00817F00">
        <w:rPr>
          <w:rFonts w:ascii="Palatino Linotype" w:hAnsi="Palatino Linotype"/>
          <w:color w:val="000000"/>
          <w:sz w:val="24"/>
          <w:szCs w:val="24"/>
        </w:rPr>
        <w:t xml:space="preserve">On July 26, 2019, Charter Communications, Inc. (Charter) submitted a letter </w:t>
      </w:r>
      <w:r w:rsidRPr="00817F00">
        <w:rPr>
          <w:rFonts w:ascii="Palatino Linotype" w:hAnsi="Palatino Linotype"/>
          <w:color w:val="000000" w:themeColor="text1"/>
          <w:sz w:val="24"/>
          <w:szCs w:val="24"/>
        </w:rPr>
        <w:t xml:space="preserve">challenging the application stating that </w:t>
      </w:r>
      <w:r w:rsidRPr="00817F00" w:rsidR="00CD209D">
        <w:rPr>
          <w:rFonts w:ascii="Palatino Linotype" w:hAnsi="Palatino Linotype"/>
          <w:color w:val="000000" w:themeColor="text1"/>
          <w:sz w:val="24"/>
          <w:szCs w:val="24"/>
        </w:rPr>
        <w:t xml:space="preserve">it </w:t>
      </w:r>
      <w:r w:rsidRPr="00817F00">
        <w:rPr>
          <w:rFonts w:ascii="Palatino Linotype" w:hAnsi="Palatino Linotype"/>
          <w:color w:val="000000" w:themeColor="text1"/>
          <w:sz w:val="24"/>
          <w:szCs w:val="24"/>
        </w:rPr>
        <w:t>already serve</w:t>
      </w:r>
      <w:r w:rsidRPr="00817F00" w:rsidR="00CD209D">
        <w:rPr>
          <w:rFonts w:ascii="Palatino Linotype" w:hAnsi="Palatino Linotype"/>
          <w:color w:val="000000" w:themeColor="text1"/>
          <w:sz w:val="24"/>
          <w:szCs w:val="24"/>
        </w:rPr>
        <w:t>s</w:t>
      </w:r>
      <w:r w:rsidRPr="00817F00">
        <w:rPr>
          <w:rFonts w:ascii="Palatino Linotype" w:hAnsi="Palatino Linotype"/>
          <w:color w:val="000000" w:themeColor="text1"/>
          <w:sz w:val="24"/>
          <w:szCs w:val="24"/>
        </w:rPr>
        <w:t xml:space="preserve"> the residents at 2950 Polk Street.  Charter provided evidence to support </w:t>
      </w:r>
      <w:r w:rsidRPr="00817F00" w:rsidR="00CD209D">
        <w:rPr>
          <w:rFonts w:ascii="Palatino Linotype" w:hAnsi="Palatino Linotype"/>
          <w:color w:val="000000" w:themeColor="text1"/>
          <w:sz w:val="24"/>
          <w:szCs w:val="24"/>
        </w:rPr>
        <w:t xml:space="preserve">its </w:t>
      </w:r>
      <w:r w:rsidRPr="00817F00">
        <w:rPr>
          <w:rFonts w:ascii="Palatino Linotype" w:hAnsi="Palatino Linotype"/>
          <w:color w:val="000000" w:themeColor="text1"/>
          <w:sz w:val="24"/>
          <w:szCs w:val="24"/>
        </w:rPr>
        <w:t>challenge.</w:t>
      </w:r>
      <w:r w:rsidRPr="00817F00">
        <w:rPr>
          <w:rStyle w:val="FootnoteReference"/>
          <w:rFonts w:ascii="Palatino Linotype" w:hAnsi="Palatino Linotype"/>
          <w:color w:val="000000" w:themeColor="text1"/>
          <w:sz w:val="24"/>
          <w:szCs w:val="24"/>
        </w:rPr>
        <w:footnoteReference w:id="9"/>
      </w:r>
    </w:p>
    <w:p w:rsidRPr="00817F00" w:rsidR="003F6C68" w:rsidP="003F6C68" w:rsidRDefault="003F6C68" w14:paraId="5D420DD5" w14:textId="77777777">
      <w:pPr>
        <w:autoSpaceDE w:val="0"/>
        <w:autoSpaceDN w:val="0"/>
        <w:adjustRightInd w:val="0"/>
        <w:rPr>
          <w:rFonts w:ascii="Palatino Linotype" w:hAnsi="Palatino Linotype"/>
          <w:color w:val="000000" w:themeColor="text1"/>
          <w:sz w:val="24"/>
          <w:szCs w:val="24"/>
        </w:rPr>
      </w:pPr>
    </w:p>
    <w:p w:rsidRPr="00817F00" w:rsidR="003F6C68" w:rsidP="003F6C68" w:rsidRDefault="003F6C68" w14:paraId="4A198B2E" w14:textId="61AAA7AB">
      <w:pPr>
        <w:autoSpaceDE w:val="0"/>
        <w:autoSpaceDN w:val="0"/>
        <w:adjustRightInd w:val="0"/>
        <w:rPr>
          <w:rFonts w:ascii="Palatino Linotype" w:hAnsi="Palatino Linotype"/>
          <w:color w:val="000000" w:themeColor="text1"/>
          <w:sz w:val="24"/>
          <w:szCs w:val="24"/>
        </w:rPr>
      </w:pPr>
      <w:r w:rsidRPr="00817F00">
        <w:rPr>
          <w:rFonts w:ascii="Palatino Linotype" w:hAnsi="Palatino Linotype"/>
          <w:color w:val="000000" w:themeColor="text1"/>
          <w:sz w:val="24"/>
          <w:szCs w:val="24"/>
        </w:rPr>
        <w:t xml:space="preserve">Charter </w:t>
      </w:r>
      <w:r w:rsidRPr="00817F00" w:rsidR="00CD209D">
        <w:rPr>
          <w:rFonts w:ascii="Palatino Linotype" w:hAnsi="Palatino Linotype"/>
          <w:color w:val="000000" w:themeColor="text1"/>
          <w:sz w:val="24"/>
          <w:szCs w:val="24"/>
        </w:rPr>
        <w:t xml:space="preserve">then </w:t>
      </w:r>
      <w:r w:rsidRPr="00817F00">
        <w:rPr>
          <w:rFonts w:ascii="Palatino Linotype" w:hAnsi="Palatino Linotype"/>
          <w:color w:val="000000" w:themeColor="text1"/>
          <w:sz w:val="24"/>
          <w:szCs w:val="24"/>
        </w:rPr>
        <w:t xml:space="preserve">submitted a challenge to the amended application on September 17, 2019.  In its challenge, Charter’s arguments were </w:t>
      </w:r>
      <w:proofErr w:type="gramStart"/>
      <w:r w:rsidRPr="00817F00">
        <w:rPr>
          <w:rFonts w:ascii="Palatino Linotype" w:hAnsi="Palatino Linotype"/>
          <w:color w:val="000000" w:themeColor="text1"/>
          <w:sz w:val="24"/>
          <w:szCs w:val="24"/>
        </w:rPr>
        <w:t>similar to</w:t>
      </w:r>
      <w:proofErr w:type="gramEnd"/>
      <w:r w:rsidRPr="00817F00">
        <w:rPr>
          <w:rFonts w:ascii="Palatino Linotype" w:hAnsi="Palatino Linotype"/>
          <w:color w:val="000000" w:themeColor="text1"/>
          <w:sz w:val="24"/>
          <w:szCs w:val="24"/>
        </w:rPr>
        <w:t xml:space="preserve"> its first challenge, except that it </w:t>
      </w:r>
      <w:r w:rsidRPr="00817F00" w:rsidR="00CD209D">
        <w:rPr>
          <w:rFonts w:ascii="Palatino Linotype" w:hAnsi="Palatino Linotype"/>
          <w:color w:val="000000" w:themeColor="text1"/>
          <w:sz w:val="24"/>
          <w:szCs w:val="24"/>
        </w:rPr>
        <w:t>included</w:t>
      </w:r>
      <w:r w:rsidRPr="00817F00">
        <w:rPr>
          <w:rFonts w:ascii="Palatino Linotype" w:hAnsi="Palatino Linotype"/>
          <w:color w:val="000000" w:themeColor="text1"/>
          <w:sz w:val="24"/>
          <w:szCs w:val="24"/>
        </w:rPr>
        <w:t xml:space="preserve"> the following statement, “The corrected application changes the address to a different address in the same apartment complex, 2900 Polk Street.  2900 Polk Street is not constructed yet but will be part of the same Woodlands Apartment development as 2950 Polk Street.  </w:t>
      </w:r>
      <w:r w:rsidRPr="00817F00" w:rsidR="001804FA">
        <w:rPr>
          <w:rFonts w:ascii="Palatino Linotype" w:hAnsi="Palatino Linotype"/>
          <w:color w:val="000000" w:themeColor="text1"/>
          <w:sz w:val="24"/>
          <w:szCs w:val="24"/>
        </w:rPr>
        <w:t>However,</w:t>
      </w:r>
      <w:r w:rsidRPr="00817F00">
        <w:rPr>
          <w:rFonts w:ascii="Palatino Linotype" w:hAnsi="Palatino Linotype"/>
          <w:color w:val="000000" w:themeColor="text1"/>
          <w:sz w:val="24"/>
          <w:szCs w:val="24"/>
        </w:rPr>
        <w:t>…the new building is part of a complex where Charter already provides service and stands ready to serve all parts of the complex.”</w:t>
      </w:r>
      <w:r w:rsidRPr="00817F00">
        <w:rPr>
          <w:rStyle w:val="FootnoteReference"/>
          <w:rFonts w:ascii="Palatino Linotype" w:hAnsi="Palatino Linotype"/>
          <w:color w:val="000000" w:themeColor="text1"/>
          <w:sz w:val="24"/>
          <w:szCs w:val="24"/>
        </w:rPr>
        <w:footnoteReference w:id="10"/>
      </w:r>
      <w:r w:rsidRPr="00817F00">
        <w:rPr>
          <w:rFonts w:ascii="Palatino Linotype" w:hAnsi="Palatino Linotype"/>
          <w:color w:val="000000" w:themeColor="text1"/>
          <w:sz w:val="24"/>
          <w:szCs w:val="24"/>
        </w:rPr>
        <w:t xml:space="preserve">  </w:t>
      </w:r>
      <w:bookmarkEnd w:id="7"/>
    </w:p>
    <w:p w:rsidRPr="00817F00" w:rsidR="003F6C68" w:rsidP="003F6C68" w:rsidRDefault="003F6C68" w14:paraId="50FD45A4" w14:textId="77777777">
      <w:pPr>
        <w:rPr>
          <w:rFonts w:ascii="Palatino Linotype" w:hAnsi="Palatino Linotype"/>
        </w:rPr>
      </w:pPr>
    </w:p>
    <w:p w:rsidRPr="00817F00" w:rsidR="003F6C68" w:rsidP="003F6C68" w:rsidRDefault="003F6C68" w14:paraId="1F658DEE" w14:textId="77777777">
      <w:pPr>
        <w:rPr>
          <w:rFonts w:ascii="Palatino Linotype" w:hAnsi="Palatino Linotype" w:cs="Palatino Linotype"/>
          <w:b/>
          <w:bCs/>
          <w:color w:val="000000"/>
          <w:sz w:val="26"/>
          <w:szCs w:val="26"/>
          <w:u w:val="single"/>
        </w:rPr>
      </w:pPr>
      <w:bookmarkStart w:name="_Hlk536694209" w:id="8"/>
      <w:bookmarkEnd w:id="6"/>
      <w:r w:rsidRPr="00817F00">
        <w:rPr>
          <w:rFonts w:ascii="Palatino Linotype" w:hAnsi="Palatino Linotype" w:cs="Palatino Linotype"/>
          <w:b/>
          <w:bCs/>
          <w:color w:val="000000"/>
          <w:sz w:val="26"/>
          <w:szCs w:val="26"/>
          <w:u w:val="single"/>
        </w:rPr>
        <w:t>DISCUSSION</w:t>
      </w:r>
    </w:p>
    <w:p w:rsidRPr="00817F00" w:rsidR="003F6C68" w:rsidP="003F6C68" w:rsidRDefault="003F6C68" w14:paraId="1602A5C6" w14:textId="43A89772">
      <w:pPr>
        <w:rPr>
          <w:rFonts w:ascii="Palatino Linotype" w:hAnsi="Palatino Linotype"/>
          <w:sz w:val="24"/>
          <w:szCs w:val="24"/>
        </w:rPr>
      </w:pPr>
      <w:r w:rsidRPr="00817F00">
        <w:rPr>
          <w:rFonts w:ascii="Palatino Linotype" w:hAnsi="Palatino Linotype"/>
          <w:sz w:val="24"/>
          <w:szCs w:val="24"/>
        </w:rPr>
        <w:br/>
        <w:t>In compliance with D.</w:t>
      </w:r>
      <w:r w:rsidRPr="00817F00">
        <w:rPr>
          <w:rFonts w:ascii="Palatino Linotype" w:hAnsi="Palatino Linotype" w:cs="Palatino Linotype"/>
          <w:sz w:val="24"/>
          <w:szCs w:val="24"/>
        </w:rPr>
        <w:t>18-06-032</w:t>
      </w:r>
      <w:r w:rsidRPr="00817F00">
        <w:rPr>
          <w:rFonts w:ascii="Palatino Linotype" w:hAnsi="Palatino Linotype"/>
          <w:sz w:val="24"/>
          <w:szCs w:val="24"/>
        </w:rPr>
        <w:t xml:space="preserve">, Staff determined NVCSS’s </w:t>
      </w:r>
      <w:r w:rsidRPr="00817F00">
        <w:rPr>
          <w:rFonts w:ascii="Palatino Linotype" w:hAnsi="Palatino Linotype" w:cs="Palatino Linotype"/>
          <w:sz w:val="24"/>
          <w:szCs w:val="24"/>
        </w:rPr>
        <w:t>Woodlands II</w:t>
      </w:r>
      <w:r w:rsidRPr="00817F00">
        <w:rPr>
          <w:rFonts w:ascii="Palatino Linotype" w:hAnsi="Palatino Linotype"/>
          <w:sz w:val="24"/>
          <w:szCs w:val="24"/>
        </w:rPr>
        <w:t xml:space="preserve"> project is eligible to receive $</w:t>
      </w:r>
      <w:r w:rsidRPr="00817F00" w:rsidR="0084551F">
        <w:rPr>
          <w:rFonts w:ascii="Palatino Linotype" w:hAnsi="Palatino Linotype"/>
          <w:sz w:val="24"/>
          <w:szCs w:val="24"/>
        </w:rPr>
        <w:t>35,949</w:t>
      </w:r>
      <w:r w:rsidRPr="00817F00">
        <w:rPr>
          <w:rFonts w:ascii="Palatino Linotype" w:hAnsi="Palatino Linotype"/>
          <w:sz w:val="24"/>
          <w:szCs w:val="24"/>
        </w:rPr>
        <w:t xml:space="preserve"> in CASF BPHA Infrastructure grant funding.  </w:t>
      </w:r>
    </w:p>
    <w:p w:rsidRPr="00817F00" w:rsidR="003F6C68" w:rsidP="003F6C68" w:rsidRDefault="003F6C68" w14:paraId="7E9E6D40" w14:textId="77777777">
      <w:pPr>
        <w:rPr>
          <w:rFonts w:ascii="Palatino Linotype" w:hAnsi="Palatino Linotype"/>
          <w:sz w:val="24"/>
          <w:szCs w:val="24"/>
        </w:rPr>
      </w:pPr>
    </w:p>
    <w:p w:rsidRPr="00817F00" w:rsidR="003F6C68" w:rsidP="003F6C68" w:rsidRDefault="003F6C68" w14:paraId="1ED225AA" w14:textId="1B2666F8">
      <w:pPr>
        <w:rPr>
          <w:rFonts w:ascii="Palatino Linotype" w:hAnsi="Palatino Linotype"/>
          <w:sz w:val="24"/>
          <w:szCs w:val="24"/>
        </w:rPr>
      </w:pPr>
      <w:r w:rsidRPr="00817F00">
        <w:rPr>
          <w:rFonts w:ascii="Palatino Linotype" w:hAnsi="Palatino Linotype"/>
          <w:sz w:val="24"/>
          <w:szCs w:val="24"/>
        </w:rPr>
        <w:t xml:space="preserve">While the project meets all expedited review criteria, </w:t>
      </w:r>
      <w:r w:rsidRPr="00817F00" w:rsidR="00D24A2D">
        <w:rPr>
          <w:rFonts w:ascii="Palatino Linotype" w:hAnsi="Palatino Linotype"/>
          <w:sz w:val="24"/>
          <w:szCs w:val="24"/>
        </w:rPr>
        <w:t>the S</w:t>
      </w:r>
      <w:r w:rsidRPr="00817F00">
        <w:rPr>
          <w:rFonts w:ascii="Palatino Linotype" w:hAnsi="Palatino Linotype"/>
          <w:sz w:val="24"/>
          <w:szCs w:val="24"/>
        </w:rPr>
        <w:t xml:space="preserve">taff recommends that this project be approved via Resolution because the </w:t>
      </w:r>
      <w:r w:rsidRPr="00817F00" w:rsidR="00CD209D">
        <w:rPr>
          <w:rFonts w:ascii="Palatino Linotype" w:hAnsi="Palatino Linotype"/>
          <w:sz w:val="24"/>
          <w:szCs w:val="24"/>
        </w:rPr>
        <w:t xml:space="preserve">question of whether </w:t>
      </w:r>
      <w:r w:rsidRPr="00817F00">
        <w:rPr>
          <w:rFonts w:ascii="Palatino Linotype" w:hAnsi="Palatino Linotype"/>
          <w:sz w:val="24"/>
          <w:szCs w:val="24"/>
        </w:rPr>
        <w:t xml:space="preserve">a building still under construction </w:t>
      </w:r>
      <w:r w:rsidRPr="00817F00" w:rsidR="00CD209D">
        <w:rPr>
          <w:rFonts w:ascii="Palatino Linotype" w:hAnsi="Palatino Linotype"/>
          <w:sz w:val="24"/>
          <w:szCs w:val="24"/>
        </w:rPr>
        <w:t xml:space="preserve">can qualify as “unserved” </w:t>
      </w:r>
      <w:r w:rsidRPr="00817F00">
        <w:rPr>
          <w:rFonts w:ascii="Palatino Linotype" w:hAnsi="Palatino Linotype"/>
          <w:sz w:val="24"/>
          <w:szCs w:val="24"/>
        </w:rPr>
        <w:t xml:space="preserve">was not specifically addressed in the existing BPHA rules.  </w:t>
      </w:r>
    </w:p>
    <w:p w:rsidRPr="00817F00" w:rsidR="003F6C68" w:rsidP="003F6C68" w:rsidRDefault="003F6C68" w14:paraId="7EFBB682" w14:textId="77777777">
      <w:pPr>
        <w:shd w:val="clear" w:color="auto" w:fill="FFFFFF" w:themeFill="background1"/>
        <w:autoSpaceDE w:val="0"/>
        <w:autoSpaceDN w:val="0"/>
        <w:adjustRightInd w:val="0"/>
        <w:rPr>
          <w:rFonts w:ascii="Palatino Linotype" w:hAnsi="Palatino Linotype"/>
          <w:sz w:val="24"/>
          <w:szCs w:val="24"/>
        </w:rPr>
      </w:pPr>
    </w:p>
    <w:bookmarkEnd w:id="8"/>
    <w:p w:rsidRPr="00817F00" w:rsidR="003F6C68" w:rsidP="003F6C68" w:rsidRDefault="003F6C68" w14:paraId="19958B92" w14:textId="77777777">
      <w:pPr>
        <w:rPr>
          <w:rFonts w:ascii="Palatino Linotype" w:hAnsi="Palatino Linotype"/>
          <w:sz w:val="24"/>
          <w:szCs w:val="24"/>
        </w:rPr>
      </w:pPr>
      <w:r w:rsidRPr="00817F00">
        <w:rPr>
          <w:rFonts w:ascii="Palatino Linotype" w:hAnsi="Palatino Linotype"/>
          <w:sz w:val="24"/>
          <w:szCs w:val="24"/>
        </w:rPr>
        <w:t xml:space="preserve">Details of Staff analysis are explained in the following sections: </w:t>
      </w:r>
    </w:p>
    <w:p w:rsidRPr="00817F00" w:rsidR="003F6C68" w:rsidP="003F6C68" w:rsidRDefault="003F6C68" w14:paraId="19181AB6" w14:textId="77777777">
      <w:pPr>
        <w:rPr>
          <w:rFonts w:ascii="Palatino Linotype" w:hAnsi="Palatino Linotype"/>
          <w:sz w:val="24"/>
          <w:szCs w:val="24"/>
        </w:rPr>
      </w:pPr>
    </w:p>
    <w:p w:rsidRPr="00817F00" w:rsidR="003F6C68" w:rsidP="003F6C68" w:rsidRDefault="003F6C68" w14:paraId="4CC57436" w14:textId="77777777">
      <w:pPr>
        <w:rPr>
          <w:rFonts w:ascii="Palatino Linotype" w:hAnsi="Palatino Linotype"/>
          <w:sz w:val="24"/>
          <w:szCs w:val="24"/>
        </w:rPr>
      </w:pPr>
      <w:r w:rsidRPr="00817F00">
        <w:rPr>
          <w:rFonts w:ascii="Palatino Linotype" w:hAnsi="Palatino Linotype"/>
          <w:sz w:val="24"/>
          <w:szCs w:val="24"/>
        </w:rPr>
        <w:t>I.</w:t>
      </w:r>
      <w:r w:rsidRPr="00817F00">
        <w:rPr>
          <w:rFonts w:ascii="Palatino Linotype" w:hAnsi="Palatino Linotype"/>
          <w:sz w:val="24"/>
          <w:szCs w:val="24"/>
        </w:rPr>
        <w:tab/>
        <w:t xml:space="preserve">Project Eligibility  </w:t>
      </w:r>
    </w:p>
    <w:p w:rsidRPr="00817F00" w:rsidR="003F6C68" w:rsidP="003F6C68" w:rsidRDefault="003F6C68" w14:paraId="4E080905" w14:textId="77777777">
      <w:pPr>
        <w:rPr>
          <w:rFonts w:ascii="Palatino Linotype" w:hAnsi="Palatino Linotype"/>
          <w:sz w:val="24"/>
          <w:szCs w:val="24"/>
        </w:rPr>
      </w:pPr>
      <w:r w:rsidRPr="00817F00">
        <w:rPr>
          <w:rFonts w:ascii="Palatino Linotype" w:hAnsi="Palatino Linotype"/>
          <w:sz w:val="24"/>
          <w:szCs w:val="24"/>
        </w:rPr>
        <w:t>II.</w:t>
      </w:r>
      <w:r w:rsidRPr="00817F00">
        <w:rPr>
          <w:rFonts w:ascii="Palatino Linotype" w:hAnsi="Palatino Linotype"/>
          <w:sz w:val="24"/>
          <w:szCs w:val="24"/>
        </w:rPr>
        <w:tab/>
        <w:t xml:space="preserve">Funding Determination </w:t>
      </w:r>
    </w:p>
    <w:p w:rsidRPr="00817F00" w:rsidR="003F6C68" w:rsidP="003F6C68" w:rsidRDefault="003F6C68" w14:paraId="254ED0A5" w14:textId="77777777">
      <w:pPr>
        <w:rPr>
          <w:rFonts w:ascii="Palatino Linotype" w:hAnsi="Palatino Linotype"/>
          <w:sz w:val="24"/>
          <w:szCs w:val="24"/>
        </w:rPr>
      </w:pPr>
      <w:r w:rsidRPr="00817F00">
        <w:rPr>
          <w:rFonts w:ascii="Palatino Linotype" w:hAnsi="Palatino Linotype"/>
          <w:sz w:val="24"/>
          <w:szCs w:val="24"/>
        </w:rPr>
        <w:t>III.</w:t>
      </w:r>
      <w:r w:rsidRPr="00817F00">
        <w:rPr>
          <w:rFonts w:ascii="Palatino Linotype" w:hAnsi="Palatino Linotype"/>
          <w:sz w:val="24"/>
          <w:szCs w:val="24"/>
        </w:rPr>
        <w:tab/>
        <w:t xml:space="preserve">Compliance Requirements </w:t>
      </w:r>
    </w:p>
    <w:p w:rsidRPr="00817F00" w:rsidR="003F6C68" w:rsidP="003F6C68" w:rsidRDefault="003F6C68" w14:paraId="5BA71CE3" w14:textId="77777777">
      <w:pPr>
        <w:rPr>
          <w:rFonts w:ascii="Palatino Linotype" w:hAnsi="Palatino Linotype"/>
          <w:sz w:val="24"/>
          <w:szCs w:val="24"/>
        </w:rPr>
      </w:pPr>
      <w:r w:rsidRPr="00817F00">
        <w:rPr>
          <w:rFonts w:ascii="Palatino Linotype" w:hAnsi="Palatino Linotype"/>
          <w:sz w:val="24"/>
          <w:szCs w:val="24"/>
        </w:rPr>
        <w:t>IV.</w:t>
      </w:r>
      <w:r w:rsidRPr="00817F00">
        <w:rPr>
          <w:rFonts w:ascii="Palatino Linotype" w:hAnsi="Palatino Linotype"/>
          <w:sz w:val="24"/>
          <w:szCs w:val="24"/>
        </w:rPr>
        <w:tab/>
        <w:t xml:space="preserve">Payment to CASF Recipients </w:t>
      </w:r>
    </w:p>
    <w:p w:rsidRPr="00817F00" w:rsidR="003F6C68" w:rsidP="003F6C68" w:rsidRDefault="003F6C68" w14:paraId="350C0D3A" w14:textId="77777777">
      <w:pPr>
        <w:rPr>
          <w:rFonts w:ascii="Palatino Linotype" w:hAnsi="Palatino Linotype"/>
          <w:sz w:val="24"/>
          <w:szCs w:val="24"/>
        </w:rPr>
      </w:pPr>
    </w:p>
    <w:p w:rsidRPr="00817F00" w:rsidR="003F6C68" w:rsidP="003F6C68" w:rsidRDefault="003F6C68" w14:paraId="2A643EF7" w14:textId="77777777">
      <w:pPr>
        <w:pStyle w:val="Heading2"/>
        <w:numPr>
          <w:ilvl w:val="0"/>
          <w:numId w:val="5"/>
        </w:numPr>
        <w:rPr>
          <w:rFonts w:ascii="Palatino Linotype" w:hAnsi="Palatino Linotype"/>
          <w:bCs/>
          <w:u w:val="single"/>
        </w:rPr>
      </w:pPr>
      <w:r w:rsidRPr="00817F00">
        <w:rPr>
          <w:rFonts w:ascii="Palatino Linotype" w:hAnsi="Palatino Linotype"/>
          <w:bCs/>
          <w:u w:val="single"/>
        </w:rPr>
        <w:t>Project Eligibility /Disposition of Charter’s Challenge</w:t>
      </w:r>
    </w:p>
    <w:p w:rsidRPr="00817F00" w:rsidR="003F6C68" w:rsidP="003F6C68" w:rsidRDefault="003F6C68" w14:paraId="6E609707" w14:textId="56DE08C8">
      <w:pPr>
        <w:pStyle w:val="Default"/>
        <w:rPr>
          <w:rFonts w:ascii="Palatino Linotype" w:hAnsi="Palatino Linotype" w:cs="Palatino Linotype"/>
        </w:rPr>
      </w:pPr>
      <w:r w:rsidRPr="00817F00">
        <w:rPr>
          <w:rFonts w:ascii="Palatino Linotype" w:hAnsi="Palatino Linotype"/>
          <w:color w:val="000000" w:themeColor="text1"/>
        </w:rPr>
        <w:t xml:space="preserve">In its application, NVCSS attested that the </w:t>
      </w:r>
      <w:r w:rsidRPr="00817F00">
        <w:rPr>
          <w:rFonts w:ascii="Palatino Linotype" w:hAnsi="Palatino Linotype" w:cs="Palatino Linotype"/>
        </w:rPr>
        <w:t xml:space="preserve">Woodlands Apartments II Development is an “unserved” housing development. </w:t>
      </w:r>
      <w:r w:rsidRPr="00817F00" w:rsidR="00CD209D">
        <w:rPr>
          <w:rFonts w:ascii="Palatino Linotype" w:hAnsi="Palatino Linotype" w:cs="Palatino Linotype"/>
        </w:rPr>
        <w:t xml:space="preserve"> </w:t>
      </w:r>
      <w:r w:rsidRPr="00817F00">
        <w:rPr>
          <w:rFonts w:ascii="Palatino Linotype" w:hAnsi="Palatino Linotype" w:cs="Palatino Linotype"/>
        </w:rPr>
        <w:t>Charter claims that the Woodlands Apartments II Development is an extension of an existing apartment development on a contiguous property</w:t>
      </w:r>
      <w:r w:rsidRPr="00817F00" w:rsidR="00CD209D">
        <w:rPr>
          <w:rFonts w:ascii="Palatino Linotype" w:hAnsi="Palatino Linotype" w:cs="Palatino Linotype"/>
        </w:rPr>
        <w:t>,</w:t>
      </w:r>
      <w:r w:rsidRPr="00817F00">
        <w:rPr>
          <w:rFonts w:ascii="Palatino Linotype" w:hAnsi="Palatino Linotype" w:cs="Palatino Linotype"/>
        </w:rPr>
        <w:t xml:space="preserve"> and </w:t>
      </w:r>
      <w:r w:rsidRPr="00817F00" w:rsidR="00CD209D">
        <w:rPr>
          <w:rFonts w:ascii="Palatino Linotype" w:hAnsi="Palatino Linotype" w:cs="Palatino Linotype"/>
        </w:rPr>
        <w:t xml:space="preserve">further </w:t>
      </w:r>
      <w:r w:rsidRPr="00817F00">
        <w:rPr>
          <w:rFonts w:ascii="Palatino Linotype" w:hAnsi="Palatino Linotype" w:cs="Palatino Linotype"/>
        </w:rPr>
        <w:t xml:space="preserve">claims that it already serves the </w:t>
      </w:r>
      <w:r w:rsidRPr="00817F00" w:rsidR="00CD209D">
        <w:rPr>
          <w:rFonts w:ascii="Palatino Linotype" w:hAnsi="Palatino Linotype" w:cs="Palatino Linotype"/>
        </w:rPr>
        <w:t xml:space="preserve">under-construction </w:t>
      </w:r>
      <w:r w:rsidRPr="00817F00">
        <w:rPr>
          <w:rFonts w:ascii="Palatino Linotype" w:hAnsi="Palatino Linotype" w:cs="Palatino Linotype"/>
        </w:rPr>
        <w:t xml:space="preserve">project location since it </w:t>
      </w:r>
      <w:r w:rsidRPr="00817F00" w:rsidR="00CD209D">
        <w:rPr>
          <w:rFonts w:ascii="Palatino Linotype" w:hAnsi="Palatino Linotype" w:cs="Palatino Linotype"/>
        </w:rPr>
        <w:t xml:space="preserve">currently </w:t>
      </w:r>
      <w:r w:rsidRPr="00817F00">
        <w:rPr>
          <w:rFonts w:ascii="Palatino Linotype" w:hAnsi="Palatino Linotype" w:cs="Palatino Linotype"/>
        </w:rPr>
        <w:t xml:space="preserve">serves the existing </w:t>
      </w:r>
      <w:r w:rsidRPr="00817F00" w:rsidR="00CD209D">
        <w:rPr>
          <w:rFonts w:ascii="Palatino Linotype" w:hAnsi="Palatino Linotype" w:cs="Palatino Linotype"/>
        </w:rPr>
        <w:t xml:space="preserve">adjacent </w:t>
      </w:r>
      <w:r w:rsidRPr="00817F00">
        <w:rPr>
          <w:rFonts w:ascii="Palatino Linotype" w:hAnsi="Palatino Linotype" w:cs="Palatino Linotype"/>
        </w:rPr>
        <w:t xml:space="preserve">development (2900 Polk Street).  </w:t>
      </w:r>
    </w:p>
    <w:p w:rsidRPr="00817F00" w:rsidR="003F6C68" w:rsidP="003F6C68" w:rsidRDefault="003F6C68" w14:paraId="0A8EE9C6" w14:textId="77777777">
      <w:pPr>
        <w:pStyle w:val="Default"/>
        <w:rPr>
          <w:rFonts w:ascii="Palatino Linotype" w:hAnsi="Palatino Linotype" w:cs="Palatino Linotype"/>
        </w:rPr>
      </w:pPr>
    </w:p>
    <w:p w:rsidRPr="00817F00" w:rsidR="003F6C68" w:rsidP="003F6C68" w:rsidRDefault="003F6C68" w14:paraId="27AAF8B8" w14:textId="77777777">
      <w:pPr>
        <w:pStyle w:val="Default"/>
        <w:rPr>
          <w:rFonts w:ascii="Palatino Linotype" w:hAnsi="Palatino Linotype" w:cs="Palatino Linotype"/>
        </w:rPr>
      </w:pPr>
      <w:r w:rsidRPr="00817F00">
        <w:rPr>
          <w:rFonts w:ascii="Palatino Linotype" w:hAnsi="Palatino Linotype" w:cs="Palatino Linotype"/>
        </w:rPr>
        <w:t>Staff disagrees with Charter for the following reasons:</w:t>
      </w:r>
    </w:p>
    <w:p w:rsidRPr="00817F00" w:rsidR="003F6C68" w:rsidP="003F6C68" w:rsidRDefault="003F6C68" w14:paraId="65146FA0" w14:textId="77777777">
      <w:pPr>
        <w:pStyle w:val="Default"/>
        <w:rPr>
          <w:rFonts w:ascii="Palatino Linotype" w:hAnsi="Palatino Linotype" w:cs="Palatino Linotype"/>
        </w:rPr>
      </w:pPr>
    </w:p>
    <w:p w:rsidRPr="00817F00" w:rsidR="003F6C68" w:rsidP="003F6C68" w:rsidRDefault="003F6C68" w14:paraId="5C0B4396" w14:textId="40E9F1CA">
      <w:pPr>
        <w:pStyle w:val="Default"/>
        <w:rPr>
          <w:rFonts w:ascii="Palatino Linotype" w:hAnsi="Palatino Linotype" w:cs="Palatino Linotype"/>
        </w:rPr>
      </w:pPr>
      <w:r w:rsidRPr="00817F00">
        <w:rPr>
          <w:rFonts w:ascii="Palatino Linotype" w:hAnsi="Palatino Linotype" w:cs="Palatino Linotype"/>
        </w:rPr>
        <w:t>First, the apartment development on the contiguous property was constructed in 2016.  The Woodlands Apartments II Development is a new construction owned by a different legal entity.</w:t>
      </w:r>
      <w:r w:rsidRPr="00817F00">
        <w:rPr>
          <w:rStyle w:val="FootnoteReference"/>
          <w:rFonts w:ascii="Palatino Linotype" w:hAnsi="Palatino Linotype" w:cs="Palatino Linotype"/>
        </w:rPr>
        <w:footnoteReference w:id="11"/>
      </w:r>
      <w:r w:rsidRPr="00817F00">
        <w:rPr>
          <w:rFonts w:ascii="Palatino Linotype" w:hAnsi="Palatino Linotype" w:cs="Palatino Linotype"/>
        </w:rPr>
        <w:t xml:space="preserve">  It will be managed separately </w:t>
      </w:r>
      <w:r w:rsidRPr="00817F00" w:rsidR="00D24A2D">
        <w:rPr>
          <w:rFonts w:ascii="Palatino Linotype" w:hAnsi="Palatino Linotype" w:cs="Palatino Linotype"/>
        </w:rPr>
        <w:t xml:space="preserve">from </w:t>
      </w:r>
      <w:r w:rsidRPr="00817F00">
        <w:rPr>
          <w:rFonts w:ascii="Palatino Linotype" w:hAnsi="Palatino Linotype" w:cs="Palatino Linotype"/>
        </w:rPr>
        <w:t xml:space="preserve">the existing apartment development.  Since property ownership and management are different </w:t>
      </w:r>
      <w:r w:rsidRPr="00817F00" w:rsidR="00CD209D">
        <w:rPr>
          <w:rFonts w:ascii="Palatino Linotype" w:hAnsi="Palatino Linotype" w:cs="Palatino Linotype"/>
        </w:rPr>
        <w:t xml:space="preserve">from those for </w:t>
      </w:r>
      <w:r w:rsidRPr="00817F00">
        <w:rPr>
          <w:rFonts w:ascii="Palatino Linotype" w:hAnsi="Palatino Linotype" w:cs="Palatino Linotype"/>
        </w:rPr>
        <w:t>the apartment</w:t>
      </w:r>
      <w:r w:rsidRPr="00817F00" w:rsidR="003D098D">
        <w:rPr>
          <w:rFonts w:ascii="Palatino Linotype" w:hAnsi="Palatino Linotype" w:cs="Palatino Linotype"/>
        </w:rPr>
        <w:t xml:space="preserve"> </w:t>
      </w:r>
      <w:r w:rsidRPr="00817F00">
        <w:rPr>
          <w:rFonts w:ascii="Palatino Linotype" w:hAnsi="Palatino Linotype" w:cs="Palatino Linotype"/>
        </w:rPr>
        <w:t>development on the contiguous property, Staff concludes that the Woodlands Apartments II Development is not an extension of the existing housing development.</w:t>
      </w:r>
      <w:r w:rsidRPr="00817F00">
        <w:rPr>
          <w:rStyle w:val="FootnoteReference"/>
          <w:rFonts w:ascii="Palatino Linotype" w:hAnsi="Palatino Linotype" w:cs="Palatino Linotype"/>
        </w:rPr>
        <w:footnoteReference w:id="12"/>
      </w:r>
    </w:p>
    <w:p w:rsidRPr="00817F00" w:rsidR="003F6C68" w:rsidP="003F6C68" w:rsidRDefault="003F6C68" w14:paraId="372CB200" w14:textId="77777777">
      <w:pPr>
        <w:pStyle w:val="Default"/>
        <w:rPr>
          <w:rFonts w:ascii="Palatino Linotype" w:hAnsi="Palatino Linotype" w:cs="Palatino Linotype"/>
        </w:rPr>
      </w:pPr>
    </w:p>
    <w:p w:rsidRPr="00817F00" w:rsidR="003F6C68" w:rsidP="003F6C68" w:rsidRDefault="003F6C68" w14:paraId="48B5820A" w14:textId="0998E170">
      <w:pPr>
        <w:pStyle w:val="Default"/>
        <w:rPr>
          <w:rFonts w:ascii="Palatino Linotype" w:hAnsi="Palatino Linotype" w:cs="Palatino Linotype"/>
        </w:rPr>
      </w:pPr>
      <w:r w:rsidRPr="00817F00">
        <w:rPr>
          <w:rFonts w:ascii="Palatino Linotype" w:hAnsi="Palatino Linotype" w:cs="Palatino Linotype"/>
        </w:rPr>
        <w:t xml:space="preserve">Second, the building </w:t>
      </w:r>
      <w:r w:rsidRPr="00817F00" w:rsidR="0025381F">
        <w:rPr>
          <w:rFonts w:ascii="Palatino Linotype" w:hAnsi="Palatino Linotype" w:cs="Palatino Linotype"/>
        </w:rPr>
        <w:t xml:space="preserve">is under construction </w:t>
      </w:r>
      <w:r w:rsidRPr="00817F00">
        <w:rPr>
          <w:rFonts w:ascii="Palatino Linotype" w:hAnsi="Palatino Linotype" w:cs="Palatino Linotype"/>
        </w:rPr>
        <w:t xml:space="preserve">and not wired for broadband </w:t>
      </w:r>
      <w:r w:rsidR="00CE32CA">
        <w:rPr>
          <w:rFonts w:ascii="Palatino Linotype" w:hAnsi="Palatino Linotype" w:cs="Palatino Linotype"/>
        </w:rPr>
        <w:t>i</w:t>
      </w:r>
      <w:r w:rsidRPr="00817F00">
        <w:rPr>
          <w:rFonts w:ascii="Palatino Linotype" w:hAnsi="Palatino Linotype" w:cs="Palatino Linotype"/>
        </w:rPr>
        <w:t xml:space="preserve">nternet and, therefore, no unit is being offered a broadband </w:t>
      </w:r>
      <w:r w:rsidR="00CE32CA">
        <w:rPr>
          <w:rFonts w:ascii="Palatino Linotype" w:hAnsi="Palatino Linotype" w:cs="Palatino Linotype"/>
        </w:rPr>
        <w:t>i</w:t>
      </w:r>
      <w:r w:rsidRPr="00817F00">
        <w:rPr>
          <w:rFonts w:ascii="Palatino Linotype" w:hAnsi="Palatino Linotype" w:cs="Palatino Linotype"/>
        </w:rPr>
        <w:t>nternet service per D.18-06-032.</w:t>
      </w:r>
      <w:r w:rsidRPr="00817F00" w:rsidR="00F0770E">
        <w:rPr>
          <w:rStyle w:val="FootnoteReference"/>
          <w:rFonts w:ascii="Palatino Linotype" w:hAnsi="Palatino Linotype" w:cs="Palatino Linotype"/>
        </w:rPr>
        <w:footnoteReference w:id="13"/>
      </w:r>
      <w:r w:rsidRPr="00817F00">
        <w:rPr>
          <w:rFonts w:ascii="Palatino Linotype" w:hAnsi="Palatino Linotype" w:cs="Palatino Linotype"/>
        </w:rPr>
        <w:t xml:space="preserve">  Staff </w:t>
      </w:r>
      <w:r w:rsidRPr="00817F00" w:rsidR="00CD209D">
        <w:rPr>
          <w:rFonts w:ascii="Palatino Linotype" w:hAnsi="Palatino Linotype" w:cs="Palatino Linotype"/>
        </w:rPr>
        <w:t xml:space="preserve">has </w:t>
      </w:r>
      <w:r w:rsidRPr="00817F00">
        <w:rPr>
          <w:rFonts w:ascii="Palatino Linotype" w:hAnsi="Palatino Linotype" w:cs="Palatino Linotype"/>
        </w:rPr>
        <w:t xml:space="preserve">determined that the Woodlands Apartments II Development is “unserved.” </w:t>
      </w:r>
    </w:p>
    <w:p w:rsidRPr="00817F00" w:rsidR="003F6C68" w:rsidP="003F6C68" w:rsidRDefault="003F6C68" w14:paraId="764AA3E1" w14:textId="77777777">
      <w:pPr>
        <w:pStyle w:val="Default"/>
        <w:rPr>
          <w:rFonts w:ascii="Palatino Linotype" w:hAnsi="Palatino Linotype" w:cs="Palatino Linotype"/>
        </w:rPr>
      </w:pPr>
    </w:p>
    <w:p w:rsidRPr="00817F00" w:rsidR="003F6C68" w:rsidP="003F6C68" w:rsidRDefault="003F6C68" w14:paraId="287DDE4F" w14:textId="6B64410B">
      <w:pPr>
        <w:pStyle w:val="Default"/>
        <w:rPr>
          <w:rFonts w:ascii="Palatino Linotype" w:hAnsi="Palatino Linotype"/>
          <w:color w:val="000000" w:themeColor="text1"/>
        </w:rPr>
      </w:pPr>
      <w:r w:rsidRPr="00817F00">
        <w:rPr>
          <w:rFonts w:ascii="Palatino Linotype" w:hAnsi="Palatino Linotype"/>
          <w:color w:val="000000" w:themeColor="text1"/>
        </w:rPr>
        <w:t xml:space="preserve">Third, the applicant acquired a contract from Charter to serve the </w:t>
      </w:r>
      <w:r w:rsidRPr="00817F00">
        <w:rPr>
          <w:rFonts w:ascii="Palatino Linotype" w:hAnsi="Palatino Linotype" w:cs="Palatino Linotype"/>
        </w:rPr>
        <w:t xml:space="preserve">Woodlands Apartments II Development </w:t>
      </w:r>
      <w:r w:rsidRPr="00817F00" w:rsidR="00CD209D">
        <w:rPr>
          <w:rFonts w:ascii="Palatino Linotype" w:hAnsi="Palatino Linotype" w:cs="Palatino Linotype"/>
        </w:rPr>
        <w:t xml:space="preserve">different from </w:t>
      </w:r>
      <w:r w:rsidRPr="00817F00">
        <w:rPr>
          <w:rFonts w:ascii="Palatino Linotype" w:hAnsi="Palatino Linotype" w:cs="Palatino Linotype"/>
        </w:rPr>
        <w:t xml:space="preserve">the Charter contract for service on the contiguous property.  The contract with Charter for Woodlands Apartments II </w:t>
      </w:r>
      <w:r w:rsidR="001D0847">
        <w:rPr>
          <w:rFonts w:ascii="Palatino Linotype" w:hAnsi="Palatino Linotype" w:cs="Palatino Linotype"/>
        </w:rPr>
        <w:lastRenderedPageBreak/>
        <w:t xml:space="preserve">Development </w:t>
      </w:r>
      <w:r w:rsidRPr="00817F00">
        <w:rPr>
          <w:rFonts w:ascii="Palatino Linotype" w:hAnsi="Palatino Linotype" w:cs="Palatino Linotype"/>
        </w:rPr>
        <w:t>is to bring the circuits to the minimum point of entry</w:t>
      </w:r>
      <w:r w:rsidRPr="00817F00" w:rsidR="00F0770E">
        <w:rPr>
          <w:rFonts w:ascii="Palatino Linotype" w:hAnsi="Palatino Linotype" w:cs="Palatino Linotype"/>
        </w:rPr>
        <w:t xml:space="preserve"> (MPOE)</w:t>
      </w:r>
      <w:r w:rsidRPr="00817F00">
        <w:rPr>
          <w:rFonts w:ascii="Palatino Linotype" w:hAnsi="Palatino Linotype" w:cs="Palatino Linotype"/>
        </w:rPr>
        <w:t>.</w:t>
      </w:r>
      <w:r w:rsidRPr="00817F00">
        <w:rPr>
          <w:rStyle w:val="FootnoteReference"/>
          <w:rFonts w:ascii="Palatino Linotype" w:hAnsi="Palatino Linotype" w:cs="Palatino Linotype"/>
        </w:rPr>
        <w:footnoteReference w:id="14"/>
      </w:r>
      <w:r w:rsidRPr="00817F00">
        <w:rPr>
          <w:rFonts w:ascii="Palatino Linotype" w:hAnsi="Palatino Linotype" w:cs="Palatino Linotype"/>
        </w:rPr>
        <w:t xml:space="preserve">  All internal wiring would be done by NVCSS.  </w:t>
      </w:r>
    </w:p>
    <w:p w:rsidRPr="00817F00" w:rsidR="003F6C68" w:rsidP="003F6C68" w:rsidRDefault="003F6C68" w14:paraId="7FC64201" w14:textId="77777777">
      <w:pPr>
        <w:pStyle w:val="Default"/>
        <w:rPr>
          <w:rFonts w:ascii="Palatino Linotype" w:hAnsi="Palatino Linotype"/>
          <w:color w:val="000000" w:themeColor="text1"/>
        </w:rPr>
      </w:pPr>
    </w:p>
    <w:p w:rsidRPr="00817F00" w:rsidR="003F6C68" w:rsidP="003F6C68" w:rsidRDefault="003F6C68" w14:paraId="73DF213D" w14:textId="1CF9444D">
      <w:pPr>
        <w:pStyle w:val="Default"/>
        <w:rPr>
          <w:rFonts w:ascii="Palatino Linotype" w:hAnsi="Palatino Linotype"/>
          <w:color w:val="000000" w:themeColor="text1"/>
        </w:rPr>
      </w:pPr>
      <w:r w:rsidRPr="00817F00">
        <w:rPr>
          <w:rFonts w:ascii="Palatino Linotype" w:hAnsi="Palatino Linotype"/>
          <w:color w:val="000000" w:themeColor="text1"/>
        </w:rPr>
        <w:t>Therefore, Staff concludes that the</w:t>
      </w:r>
      <w:r w:rsidRPr="00817F00">
        <w:rPr>
          <w:rFonts w:ascii="Palatino Linotype" w:hAnsi="Palatino Linotype" w:cs="Palatino Linotype"/>
        </w:rPr>
        <w:t xml:space="preserve"> Woodlands II project meets all the requirements stated in the </w:t>
      </w:r>
      <w:r w:rsidRPr="00817F00" w:rsidR="00D304E7">
        <w:rPr>
          <w:rFonts w:ascii="Palatino Linotype" w:hAnsi="Palatino Linotype" w:cs="Palatino Linotype"/>
        </w:rPr>
        <w:t>g</w:t>
      </w:r>
      <w:r w:rsidRPr="00817F00">
        <w:rPr>
          <w:rFonts w:ascii="Palatino Linotype" w:hAnsi="Palatino Linotype" w:cs="Palatino Linotype"/>
        </w:rPr>
        <w:t>uidelines</w:t>
      </w:r>
      <w:r w:rsidRPr="00817F00">
        <w:rPr>
          <w:rStyle w:val="FootnoteReference"/>
          <w:rFonts w:ascii="Palatino Linotype" w:hAnsi="Palatino Linotype" w:cs="Palatino Linotype"/>
        </w:rPr>
        <w:footnoteReference w:id="15"/>
      </w:r>
      <w:r w:rsidRPr="00817F00">
        <w:rPr>
          <w:rFonts w:ascii="Palatino Linotype" w:hAnsi="Palatino Linotype" w:cs="Palatino Linotype"/>
        </w:rPr>
        <w:t xml:space="preserve"> and recommends denying Charter’s challenge.   </w:t>
      </w:r>
    </w:p>
    <w:p w:rsidRPr="00817F00" w:rsidR="003F6C68" w:rsidP="003F6C68" w:rsidRDefault="003F6C68" w14:paraId="520B0B2F" w14:textId="77777777">
      <w:pPr>
        <w:shd w:val="clear" w:color="auto" w:fill="FFFFFF" w:themeFill="background1"/>
        <w:autoSpaceDE w:val="0"/>
        <w:autoSpaceDN w:val="0"/>
        <w:adjustRightInd w:val="0"/>
        <w:rPr>
          <w:rFonts w:ascii="Palatino Linotype" w:hAnsi="Palatino Linotype" w:cs="Palatino Linotype"/>
          <w:sz w:val="24"/>
          <w:szCs w:val="24"/>
        </w:rPr>
      </w:pPr>
    </w:p>
    <w:p w:rsidRPr="00817F00" w:rsidR="003F6C68" w:rsidP="003F6C68" w:rsidRDefault="003F6C68" w14:paraId="0CB8E4D1" w14:textId="77777777">
      <w:pPr>
        <w:pStyle w:val="Heading2"/>
        <w:numPr>
          <w:ilvl w:val="6"/>
          <w:numId w:val="6"/>
        </w:numPr>
        <w:ind w:left="993" w:hanging="446"/>
        <w:rPr>
          <w:rFonts w:ascii="Palatino Linotype" w:hAnsi="Palatino Linotype"/>
          <w:szCs w:val="24"/>
          <w:u w:val="single"/>
        </w:rPr>
      </w:pPr>
      <w:bookmarkStart w:name="_Hlk32578572" w:id="9"/>
      <w:r w:rsidRPr="00817F00">
        <w:rPr>
          <w:rFonts w:ascii="Palatino Linotype" w:hAnsi="Palatino Linotype"/>
          <w:szCs w:val="24"/>
          <w:u w:val="single"/>
        </w:rPr>
        <w:t>Funding Determination</w:t>
      </w:r>
    </w:p>
    <w:p w:rsidRPr="00817F00" w:rsidR="0084551F" w:rsidP="003F6C68" w:rsidRDefault="003F6C68" w14:paraId="22E05A68" w14:textId="1AD297E2">
      <w:pPr>
        <w:shd w:val="clear" w:color="auto" w:fill="FFFFFF" w:themeFill="background1"/>
        <w:autoSpaceDE w:val="0"/>
        <w:autoSpaceDN w:val="0"/>
        <w:adjustRightInd w:val="0"/>
        <w:rPr>
          <w:rFonts w:ascii="Palatino Linotype" w:hAnsi="Palatino Linotype"/>
          <w:bCs/>
          <w:iCs/>
          <w:sz w:val="24"/>
          <w:szCs w:val="24"/>
        </w:rPr>
      </w:pPr>
      <w:r w:rsidRPr="00817F00">
        <w:rPr>
          <w:rFonts w:ascii="Palatino Linotype" w:hAnsi="Palatino Linotype"/>
          <w:bCs/>
          <w:iCs/>
          <w:sz w:val="24"/>
          <w:szCs w:val="24"/>
        </w:rPr>
        <w:t>Staff determined that NVCSS’s initial proposal met the program’s objective but the cost per unit was high compared to the cost per unit for previously approved BPHA projects with similar technology.  Staff asked NVCSS to revise its proposal.  NVCSS negotiated with its suppliers and contractors and reduced its request to $35,949</w:t>
      </w:r>
      <w:r w:rsidRPr="00817F00" w:rsidR="0084551F">
        <w:rPr>
          <w:rFonts w:ascii="Palatino Linotype" w:hAnsi="Palatino Linotype"/>
          <w:bCs/>
          <w:iCs/>
          <w:sz w:val="24"/>
          <w:szCs w:val="24"/>
        </w:rPr>
        <w:t xml:space="preserve">.  Staff considers this reasonable, given </w:t>
      </w:r>
      <w:r w:rsidRPr="00817F00" w:rsidR="00293B34">
        <w:rPr>
          <w:rFonts w:ascii="Palatino Linotype" w:hAnsi="Palatino Linotype"/>
          <w:bCs/>
          <w:iCs/>
          <w:sz w:val="24"/>
          <w:szCs w:val="24"/>
        </w:rPr>
        <w:t>that NVCSS will be using the latest technology and higher caliber equipment.  The proposed project includes the installation of two technologies combined, a Switched Ethernet network and Wi-Fi (</w:t>
      </w:r>
      <w:r w:rsidR="00BB6E5F">
        <w:rPr>
          <w:rFonts w:ascii="Palatino Linotype" w:hAnsi="Palatino Linotype"/>
          <w:bCs/>
          <w:iCs/>
          <w:sz w:val="24"/>
          <w:szCs w:val="24"/>
        </w:rPr>
        <w:t>a</w:t>
      </w:r>
      <w:r w:rsidRPr="00817F00" w:rsidR="00293B34">
        <w:rPr>
          <w:rFonts w:ascii="Palatino Linotype" w:hAnsi="Palatino Linotype"/>
          <w:bCs/>
          <w:iCs/>
          <w:sz w:val="24"/>
          <w:szCs w:val="24"/>
        </w:rPr>
        <w:t xml:space="preserve">typical for approved BPHA projects).  </w:t>
      </w:r>
    </w:p>
    <w:bookmarkEnd w:id="9"/>
    <w:p w:rsidRPr="00817F00" w:rsidR="003F6C68" w:rsidP="003F6C68" w:rsidRDefault="003F6C68" w14:paraId="1C26384A" w14:textId="77777777">
      <w:pPr>
        <w:shd w:val="clear" w:color="auto" w:fill="FFFFFF" w:themeFill="background1"/>
        <w:autoSpaceDE w:val="0"/>
        <w:autoSpaceDN w:val="0"/>
        <w:adjustRightInd w:val="0"/>
        <w:rPr>
          <w:rFonts w:ascii="Palatino Linotype" w:hAnsi="Palatino Linotype" w:cs="Palatino Linotype"/>
          <w:sz w:val="24"/>
          <w:szCs w:val="24"/>
        </w:rPr>
      </w:pPr>
    </w:p>
    <w:p w:rsidRPr="00817F00" w:rsidR="003F6C68" w:rsidP="003F6C68" w:rsidRDefault="003F6C68" w14:paraId="014A419C" w14:textId="77777777">
      <w:pPr>
        <w:pStyle w:val="Heading2"/>
        <w:numPr>
          <w:ilvl w:val="6"/>
          <w:numId w:val="6"/>
        </w:numPr>
        <w:ind w:left="993" w:hanging="446"/>
        <w:rPr>
          <w:rFonts w:ascii="Palatino Linotype" w:hAnsi="Palatino Linotype"/>
          <w:szCs w:val="24"/>
          <w:u w:val="single"/>
        </w:rPr>
      </w:pPr>
      <w:r w:rsidRPr="00817F00">
        <w:rPr>
          <w:rFonts w:ascii="Palatino Linotype" w:hAnsi="Palatino Linotype"/>
          <w:szCs w:val="24"/>
          <w:u w:val="single"/>
        </w:rPr>
        <w:t>Compliance Requirements</w:t>
      </w:r>
    </w:p>
    <w:p w:rsidRPr="00817F00" w:rsidR="003F6C68" w:rsidP="003F6C68" w:rsidRDefault="003F6C68" w14:paraId="18C39F2B" w14:textId="77777777">
      <w:pPr>
        <w:pStyle w:val="Default"/>
        <w:rPr>
          <w:rFonts w:ascii="Palatino Linotype" w:hAnsi="Palatino Linotype" w:cs="Palatino Linotype"/>
        </w:rPr>
      </w:pPr>
      <w:r w:rsidRPr="00817F00">
        <w:rPr>
          <w:rFonts w:ascii="Palatino Linotype" w:hAnsi="Palatino Linotype" w:cs="Palatino Linotype"/>
          <w:color w:val="auto"/>
        </w:rPr>
        <w:t xml:space="preserve">NVCSS </w:t>
      </w:r>
      <w:r w:rsidRPr="00817F00">
        <w:rPr>
          <w:rFonts w:ascii="Palatino Linotype" w:hAnsi="Palatino Linotype" w:cs="Palatino Linotype"/>
        </w:rPr>
        <w:t>is required to comply with all the guidelines, requirements, and conditions associated with the grant of CASF funds as specified in D.18-06-032.  Such compliance includes, but is not limited to the following:</w:t>
      </w:r>
    </w:p>
    <w:p w:rsidRPr="00817F00" w:rsidR="003F6C68" w:rsidP="003F6C68" w:rsidRDefault="003F6C68" w14:paraId="23BDEF85" w14:textId="77777777">
      <w:pPr>
        <w:pStyle w:val="Default"/>
        <w:rPr>
          <w:rFonts w:ascii="Palatino Linotype" w:hAnsi="Palatino Linotype" w:cs="Palatino Linotype"/>
        </w:rPr>
      </w:pPr>
    </w:p>
    <w:p w:rsidRPr="00817F00" w:rsidR="003F6C68" w:rsidP="003F6C68" w:rsidRDefault="003F6C68" w14:paraId="489A7774" w14:textId="77777777">
      <w:pPr>
        <w:pStyle w:val="Default"/>
        <w:rPr>
          <w:rFonts w:ascii="Palatino Linotype" w:hAnsi="Palatino Linotype" w:cs="Palatino Linotype"/>
        </w:rPr>
      </w:pPr>
      <w:r w:rsidRPr="00817F00">
        <w:rPr>
          <w:rFonts w:ascii="Palatino Linotype" w:hAnsi="Palatino Linotype" w:cs="Palatino Linotype"/>
        </w:rPr>
        <w:t>A.</w:t>
      </w:r>
      <w:r w:rsidRPr="00817F00">
        <w:rPr>
          <w:rFonts w:ascii="Palatino Linotype" w:hAnsi="Palatino Linotype" w:cs="Palatino Linotype"/>
        </w:rPr>
        <w:tab/>
      </w:r>
      <w:r w:rsidRPr="00817F00">
        <w:rPr>
          <w:rFonts w:ascii="Palatino Linotype" w:hAnsi="Palatino Linotype"/>
          <w:color w:val="auto"/>
          <w:szCs w:val="20"/>
        </w:rPr>
        <w:t>California Environmental Quality Act (CEQA)</w:t>
      </w:r>
      <w:r w:rsidRPr="00817F00">
        <w:rPr>
          <w:rFonts w:ascii="Palatino Linotype" w:hAnsi="Palatino Linotype" w:cs="Palatino Linotype"/>
        </w:rPr>
        <w:t xml:space="preserve"> </w:t>
      </w:r>
    </w:p>
    <w:p w:rsidRPr="00817F00" w:rsidR="003F6C68" w:rsidP="003F6C68" w:rsidRDefault="003F6C68" w14:paraId="68E56CD3" w14:textId="77777777">
      <w:pPr>
        <w:pStyle w:val="Default"/>
        <w:rPr>
          <w:rFonts w:ascii="Palatino Linotype" w:hAnsi="Palatino Linotype" w:cs="Palatino Linotype"/>
        </w:rPr>
      </w:pPr>
    </w:p>
    <w:p w:rsidRPr="00817F00" w:rsidR="003F6C68" w:rsidP="003F6C68" w:rsidRDefault="003F6C68" w14:paraId="448CCE57" w14:textId="77777777">
      <w:pPr>
        <w:pStyle w:val="Default"/>
        <w:rPr>
          <w:rFonts w:ascii="Palatino Linotype" w:hAnsi="Palatino Linotype" w:cs="Palatino Linotype"/>
        </w:rPr>
      </w:pPr>
      <w:r w:rsidRPr="00817F00">
        <w:rPr>
          <w:rFonts w:ascii="Palatino Linotype" w:hAnsi="Palatino Linotype" w:cs="Palatino Linotype"/>
        </w:rPr>
        <w:t>All CASF grants are subject to CEQA requirements unless the projects are statutorily or categorically exempt pursuant to the CEQA Guidelines.</w:t>
      </w:r>
    </w:p>
    <w:p w:rsidRPr="00817F00" w:rsidR="003F6C68" w:rsidP="003F6C68" w:rsidRDefault="003F6C68" w14:paraId="68D4CAD3" w14:textId="77777777">
      <w:pPr>
        <w:pStyle w:val="Default"/>
        <w:rPr>
          <w:rFonts w:ascii="Palatino Linotype" w:hAnsi="Palatino Linotype" w:cs="Palatino Linotype"/>
        </w:rPr>
      </w:pPr>
    </w:p>
    <w:p w:rsidRPr="00817F00" w:rsidR="003F6C68" w:rsidP="003F6C68" w:rsidRDefault="003F6C68" w14:paraId="4675FE15" w14:textId="1A801526">
      <w:pPr>
        <w:pStyle w:val="Default"/>
        <w:rPr>
          <w:rFonts w:ascii="Palatino Linotype" w:hAnsi="Palatino Linotype" w:cs="Palatino Linotype"/>
        </w:rPr>
      </w:pPr>
      <w:r w:rsidRPr="00817F00">
        <w:rPr>
          <w:rFonts w:ascii="Palatino Linotype" w:hAnsi="Palatino Linotype" w:cs="Palatino Linotype"/>
        </w:rPr>
        <w:t xml:space="preserve">Given that the activity of the installation of network equipment and inside wiring for the purpose of network installation at the Woodlands Apartments II </w:t>
      </w:r>
      <w:r w:rsidR="001D0847">
        <w:rPr>
          <w:rFonts w:ascii="Palatino Linotype" w:hAnsi="Palatino Linotype" w:cs="Palatino Linotype"/>
        </w:rPr>
        <w:t>Development</w:t>
      </w:r>
      <w:r w:rsidRPr="00817F00">
        <w:rPr>
          <w:rFonts w:ascii="Palatino Linotype" w:hAnsi="Palatino Linotype" w:cs="Palatino Linotype"/>
        </w:rPr>
        <w:t xml:space="preserve"> is to occur during building construction, the activity is covered by the common sense exemption that CEQA does not apply when there is no possibility that the activity in question may have a significant effect on the environment.</w:t>
      </w:r>
      <w:r w:rsidRPr="00817F00">
        <w:rPr>
          <w:rStyle w:val="FootnoteReference"/>
          <w:rFonts w:ascii="Palatino Linotype" w:hAnsi="Palatino Linotype" w:cs="Palatino Linotype"/>
        </w:rPr>
        <w:footnoteReference w:id="16"/>
      </w:r>
      <w:r w:rsidRPr="00817F00">
        <w:rPr>
          <w:rFonts w:ascii="Palatino Linotype" w:hAnsi="Palatino Linotype" w:cs="Palatino Linotype"/>
        </w:rPr>
        <w:t xml:space="preserve">  </w:t>
      </w:r>
    </w:p>
    <w:p w:rsidR="003F6C68" w:rsidP="003F6C68" w:rsidRDefault="003F6C68" w14:paraId="37A14804" w14:textId="1C1969E2">
      <w:pPr>
        <w:pStyle w:val="Default"/>
        <w:rPr>
          <w:rFonts w:ascii="Palatino Linotype" w:hAnsi="Palatino Linotype" w:cs="Palatino Linotype"/>
        </w:rPr>
      </w:pPr>
    </w:p>
    <w:p w:rsidR="00BB6E5F" w:rsidP="003F6C68" w:rsidRDefault="00BB6E5F" w14:paraId="15FFC019" w14:textId="0F792D04">
      <w:pPr>
        <w:pStyle w:val="Default"/>
        <w:rPr>
          <w:rFonts w:ascii="Palatino Linotype" w:hAnsi="Palatino Linotype" w:cs="Palatino Linotype"/>
        </w:rPr>
      </w:pPr>
    </w:p>
    <w:p w:rsidRPr="00817F00" w:rsidR="00BB6E5F" w:rsidP="003F6C68" w:rsidRDefault="00BB6E5F" w14:paraId="36C0B331" w14:textId="77777777">
      <w:pPr>
        <w:pStyle w:val="Default"/>
        <w:rPr>
          <w:rFonts w:ascii="Palatino Linotype" w:hAnsi="Palatino Linotype" w:cs="Palatino Linotype"/>
        </w:rPr>
      </w:pPr>
    </w:p>
    <w:p w:rsidRPr="00817F00" w:rsidR="003F6C68" w:rsidP="003F6C68" w:rsidRDefault="003F6C68" w14:paraId="415499DE" w14:textId="77777777">
      <w:pPr>
        <w:pStyle w:val="Default"/>
        <w:rPr>
          <w:rFonts w:ascii="Palatino Linotype" w:hAnsi="Palatino Linotype" w:cs="Palatino Linotype"/>
        </w:rPr>
      </w:pPr>
      <w:r w:rsidRPr="00817F00">
        <w:rPr>
          <w:rFonts w:ascii="Palatino Linotype" w:hAnsi="Palatino Linotype" w:cs="Palatino Linotype"/>
        </w:rPr>
        <w:lastRenderedPageBreak/>
        <w:t>B.</w:t>
      </w:r>
      <w:r w:rsidRPr="00817F00">
        <w:rPr>
          <w:rFonts w:ascii="Palatino Linotype" w:hAnsi="Palatino Linotype" w:cs="Palatino Linotype"/>
        </w:rPr>
        <w:tab/>
        <w:t>Execution and Performance</w:t>
      </w:r>
    </w:p>
    <w:p w:rsidRPr="00817F00" w:rsidR="003F6C68" w:rsidP="003F6C68" w:rsidRDefault="003F6C68" w14:paraId="659FC060" w14:textId="77777777">
      <w:pPr>
        <w:pStyle w:val="Default"/>
        <w:rPr>
          <w:rFonts w:ascii="Palatino Linotype" w:hAnsi="Palatino Linotype" w:cs="Palatino Linotype"/>
        </w:rPr>
      </w:pPr>
    </w:p>
    <w:p w:rsidRPr="00817F00" w:rsidR="003F6C68" w:rsidP="003F6C68" w:rsidRDefault="003F6C68" w14:paraId="3CA3FDD7" w14:textId="77777777">
      <w:pPr>
        <w:pStyle w:val="Default"/>
        <w:rPr>
          <w:rFonts w:ascii="Palatino Linotype" w:hAnsi="Palatino Linotype" w:cs="Palatino Linotype"/>
        </w:rPr>
      </w:pPr>
      <w:r w:rsidRPr="00817F00">
        <w:rPr>
          <w:rFonts w:ascii="Palatino Linotype" w:hAnsi="Palatino Linotype" w:cs="Palatino Linotype"/>
        </w:rPr>
        <w:t>NVCSS must complete all the project activities under the award requirements on or before 12 months from the date this Resolution is approved.  If NVCSS is unable to complete the proposed project within the 12-month time frame requirement, NVCSS must notify the Director of Communications Division as soon as it becomes aware of this possibility.  If such notice is not provided, the Commission may reduce payment from the awarded grant for failure to satisfy this requirement.</w:t>
      </w:r>
    </w:p>
    <w:p w:rsidRPr="00817F00" w:rsidR="003F6C68" w:rsidP="003F6C68" w:rsidRDefault="003F6C68" w14:paraId="7A4DE836" w14:textId="77777777">
      <w:pPr>
        <w:pStyle w:val="Default"/>
        <w:rPr>
          <w:rFonts w:ascii="Palatino Linotype" w:hAnsi="Palatino Linotype" w:cs="Palatino Linotype"/>
        </w:rPr>
      </w:pPr>
    </w:p>
    <w:p w:rsidRPr="00817F00" w:rsidR="003F6C68" w:rsidP="003F6C68" w:rsidRDefault="003F6C68" w14:paraId="19D247EC" w14:textId="77777777">
      <w:pPr>
        <w:pStyle w:val="Default"/>
        <w:rPr>
          <w:rFonts w:ascii="Palatino Linotype" w:hAnsi="Palatino Linotype" w:cs="Palatino Linotype"/>
        </w:rPr>
      </w:pPr>
      <w:proofErr w:type="gramStart"/>
      <w:r w:rsidRPr="00817F00">
        <w:rPr>
          <w:rFonts w:ascii="Palatino Linotype" w:hAnsi="Palatino Linotype" w:cs="Palatino Linotype"/>
        </w:rPr>
        <w:t>In the event that</w:t>
      </w:r>
      <w:proofErr w:type="gramEnd"/>
      <w:r w:rsidRPr="00817F00">
        <w:rPr>
          <w:rFonts w:ascii="Palatino Linotype" w:hAnsi="Palatino Linotype" w:cs="Palatino Linotype"/>
        </w:rPr>
        <w:t xml:space="preserve"> NVCSS fails to complete performance in accordance with the terms of the Commission’s approval and as set forth in this Resolution, the applicant must reimburse some or all of the CASF funds it has received.</w:t>
      </w:r>
    </w:p>
    <w:p w:rsidRPr="00817F00" w:rsidR="003F6C68" w:rsidP="003F6C68" w:rsidRDefault="003F6C68" w14:paraId="331DD638" w14:textId="77777777">
      <w:pPr>
        <w:pStyle w:val="Default"/>
        <w:rPr>
          <w:rFonts w:ascii="Palatino Linotype" w:hAnsi="Palatino Linotype" w:cs="Palatino Linotype"/>
        </w:rPr>
      </w:pPr>
    </w:p>
    <w:p w:rsidRPr="00817F00" w:rsidR="003F6C68" w:rsidP="003F6C68" w:rsidRDefault="003F6C68" w14:paraId="1AAFDFA3" w14:textId="57B17678">
      <w:pPr>
        <w:pStyle w:val="Default"/>
        <w:rPr>
          <w:rFonts w:ascii="Palatino Linotype" w:hAnsi="Palatino Linotype" w:cs="Palatino Linotype"/>
        </w:rPr>
      </w:pPr>
      <w:r w:rsidRPr="00817F00">
        <w:rPr>
          <w:rFonts w:ascii="Palatino Linotype" w:hAnsi="Palatino Linotype" w:cs="Palatino Linotype"/>
        </w:rPr>
        <w:t xml:space="preserve">Material changes in the entries for the application, such as discontinuing operation or bankruptcy, or change of name (DBA), change of address, telephone fax number or email address should be reported by letter </w:t>
      </w:r>
      <w:r w:rsidRPr="00817F00" w:rsidR="009102EB">
        <w:rPr>
          <w:rFonts w:ascii="Palatino Linotype" w:hAnsi="Palatino Linotype" w:cs="Palatino Linotype"/>
        </w:rPr>
        <w:t>to t</w:t>
      </w:r>
      <w:r w:rsidRPr="00817F00">
        <w:rPr>
          <w:rFonts w:ascii="Palatino Linotype" w:hAnsi="Palatino Linotype" w:cs="Palatino Linotype"/>
        </w:rPr>
        <w:t>he C</w:t>
      </w:r>
      <w:r w:rsidRPr="00817F00" w:rsidR="00BA3D45">
        <w:rPr>
          <w:rFonts w:ascii="Palatino Linotype" w:hAnsi="Palatino Linotype" w:cs="Palatino Linotype"/>
        </w:rPr>
        <w:t>ommission’s</w:t>
      </w:r>
      <w:r w:rsidRPr="00817F00">
        <w:rPr>
          <w:rFonts w:ascii="Palatino Linotype" w:hAnsi="Palatino Linotype" w:cs="Palatino Linotype"/>
        </w:rPr>
        <w:t xml:space="preserve"> Director of Communications Division. </w:t>
      </w:r>
    </w:p>
    <w:p w:rsidRPr="00817F00" w:rsidR="00885415" w:rsidP="003F6C68" w:rsidRDefault="00885415" w14:paraId="575138BB" w14:textId="77777777">
      <w:pPr>
        <w:pStyle w:val="Default"/>
        <w:rPr>
          <w:rFonts w:ascii="Palatino Linotype" w:hAnsi="Palatino Linotype" w:cs="Palatino Linotype"/>
        </w:rPr>
      </w:pPr>
    </w:p>
    <w:p w:rsidRPr="00817F00" w:rsidR="003F6C68" w:rsidP="003F6C68" w:rsidRDefault="003F6C68" w14:paraId="2A75A86F" w14:textId="77777777">
      <w:pPr>
        <w:pStyle w:val="Default"/>
        <w:rPr>
          <w:rFonts w:ascii="Palatino Linotype" w:hAnsi="Palatino Linotype" w:cs="Palatino Linotype"/>
        </w:rPr>
      </w:pPr>
      <w:r w:rsidRPr="00817F00">
        <w:rPr>
          <w:rFonts w:ascii="Palatino Linotype" w:hAnsi="Palatino Linotype" w:cs="Palatino Linotype"/>
        </w:rPr>
        <w:t>C.</w:t>
      </w:r>
      <w:r w:rsidRPr="00817F00">
        <w:rPr>
          <w:rFonts w:ascii="Palatino Linotype" w:hAnsi="Palatino Linotype" w:cs="Palatino Linotype"/>
        </w:rPr>
        <w:tab/>
        <w:t>Project Audit and Reporting Requirements</w:t>
      </w:r>
    </w:p>
    <w:p w:rsidRPr="00817F00" w:rsidR="003F6C68" w:rsidP="003F6C68" w:rsidRDefault="003F6C68" w14:paraId="7ECB8343" w14:textId="77777777">
      <w:pPr>
        <w:pStyle w:val="Default"/>
        <w:rPr>
          <w:rFonts w:ascii="Palatino Linotype" w:hAnsi="Palatino Linotype" w:cs="Palatino Linotype"/>
        </w:rPr>
      </w:pPr>
    </w:p>
    <w:p w:rsidRPr="00817F00" w:rsidR="003F6C68" w:rsidP="003F6C68" w:rsidRDefault="003F6C68" w14:paraId="6077927B" w14:textId="77777777">
      <w:pPr>
        <w:pStyle w:val="Default"/>
        <w:rPr>
          <w:rFonts w:ascii="Palatino Linotype" w:hAnsi="Palatino Linotype" w:cs="Palatino Linotype"/>
        </w:rPr>
      </w:pPr>
      <w:r w:rsidRPr="00817F00">
        <w:rPr>
          <w:rFonts w:ascii="Palatino Linotype" w:hAnsi="Palatino Linotype" w:cs="Palatino Linotype"/>
        </w:rPr>
        <w:t>See Appendix A.</w:t>
      </w:r>
    </w:p>
    <w:p w:rsidRPr="00817F00" w:rsidR="003F6C68" w:rsidP="003F6C68" w:rsidRDefault="003F6C68" w14:paraId="663B5D4F" w14:textId="77777777">
      <w:pPr>
        <w:pStyle w:val="Default"/>
        <w:rPr>
          <w:rFonts w:ascii="Palatino Linotype" w:hAnsi="Palatino Linotype" w:cs="Palatino Linotype"/>
        </w:rPr>
      </w:pPr>
    </w:p>
    <w:p w:rsidRPr="00817F00" w:rsidR="003F6C68" w:rsidP="003F6C68" w:rsidRDefault="003F6C68" w14:paraId="0E779DBB" w14:textId="77777777">
      <w:pPr>
        <w:pStyle w:val="Heading2"/>
        <w:numPr>
          <w:ilvl w:val="6"/>
          <w:numId w:val="6"/>
        </w:numPr>
        <w:ind w:left="993" w:hanging="446"/>
        <w:rPr>
          <w:rFonts w:ascii="Palatino Linotype" w:hAnsi="Palatino Linotype"/>
          <w:szCs w:val="24"/>
          <w:u w:val="single"/>
        </w:rPr>
      </w:pPr>
      <w:r w:rsidRPr="00817F00">
        <w:rPr>
          <w:rFonts w:ascii="Palatino Linotype" w:hAnsi="Palatino Linotype"/>
          <w:szCs w:val="24"/>
          <w:u w:val="single"/>
        </w:rPr>
        <w:t>Payments to CASF Recipients</w:t>
      </w:r>
    </w:p>
    <w:p w:rsidRPr="00817F00" w:rsidR="003F6C68" w:rsidP="003F6C68" w:rsidRDefault="003F6C68" w14:paraId="1DEAD658" w14:textId="77777777">
      <w:pPr>
        <w:pStyle w:val="Default"/>
        <w:rPr>
          <w:rFonts w:ascii="Palatino Linotype" w:hAnsi="Palatino Linotype"/>
        </w:rPr>
      </w:pPr>
      <w:r w:rsidRPr="00817F00">
        <w:rPr>
          <w:rFonts w:ascii="Palatino Linotype" w:hAnsi="Palatino Linotype"/>
        </w:rPr>
        <w:t>The Commission may reimburse NVCSS expense in accordance with, and within the time specified in California Government Code § 927 et seq.  Details are in Appendix B.</w:t>
      </w:r>
    </w:p>
    <w:p w:rsidRPr="00817F00" w:rsidR="003F6C68" w:rsidP="003F6C68" w:rsidRDefault="003F6C68" w14:paraId="532FBD3B" w14:textId="77777777">
      <w:pPr>
        <w:pStyle w:val="Default"/>
        <w:rPr>
          <w:rFonts w:ascii="Palatino Linotype" w:hAnsi="Palatino Linotype" w:cs="Palatino Linotype"/>
        </w:rPr>
      </w:pPr>
    </w:p>
    <w:p w:rsidRPr="00817F00" w:rsidR="003F6C68" w:rsidP="003F6C68" w:rsidRDefault="003F6C68" w14:paraId="697B6596" w14:textId="77777777">
      <w:pPr>
        <w:pStyle w:val="Heading1"/>
        <w:tabs>
          <w:tab w:val="left" w:pos="990"/>
        </w:tabs>
        <w:rPr>
          <w:rFonts w:ascii="Palatino Linotype" w:hAnsi="Palatino Linotype"/>
          <w:sz w:val="26"/>
          <w:szCs w:val="26"/>
        </w:rPr>
      </w:pPr>
      <w:bookmarkStart w:name="_Toc444857043" w:id="10"/>
      <w:r w:rsidRPr="00817F00">
        <w:rPr>
          <w:rFonts w:ascii="Palatino Linotype" w:hAnsi="Palatino Linotype"/>
          <w:sz w:val="26"/>
          <w:szCs w:val="26"/>
        </w:rPr>
        <w:t>COMMENTS ON DRAFT RESOLUTION</w:t>
      </w:r>
      <w:bookmarkEnd w:id="10"/>
    </w:p>
    <w:p w:rsidRPr="00817F00" w:rsidR="003F6C68" w:rsidP="003F6C68" w:rsidRDefault="003F6C68" w14:paraId="3DF50D93" w14:textId="77777777">
      <w:pPr>
        <w:rPr>
          <w:rFonts w:ascii="Palatino Linotype" w:hAnsi="Palatino Linotype"/>
        </w:rPr>
      </w:pPr>
    </w:p>
    <w:p w:rsidRPr="00817F00" w:rsidR="003F6C68" w:rsidP="00885415" w:rsidRDefault="003F6C68" w14:paraId="65D1FD95" w14:textId="12895278">
      <w:pPr>
        <w:pStyle w:val="BodyText"/>
        <w:tabs>
          <w:tab w:val="clear" w:pos="720"/>
          <w:tab w:val="left" w:pos="1170"/>
        </w:tabs>
        <w:spacing w:after="0"/>
        <w:ind w:right="630"/>
        <w:rPr>
          <w:rFonts w:ascii="Palatino Linotype" w:hAnsi="Palatino Linotype"/>
          <w:szCs w:val="24"/>
        </w:rPr>
      </w:pPr>
      <w:r w:rsidRPr="00817F00">
        <w:rPr>
          <w:rFonts w:ascii="Palatino Linotype" w:hAnsi="Palatino Linotype"/>
          <w:szCs w:val="24"/>
        </w:rPr>
        <w:t xml:space="preserve">In compliance with Public Utilities Code, § 311(g), </w:t>
      </w:r>
      <w:r w:rsidRPr="00817F00" w:rsidR="00CD209D">
        <w:rPr>
          <w:rFonts w:ascii="Palatino Linotype" w:hAnsi="Palatino Linotype"/>
          <w:szCs w:val="24"/>
        </w:rPr>
        <w:t xml:space="preserve"> </w:t>
      </w:r>
      <w:r w:rsidR="00222C1D">
        <w:rPr>
          <w:rFonts w:ascii="Palatino Linotype" w:hAnsi="Palatino Linotype"/>
          <w:szCs w:val="24"/>
        </w:rPr>
        <w:t>S</w:t>
      </w:r>
      <w:r w:rsidRPr="00817F00" w:rsidR="00CD209D">
        <w:rPr>
          <w:rFonts w:ascii="Palatino Linotype" w:hAnsi="Palatino Linotype"/>
          <w:szCs w:val="24"/>
        </w:rPr>
        <w:t xml:space="preserve">taff emailed </w:t>
      </w:r>
      <w:r w:rsidRPr="00817F00">
        <w:rPr>
          <w:rFonts w:ascii="Palatino Linotype" w:hAnsi="Palatino Linotype"/>
          <w:szCs w:val="24"/>
        </w:rPr>
        <w:t xml:space="preserve">a notice letter </w:t>
      </w:r>
      <w:r w:rsidRPr="00817F00">
        <w:rPr>
          <w:rFonts w:ascii="Palatino Linotype" w:hAnsi="Palatino Linotype"/>
          <w:color w:val="000000"/>
          <w:szCs w:val="24"/>
        </w:rPr>
        <w:t xml:space="preserve">on </w:t>
      </w:r>
      <w:r w:rsidRPr="00817F00" w:rsidR="00DC754D">
        <w:rPr>
          <w:rFonts w:ascii="Palatino Linotype" w:hAnsi="Palatino Linotype"/>
          <w:color w:val="000000"/>
          <w:szCs w:val="24"/>
        </w:rPr>
        <w:t>January 3, 2020</w:t>
      </w:r>
      <w:r w:rsidRPr="00817F00">
        <w:rPr>
          <w:rFonts w:ascii="Palatino Linotype" w:hAnsi="Palatino Linotype"/>
          <w:szCs w:val="24"/>
        </w:rPr>
        <w:t xml:space="preserve">, informing </w:t>
      </w:r>
      <w:r w:rsidRPr="00817F00">
        <w:rPr>
          <w:rFonts w:ascii="Palatino Linotype" w:hAnsi="Palatino Linotype"/>
          <w:color w:val="000000"/>
          <w:szCs w:val="24"/>
        </w:rPr>
        <w:t>all parties on the CASF</w:t>
      </w:r>
      <w:r w:rsidRPr="00817F00">
        <w:rPr>
          <w:rFonts w:ascii="Palatino Linotype" w:hAnsi="Palatino Linotype"/>
          <w:szCs w:val="24"/>
        </w:rPr>
        <w:t xml:space="preserve"> Distribution List of the availability of the draft of this resolution for public comments at the Commission's website at </w:t>
      </w:r>
      <w:hyperlink w:history="1" r:id="rId8">
        <w:r w:rsidRPr="00817F00">
          <w:rPr>
            <w:rStyle w:val="Hyperlink"/>
            <w:rFonts w:ascii="Palatino Linotype" w:hAnsi="Palatino Linotype"/>
            <w:szCs w:val="24"/>
          </w:rPr>
          <w:t>http://www.cpuc.ca.gov/PUC/documents/</w:t>
        </w:r>
      </w:hyperlink>
      <w:r w:rsidRPr="00817F00">
        <w:rPr>
          <w:rFonts w:ascii="Palatino Linotype" w:hAnsi="Palatino Linotype"/>
          <w:szCs w:val="24"/>
        </w:rPr>
        <w:t xml:space="preserve">.  This letter also informed parties that the final conformed Resolution adopted by the Commission will be posted and available on this same website.    </w:t>
      </w:r>
    </w:p>
    <w:p w:rsidRPr="00817F00" w:rsidR="003071C6" w:rsidP="00885415" w:rsidRDefault="003071C6" w14:paraId="3A9DBF22" w14:textId="50BA3F89">
      <w:pPr>
        <w:pStyle w:val="BodyText"/>
        <w:tabs>
          <w:tab w:val="clear" w:pos="720"/>
          <w:tab w:val="left" w:pos="1170"/>
        </w:tabs>
        <w:spacing w:after="0"/>
        <w:ind w:right="630"/>
        <w:rPr>
          <w:rFonts w:ascii="Palatino Linotype" w:hAnsi="Palatino Linotype"/>
          <w:szCs w:val="24"/>
        </w:rPr>
      </w:pPr>
    </w:p>
    <w:p w:rsidRPr="00BB6E5F" w:rsidR="00B279DD" w:rsidP="00BB6E5F" w:rsidRDefault="00CD209D" w14:paraId="1FCB9310" w14:textId="7951711F">
      <w:pPr>
        <w:pStyle w:val="BodyText"/>
        <w:tabs>
          <w:tab w:val="left" w:pos="1170"/>
        </w:tabs>
        <w:spacing w:after="0"/>
        <w:ind w:right="634"/>
        <w:rPr>
          <w:rFonts w:ascii="Palatino Linotype" w:hAnsi="Palatino Linotype"/>
          <w:szCs w:val="24"/>
        </w:rPr>
      </w:pPr>
      <w:bookmarkStart w:name="_Hlk31281462" w:id="11"/>
      <w:r w:rsidRPr="00817F00">
        <w:rPr>
          <w:rFonts w:ascii="Palatino Linotype" w:hAnsi="Palatino Linotype"/>
          <w:szCs w:val="24"/>
        </w:rPr>
        <w:t>Charter submitted c</w:t>
      </w:r>
      <w:r w:rsidRPr="00817F00" w:rsidR="003071C6">
        <w:rPr>
          <w:rFonts w:ascii="Palatino Linotype" w:hAnsi="Palatino Linotype"/>
          <w:szCs w:val="24"/>
        </w:rPr>
        <w:t>omments</w:t>
      </w:r>
      <w:r w:rsidRPr="00817F00">
        <w:rPr>
          <w:rFonts w:ascii="Palatino Linotype" w:hAnsi="Palatino Linotype"/>
          <w:szCs w:val="24"/>
        </w:rPr>
        <w:t xml:space="preserve"> by the </w:t>
      </w:r>
      <w:r w:rsidRPr="00817F00" w:rsidR="003071C6">
        <w:rPr>
          <w:rFonts w:ascii="Palatino Linotype" w:hAnsi="Palatino Linotype"/>
          <w:szCs w:val="24"/>
        </w:rPr>
        <w:t xml:space="preserve">due </w:t>
      </w:r>
      <w:r w:rsidRPr="00817F00">
        <w:rPr>
          <w:rFonts w:ascii="Palatino Linotype" w:hAnsi="Palatino Linotype"/>
          <w:szCs w:val="24"/>
        </w:rPr>
        <w:t xml:space="preserve">date of </w:t>
      </w:r>
      <w:r w:rsidRPr="00817F00" w:rsidR="003071C6">
        <w:rPr>
          <w:rFonts w:ascii="Palatino Linotype" w:hAnsi="Palatino Linotype"/>
          <w:szCs w:val="24"/>
        </w:rPr>
        <w:t>January 26, 2020.</w:t>
      </w:r>
      <w:r w:rsidRPr="00817F00" w:rsidR="00460CC5">
        <w:rPr>
          <w:rStyle w:val="FootnoteReference"/>
          <w:rFonts w:ascii="Palatino Linotype" w:hAnsi="Palatino Linotype"/>
          <w:szCs w:val="24"/>
        </w:rPr>
        <w:footnoteReference w:id="17"/>
      </w:r>
      <w:r w:rsidRPr="00817F00" w:rsidR="003071C6">
        <w:rPr>
          <w:rFonts w:ascii="Palatino Linotype" w:hAnsi="Palatino Linotype"/>
          <w:szCs w:val="24"/>
        </w:rPr>
        <w:t xml:space="preserve">  No reply comments were received.  </w:t>
      </w:r>
    </w:p>
    <w:p w:rsidRPr="00817F00" w:rsidR="003071C6" w:rsidP="003071C6" w:rsidRDefault="00C87518" w14:paraId="5D4A26A6" w14:textId="6A24C5F7">
      <w:pPr>
        <w:tabs>
          <w:tab w:val="right" w:pos="10080"/>
        </w:tabs>
        <w:rPr>
          <w:rFonts w:ascii="Palatino Linotype" w:hAnsi="Palatino Linotype"/>
          <w:i/>
          <w:color w:val="000000" w:themeColor="text1"/>
          <w:sz w:val="24"/>
          <w:szCs w:val="24"/>
          <w:u w:val="single"/>
        </w:rPr>
      </w:pPr>
      <w:r w:rsidRPr="00817F00">
        <w:rPr>
          <w:rFonts w:ascii="Palatino Linotype" w:hAnsi="Palatino Linotype"/>
          <w:i/>
          <w:color w:val="000000" w:themeColor="text1"/>
          <w:sz w:val="24"/>
          <w:szCs w:val="24"/>
          <w:u w:val="single"/>
        </w:rPr>
        <w:lastRenderedPageBreak/>
        <w:t xml:space="preserve">Charter’s </w:t>
      </w:r>
      <w:r w:rsidRPr="00817F00" w:rsidR="003071C6">
        <w:rPr>
          <w:rFonts w:ascii="Palatino Linotype" w:hAnsi="Palatino Linotype"/>
          <w:i/>
          <w:color w:val="000000" w:themeColor="text1"/>
          <w:sz w:val="24"/>
          <w:szCs w:val="24"/>
          <w:u w:val="single"/>
        </w:rPr>
        <w:t>Comments</w:t>
      </w:r>
    </w:p>
    <w:p w:rsidRPr="00817F00" w:rsidR="003071C6" w:rsidP="003071C6" w:rsidRDefault="003071C6" w14:paraId="00B9A944" w14:textId="77777777">
      <w:pPr>
        <w:pStyle w:val="BodyText"/>
        <w:tabs>
          <w:tab w:val="left" w:pos="1170"/>
        </w:tabs>
        <w:ind w:right="630"/>
        <w:rPr>
          <w:rFonts w:ascii="Palatino Linotype" w:hAnsi="Palatino Linotype"/>
          <w:color w:val="FF0000"/>
          <w:szCs w:val="24"/>
        </w:rPr>
      </w:pPr>
    </w:p>
    <w:p w:rsidRPr="00817F00" w:rsidR="00FA7732" w:rsidP="00AF5A99" w:rsidRDefault="003071C6" w14:paraId="0C5EAC87" w14:textId="630F3A6C">
      <w:pPr>
        <w:rPr>
          <w:rFonts w:ascii="Palatino Linotype" w:hAnsi="Palatino Linotype"/>
          <w:sz w:val="24"/>
          <w:szCs w:val="24"/>
          <w:highlight w:val="yellow"/>
        </w:rPr>
      </w:pPr>
      <w:r w:rsidRPr="00817F00">
        <w:rPr>
          <w:rFonts w:ascii="Palatino Linotype" w:hAnsi="Palatino Linotype"/>
          <w:sz w:val="24"/>
          <w:szCs w:val="24"/>
        </w:rPr>
        <w:t>Charter opposed the draft resolution</w:t>
      </w:r>
      <w:r w:rsidRPr="00817F00" w:rsidR="00CD209D">
        <w:rPr>
          <w:rFonts w:ascii="Palatino Linotype" w:hAnsi="Palatino Linotype"/>
          <w:sz w:val="24"/>
          <w:szCs w:val="24"/>
        </w:rPr>
        <w:t xml:space="preserve">, claiming </w:t>
      </w:r>
      <w:r w:rsidRPr="00817F00" w:rsidR="006427E7">
        <w:rPr>
          <w:rFonts w:ascii="Palatino Linotype" w:hAnsi="Palatino Linotype"/>
          <w:sz w:val="24"/>
          <w:szCs w:val="24"/>
        </w:rPr>
        <w:t>that</w:t>
      </w:r>
      <w:r w:rsidRPr="00817F00" w:rsidR="00AF5A99">
        <w:rPr>
          <w:rFonts w:ascii="Palatino Linotype" w:hAnsi="Palatino Linotype"/>
          <w:sz w:val="24"/>
          <w:szCs w:val="24"/>
        </w:rPr>
        <w:t xml:space="preserve"> </w:t>
      </w:r>
      <w:r w:rsidRPr="00817F00">
        <w:rPr>
          <w:rFonts w:ascii="Palatino Linotype" w:hAnsi="Palatino Linotype"/>
          <w:sz w:val="24"/>
          <w:szCs w:val="24"/>
        </w:rPr>
        <w:t xml:space="preserve">Staff erred in determining </w:t>
      </w:r>
      <w:r w:rsidR="003A4E0D">
        <w:rPr>
          <w:rFonts w:ascii="Palatino Linotype" w:hAnsi="Palatino Linotype"/>
          <w:sz w:val="24"/>
          <w:szCs w:val="24"/>
        </w:rPr>
        <w:t xml:space="preserve">that </w:t>
      </w:r>
      <w:r w:rsidRPr="00817F00">
        <w:rPr>
          <w:rFonts w:ascii="Palatino Linotype" w:hAnsi="Palatino Linotype"/>
          <w:sz w:val="24"/>
          <w:szCs w:val="24"/>
        </w:rPr>
        <w:t xml:space="preserve">the property is an unserved housing development, as defined in </w:t>
      </w:r>
      <w:r w:rsidR="00B279DD">
        <w:rPr>
          <w:rFonts w:ascii="Palatino Linotype" w:hAnsi="Palatino Linotype"/>
          <w:sz w:val="24"/>
          <w:szCs w:val="24"/>
        </w:rPr>
        <w:t>the s</w:t>
      </w:r>
      <w:r w:rsidRPr="00817F00">
        <w:rPr>
          <w:rFonts w:ascii="Palatino Linotype" w:hAnsi="Palatino Linotype"/>
          <w:sz w:val="24"/>
          <w:szCs w:val="24"/>
        </w:rPr>
        <w:t>tatu</w:t>
      </w:r>
      <w:r w:rsidRPr="00817F00" w:rsidR="0027047A">
        <w:rPr>
          <w:rFonts w:ascii="Palatino Linotype" w:hAnsi="Palatino Linotype"/>
          <w:sz w:val="24"/>
          <w:szCs w:val="24"/>
        </w:rPr>
        <w:t>t</w:t>
      </w:r>
      <w:r w:rsidRPr="00817F00">
        <w:rPr>
          <w:rFonts w:ascii="Palatino Linotype" w:hAnsi="Palatino Linotype"/>
          <w:sz w:val="24"/>
          <w:szCs w:val="24"/>
        </w:rPr>
        <w:t xml:space="preserve">e and in the BPHA </w:t>
      </w:r>
      <w:r w:rsidRPr="00817F00" w:rsidR="00D304E7">
        <w:rPr>
          <w:rFonts w:ascii="Palatino Linotype" w:hAnsi="Palatino Linotype"/>
          <w:sz w:val="24"/>
          <w:szCs w:val="24"/>
        </w:rPr>
        <w:t>g</w:t>
      </w:r>
      <w:r w:rsidRPr="00817F00">
        <w:rPr>
          <w:rFonts w:ascii="Palatino Linotype" w:hAnsi="Palatino Linotype"/>
          <w:sz w:val="24"/>
          <w:szCs w:val="24"/>
        </w:rPr>
        <w:t>uidelines.</w:t>
      </w:r>
      <w:r w:rsidRPr="00817F00" w:rsidR="006427E7">
        <w:rPr>
          <w:rStyle w:val="FootnoteReference"/>
          <w:rFonts w:ascii="Palatino Linotype" w:hAnsi="Palatino Linotype"/>
          <w:sz w:val="24"/>
          <w:szCs w:val="24"/>
        </w:rPr>
        <w:footnoteReference w:id="18"/>
      </w:r>
      <w:r w:rsidRPr="00817F00" w:rsidR="00DF2043">
        <w:rPr>
          <w:rFonts w:ascii="Palatino Linotype" w:hAnsi="Palatino Linotype"/>
          <w:sz w:val="24"/>
          <w:szCs w:val="24"/>
        </w:rPr>
        <w:t xml:space="preserve"> </w:t>
      </w:r>
      <w:r w:rsidRPr="00817F00" w:rsidR="006427E7">
        <w:rPr>
          <w:rFonts w:ascii="Palatino Linotype" w:hAnsi="Palatino Linotype"/>
          <w:sz w:val="24"/>
          <w:szCs w:val="24"/>
        </w:rPr>
        <w:t xml:space="preserve"> Charter stated that</w:t>
      </w:r>
      <w:r w:rsidRPr="00817F00" w:rsidR="006607EA">
        <w:rPr>
          <w:rFonts w:ascii="Palatino Linotype" w:hAnsi="Palatino Linotype"/>
          <w:sz w:val="24"/>
          <w:szCs w:val="24"/>
        </w:rPr>
        <w:t xml:space="preserve"> </w:t>
      </w:r>
      <w:r w:rsidRPr="00817F00" w:rsidR="006427E7">
        <w:rPr>
          <w:rFonts w:ascii="Palatino Linotype" w:hAnsi="Palatino Linotype"/>
          <w:sz w:val="24"/>
          <w:szCs w:val="24"/>
        </w:rPr>
        <w:t xml:space="preserve">the plain language of the </w:t>
      </w:r>
      <w:r w:rsidR="00B279DD">
        <w:rPr>
          <w:rFonts w:ascii="Palatino Linotype" w:hAnsi="Palatino Linotype"/>
          <w:sz w:val="24"/>
          <w:szCs w:val="24"/>
        </w:rPr>
        <w:t>s</w:t>
      </w:r>
      <w:r w:rsidRPr="00817F00" w:rsidR="006427E7">
        <w:rPr>
          <w:rFonts w:ascii="Palatino Linotype" w:hAnsi="Palatino Linotype"/>
          <w:sz w:val="24"/>
          <w:szCs w:val="24"/>
        </w:rPr>
        <w:t>tatute and the BPHA guidelines</w:t>
      </w:r>
      <w:r w:rsidRPr="00817F00" w:rsidR="006607EA">
        <w:rPr>
          <w:rFonts w:ascii="Palatino Linotype" w:hAnsi="Palatino Linotype"/>
          <w:sz w:val="24"/>
          <w:szCs w:val="24"/>
        </w:rPr>
        <w:t xml:space="preserve"> contemplates </w:t>
      </w:r>
      <w:r w:rsidRPr="00817F00" w:rsidR="003D1456">
        <w:rPr>
          <w:rFonts w:ascii="Palatino Linotype" w:hAnsi="Palatino Linotype"/>
          <w:sz w:val="24"/>
          <w:szCs w:val="24"/>
        </w:rPr>
        <w:t>a</w:t>
      </w:r>
      <w:r w:rsidRPr="00817F00" w:rsidR="006427E7">
        <w:rPr>
          <w:rFonts w:ascii="Palatino Linotype" w:hAnsi="Palatino Linotype"/>
          <w:sz w:val="24"/>
          <w:szCs w:val="24"/>
        </w:rPr>
        <w:t xml:space="preserve">n existing housing unit for </w:t>
      </w:r>
      <w:r w:rsidRPr="00817F00" w:rsidR="00E568C5">
        <w:rPr>
          <w:rFonts w:ascii="Palatino Linotype" w:hAnsi="Palatino Linotype"/>
          <w:sz w:val="24"/>
          <w:szCs w:val="24"/>
        </w:rPr>
        <w:t xml:space="preserve">a </w:t>
      </w:r>
      <w:r w:rsidRPr="00817F00" w:rsidR="006427E7">
        <w:rPr>
          <w:rFonts w:ascii="Palatino Linotype" w:hAnsi="Palatino Linotype"/>
          <w:sz w:val="24"/>
          <w:szCs w:val="24"/>
        </w:rPr>
        <w:t>development to be eligible for funding.</w:t>
      </w:r>
      <w:r w:rsidRPr="00817F00" w:rsidR="006427E7">
        <w:rPr>
          <w:rStyle w:val="FootnoteReference"/>
          <w:rFonts w:ascii="Palatino Linotype" w:hAnsi="Palatino Linotype"/>
          <w:sz w:val="24"/>
          <w:szCs w:val="24"/>
        </w:rPr>
        <w:footnoteReference w:id="19"/>
      </w:r>
      <w:r w:rsidRPr="00817F00" w:rsidR="00BB587D">
        <w:rPr>
          <w:rFonts w:ascii="Palatino Linotype" w:hAnsi="Palatino Linotype"/>
          <w:sz w:val="24"/>
          <w:szCs w:val="24"/>
        </w:rPr>
        <w:t xml:space="preserve"> </w:t>
      </w:r>
      <w:r w:rsidRPr="00817F00" w:rsidR="00DF2043">
        <w:rPr>
          <w:rFonts w:ascii="Palatino Linotype" w:hAnsi="Palatino Linotype"/>
          <w:sz w:val="24"/>
          <w:szCs w:val="24"/>
        </w:rPr>
        <w:t xml:space="preserve"> </w:t>
      </w:r>
      <w:r w:rsidRPr="00817F00" w:rsidR="006427E7">
        <w:rPr>
          <w:rFonts w:ascii="Palatino Linotype" w:hAnsi="Palatino Linotype"/>
          <w:sz w:val="24"/>
          <w:szCs w:val="24"/>
        </w:rPr>
        <w:t xml:space="preserve">Charter </w:t>
      </w:r>
      <w:r w:rsidRPr="00817F00" w:rsidR="00BB587D">
        <w:rPr>
          <w:rFonts w:ascii="Palatino Linotype" w:hAnsi="Palatino Linotype"/>
          <w:sz w:val="24"/>
          <w:szCs w:val="24"/>
        </w:rPr>
        <w:t>stated that Staff’s determination</w:t>
      </w:r>
      <w:r w:rsidRPr="00817F00" w:rsidR="006427E7">
        <w:rPr>
          <w:rFonts w:ascii="Palatino Linotype" w:hAnsi="Palatino Linotype"/>
          <w:sz w:val="24"/>
          <w:szCs w:val="24"/>
        </w:rPr>
        <w:t xml:space="preserve"> that </w:t>
      </w:r>
      <w:r w:rsidRPr="00817F00" w:rsidR="001F2655">
        <w:rPr>
          <w:rFonts w:ascii="Palatino Linotype" w:hAnsi="Palatino Linotype"/>
          <w:sz w:val="24"/>
          <w:szCs w:val="24"/>
        </w:rPr>
        <w:t xml:space="preserve">an </w:t>
      </w:r>
      <w:r w:rsidRPr="00817F00" w:rsidR="006427E7">
        <w:rPr>
          <w:rFonts w:ascii="Palatino Linotype" w:hAnsi="Palatino Linotype"/>
          <w:sz w:val="24"/>
          <w:szCs w:val="24"/>
        </w:rPr>
        <w:t>unbuilt housing development is “unserved” is both contrary to law</w:t>
      </w:r>
      <w:r w:rsidRPr="00817F00" w:rsidR="00BB587D">
        <w:rPr>
          <w:rFonts w:ascii="Palatino Linotype" w:hAnsi="Palatino Linotype"/>
          <w:sz w:val="24"/>
          <w:szCs w:val="24"/>
        </w:rPr>
        <w:t xml:space="preserve">, </w:t>
      </w:r>
      <w:r w:rsidRPr="00817F00" w:rsidR="006427E7">
        <w:rPr>
          <w:rFonts w:ascii="Palatino Linotype" w:hAnsi="Palatino Linotype"/>
          <w:sz w:val="24"/>
          <w:szCs w:val="24"/>
        </w:rPr>
        <w:t>bad public policy</w:t>
      </w:r>
      <w:r w:rsidRPr="00817F00" w:rsidR="00BB587D">
        <w:rPr>
          <w:rFonts w:ascii="Palatino Linotype" w:hAnsi="Palatino Linotype"/>
          <w:sz w:val="24"/>
          <w:szCs w:val="24"/>
        </w:rPr>
        <w:t>,</w:t>
      </w:r>
      <w:r w:rsidRPr="00817F00" w:rsidR="006427E7">
        <w:rPr>
          <w:rFonts w:ascii="Palatino Linotype" w:hAnsi="Palatino Linotype"/>
          <w:sz w:val="24"/>
          <w:szCs w:val="24"/>
        </w:rPr>
        <w:t xml:space="preserve"> and denies Charter due process.</w:t>
      </w:r>
      <w:r w:rsidRPr="00817F00" w:rsidR="00BB587D">
        <w:rPr>
          <w:rStyle w:val="FootnoteReference"/>
          <w:rFonts w:ascii="Palatino Linotype" w:hAnsi="Palatino Linotype"/>
          <w:sz w:val="24"/>
          <w:szCs w:val="24"/>
        </w:rPr>
        <w:footnoteReference w:id="20"/>
      </w:r>
      <w:r w:rsidRPr="00817F00" w:rsidR="00DF2043">
        <w:rPr>
          <w:rFonts w:ascii="Palatino Linotype" w:hAnsi="Palatino Linotype"/>
          <w:sz w:val="24"/>
          <w:szCs w:val="24"/>
        </w:rPr>
        <w:t xml:space="preserve"> </w:t>
      </w:r>
      <w:r w:rsidRPr="00817F00" w:rsidR="00AF5A99">
        <w:rPr>
          <w:rFonts w:ascii="Palatino Linotype" w:hAnsi="Palatino Linotype"/>
          <w:sz w:val="24"/>
          <w:szCs w:val="24"/>
        </w:rPr>
        <w:t xml:space="preserve"> Charter further stated that the application does not meet </w:t>
      </w:r>
      <w:r w:rsidRPr="00817F00" w:rsidR="001F2655">
        <w:rPr>
          <w:rFonts w:ascii="Palatino Linotype" w:hAnsi="Palatino Linotype"/>
          <w:sz w:val="24"/>
          <w:szCs w:val="24"/>
        </w:rPr>
        <w:t xml:space="preserve">the </w:t>
      </w:r>
      <w:r w:rsidRPr="00817F00" w:rsidR="00AF5A99">
        <w:rPr>
          <w:rFonts w:ascii="Palatino Linotype" w:hAnsi="Palatino Linotype"/>
          <w:sz w:val="24"/>
          <w:szCs w:val="24"/>
        </w:rPr>
        <w:t xml:space="preserve">requirements </w:t>
      </w:r>
      <w:r w:rsidRPr="00817F00" w:rsidR="00CD209D">
        <w:rPr>
          <w:rFonts w:ascii="Palatino Linotype" w:hAnsi="Palatino Linotype"/>
          <w:sz w:val="24"/>
          <w:szCs w:val="24"/>
        </w:rPr>
        <w:t xml:space="preserve">adopted </w:t>
      </w:r>
      <w:r w:rsidRPr="00817F00" w:rsidR="00AF5A99">
        <w:rPr>
          <w:rFonts w:ascii="Palatino Linotype" w:hAnsi="Palatino Linotype"/>
          <w:sz w:val="24"/>
          <w:szCs w:val="24"/>
        </w:rPr>
        <w:t xml:space="preserve">in D.18-06-032 because the applicant cannot verify it has not denied an </w:t>
      </w:r>
      <w:r w:rsidR="00CF39CB">
        <w:rPr>
          <w:rFonts w:ascii="Palatino Linotype" w:hAnsi="Palatino Linotype"/>
          <w:sz w:val="24"/>
          <w:szCs w:val="24"/>
        </w:rPr>
        <w:t>Internet Service Provider (</w:t>
      </w:r>
      <w:r w:rsidRPr="00817F00" w:rsidR="00AF5A99">
        <w:rPr>
          <w:rFonts w:ascii="Palatino Linotype" w:hAnsi="Palatino Linotype"/>
          <w:sz w:val="24"/>
          <w:szCs w:val="24"/>
        </w:rPr>
        <w:t>ISP</w:t>
      </w:r>
      <w:r w:rsidR="00CF39CB">
        <w:rPr>
          <w:rFonts w:ascii="Palatino Linotype" w:hAnsi="Palatino Linotype"/>
          <w:sz w:val="24"/>
          <w:szCs w:val="24"/>
        </w:rPr>
        <w:t>)</w:t>
      </w:r>
      <w:r w:rsidRPr="00817F00" w:rsidR="00AF5A99">
        <w:rPr>
          <w:rFonts w:ascii="Palatino Linotype" w:hAnsi="Palatino Linotype"/>
          <w:sz w:val="24"/>
          <w:szCs w:val="24"/>
        </w:rPr>
        <w:t xml:space="preserve"> access to the property or attest to the condition of the property</w:t>
      </w:r>
      <w:r w:rsidRPr="00817F00" w:rsidR="001F2655">
        <w:rPr>
          <w:rFonts w:ascii="Palatino Linotype" w:hAnsi="Palatino Linotype"/>
          <w:sz w:val="24"/>
          <w:szCs w:val="24"/>
        </w:rPr>
        <w:t>, and that the applicant failed to identify a bandwidth source at the MPOE.</w:t>
      </w:r>
      <w:r w:rsidRPr="00817F00" w:rsidR="001F2655">
        <w:rPr>
          <w:rStyle w:val="FootnoteReference"/>
          <w:rFonts w:ascii="Palatino Linotype" w:hAnsi="Palatino Linotype"/>
          <w:sz w:val="24"/>
          <w:szCs w:val="24"/>
        </w:rPr>
        <w:footnoteReference w:id="21"/>
      </w:r>
      <w:r w:rsidR="00817F00">
        <w:rPr>
          <w:rFonts w:ascii="Palatino Linotype" w:hAnsi="Palatino Linotype"/>
          <w:sz w:val="24"/>
          <w:szCs w:val="24"/>
        </w:rPr>
        <w:t xml:space="preserve"> </w:t>
      </w:r>
      <w:r w:rsidRPr="00817F00" w:rsidR="00DF2043">
        <w:rPr>
          <w:rFonts w:ascii="Palatino Linotype" w:hAnsi="Palatino Linotype"/>
          <w:sz w:val="24"/>
          <w:szCs w:val="24"/>
        </w:rPr>
        <w:t xml:space="preserve"> </w:t>
      </w:r>
      <w:r w:rsidRPr="00817F00" w:rsidR="00BB587D">
        <w:rPr>
          <w:rFonts w:ascii="Palatino Linotype" w:hAnsi="Palatino Linotype"/>
          <w:sz w:val="24"/>
          <w:szCs w:val="24"/>
        </w:rPr>
        <w:t xml:space="preserve">Additionally, </w:t>
      </w:r>
      <w:r w:rsidRPr="00817F00" w:rsidR="00AF5A99">
        <w:rPr>
          <w:rFonts w:ascii="Palatino Linotype" w:hAnsi="Palatino Linotype"/>
          <w:sz w:val="24"/>
          <w:szCs w:val="24"/>
        </w:rPr>
        <w:t xml:space="preserve">Charter opposes the draft Resolution </w:t>
      </w:r>
      <w:r w:rsidRPr="00817F00" w:rsidR="00CD209D">
        <w:rPr>
          <w:rFonts w:ascii="Palatino Linotype" w:hAnsi="Palatino Linotype"/>
          <w:sz w:val="24"/>
          <w:szCs w:val="24"/>
        </w:rPr>
        <w:t>because it asserts</w:t>
      </w:r>
      <w:r w:rsidRPr="00817F00" w:rsidR="00AF5A99">
        <w:rPr>
          <w:rFonts w:ascii="Palatino Linotype" w:hAnsi="Palatino Linotype"/>
          <w:sz w:val="24"/>
          <w:szCs w:val="24"/>
        </w:rPr>
        <w:t xml:space="preserve"> </w:t>
      </w:r>
      <w:r w:rsidRPr="00817F00" w:rsidR="00FA7732">
        <w:rPr>
          <w:rFonts w:ascii="Palatino Linotype" w:hAnsi="Palatino Linotype"/>
          <w:sz w:val="24"/>
          <w:szCs w:val="24"/>
        </w:rPr>
        <w:t xml:space="preserve">Staff’s reliance on the ownership and management differences between the existing Woodland Complex and </w:t>
      </w:r>
      <w:r w:rsidR="00E00B9A">
        <w:rPr>
          <w:rFonts w:ascii="Palatino Linotype" w:hAnsi="Palatino Linotype"/>
          <w:sz w:val="24"/>
          <w:szCs w:val="24"/>
        </w:rPr>
        <w:t>the Woodlands II Apartments D</w:t>
      </w:r>
      <w:r w:rsidRPr="00817F00" w:rsidR="00FA7732">
        <w:rPr>
          <w:rFonts w:ascii="Palatino Linotype" w:hAnsi="Palatino Linotype"/>
          <w:sz w:val="24"/>
          <w:szCs w:val="24"/>
        </w:rPr>
        <w:t>evelopment is flawed and not relevant.</w:t>
      </w:r>
      <w:r w:rsidRPr="00817F00" w:rsidR="006427E7">
        <w:rPr>
          <w:rStyle w:val="FootnoteReference"/>
          <w:rFonts w:ascii="Palatino Linotype" w:hAnsi="Palatino Linotype"/>
          <w:sz w:val="24"/>
          <w:szCs w:val="24"/>
        </w:rPr>
        <w:footnoteReference w:id="22"/>
      </w:r>
      <w:r w:rsidRPr="00817F00" w:rsidR="00AF5A99">
        <w:rPr>
          <w:rFonts w:ascii="Palatino Linotype" w:hAnsi="Palatino Linotype"/>
          <w:sz w:val="24"/>
          <w:szCs w:val="24"/>
        </w:rPr>
        <w:t xml:space="preserve"> </w:t>
      </w:r>
      <w:r w:rsidRPr="00817F00" w:rsidR="00DF2043">
        <w:rPr>
          <w:rFonts w:ascii="Palatino Linotype" w:hAnsi="Palatino Linotype"/>
          <w:sz w:val="24"/>
          <w:szCs w:val="24"/>
        </w:rPr>
        <w:t xml:space="preserve"> </w:t>
      </w:r>
    </w:p>
    <w:p w:rsidRPr="00817F00" w:rsidR="005E105A" w:rsidP="003F6C68" w:rsidRDefault="005E105A" w14:paraId="15AABCB2" w14:textId="77777777">
      <w:pPr>
        <w:rPr>
          <w:rFonts w:ascii="Palatino Linotype" w:hAnsi="Palatino Linotype"/>
          <w:sz w:val="24"/>
          <w:szCs w:val="24"/>
        </w:rPr>
      </w:pPr>
    </w:p>
    <w:p w:rsidRPr="00817F00" w:rsidR="00145CF1" w:rsidP="003F6C68" w:rsidRDefault="00BB587D" w14:paraId="6F797CBC" w14:textId="5BB2E4EB">
      <w:pPr>
        <w:rPr>
          <w:rFonts w:ascii="Palatino Linotype" w:hAnsi="Palatino Linotype"/>
          <w:b/>
          <w:bCs/>
          <w:i/>
          <w:iCs/>
          <w:sz w:val="24"/>
          <w:szCs w:val="24"/>
        </w:rPr>
      </w:pPr>
      <w:r w:rsidRPr="00817F00">
        <w:rPr>
          <w:rFonts w:ascii="Palatino Linotype" w:hAnsi="Palatino Linotype"/>
          <w:b/>
          <w:bCs/>
          <w:i/>
          <w:iCs/>
          <w:sz w:val="24"/>
          <w:szCs w:val="24"/>
        </w:rPr>
        <w:t xml:space="preserve">Staff’s </w:t>
      </w:r>
      <w:r w:rsidR="00222C1D">
        <w:rPr>
          <w:rFonts w:ascii="Palatino Linotype" w:hAnsi="Palatino Linotype"/>
          <w:b/>
          <w:bCs/>
          <w:i/>
          <w:iCs/>
          <w:sz w:val="24"/>
          <w:szCs w:val="24"/>
        </w:rPr>
        <w:t>R</w:t>
      </w:r>
      <w:r w:rsidRPr="00817F00" w:rsidR="00145CF1">
        <w:rPr>
          <w:rFonts w:ascii="Palatino Linotype" w:hAnsi="Palatino Linotype"/>
          <w:b/>
          <w:bCs/>
          <w:i/>
          <w:iCs/>
          <w:sz w:val="24"/>
          <w:szCs w:val="24"/>
        </w:rPr>
        <w:t>esponse to Charter</w:t>
      </w:r>
      <w:r w:rsidRPr="00817F00" w:rsidR="00C210CE">
        <w:rPr>
          <w:rFonts w:ascii="Palatino Linotype" w:hAnsi="Palatino Linotype"/>
          <w:b/>
          <w:bCs/>
          <w:i/>
          <w:iCs/>
          <w:sz w:val="24"/>
          <w:szCs w:val="24"/>
        </w:rPr>
        <w:t>'</w:t>
      </w:r>
      <w:r w:rsidRPr="00817F00" w:rsidR="00145CF1">
        <w:rPr>
          <w:rFonts w:ascii="Palatino Linotype" w:hAnsi="Palatino Linotype"/>
          <w:b/>
          <w:bCs/>
          <w:i/>
          <w:iCs/>
          <w:sz w:val="24"/>
          <w:szCs w:val="24"/>
        </w:rPr>
        <w:t xml:space="preserve">s </w:t>
      </w:r>
      <w:r w:rsidR="00222C1D">
        <w:rPr>
          <w:rFonts w:ascii="Palatino Linotype" w:hAnsi="Palatino Linotype"/>
          <w:b/>
          <w:bCs/>
          <w:i/>
          <w:iCs/>
          <w:sz w:val="24"/>
          <w:szCs w:val="24"/>
        </w:rPr>
        <w:t>C</w:t>
      </w:r>
      <w:r w:rsidRPr="00817F00" w:rsidR="00145CF1">
        <w:rPr>
          <w:rFonts w:ascii="Palatino Linotype" w:hAnsi="Palatino Linotype"/>
          <w:b/>
          <w:bCs/>
          <w:i/>
          <w:iCs/>
          <w:sz w:val="24"/>
          <w:szCs w:val="24"/>
        </w:rPr>
        <w:t>omments</w:t>
      </w:r>
      <w:r w:rsidRPr="00817F00" w:rsidR="00E5423F">
        <w:rPr>
          <w:rFonts w:ascii="Palatino Linotype" w:hAnsi="Palatino Linotype"/>
          <w:b/>
          <w:bCs/>
          <w:i/>
          <w:iCs/>
          <w:sz w:val="24"/>
          <w:szCs w:val="24"/>
        </w:rPr>
        <w:t>:</w:t>
      </w:r>
    </w:p>
    <w:p w:rsidRPr="00817F00" w:rsidR="00145CF1" w:rsidP="003F6C68" w:rsidRDefault="00145CF1" w14:paraId="5134F0B1" w14:textId="77777777">
      <w:pPr>
        <w:rPr>
          <w:rFonts w:ascii="Palatino Linotype" w:hAnsi="Palatino Linotype"/>
          <w:sz w:val="24"/>
          <w:szCs w:val="24"/>
        </w:rPr>
      </w:pPr>
    </w:p>
    <w:p w:rsidRPr="00817F00" w:rsidR="00E143A8" w:rsidP="003223B7" w:rsidRDefault="008E4E63" w14:paraId="5F7884DA" w14:textId="593B2643">
      <w:pPr>
        <w:rPr>
          <w:rFonts w:ascii="Palatino Linotype" w:hAnsi="Palatino Linotype"/>
          <w:sz w:val="24"/>
          <w:szCs w:val="24"/>
        </w:rPr>
      </w:pPr>
      <w:r w:rsidRPr="00817F00">
        <w:rPr>
          <w:rFonts w:ascii="Palatino Linotype" w:hAnsi="Palatino Linotype"/>
          <w:sz w:val="24"/>
          <w:szCs w:val="24"/>
        </w:rPr>
        <w:t xml:space="preserve">Charter opposes Staff’s recommendation to approve funding for the Woodlands II project on the grounds that the project </w:t>
      </w:r>
      <w:r w:rsidRPr="00817F00" w:rsidR="00E143A8">
        <w:rPr>
          <w:rFonts w:ascii="Palatino Linotype" w:hAnsi="Palatino Linotype"/>
          <w:sz w:val="24"/>
          <w:szCs w:val="24"/>
        </w:rPr>
        <w:t>does not</w:t>
      </w:r>
      <w:r w:rsidRPr="00817F00">
        <w:rPr>
          <w:rFonts w:ascii="Palatino Linotype" w:hAnsi="Palatino Linotype"/>
          <w:sz w:val="24"/>
          <w:szCs w:val="24"/>
        </w:rPr>
        <w:t xml:space="preserve"> comply with the statutory requirement </w:t>
      </w:r>
      <w:r w:rsidRPr="00817F00" w:rsidR="00E80CFC">
        <w:rPr>
          <w:rFonts w:ascii="Palatino Linotype" w:hAnsi="Palatino Linotype"/>
          <w:sz w:val="24"/>
          <w:szCs w:val="24"/>
        </w:rPr>
        <w:t xml:space="preserve">which requires the housing development </w:t>
      </w:r>
      <w:r w:rsidRPr="00817F00" w:rsidR="00726655">
        <w:rPr>
          <w:rFonts w:ascii="Palatino Linotype" w:hAnsi="Palatino Linotype"/>
          <w:sz w:val="24"/>
          <w:szCs w:val="24"/>
        </w:rPr>
        <w:t xml:space="preserve">to be </w:t>
      </w:r>
      <w:r w:rsidRPr="00817F00">
        <w:rPr>
          <w:rFonts w:ascii="Palatino Linotype" w:hAnsi="Palatino Linotype"/>
          <w:sz w:val="24"/>
          <w:szCs w:val="24"/>
        </w:rPr>
        <w:t xml:space="preserve">unserved. </w:t>
      </w:r>
      <w:r w:rsidRPr="00817F00" w:rsidR="00DF2043">
        <w:rPr>
          <w:rFonts w:ascii="Palatino Linotype" w:hAnsi="Palatino Linotype"/>
          <w:sz w:val="24"/>
          <w:szCs w:val="24"/>
        </w:rPr>
        <w:t xml:space="preserve"> </w:t>
      </w:r>
      <w:r w:rsidRPr="00817F00" w:rsidR="00E143A8">
        <w:rPr>
          <w:rFonts w:ascii="Palatino Linotype" w:hAnsi="Palatino Linotype"/>
          <w:sz w:val="24"/>
          <w:szCs w:val="24"/>
        </w:rPr>
        <w:t>An “unserved housing unit” is defined as:</w:t>
      </w:r>
    </w:p>
    <w:p w:rsidRPr="00817F00" w:rsidR="00E143A8" w:rsidP="003223B7" w:rsidRDefault="00E143A8" w14:paraId="7BBAC926" w14:textId="77777777">
      <w:pPr>
        <w:rPr>
          <w:rFonts w:ascii="Palatino Linotype" w:hAnsi="Palatino Linotype"/>
          <w:sz w:val="24"/>
          <w:szCs w:val="24"/>
        </w:rPr>
      </w:pPr>
    </w:p>
    <w:p w:rsidRPr="00817F00" w:rsidR="00E143A8" w:rsidP="003223B7" w:rsidRDefault="00E143A8" w14:paraId="29AAE5F3" w14:textId="63D551FD">
      <w:pPr>
        <w:rPr>
          <w:rFonts w:ascii="Palatino Linotype" w:hAnsi="Palatino Linotype"/>
          <w:sz w:val="24"/>
          <w:szCs w:val="24"/>
        </w:rPr>
      </w:pPr>
      <w:r w:rsidRPr="00817F00">
        <w:rPr>
          <w:rFonts w:ascii="Palatino Linotype" w:hAnsi="Palatino Linotype"/>
          <w:sz w:val="24"/>
          <w:szCs w:val="24"/>
        </w:rPr>
        <w:t xml:space="preserve"> … a housing unit where at least </w:t>
      </w:r>
      <w:r w:rsidRPr="00817F00" w:rsidR="004104F9">
        <w:rPr>
          <w:rFonts w:ascii="Palatino Linotype" w:hAnsi="Palatino Linotype"/>
          <w:sz w:val="24"/>
          <w:szCs w:val="24"/>
        </w:rPr>
        <w:t>one</w:t>
      </w:r>
      <w:r w:rsidRPr="00817F00" w:rsidR="00C210CE">
        <w:rPr>
          <w:rFonts w:ascii="Palatino Linotype" w:hAnsi="Palatino Linotype"/>
          <w:sz w:val="24"/>
          <w:szCs w:val="24"/>
        </w:rPr>
        <w:t xml:space="preserve"> </w:t>
      </w:r>
      <w:r w:rsidRPr="00817F00">
        <w:rPr>
          <w:rFonts w:ascii="Palatino Linotype" w:hAnsi="Palatino Linotype"/>
          <w:sz w:val="24"/>
          <w:szCs w:val="24"/>
        </w:rPr>
        <w:t xml:space="preserve">housing unit within the housing development is not offered broadband </w:t>
      </w:r>
      <w:r w:rsidR="00CE32CA">
        <w:rPr>
          <w:rFonts w:ascii="Palatino Linotype" w:hAnsi="Palatino Linotype"/>
          <w:sz w:val="24"/>
          <w:szCs w:val="24"/>
        </w:rPr>
        <w:t>i</w:t>
      </w:r>
      <w:r w:rsidRPr="00817F00">
        <w:rPr>
          <w:rFonts w:ascii="Palatino Linotype" w:hAnsi="Palatino Linotype"/>
          <w:sz w:val="24"/>
          <w:szCs w:val="24"/>
        </w:rPr>
        <w:t xml:space="preserve">nternet service.  A housing unit is not offered broadband </w:t>
      </w:r>
      <w:r w:rsidR="00CE32CA">
        <w:rPr>
          <w:rFonts w:ascii="Palatino Linotype" w:hAnsi="Palatino Linotype"/>
          <w:sz w:val="24"/>
          <w:szCs w:val="24"/>
        </w:rPr>
        <w:t>i</w:t>
      </w:r>
      <w:r w:rsidRPr="00817F00">
        <w:rPr>
          <w:rFonts w:ascii="Palatino Linotype" w:hAnsi="Palatino Linotype"/>
          <w:sz w:val="24"/>
          <w:szCs w:val="24"/>
        </w:rPr>
        <w:t xml:space="preserve">nternet service if the unit does not have access to a commercially available broadband </w:t>
      </w:r>
      <w:r w:rsidR="00CE32CA">
        <w:rPr>
          <w:rFonts w:ascii="Palatino Linotype" w:hAnsi="Palatino Linotype"/>
          <w:sz w:val="24"/>
          <w:szCs w:val="24"/>
        </w:rPr>
        <w:lastRenderedPageBreak/>
        <w:t>i</w:t>
      </w:r>
      <w:r w:rsidRPr="00817F00">
        <w:rPr>
          <w:rFonts w:ascii="Palatino Linotype" w:hAnsi="Palatino Linotype"/>
          <w:sz w:val="24"/>
          <w:szCs w:val="24"/>
        </w:rPr>
        <w:t>nternet service, such as Digital Subscriber Line (DSL), a cable modem, or another protocol, available at the unit.</w:t>
      </w:r>
      <w:r w:rsidRPr="00817F00">
        <w:rPr>
          <w:rStyle w:val="FootnoteReference"/>
          <w:rFonts w:ascii="Palatino Linotype" w:hAnsi="Palatino Linotype"/>
          <w:sz w:val="24"/>
          <w:szCs w:val="24"/>
        </w:rPr>
        <w:footnoteReference w:id="23"/>
      </w:r>
    </w:p>
    <w:p w:rsidRPr="00817F00" w:rsidR="00FA4F98" w:rsidP="003223B7" w:rsidRDefault="00FA4F98" w14:paraId="6F8DA34F" w14:textId="77777777">
      <w:pPr>
        <w:rPr>
          <w:rFonts w:ascii="Palatino Linotype" w:hAnsi="Palatino Linotype"/>
          <w:sz w:val="24"/>
          <w:szCs w:val="24"/>
        </w:rPr>
      </w:pPr>
    </w:p>
    <w:p w:rsidRPr="00817F00" w:rsidR="000A57F0" w:rsidP="00681BB9" w:rsidRDefault="00681BB9" w14:paraId="31C571EB" w14:textId="55EF8F3D">
      <w:pPr>
        <w:rPr>
          <w:rFonts w:ascii="Palatino Linotype" w:hAnsi="Palatino Linotype"/>
          <w:sz w:val="24"/>
          <w:szCs w:val="24"/>
        </w:rPr>
      </w:pPr>
      <w:bookmarkStart w:name="_Hlk31872205" w:id="13"/>
      <w:bookmarkStart w:name="_Hlk32237249" w:id="14"/>
      <w:bookmarkStart w:name="_Hlk32238148" w:id="15"/>
      <w:r w:rsidRPr="00817F00">
        <w:rPr>
          <w:rFonts w:ascii="Palatino Linotype" w:hAnsi="Palatino Linotype"/>
          <w:sz w:val="24"/>
          <w:szCs w:val="24"/>
        </w:rPr>
        <w:t xml:space="preserve">Staff disagrees with </w:t>
      </w:r>
      <w:r w:rsidRPr="00817F00" w:rsidR="00CD209D">
        <w:rPr>
          <w:rFonts w:ascii="Palatino Linotype" w:hAnsi="Palatino Linotype"/>
          <w:sz w:val="24"/>
          <w:szCs w:val="24"/>
        </w:rPr>
        <w:t xml:space="preserve">Charter’s </w:t>
      </w:r>
      <w:r w:rsidRPr="00817F00">
        <w:rPr>
          <w:rFonts w:ascii="Palatino Linotype" w:hAnsi="Palatino Linotype"/>
          <w:sz w:val="24"/>
          <w:szCs w:val="24"/>
        </w:rPr>
        <w:t>contention</w:t>
      </w:r>
      <w:r w:rsidRPr="00817F00" w:rsidR="00E80CFC">
        <w:rPr>
          <w:rFonts w:ascii="Palatino Linotype" w:hAnsi="Palatino Linotype"/>
          <w:sz w:val="24"/>
          <w:szCs w:val="24"/>
        </w:rPr>
        <w:t>.</w:t>
      </w:r>
      <w:r w:rsidRPr="00817F00">
        <w:rPr>
          <w:rFonts w:ascii="Palatino Linotype" w:hAnsi="Palatino Linotype"/>
          <w:sz w:val="24"/>
          <w:szCs w:val="24"/>
        </w:rPr>
        <w:t xml:space="preserve"> </w:t>
      </w:r>
      <w:r w:rsidRPr="00817F00" w:rsidR="00B94A92">
        <w:rPr>
          <w:rFonts w:ascii="Palatino Linotype" w:hAnsi="Palatino Linotype"/>
          <w:sz w:val="24"/>
          <w:szCs w:val="24"/>
        </w:rPr>
        <w:t xml:space="preserve"> </w:t>
      </w:r>
      <w:r w:rsidRPr="00817F00" w:rsidR="00F03038">
        <w:rPr>
          <w:rFonts w:ascii="Palatino Linotype" w:hAnsi="Palatino Linotype"/>
          <w:sz w:val="24"/>
          <w:szCs w:val="24"/>
        </w:rPr>
        <w:t>Specifically,</w:t>
      </w:r>
      <w:r w:rsidRPr="00817F00" w:rsidR="00A47D59">
        <w:rPr>
          <w:rFonts w:ascii="Palatino Linotype" w:hAnsi="Palatino Linotype"/>
          <w:sz w:val="24"/>
          <w:szCs w:val="24"/>
        </w:rPr>
        <w:t xml:space="preserve"> </w:t>
      </w:r>
      <w:r w:rsidRPr="00817F00" w:rsidR="00CD209D">
        <w:rPr>
          <w:rFonts w:ascii="Palatino Linotype" w:hAnsi="Palatino Linotype"/>
          <w:sz w:val="24"/>
          <w:szCs w:val="24"/>
        </w:rPr>
        <w:t xml:space="preserve">in its application, </w:t>
      </w:r>
      <w:r w:rsidRPr="00817F00" w:rsidR="001F34F3">
        <w:rPr>
          <w:rFonts w:ascii="Palatino Linotype" w:hAnsi="Palatino Linotype" w:cs="Palatino Linotype"/>
          <w:sz w:val="24"/>
          <w:szCs w:val="24"/>
        </w:rPr>
        <w:t xml:space="preserve">NVCSS </w:t>
      </w:r>
      <w:r w:rsidRPr="00817F00" w:rsidR="0025381F">
        <w:rPr>
          <w:rFonts w:ascii="Palatino Linotype" w:hAnsi="Palatino Linotype" w:cs="Palatino Linotype"/>
          <w:sz w:val="24"/>
          <w:szCs w:val="24"/>
        </w:rPr>
        <w:t>stat</w:t>
      </w:r>
      <w:r w:rsidRPr="00817F00" w:rsidR="00CD209D">
        <w:rPr>
          <w:rFonts w:ascii="Palatino Linotype" w:hAnsi="Palatino Linotype" w:cs="Palatino Linotype"/>
          <w:sz w:val="24"/>
          <w:szCs w:val="24"/>
        </w:rPr>
        <w:t>ed</w:t>
      </w:r>
      <w:r w:rsidRPr="00817F00" w:rsidR="0025381F">
        <w:rPr>
          <w:rFonts w:ascii="Palatino Linotype" w:hAnsi="Palatino Linotype" w:cs="Palatino Linotype"/>
          <w:sz w:val="24"/>
          <w:szCs w:val="24"/>
        </w:rPr>
        <w:t xml:space="preserve"> that </w:t>
      </w:r>
      <w:r w:rsidRPr="00817F00" w:rsidR="001F34F3">
        <w:rPr>
          <w:rFonts w:ascii="Palatino Linotype" w:hAnsi="Palatino Linotype" w:cs="Palatino Linotype"/>
          <w:sz w:val="24"/>
          <w:szCs w:val="24"/>
        </w:rPr>
        <w:t>the</w:t>
      </w:r>
      <w:r w:rsidRPr="00817F00" w:rsidR="0025381F">
        <w:rPr>
          <w:rFonts w:ascii="Palatino Linotype" w:hAnsi="Palatino Linotype" w:cs="Palatino Linotype"/>
          <w:sz w:val="24"/>
          <w:szCs w:val="24"/>
        </w:rPr>
        <w:t xml:space="preserve"> Woodlands II project</w:t>
      </w:r>
      <w:r w:rsidRPr="00817F00" w:rsidR="001F34F3">
        <w:rPr>
          <w:rFonts w:ascii="Palatino Linotype" w:hAnsi="Palatino Linotype" w:cs="Palatino Linotype"/>
          <w:sz w:val="24"/>
          <w:szCs w:val="24"/>
        </w:rPr>
        <w:t xml:space="preserve"> </w:t>
      </w:r>
      <w:r w:rsidRPr="00817F00" w:rsidR="0025381F">
        <w:rPr>
          <w:rFonts w:ascii="Palatino Linotype" w:hAnsi="Palatino Linotype" w:cs="Palatino Linotype"/>
          <w:sz w:val="24"/>
          <w:szCs w:val="24"/>
        </w:rPr>
        <w:t xml:space="preserve">is </w:t>
      </w:r>
      <w:r w:rsidRPr="00817F00" w:rsidR="001F34F3">
        <w:rPr>
          <w:rFonts w:ascii="Palatino Linotype" w:hAnsi="Palatino Linotype" w:cs="Palatino Linotype"/>
          <w:sz w:val="24"/>
          <w:szCs w:val="24"/>
        </w:rPr>
        <w:t xml:space="preserve">a planned low-income housing development (new construction) and not wired for broadband </w:t>
      </w:r>
      <w:r w:rsidR="00CE32CA">
        <w:rPr>
          <w:rFonts w:ascii="Palatino Linotype" w:hAnsi="Palatino Linotype" w:cs="Palatino Linotype"/>
          <w:sz w:val="24"/>
          <w:szCs w:val="24"/>
        </w:rPr>
        <w:t>i</w:t>
      </w:r>
      <w:r w:rsidRPr="00817F00" w:rsidR="001F34F3">
        <w:rPr>
          <w:rFonts w:ascii="Palatino Linotype" w:hAnsi="Palatino Linotype" w:cs="Palatino Linotype"/>
          <w:sz w:val="24"/>
          <w:szCs w:val="24"/>
        </w:rPr>
        <w:t xml:space="preserve">nternet. </w:t>
      </w:r>
      <w:r w:rsidRPr="00817F00" w:rsidR="00E50B02">
        <w:rPr>
          <w:rFonts w:ascii="Palatino Linotype" w:hAnsi="Palatino Linotype" w:cs="Palatino Linotype"/>
          <w:sz w:val="24"/>
          <w:szCs w:val="24"/>
        </w:rPr>
        <w:t xml:space="preserve"> </w:t>
      </w:r>
      <w:r w:rsidRPr="00817F00" w:rsidR="0025381F">
        <w:rPr>
          <w:rFonts w:ascii="Palatino Linotype" w:hAnsi="Palatino Linotype" w:cs="Palatino Linotype"/>
          <w:sz w:val="24"/>
          <w:szCs w:val="24"/>
        </w:rPr>
        <w:t>Since th</w:t>
      </w:r>
      <w:r w:rsidRPr="00817F00" w:rsidR="00E50B02">
        <w:rPr>
          <w:rFonts w:ascii="Palatino Linotype" w:hAnsi="Palatino Linotype" w:cs="Palatino Linotype"/>
          <w:sz w:val="24"/>
          <w:szCs w:val="24"/>
        </w:rPr>
        <w:t>en</w:t>
      </w:r>
      <w:r w:rsidRPr="00817F00" w:rsidR="0025381F">
        <w:rPr>
          <w:rFonts w:ascii="Palatino Linotype" w:hAnsi="Palatino Linotype" w:cs="Palatino Linotype"/>
          <w:sz w:val="24"/>
          <w:szCs w:val="24"/>
        </w:rPr>
        <w:t xml:space="preserve">, the housing development has been under construction and to date, </w:t>
      </w:r>
      <w:r w:rsidRPr="00817F00" w:rsidR="009239D1">
        <w:rPr>
          <w:rFonts w:ascii="Palatino Linotype" w:hAnsi="Palatino Linotype" w:cs="Palatino Linotype"/>
          <w:sz w:val="24"/>
          <w:szCs w:val="24"/>
        </w:rPr>
        <w:t xml:space="preserve">the </w:t>
      </w:r>
      <w:r w:rsidRPr="00817F00" w:rsidR="001F34F3">
        <w:rPr>
          <w:rFonts w:ascii="Palatino Linotype" w:hAnsi="Palatino Linotype" w:cs="Palatino Linotype"/>
          <w:sz w:val="24"/>
          <w:szCs w:val="24"/>
        </w:rPr>
        <w:t xml:space="preserve">framing of the development </w:t>
      </w:r>
      <w:r w:rsidRPr="00817F00" w:rsidR="0025381F">
        <w:rPr>
          <w:rFonts w:ascii="Palatino Linotype" w:hAnsi="Palatino Linotype" w:cs="Palatino Linotype"/>
          <w:sz w:val="24"/>
          <w:szCs w:val="24"/>
        </w:rPr>
        <w:t>is complete</w:t>
      </w:r>
      <w:r w:rsidRPr="00817F00" w:rsidR="0073265F">
        <w:rPr>
          <w:rFonts w:ascii="Palatino Linotype" w:hAnsi="Palatino Linotype"/>
          <w:sz w:val="24"/>
          <w:szCs w:val="24"/>
        </w:rPr>
        <w:t>.</w:t>
      </w:r>
      <w:r w:rsidRPr="00817F00" w:rsidR="00143960">
        <w:rPr>
          <w:rStyle w:val="FootnoteReference"/>
          <w:rFonts w:ascii="Palatino Linotype" w:hAnsi="Palatino Linotype"/>
          <w:sz w:val="24"/>
          <w:szCs w:val="24"/>
        </w:rPr>
        <w:footnoteReference w:id="24"/>
      </w:r>
      <w:r w:rsidRPr="00817F00" w:rsidR="0073265F">
        <w:rPr>
          <w:rFonts w:ascii="Palatino Linotype" w:hAnsi="Palatino Linotype"/>
          <w:sz w:val="24"/>
          <w:szCs w:val="24"/>
        </w:rPr>
        <w:t xml:space="preserve"> </w:t>
      </w:r>
      <w:r w:rsidRPr="00817F00" w:rsidR="00DF2043">
        <w:rPr>
          <w:rFonts w:ascii="Palatino Linotype" w:hAnsi="Palatino Linotype"/>
          <w:sz w:val="24"/>
          <w:szCs w:val="24"/>
        </w:rPr>
        <w:t xml:space="preserve"> </w:t>
      </w:r>
      <w:r w:rsidRPr="00817F00" w:rsidR="00CF7049">
        <w:rPr>
          <w:rFonts w:ascii="Palatino Linotype" w:hAnsi="Palatino Linotype"/>
          <w:sz w:val="24"/>
          <w:szCs w:val="24"/>
        </w:rPr>
        <w:t xml:space="preserve">As such, the building is under construction and not wired for broadband internet </w:t>
      </w:r>
      <w:r w:rsidRPr="00817F00" w:rsidR="00AD0162">
        <w:rPr>
          <w:rFonts w:ascii="Palatino Linotype" w:hAnsi="Palatino Linotype"/>
          <w:sz w:val="24"/>
          <w:szCs w:val="24"/>
        </w:rPr>
        <w:t xml:space="preserve">and therefore </w:t>
      </w:r>
      <w:r w:rsidRPr="00817F00" w:rsidR="003F4337">
        <w:rPr>
          <w:rFonts w:ascii="Palatino Linotype" w:hAnsi="Palatino Linotype"/>
          <w:sz w:val="24"/>
          <w:szCs w:val="24"/>
        </w:rPr>
        <w:t>no</w:t>
      </w:r>
      <w:r w:rsidRPr="00817F00">
        <w:rPr>
          <w:rFonts w:ascii="Palatino Linotype" w:hAnsi="Palatino Linotype"/>
          <w:sz w:val="24"/>
          <w:szCs w:val="24"/>
        </w:rPr>
        <w:t xml:space="preserve"> housing units</w:t>
      </w:r>
      <w:r w:rsidRPr="00817F00" w:rsidR="00CD209D">
        <w:rPr>
          <w:rFonts w:ascii="Palatino Linotype" w:hAnsi="Palatino Linotype"/>
          <w:sz w:val="24"/>
          <w:szCs w:val="24"/>
        </w:rPr>
        <w:t xml:space="preserve"> in the project are</w:t>
      </w:r>
      <w:r w:rsidRPr="00817F00">
        <w:rPr>
          <w:rFonts w:ascii="Palatino Linotype" w:hAnsi="Palatino Linotype"/>
          <w:sz w:val="24"/>
          <w:szCs w:val="24"/>
        </w:rPr>
        <w:t xml:space="preserve"> being offered broadband</w:t>
      </w:r>
      <w:r w:rsidRPr="00817F00" w:rsidR="00C240A5">
        <w:rPr>
          <w:rFonts w:ascii="Palatino Linotype" w:hAnsi="Palatino Linotype"/>
          <w:sz w:val="24"/>
          <w:szCs w:val="24"/>
        </w:rPr>
        <w:t xml:space="preserve"> </w:t>
      </w:r>
      <w:r w:rsidR="00CE32CA">
        <w:rPr>
          <w:rFonts w:ascii="Palatino Linotype" w:hAnsi="Palatino Linotype"/>
          <w:sz w:val="24"/>
          <w:szCs w:val="24"/>
        </w:rPr>
        <w:t>i</w:t>
      </w:r>
      <w:r w:rsidRPr="00817F00" w:rsidR="00C240A5">
        <w:rPr>
          <w:rFonts w:ascii="Palatino Linotype" w:hAnsi="Palatino Linotype"/>
          <w:sz w:val="24"/>
          <w:szCs w:val="24"/>
        </w:rPr>
        <w:t>nternet service</w:t>
      </w:r>
      <w:r w:rsidRPr="00817F00" w:rsidR="003F4337">
        <w:rPr>
          <w:rFonts w:ascii="Palatino Linotype" w:hAnsi="Palatino Linotype"/>
          <w:sz w:val="24"/>
          <w:szCs w:val="24"/>
        </w:rPr>
        <w:t>.</w:t>
      </w:r>
      <w:r w:rsidRPr="00817F00" w:rsidR="00DF2043">
        <w:rPr>
          <w:rFonts w:ascii="Palatino Linotype" w:hAnsi="Palatino Linotype"/>
          <w:sz w:val="24"/>
          <w:szCs w:val="24"/>
        </w:rPr>
        <w:t xml:space="preserve"> </w:t>
      </w:r>
      <w:r w:rsidRPr="00817F00" w:rsidR="003F4337">
        <w:rPr>
          <w:rFonts w:ascii="Palatino Linotype" w:hAnsi="Palatino Linotype"/>
          <w:sz w:val="24"/>
          <w:szCs w:val="24"/>
        </w:rPr>
        <w:t xml:space="preserve"> Consequently, under Pub. Util. Code section 281</w:t>
      </w:r>
      <w:r w:rsidR="00B279DD">
        <w:rPr>
          <w:rFonts w:ascii="Palatino Linotype" w:hAnsi="Palatino Linotype"/>
          <w:sz w:val="24"/>
          <w:szCs w:val="24"/>
        </w:rPr>
        <w:t>,</w:t>
      </w:r>
      <w:r w:rsidRPr="00817F00" w:rsidR="007706A1">
        <w:rPr>
          <w:rFonts w:ascii="Palatino Linotype" w:hAnsi="Palatino Linotype"/>
          <w:sz w:val="24"/>
          <w:szCs w:val="24"/>
        </w:rPr>
        <w:t xml:space="preserve"> the project</w:t>
      </w:r>
      <w:r w:rsidRPr="00817F00" w:rsidR="0062145F">
        <w:rPr>
          <w:rFonts w:ascii="Palatino Linotype" w:hAnsi="Palatino Linotype"/>
          <w:sz w:val="24"/>
          <w:szCs w:val="24"/>
        </w:rPr>
        <w:t xml:space="preserve"> </w:t>
      </w:r>
      <w:r w:rsidRPr="00817F00" w:rsidR="00FD6AC3">
        <w:rPr>
          <w:rFonts w:ascii="Palatino Linotype" w:hAnsi="Palatino Linotype"/>
          <w:sz w:val="24"/>
          <w:szCs w:val="24"/>
        </w:rPr>
        <w:t xml:space="preserve">is </w:t>
      </w:r>
      <w:r w:rsidRPr="00817F00" w:rsidR="00B20421">
        <w:rPr>
          <w:rFonts w:ascii="Palatino Linotype" w:hAnsi="Palatino Linotype"/>
          <w:sz w:val="24"/>
          <w:szCs w:val="24"/>
        </w:rPr>
        <w:t xml:space="preserve">an </w:t>
      </w:r>
      <w:r w:rsidRPr="00817F00" w:rsidR="00FD6AC3">
        <w:rPr>
          <w:rFonts w:ascii="Palatino Linotype" w:hAnsi="Palatino Linotype"/>
          <w:sz w:val="24"/>
          <w:szCs w:val="24"/>
        </w:rPr>
        <w:t>unserved</w:t>
      </w:r>
      <w:r w:rsidRPr="00817F00" w:rsidR="003F4337">
        <w:rPr>
          <w:rFonts w:ascii="Palatino Linotype" w:hAnsi="Palatino Linotype"/>
          <w:sz w:val="24"/>
          <w:szCs w:val="24"/>
        </w:rPr>
        <w:t xml:space="preserve"> </w:t>
      </w:r>
      <w:r w:rsidRPr="00817F00" w:rsidR="00B20421">
        <w:rPr>
          <w:rFonts w:ascii="Palatino Linotype" w:hAnsi="Palatino Linotype"/>
          <w:sz w:val="24"/>
          <w:szCs w:val="24"/>
        </w:rPr>
        <w:t>housing development</w:t>
      </w:r>
      <w:r w:rsidRPr="00817F00" w:rsidR="007A567D">
        <w:rPr>
          <w:rFonts w:ascii="Palatino Linotype" w:hAnsi="Palatino Linotype"/>
          <w:sz w:val="24"/>
          <w:szCs w:val="24"/>
        </w:rPr>
        <w:t>.</w:t>
      </w:r>
      <w:bookmarkEnd w:id="13"/>
    </w:p>
    <w:bookmarkEnd w:id="14"/>
    <w:p w:rsidRPr="00817F00" w:rsidR="0077491C" w:rsidP="00681BB9" w:rsidRDefault="0077491C" w14:paraId="2651E6A4" w14:textId="77777777">
      <w:pPr>
        <w:rPr>
          <w:rFonts w:ascii="Palatino Linotype" w:hAnsi="Palatino Linotype"/>
          <w:sz w:val="24"/>
          <w:szCs w:val="24"/>
        </w:rPr>
      </w:pPr>
    </w:p>
    <w:p w:rsidRPr="00817F00" w:rsidR="00CE49A1" w:rsidP="000777C4" w:rsidRDefault="00143960" w14:paraId="2EB4F804" w14:textId="56CB91B2">
      <w:pPr>
        <w:rPr>
          <w:rFonts w:ascii="Palatino Linotype" w:hAnsi="Palatino Linotype"/>
          <w:sz w:val="24"/>
          <w:szCs w:val="24"/>
        </w:rPr>
      </w:pPr>
      <w:r w:rsidRPr="00817F00">
        <w:rPr>
          <w:rFonts w:ascii="Palatino Linotype" w:hAnsi="Palatino Linotype"/>
          <w:sz w:val="24"/>
          <w:szCs w:val="24"/>
        </w:rPr>
        <w:t xml:space="preserve">Charter asks the Commission to reject the application because </w:t>
      </w:r>
      <w:r w:rsidRPr="00817F00" w:rsidR="00F03038">
        <w:rPr>
          <w:rFonts w:ascii="Palatino Linotype" w:hAnsi="Palatino Linotype"/>
          <w:sz w:val="24"/>
          <w:szCs w:val="24"/>
        </w:rPr>
        <w:t>housing units within the planned development are not built or are under construction</w:t>
      </w:r>
      <w:r w:rsidRPr="00817F00" w:rsidR="000C5796">
        <w:rPr>
          <w:rFonts w:ascii="Palatino Linotype" w:hAnsi="Palatino Linotype"/>
          <w:sz w:val="24"/>
          <w:szCs w:val="24"/>
        </w:rPr>
        <w:t>.</w:t>
      </w:r>
      <w:r w:rsidRPr="00817F00">
        <w:rPr>
          <w:rFonts w:ascii="Palatino Linotype" w:hAnsi="Palatino Linotype"/>
          <w:sz w:val="24"/>
          <w:szCs w:val="24"/>
        </w:rPr>
        <w:t xml:space="preserve"> </w:t>
      </w:r>
      <w:r w:rsidRPr="00817F00" w:rsidR="0077491C">
        <w:rPr>
          <w:rFonts w:ascii="Palatino Linotype" w:hAnsi="Palatino Linotype"/>
          <w:sz w:val="24"/>
          <w:szCs w:val="24"/>
        </w:rPr>
        <w:t xml:space="preserve"> </w:t>
      </w:r>
      <w:r w:rsidRPr="00817F00" w:rsidR="007018C0">
        <w:rPr>
          <w:rFonts w:ascii="Palatino Linotype" w:hAnsi="Palatino Linotype"/>
          <w:sz w:val="24"/>
          <w:szCs w:val="24"/>
        </w:rPr>
        <w:t>Staff disagrees with</w:t>
      </w:r>
      <w:r w:rsidRPr="00817F00">
        <w:rPr>
          <w:rFonts w:ascii="Palatino Linotype" w:hAnsi="Palatino Linotype"/>
          <w:sz w:val="24"/>
          <w:szCs w:val="24"/>
        </w:rPr>
        <w:t xml:space="preserve"> this and </w:t>
      </w:r>
      <w:r w:rsidRPr="00817F00" w:rsidR="00D304E7">
        <w:rPr>
          <w:rFonts w:ascii="Palatino Linotype" w:hAnsi="Palatino Linotype"/>
          <w:sz w:val="24"/>
          <w:szCs w:val="24"/>
        </w:rPr>
        <w:t>Charter</w:t>
      </w:r>
      <w:r w:rsidRPr="00817F00" w:rsidR="007018C0">
        <w:rPr>
          <w:rFonts w:ascii="Palatino Linotype" w:hAnsi="Palatino Linotype"/>
          <w:sz w:val="24"/>
          <w:szCs w:val="24"/>
        </w:rPr>
        <w:t xml:space="preserve">’s contention that funding the </w:t>
      </w:r>
      <w:r w:rsidRPr="00817F00" w:rsidR="004210DC">
        <w:rPr>
          <w:rFonts w:ascii="Palatino Linotype" w:hAnsi="Palatino Linotype"/>
          <w:sz w:val="24"/>
          <w:szCs w:val="24"/>
        </w:rPr>
        <w:t xml:space="preserve">Woodlands II </w:t>
      </w:r>
      <w:r w:rsidRPr="00817F00" w:rsidR="007018C0">
        <w:rPr>
          <w:rFonts w:ascii="Palatino Linotype" w:hAnsi="Palatino Linotype"/>
          <w:sz w:val="24"/>
          <w:szCs w:val="24"/>
        </w:rPr>
        <w:t xml:space="preserve">project would violate </w:t>
      </w:r>
      <w:r w:rsidRPr="00817F00" w:rsidR="00993909">
        <w:rPr>
          <w:rFonts w:ascii="Palatino Linotype" w:hAnsi="Palatino Linotype"/>
          <w:sz w:val="24"/>
          <w:szCs w:val="24"/>
        </w:rPr>
        <w:t xml:space="preserve">both the </w:t>
      </w:r>
      <w:r w:rsidRPr="00817F00" w:rsidR="00B224DC">
        <w:rPr>
          <w:rFonts w:ascii="Palatino Linotype" w:hAnsi="Palatino Linotype"/>
          <w:sz w:val="24"/>
          <w:szCs w:val="24"/>
        </w:rPr>
        <w:t xml:space="preserve">plain language of the </w:t>
      </w:r>
      <w:r w:rsidRPr="00817F00" w:rsidR="00993909">
        <w:rPr>
          <w:rFonts w:ascii="Palatino Linotype" w:hAnsi="Palatino Linotype"/>
          <w:sz w:val="24"/>
          <w:szCs w:val="24"/>
        </w:rPr>
        <w:t>statute and</w:t>
      </w:r>
      <w:r w:rsidRPr="00817F00" w:rsidR="00E14D41">
        <w:rPr>
          <w:rFonts w:ascii="Palatino Linotype" w:hAnsi="Palatino Linotype"/>
          <w:sz w:val="24"/>
          <w:szCs w:val="24"/>
        </w:rPr>
        <w:t xml:space="preserve"> </w:t>
      </w:r>
      <w:r w:rsidRPr="00817F00" w:rsidR="00D304E7">
        <w:rPr>
          <w:rFonts w:ascii="Palatino Linotype" w:hAnsi="Palatino Linotype"/>
          <w:sz w:val="24"/>
          <w:szCs w:val="24"/>
        </w:rPr>
        <w:t>the BPHA guidelines</w:t>
      </w:r>
      <w:r w:rsidRPr="00817F00" w:rsidR="00163C5B">
        <w:rPr>
          <w:rFonts w:ascii="Palatino Linotype" w:hAnsi="Palatino Linotype"/>
          <w:sz w:val="24"/>
          <w:szCs w:val="24"/>
        </w:rPr>
        <w:t xml:space="preserve"> (D.18-06-032)</w:t>
      </w:r>
      <w:r w:rsidRPr="00817F00" w:rsidR="00D304E7">
        <w:rPr>
          <w:rFonts w:ascii="Palatino Linotype" w:hAnsi="Palatino Linotype"/>
          <w:sz w:val="24"/>
          <w:szCs w:val="24"/>
        </w:rPr>
        <w:t xml:space="preserve"> </w:t>
      </w:r>
      <w:r w:rsidRPr="00817F00" w:rsidR="007018C0">
        <w:rPr>
          <w:rFonts w:ascii="Palatino Linotype" w:hAnsi="Palatino Linotype"/>
          <w:sz w:val="24"/>
          <w:szCs w:val="24"/>
        </w:rPr>
        <w:t xml:space="preserve">which </w:t>
      </w:r>
      <w:r w:rsidRPr="00817F00" w:rsidR="00D304E7">
        <w:rPr>
          <w:rFonts w:ascii="Palatino Linotype" w:hAnsi="Palatino Linotype"/>
          <w:sz w:val="24"/>
          <w:szCs w:val="24"/>
        </w:rPr>
        <w:t>contemplate an existing “housing unit” for a development to be eligible for funding.</w:t>
      </w:r>
      <w:r w:rsidRPr="00817F00" w:rsidR="00993909">
        <w:rPr>
          <w:rStyle w:val="FootnoteReference"/>
          <w:rFonts w:ascii="Palatino Linotype" w:hAnsi="Palatino Linotype"/>
          <w:sz w:val="24"/>
          <w:szCs w:val="24"/>
        </w:rPr>
        <w:footnoteReference w:id="25"/>
      </w:r>
      <w:r w:rsidRPr="00817F00" w:rsidR="00D304E7">
        <w:rPr>
          <w:rFonts w:ascii="Palatino Linotype" w:hAnsi="Palatino Linotype"/>
          <w:sz w:val="24"/>
          <w:szCs w:val="24"/>
        </w:rPr>
        <w:t xml:space="preserve">  </w:t>
      </w:r>
      <w:r w:rsidRPr="00817F00" w:rsidR="00B21BCF">
        <w:rPr>
          <w:rFonts w:ascii="Palatino Linotype" w:hAnsi="Palatino Linotype"/>
          <w:sz w:val="24"/>
          <w:szCs w:val="24"/>
        </w:rPr>
        <w:t xml:space="preserve">Charter, focuses on the </w:t>
      </w:r>
      <w:r w:rsidRPr="00817F00" w:rsidR="0018595A">
        <w:rPr>
          <w:rFonts w:ascii="Palatino Linotype" w:hAnsi="Palatino Linotype"/>
          <w:sz w:val="24"/>
          <w:szCs w:val="24"/>
        </w:rPr>
        <w:t>s</w:t>
      </w:r>
      <w:r w:rsidRPr="00817F00" w:rsidR="00B21BCF">
        <w:rPr>
          <w:rFonts w:ascii="Palatino Linotype" w:hAnsi="Palatino Linotype"/>
          <w:sz w:val="24"/>
          <w:szCs w:val="24"/>
        </w:rPr>
        <w:t>tatute and the guidelines which</w:t>
      </w:r>
      <w:r w:rsidRPr="00817F00" w:rsidR="009239D1">
        <w:rPr>
          <w:rFonts w:ascii="Palatino Linotype" w:hAnsi="Palatino Linotype"/>
          <w:sz w:val="24"/>
          <w:szCs w:val="24"/>
        </w:rPr>
        <w:t>,</w:t>
      </w:r>
      <w:r w:rsidRPr="00817F00" w:rsidR="0077491C">
        <w:rPr>
          <w:rFonts w:ascii="Palatino Linotype" w:hAnsi="Palatino Linotype"/>
          <w:sz w:val="24"/>
          <w:szCs w:val="24"/>
        </w:rPr>
        <w:t xml:space="preserve"> however, </w:t>
      </w:r>
      <w:r w:rsidRPr="00817F00" w:rsidR="00B21BCF">
        <w:rPr>
          <w:rFonts w:ascii="Palatino Linotype" w:hAnsi="Palatino Linotype"/>
          <w:sz w:val="24"/>
          <w:szCs w:val="24"/>
        </w:rPr>
        <w:t>do not state how</w:t>
      </w:r>
      <w:r w:rsidRPr="00817F00" w:rsidR="004210DC">
        <w:rPr>
          <w:rFonts w:ascii="Palatino Linotype" w:hAnsi="Palatino Linotype"/>
          <w:sz w:val="24"/>
          <w:szCs w:val="24"/>
        </w:rPr>
        <w:t xml:space="preserve"> projects</w:t>
      </w:r>
      <w:r w:rsidRPr="00817F00" w:rsidR="00B20421">
        <w:rPr>
          <w:rFonts w:ascii="Palatino Linotype" w:hAnsi="Palatino Linotype"/>
          <w:sz w:val="24"/>
          <w:szCs w:val="24"/>
        </w:rPr>
        <w:t xml:space="preserve"> in housing developments that are planned or under construction</w:t>
      </w:r>
      <w:r w:rsidRPr="00817F00" w:rsidR="004210DC">
        <w:rPr>
          <w:rFonts w:ascii="Palatino Linotype" w:hAnsi="Palatino Linotype"/>
          <w:sz w:val="24"/>
          <w:szCs w:val="24"/>
        </w:rPr>
        <w:t xml:space="preserve"> </w:t>
      </w:r>
      <w:r w:rsidRPr="00817F00" w:rsidR="00B21BCF">
        <w:rPr>
          <w:rFonts w:ascii="Palatino Linotype" w:hAnsi="Palatino Linotype"/>
          <w:sz w:val="24"/>
          <w:szCs w:val="24"/>
        </w:rPr>
        <w:t xml:space="preserve">should be treated. </w:t>
      </w:r>
      <w:r w:rsidRPr="00817F00" w:rsidR="008E1B2F">
        <w:rPr>
          <w:rFonts w:ascii="Palatino Linotype" w:hAnsi="Palatino Linotype"/>
          <w:sz w:val="24"/>
          <w:szCs w:val="24"/>
        </w:rPr>
        <w:t xml:space="preserve"> </w:t>
      </w:r>
      <w:r w:rsidRPr="00817F00" w:rsidR="00B21BCF">
        <w:rPr>
          <w:rFonts w:ascii="Palatino Linotype" w:hAnsi="Palatino Linotype"/>
          <w:sz w:val="24"/>
          <w:szCs w:val="24"/>
        </w:rPr>
        <w:t xml:space="preserve">In fact, </w:t>
      </w:r>
      <w:r w:rsidRPr="00817F00" w:rsidR="00533B24">
        <w:rPr>
          <w:rFonts w:ascii="Palatino Linotype" w:hAnsi="Palatino Linotype"/>
          <w:sz w:val="24"/>
          <w:szCs w:val="24"/>
        </w:rPr>
        <w:t xml:space="preserve">no language in the </w:t>
      </w:r>
      <w:r w:rsidR="00B279DD">
        <w:rPr>
          <w:rFonts w:ascii="Palatino Linotype" w:hAnsi="Palatino Linotype"/>
          <w:sz w:val="24"/>
          <w:szCs w:val="24"/>
        </w:rPr>
        <w:t>s</w:t>
      </w:r>
      <w:r w:rsidRPr="00817F00" w:rsidR="00533B24">
        <w:rPr>
          <w:rFonts w:ascii="Palatino Linotype" w:hAnsi="Palatino Linotype"/>
          <w:sz w:val="24"/>
          <w:szCs w:val="24"/>
        </w:rPr>
        <w:t xml:space="preserve">tatute or BPHA guidelines would support Charter’s position that the Legislature intended for </w:t>
      </w:r>
      <w:r w:rsidRPr="00817F00" w:rsidR="00222C1D">
        <w:rPr>
          <w:rFonts w:ascii="Palatino Linotype" w:hAnsi="Palatino Linotype"/>
          <w:sz w:val="24"/>
          <w:szCs w:val="24"/>
        </w:rPr>
        <w:t xml:space="preserve">Pub. Util. Code </w:t>
      </w:r>
      <w:proofErr w:type="gramStart"/>
      <w:r w:rsidRPr="00817F00" w:rsidR="00222C1D">
        <w:rPr>
          <w:rFonts w:ascii="Palatino Linotype" w:hAnsi="Palatino Linotype"/>
          <w:sz w:val="24"/>
          <w:szCs w:val="24"/>
        </w:rPr>
        <w:t xml:space="preserve">section </w:t>
      </w:r>
      <w:r w:rsidRPr="00817F00" w:rsidR="00533B24">
        <w:rPr>
          <w:rFonts w:ascii="Palatino Linotype" w:hAnsi="Palatino Linotype"/>
          <w:sz w:val="24"/>
          <w:szCs w:val="24"/>
        </w:rPr>
        <w:t xml:space="preserve"> 281</w:t>
      </w:r>
      <w:proofErr w:type="gramEnd"/>
      <w:r w:rsidRPr="00817F00" w:rsidR="00533B24">
        <w:rPr>
          <w:rFonts w:ascii="Palatino Linotype" w:hAnsi="Palatino Linotype"/>
          <w:sz w:val="24"/>
          <w:szCs w:val="24"/>
        </w:rPr>
        <w:t>(i)(3)(B)(i)</w:t>
      </w:r>
      <w:r w:rsidRPr="00817F00" w:rsidR="004210DC">
        <w:rPr>
          <w:rFonts w:ascii="Palatino Linotype" w:hAnsi="Palatino Linotype"/>
          <w:sz w:val="24"/>
          <w:szCs w:val="24"/>
        </w:rPr>
        <w:t xml:space="preserve"> to mean housing units must </w:t>
      </w:r>
      <w:r w:rsidRPr="00817F00" w:rsidR="00B20421">
        <w:rPr>
          <w:rFonts w:ascii="Palatino Linotype" w:hAnsi="Palatino Linotype"/>
          <w:sz w:val="24"/>
          <w:szCs w:val="24"/>
        </w:rPr>
        <w:t>be constructed</w:t>
      </w:r>
      <w:r w:rsidRPr="00817F00" w:rsidR="004210DC">
        <w:rPr>
          <w:rFonts w:ascii="Palatino Linotype" w:hAnsi="Palatino Linotype"/>
          <w:sz w:val="24"/>
          <w:szCs w:val="24"/>
        </w:rPr>
        <w:t xml:space="preserve"> to </w:t>
      </w:r>
      <w:r w:rsidRPr="00817F00" w:rsidR="000765A4">
        <w:rPr>
          <w:rFonts w:ascii="Palatino Linotype" w:hAnsi="Palatino Linotype"/>
          <w:sz w:val="24"/>
          <w:szCs w:val="24"/>
        </w:rPr>
        <w:t xml:space="preserve">be </w:t>
      </w:r>
      <w:r w:rsidRPr="00817F00" w:rsidR="004210DC">
        <w:rPr>
          <w:rFonts w:ascii="Palatino Linotype" w:hAnsi="Palatino Linotype"/>
          <w:sz w:val="24"/>
          <w:szCs w:val="24"/>
        </w:rPr>
        <w:t>eligible for BPHA funding.</w:t>
      </w:r>
      <w:r w:rsidRPr="00817F00" w:rsidR="00533B24">
        <w:rPr>
          <w:rFonts w:ascii="Palatino Linotype" w:hAnsi="Palatino Linotype"/>
          <w:sz w:val="24"/>
          <w:szCs w:val="24"/>
        </w:rPr>
        <w:t xml:space="preserve"> </w:t>
      </w:r>
      <w:r w:rsidRPr="00817F00" w:rsidR="00726655">
        <w:rPr>
          <w:rFonts w:ascii="Palatino Linotype" w:hAnsi="Palatino Linotype"/>
          <w:sz w:val="24"/>
          <w:szCs w:val="24"/>
        </w:rPr>
        <w:t xml:space="preserve"> </w:t>
      </w:r>
      <w:r w:rsidRPr="00817F00" w:rsidR="004210DC">
        <w:rPr>
          <w:rFonts w:ascii="Palatino Linotype" w:hAnsi="Palatino Linotype"/>
          <w:sz w:val="24"/>
          <w:szCs w:val="24"/>
        </w:rPr>
        <w:t>T</w:t>
      </w:r>
      <w:r w:rsidRPr="00817F00" w:rsidR="00B72267">
        <w:rPr>
          <w:rFonts w:ascii="Palatino Linotype" w:hAnsi="Palatino Linotype"/>
          <w:sz w:val="24"/>
          <w:szCs w:val="24"/>
        </w:rPr>
        <w:t xml:space="preserve">he term “housing unit” is not defined in </w:t>
      </w:r>
      <w:r w:rsidR="00222C1D">
        <w:rPr>
          <w:rFonts w:ascii="Palatino Linotype" w:hAnsi="Palatino Linotype"/>
          <w:sz w:val="24"/>
          <w:szCs w:val="24"/>
        </w:rPr>
        <w:t>s</w:t>
      </w:r>
      <w:r w:rsidRPr="00817F00" w:rsidR="00B72267">
        <w:rPr>
          <w:rFonts w:ascii="Palatino Linotype" w:hAnsi="Palatino Linotype"/>
          <w:sz w:val="24"/>
          <w:szCs w:val="24"/>
        </w:rPr>
        <w:t xml:space="preserve">tatue nor in D.18-06-032.  </w:t>
      </w:r>
      <w:r w:rsidRPr="00817F00" w:rsidR="00726655">
        <w:rPr>
          <w:rFonts w:ascii="Palatino Linotype" w:hAnsi="Palatino Linotype"/>
          <w:sz w:val="24"/>
          <w:szCs w:val="24"/>
        </w:rPr>
        <w:t xml:space="preserve">Instead, </w:t>
      </w:r>
      <w:r w:rsidRPr="00817F00" w:rsidR="00F032A3">
        <w:rPr>
          <w:rFonts w:ascii="Palatino Linotype" w:hAnsi="Palatino Linotype"/>
          <w:sz w:val="24"/>
          <w:szCs w:val="24"/>
        </w:rPr>
        <w:t>Pub. Util. Code section 281</w:t>
      </w:r>
      <w:r w:rsidRPr="00817F00" w:rsidR="00B72267">
        <w:rPr>
          <w:rFonts w:ascii="Palatino Linotype" w:hAnsi="Palatino Linotype"/>
          <w:sz w:val="24"/>
          <w:szCs w:val="24"/>
        </w:rPr>
        <w:t xml:space="preserve"> </w:t>
      </w:r>
      <w:r w:rsidRPr="00817F00" w:rsidR="007B4160">
        <w:rPr>
          <w:rFonts w:ascii="Palatino Linotype" w:hAnsi="Palatino Linotype"/>
          <w:sz w:val="24"/>
          <w:szCs w:val="24"/>
        </w:rPr>
        <w:t xml:space="preserve">requires housing developments </w:t>
      </w:r>
      <w:r w:rsidRPr="00817F00" w:rsidR="00C54804">
        <w:rPr>
          <w:rFonts w:ascii="Palatino Linotype" w:hAnsi="Palatino Linotype"/>
          <w:sz w:val="24"/>
          <w:szCs w:val="24"/>
        </w:rPr>
        <w:t xml:space="preserve">to </w:t>
      </w:r>
      <w:r w:rsidRPr="00817F00" w:rsidR="007B4160">
        <w:rPr>
          <w:rFonts w:ascii="Palatino Linotype" w:hAnsi="Palatino Linotype"/>
          <w:sz w:val="24"/>
          <w:szCs w:val="24"/>
        </w:rPr>
        <w:t>be unserved</w:t>
      </w:r>
      <w:r w:rsidRPr="00817F00" w:rsidR="00B72267">
        <w:rPr>
          <w:rFonts w:ascii="Palatino Linotype" w:hAnsi="Palatino Linotype"/>
          <w:sz w:val="24"/>
          <w:szCs w:val="24"/>
        </w:rPr>
        <w:t xml:space="preserve"> </w:t>
      </w:r>
      <w:r w:rsidRPr="00817F00" w:rsidR="007B4160">
        <w:rPr>
          <w:rFonts w:ascii="Palatino Linotype" w:hAnsi="Palatino Linotype"/>
          <w:sz w:val="24"/>
          <w:szCs w:val="24"/>
        </w:rPr>
        <w:t xml:space="preserve">and is </w:t>
      </w:r>
      <w:r w:rsidRPr="00817F00" w:rsidR="00B72267">
        <w:rPr>
          <w:rFonts w:ascii="Palatino Linotype" w:hAnsi="Palatino Linotype"/>
          <w:sz w:val="24"/>
          <w:szCs w:val="24"/>
        </w:rPr>
        <w:t xml:space="preserve">specific to a housing unit not being offered broadband </w:t>
      </w:r>
      <w:r w:rsidR="00CE32CA">
        <w:rPr>
          <w:rFonts w:ascii="Palatino Linotype" w:hAnsi="Palatino Linotype"/>
          <w:sz w:val="24"/>
          <w:szCs w:val="24"/>
        </w:rPr>
        <w:t>i</w:t>
      </w:r>
      <w:r w:rsidRPr="00817F00" w:rsidR="00B72267">
        <w:rPr>
          <w:rFonts w:ascii="Palatino Linotype" w:hAnsi="Palatino Linotype"/>
          <w:sz w:val="24"/>
          <w:szCs w:val="24"/>
        </w:rPr>
        <w:t>nternet service, implying that whether the unit is</w:t>
      </w:r>
      <w:r w:rsidRPr="00817F00" w:rsidR="00B26F90">
        <w:rPr>
          <w:rFonts w:ascii="Palatino Linotype" w:hAnsi="Palatino Linotype"/>
          <w:sz w:val="24"/>
          <w:szCs w:val="24"/>
        </w:rPr>
        <w:t xml:space="preserve"> </w:t>
      </w:r>
      <w:r w:rsidRPr="00817F00" w:rsidR="00822FA9">
        <w:rPr>
          <w:rFonts w:ascii="Palatino Linotype" w:hAnsi="Palatino Linotype"/>
          <w:sz w:val="24"/>
          <w:szCs w:val="24"/>
        </w:rPr>
        <w:t>constructed</w:t>
      </w:r>
      <w:r w:rsidRPr="00817F00" w:rsidR="00E14D41">
        <w:rPr>
          <w:rFonts w:ascii="Palatino Linotype" w:hAnsi="Palatino Linotype"/>
          <w:sz w:val="24"/>
          <w:szCs w:val="24"/>
        </w:rPr>
        <w:t xml:space="preserve"> </w:t>
      </w:r>
      <w:r w:rsidRPr="00817F00" w:rsidR="00B72267">
        <w:rPr>
          <w:rFonts w:ascii="Palatino Linotype" w:hAnsi="Palatino Linotype"/>
          <w:sz w:val="24"/>
          <w:szCs w:val="24"/>
        </w:rPr>
        <w:t>is</w:t>
      </w:r>
      <w:r w:rsidRPr="00817F00" w:rsidR="004210DC">
        <w:rPr>
          <w:rFonts w:ascii="Palatino Linotype" w:hAnsi="Palatino Linotype"/>
          <w:sz w:val="24"/>
          <w:szCs w:val="24"/>
        </w:rPr>
        <w:t xml:space="preserve"> i</w:t>
      </w:r>
      <w:r w:rsidRPr="00817F00" w:rsidR="00A1001C">
        <w:rPr>
          <w:rFonts w:ascii="Palatino Linotype" w:hAnsi="Palatino Linotype"/>
          <w:sz w:val="24"/>
          <w:szCs w:val="24"/>
        </w:rPr>
        <w:t>rrelevant</w:t>
      </w:r>
      <w:r w:rsidRPr="00817F00" w:rsidR="00B72267">
        <w:rPr>
          <w:rFonts w:ascii="Palatino Linotype" w:hAnsi="Palatino Linotype"/>
          <w:sz w:val="24"/>
          <w:szCs w:val="24"/>
        </w:rPr>
        <w:t xml:space="preserve"> to that determination.</w:t>
      </w:r>
      <w:r w:rsidRPr="00817F00" w:rsidR="00C21D6B">
        <w:rPr>
          <w:rStyle w:val="FootnoteReference"/>
          <w:rFonts w:ascii="Palatino Linotype" w:hAnsi="Palatino Linotype"/>
          <w:sz w:val="24"/>
          <w:szCs w:val="24"/>
        </w:rPr>
        <w:t xml:space="preserve"> </w:t>
      </w:r>
      <w:r w:rsidRPr="00817F00" w:rsidR="00C21D6B">
        <w:rPr>
          <w:rStyle w:val="FootnoteReference"/>
          <w:rFonts w:ascii="Palatino Linotype" w:hAnsi="Palatino Linotype"/>
          <w:sz w:val="24"/>
          <w:szCs w:val="24"/>
        </w:rPr>
        <w:footnoteReference w:id="26"/>
      </w:r>
      <w:r w:rsidRPr="00817F00" w:rsidR="00C21D6B">
        <w:rPr>
          <w:rFonts w:ascii="Palatino Linotype" w:hAnsi="Palatino Linotype"/>
          <w:sz w:val="24"/>
          <w:szCs w:val="24"/>
        </w:rPr>
        <w:t xml:space="preserve"> </w:t>
      </w:r>
      <w:r w:rsidRPr="00817F00" w:rsidR="00B72267">
        <w:rPr>
          <w:rFonts w:ascii="Palatino Linotype" w:hAnsi="Palatino Linotype"/>
          <w:sz w:val="24"/>
          <w:szCs w:val="24"/>
        </w:rPr>
        <w:t xml:space="preserve"> </w:t>
      </w:r>
    </w:p>
    <w:bookmarkEnd w:id="15"/>
    <w:p w:rsidRPr="00817F00" w:rsidR="00CE49A1" w:rsidP="000777C4" w:rsidRDefault="00CE49A1" w14:paraId="3CD41293" w14:textId="77777777">
      <w:pPr>
        <w:rPr>
          <w:rFonts w:ascii="Palatino Linotype" w:hAnsi="Palatino Linotype"/>
          <w:sz w:val="24"/>
          <w:szCs w:val="24"/>
        </w:rPr>
      </w:pPr>
    </w:p>
    <w:p w:rsidRPr="00817F00" w:rsidR="0064006F" w:rsidP="000777C4" w:rsidRDefault="00163C5B" w14:paraId="2866DFE6" w14:textId="79096A61">
      <w:pPr>
        <w:rPr>
          <w:rFonts w:ascii="Palatino Linotype" w:hAnsi="Palatino Linotype"/>
          <w:sz w:val="24"/>
          <w:szCs w:val="24"/>
        </w:rPr>
      </w:pPr>
      <w:r w:rsidRPr="00817F00">
        <w:rPr>
          <w:rFonts w:ascii="Palatino Linotype" w:hAnsi="Palatino Linotype"/>
          <w:sz w:val="24"/>
          <w:szCs w:val="24"/>
        </w:rPr>
        <w:t>By contrast, accept</w:t>
      </w:r>
      <w:r w:rsidRPr="00817F00" w:rsidR="00143960">
        <w:rPr>
          <w:rFonts w:ascii="Palatino Linotype" w:hAnsi="Palatino Linotype"/>
          <w:sz w:val="24"/>
          <w:szCs w:val="24"/>
        </w:rPr>
        <w:t>ing</w:t>
      </w:r>
      <w:r w:rsidRPr="00817F00">
        <w:rPr>
          <w:rFonts w:ascii="Palatino Linotype" w:hAnsi="Palatino Linotype"/>
          <w:sz w:val="24"/>
          <w:szCs w:val="24"/>
        </w:rPr>
        <w:t xml:space="preserve"> Charter’s interpretation that the </w:t>
      </w:r>
      <w:r w:rsidR="00B279DD">
        <w:rPr>
          <w:rFonts w:ascii="Palatino Linotype" w:hAnsi="Palatino Linotype"/>
          <w:sz w:val="24"/>
          <w:szCs w:val="24"/>
        </w:rPr>
        <w:t>s</w:t>
      </w:r>
      <w:r w:rsidRPr="00817F00">
        <w:rPr>
          <w:rFonts w:ascii="Palatino Linotype" w:hAnsi="Palatino Linotype"/>
          <w:sz w:val="24"/>
          <w:szCs w:val="24"/>
        </w:rPr>
        <w:t xml:space="preserve">tatute and </w:t>
      </w:r>
      <w:r w:rsidRPr="00817F00" w:rsidR="00143960">
        <w:rPr>
          <w:rFonts w:ascii="Palatino Linotype" w:hAnsi="Palatino Linotype"/>
          <w:sz w:val="24"/>
          <w:szCs w:val="24"/>
        </w:rPr>
        <w:t xml:space="preserve">guidelines </w:t>
      </w:r>
      <w:r w:rsidRPr="00817F00" w:rsidR="0050272F">
        <w:rPr>
          <w:rFonts w:ascii="Palatino Linotype" w:hAnsi="Palatino Linotype"/>
          <w:sz w:val="24"/>
          <w:szCs w:val="24"/>
        </w:rPr>
        <w:t xml:space="preserve">require </w:t>
      </w:r>
      <w:r w:rsidRPr="00817F00">
        <w:rPr>
          <w:rFonts w:ascii="Palatino Linotype" w:hAnsi="Palatino Linotype"/>
          <w:sz w:val="24"/>
          <w:szCs w:val="24"/>
        </w:rPr>
        <w:t>a</w:t>
      </w:r>
      <w:r w:rsidRPr="00817F00" w:rsidR="00BD6DAC">
        <w:rPr>
          <w:rFonts w:ascii="Palatino Linotype" w:hAnsi="Palatino Linotype"/>
          <w:sz w:val="24"/>
          <w:szCs w:val="24"/>
        </w:rPr>
        <w:t xml:space="preserve"> physically</w:t>
      </w:r>
      <w:r w:rsidRPr="00817F00">
        <w:rPr>
          <w:rFonts w:ascii="Palatino Linotype" w:hAnsi="Palatino Linotype"/>
          <w:sz w:val="24"/>
          <w:szCs w:val="24"/>
        </w:rPr>
        <w:t xml:space="preserve"> existing “housing unit” for a development to be eligible for </w:t>
      </w:r>
      <w:r w:rsidRPr="00817F00" w:rsidR="00504E3B">
        <w:rPr>
          <w:rFonts w:ascii="Palatino Linotype" w:hAnsi="Palatino Linotype"/>
          <w:sz w:val="24"/>
          <w:szCs w:val="24"/>
        </w:rPr>
        <w:t xml:space="preserve">BPHA </w:t>
      </w:r>
      <w:r w:rsidRPr="00817F00">
        <w:rPr>
          <w:rFonts w:ascii="Palatino Linotype" w:hAnsi="Palatino Linotype"/>
          <w:sz w:val="24"/>
          <w:szCs w:val="24"/>
        </w:rPr>
        <w:t xml:space="preserve">funding, </w:t>
      </w:r>
      <w:r w:rsidRPr="00817F00" w:rsidR="00143960">
        <w:rPr>
          <w:rFonts w:ascii="Palatino Linotype" w:hAnsi="Palatino Linotype"/>
          <w:sz w:val="24"/>
          <w:szCs w:val="24"/>
        </w:rPr>
        <w:t>would contradict</w:t>
      </w:r>
      <w:r w:rsidRPr="00817F00" w:rsidR="00D83569">
        <w:rPr>
          <w:rFonts w:ascii="Palatino Linotype" w:hAnsi="Palatino Linotype"/>
          <w:sz w:val="24"/>
          <w:szCs w:val="24"/>
        </w:rPr>
        <w:t xml:space="preserve"> the statutory </w:t>
      </w:r>
      <w:r w:rsidRPr="00817F00" w:rsidR="00143960">
        <w:rPr>
          <w:rFonts w:ascii="Palatino Linotype" w:hAnsi="Palatino Linotype"/>
          <w:sz w:val="24"/>
          <w:szCs w:val="24"/>
        </w:rPr>
        <w:t xml:space="preserve">intent and </w:t>
      </w:r>
      <w:r w:rsidRPr="00817F00" w:rsidR="00CE49A1">
        <w:rPr>
          <w:rFonts w:ascii="Palatino Linotype" w:hAnsi="Palatino Linotype"/>
          <w:sz w:val="24"/>
          <w:szCs w:val="24"/>
        </w:rPr>
        <w:t xml:space="preserve">overall </w:t>
      </w:r>
      <w:r w:rsidRPr="00817F00" w:rsidR="00D83569">
        <w:rPr>
          <w:rFonts w:ascii="Palatino Linotype" w:hAnsi="Palatino Linotype"/>
          <w:sz w:val="24"/>
          <w:szCs w:val="24"/>
        </w:rPr>
        <w:t xml:space="preserve">goal of the </w:t>
      </w:r>
      <w:r w:rsidRPr="00817F00" w:rsidR="00504E3B">
        <w:rPr>
          <w:rFonts w:ascii="Palatino Linotype" w:hAnsi="Palatino Linotype"/>
          <w:sz w:val="24"/>
          <w:szCs w:val="24"/>
        </w:rPr>
        <w:t>program</w:t>
      </w:r>
      <w:r w:rsidRPr="00817F00" w:rsidR="00D83569">
        <w:rPr>
          <w:rFonts w:ascii="Palatino Linotype" w:hAnsi="Palatino Linotype"/>
          <w:sz w:val="24"/>
          <w:szCs w:val="24"/>
        </w:rPr>
        <w:t>.</w:t>
      </w:r>
      <w:r w:rsidRPr="00817F00">
        <w:rPr>
          <w:rFonts w:ascii="Palatino Linotype" w:hAnsi="Palatino Linotype"/>
          <w:sz w:val="24"/>
          <w:szCs w:val="24"/>
        </w:rPr>
        <w:t xml:space="preserve">  </w:t>
      </w:r>
      <w:r w:rsidRPr="00817F00" w:rsidR="000777C4">
        <w:rPr>
          <w:rFonts w:ascii="Palatino Linotype" w:hAnsi="Palatino Linotype"/>
          <w:sz w:val="24"/>
          <w:szCs w:val="24"/>
        </w:rPr>
        <w:t>Indeed, t</w:t>
      </w:r>
      <w:r w:rsidRPr="00817F00">
        <w:rPr>
          <w:rFonts w:ascii="Palatino Linotype" w:hAnsi="Palatino Linotype"/>
          <w:sz w:val="24"/>
          <w:szCs w:val="24"/>
        </w:rPr>
        <w:t xml:space="preserve">he </w:t>
      </w:r>
      <w:r w:rsidRPr="00817F00">
        <w:rPr>
          <w:rFonts w:ascii="Palatino Linotype" w:hAnsi="Palatino Linotype"/>
          <w:sz w:val="24"/>
          <w:szCs w:val="24"/>
        </w:rPr>
        <w:lastRenderedPageBreak/>
        <w:t xml:space="preserve">purpose </w:t>
      </w:r>
      <w:r w:rsidRPr="00817F00" w:rsidR="00D83569">
        <w:rPr>
          <w:rFonts w:ascii="Palatino Linotype" w:hAnsi="Palatino Linotype"/>
          <w:sz w:val="24"/>
          <w:szCs w:val="24"/>
        </w:rPr>
        <w:t xml:space="preserve">of the </w:t>
      </w:r>
      <w:r w:rsidRPr="00817F00">
        <w:rPr>
          <w:rFonts w:ascii="Palatino Linotype" w:hAnsi="Palatino Linotype"/>
          <w:sz w:val="24"/>
          <w:szCs w:val="24"/>
        </w:rPr>
        <w:t xml:space="preserve">BPHA is to close the digital gap in public housing communities </w:t>
      </w:r>
      <w:r w:rsidRPr="00817F00" w:rsidR="00D83569">
        <w:rPr>
          <w:rFonts w:ascii="Palatino Linotype" w:hAnsi="Palatino Linotype"/>
          <w:sz w:val="24"/>
          <w:szCs w:val="24"/>
        </w:rPr>
        <w:t xml:space="preserve">and to address a </w:t>
      </w:r>
      <w:r w:rsidRPr="00817F00">
        <w:rPr>
          <w:rFonts w:ascii="Palatino Linotype" w:hAnsi="Palatino Linotype"/>
          <w:sz w:val="24"/>
          <w:szCs w:val="24"/>
        </w:rPr>
        <w:t>critical need to connect residents of publicly subsidized properties to high-speed internet.</w:t>
      </w:r>
      <w:r w:rsidRPr="00817F00" w:rsidR="0077491C">
        <w:rPr>
          <w:rFonts w:ascii="Palatino Linotype" w:hAnsi="Palatino Linotype"/>
          <w:sz w:val="24"/>
          <w:szCs w:val="24"/>
        </w:rPr>
        <w:t xml:space="preserve"> </w:t>
      </w:r>
      <w:r w:rsidRPr="00817F00">
        <w:rPr>
          <w:rFonts w:ascii="Palatino Linotype" w:hAnsi="Palatino Linotype"/>
          <w:sz w:val="24"/>
          <w:szCs w:val="24"/>
        </w:rPr>
        <w:t xml:space="preserve"> </w:t>
      </w:r>
      <w:r w:rsidRPr="00817F00" w:rsidR="000777C4">
        <w:rPr>
          <w:rFonts w:ascii="Palatino Linotype" w:hAnsi="Palatino Linotype"/>
          <w:sz w:val="24"/>
          <w:szCs w:val="24"/>
        </w:rPr>
        <w:t>T</w:t>
      </w:r>
      <w:r w:rsidRPr="00817F00" w:rsidR="00D83569">
        <w:rPr>
          <w:rFonts w:ascii="Palatino Linotype" w:hAnsi="Palatino Linotype"/>
          <w:sz w:val="24"/>
          <w:szCs w:val="24"/>
        </w:rPr>
        <w:t>he BPHA grew out of the need to fund publicly</w:t>
      </w:r>
      <w:r w:rsidRPr="00817F00" w:rsidR="00CD209D">
        <w:rPr>
          <w:rFonts w:ascii="Palatino Linotype" w:hAnsi="Palatino Linotype"/>
          <w:sz w:val="24"/>
          <w:szCs w:val="24"/>
        </w:rPr>
        <w:t>-</w:t>
      </w:r>
      <w:r w:rsidRPr="00817F00" w:rsidR="00D83569">
        <w:rPr>
          <w:rFonts w:ascii="Palatino Linotype" w:hAnsi="Palatino Linotype"/>
          <w:sz w:val="24"/>
          <w:szCs w:val="24"/>
        </w:rPr>
        <w:t>subsidized housing units in California that lacked broadband connections and reliable connectivity.</w:t>
      </w:r>
      <w:r w:rsidRPr="00817F00" w:rsidR="00D83569">
        <w:rPr>
          <w:rStyle w:val="FootnoteReference"/>
          <w:rFonts w:ascii="Palatino Linotype" w:hAnsi="Palatino Linotype"/>
          <w:sz w:val="24"/>
          <w:szCs w:val="24"/>
        </w:rPr>
        <w:footnoteReference w:id="27"/>
      </w:r>
      <w:r w:rsidRPr="00817F00" w:rsidR="00D83569">
        <w:rPr>
          <w:rFonts w:ascii="Palatino Linotype" w:hAnsi="Palatino Linotype"/>
          <w:sz w:val="24"/>
          <w:szCs w:val="24"/>
        </w:rPr>
        <w:t xml:space="preserve">  </w:t>
      </w:r>
      <w:r w:rsidRPr="00817F00" w:rsidR="00CE49A1">
        <w:rPr>
          <w:rFonts w:ascii="Palatino Linotype" w:hAnsi="Palatino Linotype"/>
          <w:sz w:val="24"/>
          <w:szCs w:val="24"/>
        </w:rPr>
        <w:t xml:space="preserve">The funds in the BPHA help further this goal by approving projects which are beneficial to </w:t>
      </w:r>
      <w:r w:rsidRPr="00817F00" w:rsidR="0018595A">
        <w:rPr>
          <w:rFonts w:ascii="Palatino Linotype" w:hAnsi="Palatino Linotype"/>
          <w:sz w:val="24"/>
          <w:szCs w:val="24"/>
        </w:rPr>
        <w:t>low-</w:t>
      </w:r>
      <w:r w:rsidRPr="00817F00" w:rsidR="00CE49A1">
        <w:rPr>
          <w:rFonts w:ascii="Palatino Linotype" w:hAnsi="Palatino Linotype"/>
          <w:sz w:val="24"/>
          <w:szCs w:val="24"/>
        </w:rPr>
        <w:t xml:space="preserve">income residents who would otherwise be without broadband. </w:t>
      </w:r>
      <w:r w:rsidRPr="00817F00" w:rsidR="0077491C">
        <w:rPr>
          <w:rFonts w:ascii="Palatino Linotype" w:hAnsi="Palatino Linotype"/>
          <w:sz w:val="24"/>
          <w:szCs w:val="24"/>
        </w:rPr>
        <w:t xml:space="preserve"> </w:t>
      </w:r>
      <w:r w:rsidRPr="00817F00" w:rsidR="000777C4">
        <w:rPr>
          <w:rFonts w:ascii="Palatino Linotype" w:hAnsi="Palatino Linotype"/>
          <w:sz w:val="24"/>
          <w:szCs w:val="24"/>
        </w:rPr>
        <w:t>As such,</w:t>
      </w:r>
      <w:r w:rsidRPr="00817F00">
        <w:rPr>
          <w:rFonts w:ascii="Palatino Linotype" w:hAnsi="Palatino Linotype"/>
          <w:sz w:val="24"/>
          <w:szCs w:val="24"/>
        </w:rPr>
        <w:t xml:space="preserve"> it would be contrary to this purpose to exclude </w:t>
      </w:r>
      <w:r w:rsidRPr="00817F00" w:rsidR="00504E3B">
        <w:rPr>
          <w:rFonts w:ascii="Palatino Linotype" w:hAnsi="Palatino Linotype"/>
          <w:sz w:val="24"/>
          <w:szCs w:val="24"/>
        </w:rPr>
        <w:t xml:space="preserve">a </w:t>
      </w:r>
      <w:r w:rsidRPr="00817F00">
        <w:rPr>
          <w:rFonts w:ascii="Palatino Linotype" w:hAnsi="Palatino Linotype"/>
          <w:sz w:val="24"/>
          <w:szCs w:val="24"/>
        </w:rPr>
        <w:t>project</w:t>
      </w:r>
      <w:r w:rsidRPr="00817F00" w:rsidR="00504E3B">
        <w:rPr>
          <w:rFonts w:ascii="Palatino Linotype" w:hAnsi="Palatino Linotype"/>
          <w:sz w:val="24"/>
          <w:szCs w:val="24"/>
        </w:rPr>
        <w:t xml:space="preserve"> on the basis that housing units </w:t>
      </w:r>
      <w:r w:rsidRPr="00817F00" w:rsidR="000777C4">
        <w:rPr>
          <w:rFonts w:ascii="Palatino Linotype" w:hAnsi="Palatino Linotype"/>
          <w:sz w:val="24"/>
          <w:szCs w:val="24"/>
        </w:rPr>
        <w:t>within</w:t>
      </w:r>
      <w:r w:rsidRPr="00817F00" w:rsidR="00504E3B">
        <w:rPr>
          <w:rFonts w:ascii="Palatino Linotype" w:hAnsi="Palatino Linotype"/>
          <w:sz w:val="24"/>
          <w:szCs w:val="24"/>
        </w:rPr>
        <w:t xml:space="preserve"> the planned development are not built or are under construction, as well p</w:t>
      </w:r>
      <w:r w:rsidRPr="00817F00" w:rsidR="000777C4">
        <w:rPr>
          <w:rFonts w:ascii="Palatino Linotype" w:hAnsi="Palatino Linotype"/>
          <w:sz w:val="24"/>
          <w:szCs w:val="24"/>
        </w:rPr>
        <w:t xml:space="preserve">reclude </w:t>
      </w:r>
      <w:r w:rsidRPr="00817F00" w:rsidR="0064006F">
        <w:rPr>
          <w:rFonts w:ascii="Palatino Linotype" w:hAnsi="Palatino Linotype"/>
          <w:sz w:val="24"/>
          <w:szCs w:val="24"/>
        </w:rPr>
        <w:t xml:space="preserve">approval of </w:t>
      </w:r>
      <w:r w:rsidRPr="00817F00" w:rsidR="00504E3B">
        <w:rPr>
          <w:rFonts w:ascii="Palatino Linotype" w:hAnsi="Palatino Linotype"/>
          <w:sz w:val="24"/>
          <w:szCs w:val="24"/>
        </w:rPr>
        <w:t>projects</w:t>
      </w:r>
      <w:r w:rsidRPr="00817F00">
        <w:rPr>
          <w:rFonts w:ascii="Palatino Linotype" w:hAnsi="Palatino Linotype"/>
          <w:sz w:val="24"/>
          <w:szCs w:val="24"/>
        </w:rPr>
        <w:t xml:space="preserve"> that </w:t>
      </w:r>
      <w:r w:rsidRPr="00817F00" w:rsidR="00CE49A1">
        <w:rPr>
          <w:rFonts w:ascii="Palatino Linotype" w:hAnsi="Palatino Linotype"/>
          <w:sz w:val="24"/>
          <w:szCs w:val="24"/>
        </w:rPr>
        <w:t>will help further these efforts</w:t>
      </w:r>
      <w:r w:rsidRPr="00817F00">
        <w:rPr>
          <w:rFonts w:ascii="Palatino Linotype" w:hAnsi="Palatino Linotype"/>
          <w:sz w:val="24"/>
          <w:szCs w:val="24"/>
        </w:rPr>
        <w:t xml:space="preserve">. </w:t>
      </w:r>
    </w:p>
    <w:p w:rsidRPr="00817F00" w:rsidR="00613BEA" w:rsidP="00644AAB" w:rsidRDefault="00613BEA" w14:paraId="6675C730" w14:textId="77777777">
      <w:pPr>
        <w:pStyle w:val="Default"/>
        <w:rPr>
          <w:rFonts w:ascii="Palatino Linotype" w:hAnsi="Palatino Linotype"/>
        </w:rPr>
      </w:pPr>
    </w:p>
    <w:p w:rsidRPr="00817F00" w:rsidR="00F032A3" w:rsidP="00644AAB" w:rsidRDefault="00C21D6B" w14:paraId="092DD269" w14:textId="2927C95E">
      <w:pPr>
        <w:pStyle w:val="Default"/>
        <w:rPr>
          <w:rFonts w:ascii="Palatino Linotype" w:hAnsi="Palatino Linotype"/>
        </w:rPr>
      </w:pPr>
      <w:r w:rsidRPr="00817F00">
        <w:rPr>
          <w:rFonts w:ascii="Palatino Linotype" w:hAnsi="Palatino Linotype"/>
        </w:rPr>
        <w:t>Further</w:t>
      </w:r>
      <w:r w:rsidRPr="00817F00" w:rsidR="00613BEA">
        <w:rPr>
          <w:rFonts w:ascii="Palatino Linotype" w:hAnsi="Palatino Linotype"/>
        </w:rPr>
        <w:t xml:space="preserve">, </w:t>
      </w:r>
      <w:r w:rsidRPr="00817F00">
        <w:rPr>
          <w:rFonts w:ascii="Palatino Linotype" w:hAnsi="Palatino Linotype"/>
        </w:rPr>
        <w:t xml:space="preserve">Staff notes that </w:t>
      </w:r>
      <w:r w:rsidRPr="00817F00" w:rsidR="005E6590">
        <w:rPr>
          <w:rFonts w:ascii="Palatino Linotype" w:hAnsi="Palatino Linotype"/>
        </w:rPr>
        <w:t>the</w:t>
      </w:r>
      <w:r w:rsidRPr="00817F00">
        <w:rPr>
          <w:rFonts w:ascii="Palatino Linotype" w:hAnsi="Palatino Linotype"/>
        </w:rPr>
        <w:t xml:space="preserve"> Commission has approved </w:t>
      </w:r>
      <w:r w:rsidRPr="00817F00" w:rsidR="005E6590">
        <w:rPr>
          <w:rFonts w:ascii="Palatino Linotype" w:hAnsi="Palatino Linotype"/>
        </w:rPr>
        <w:t xml:space="preserve">BPHA grants </w:t>
      </w:r>
      <w:r w:rsidRPr="00817F00" w:rsidR="000765A4">
        <w:rPr>
          <w:rFonts w:ascii="Palatino Linotype" w:hAnsi="Palatino Linotype"/>
        </w:rPr>
        <w:t xml:space="preserve">for the installation of </w:t>
      </w:r>
      <w:r w:rsidRPr="00817F00" w:rsidR="00927BAE">
        <w:rPr>
          <w:rFonts w:ascii="Palatino Linotype" w:hAnsi="Palatino Linotype"/>
        </w:rPr>
        <w:t xml:space="preserve">broadband </w:t>
      </w:r>
      <w:r w:rsidRPr="00817F00" w:rsidR="000765A4">
        <w:rPr>
          <w:rFonts w:ascii="Palatino Linotype" w:hAnsi="Palatino Linotype"/>
        </w:rPr>
        <w:t xml:space="preserve">networks in new housing developments (either </w:t>
      </w:r>
      <w:r w:rsidRPr="00817F00" w:rsidR="00927BAE">
        <w:rPr>
          <w:rFonts w:ascii="Palatino Linotype" w:hAnsi="Palatino Linotype"/>
        </w:rPr>
        <w:t xml:space="preserve">in </w:t>
      </w:r>
      <w:r w:rsidRPr="00817F00" w:rsidR="000765A4">
        <w:rPr>
          <w:rFonts w:ascii="Palatino Linotype" w:hAnsi="Palatino Linotype"/>
        </w:rPr>
        <w:t xml:space="preserve">planned or under construction), </w:t>
      </w:r>
      <w:r w:rsidRPr="00817F00" w:rsidR="005E6590">
        <w:rPr>
          <w:rFonts w:ascii="Palatino Linotype" w:hAnsi="Palatino Linotype"/>
        </w:rPr>
        <w:t xml:space="preserve">showing that </w:t>
      </w:r>
      <w:r w:rsidRPr="00817F00" w:rsidR="00D65DBB">
        <w:rPr>
          <w:rFonts w:ascii="Palatino Linotype" w:hAnsi="Palatino Linotype"/>
        </w:rPr>
        <w:t xml:space="preserve">whether a housing unit </w:t>
      </w:r>
      <w:r w:rsidRPr="00817F00" w:rsidR="00EA2734">
        <w:rPr>
          <w:rFonts w:ascii="Palatino Linotype" w:hAnsi="Palatino Linotype"/>
        </w:rPr>
        <w:t xml:space="preserve">is fully constructed </w:t>
      </w:r>
      <w:r w:rsidRPr="00817F00" w:rsidR="00D65DBB">
        <w:rPr>
          <w:rFonts w:ascii="Palatino Linotype" w:hAnsi="Palatino Linotype"/>
        </w:rPr>
        <w:t xml:space="preserve">is not germane to </w:t>
      </w:r>
      <w:r w:rsidRPr="00817F00" w:rsidR="00163C5B">
        <w:rPr>
          <w:rFonts w:ascii="Palatino Linotype" w:hAnsi="Palatino Linotype"/>
        </w:rPr>
        <w:t xml:space="preserve">whether the </w:t>
      </w:r>
      <w:r w:rsidRPr="00817F00" w:rsidR="00D65DBB">
        <w:rPr>
          <w:rFonts w:ascii="Palatino Linotype" w:hAnsi="Palatino Linotype"/>
        </w:rPr>
        <w:t xml:space="preserve">housing development </w:t>
      </w:r>
      <w:r w:rsidRPr="00817F00" w:rsidR="00163C5B">
        <w:rPr>
          <w:rFonts w:ascii="Palatino Linotype" w:hAnsi="Palatino Linotype"/>
        </w:rPr>
        <w:t>is</w:t>
      </w:r>
      <w:r w:rsidRPr="00817F00" w:rsidR="00D65DBB">
        <w:rPr>
          <w:rFonts w:ascii="Palatino Linotype" w:hAnsi="Palatino Linotype"/>
        </w:rPr>
        <w:t xml:space="preserve"> unserved</w:t>
      </w:r>
      <w:r w:rsidRPr="00817F00" w:rsidR="00BD6DAC">
        <w:rPr>
          <w:rFonts w:ascii="Palatino Linotype" w:hAnsi="Palatino Linotype"/>
        </w:rPr>
        <w:t>.</w:t>
      </w:r>
      <w:r w:rsidRPr="00817F00">
        <w:rPr>
          <w:rStyle w:val="FootnoteReference"/>
          <w:rFonts w:ascii="Palatino Linotype" w:hAnsi="Palatino Linotype"/>
        </w:rPr>
        <w:footnoteReference w:id="28"/>
      </w:r>
      <w:r w:rsidRPr="00817F00" w:rsidDel="00613BEA" w:rsidR="00613BEA">
        <w:rPr>
          <w:rFonts w:ascii="Palatino Linotype" w:hAnsi="Palatino Linotype"/>
        </w:rPr>
        <w:t xml:space="preserve"> </w:t>
      </w:r>
      <w:r w:rsidRPr="00817F00" w:rsidR="0077491C">
        <w:rPr>
          <w:rFonts w:ascii="Palatino Linotype" w:hAnsi="Palatino Linotype"/>
        </w:rPr>
        <w:t xml:space="preserve"> </w:t>
      </w:r>
      <w:r w:rsidRPr="00817F00" w:rsidR="003E79F3">
        <w:rPr>
          <w:rFonts w:ascii="Palatino Linotype" w:hAnsi="Palatino Linotype"/>
        </w:rPr>
        <w:t xml:space="preserve">Similarly, waiting for </w:t>
      </w:r>
      <w:r w:rsidRPr="00817F00" w:rsidR="00F959BD">
        <w:rPr>
          <w:rFonts w:ascii="Palatino Linotype" w:hAnsi="Palatino Linotype"/>
        </w:rPr>
        <w:t>a</w:t>
      </w:r>
      <w:r w:rsidRPr="00817F00" w:rsidR="003E79F3">
        <w:rPr>
          <w:rFonts w:ascii="Palatino Linotype" w:hAnsi="Palatino Linotype"/>
        </w:rPr>
        <w:t xml:space="preserve"> building </w:t>
      </w:r>
      <w:r w:rsidRPr="00817F00" w:rsidR="003E79F3">
        <w:rPr>
          <w:rFonts w:ascii="Palatino Linotype" w:hAnsi="Palatino Linotype"/>
          <w:color w:val="auto"/>
        </w:rPr>
        <w:t xml:space="preserve">to be </w:t>
      </w:r>
      <w:r w:rsidRPr="00817F00" w:rsidR="00F959BD">
        <w:rPr>
          <w:rFonts w:ascii="Palatino Linotype" w:hAnsi="Palatino Linotype"/>
          <w:color w:val="auto"/>
        </w:rPr>
        <w:t xml:space="preserve">fully </w:t>
      </w:r>
      <w:r w:rsidRPr="00817F00" w:rsidR="003E79F3">
        <w:rPr>
          <w:rFonts w:ascii="Palatino Linotype" w:hAnsi="Palatino Linotype"/>
          <w:color w:val="auto"/>
        </w:rPr>
        <w:t xml:space="preserve">constructed </w:t>
      </w:r>
      <w:r w:rsidRPr="00817F00" w:rsidR="00F959BD">
        <w:rPr>
          <w:rFonts w:ascii="Palatino Linotype" w:hAnsi="Palatino Linotype"/>
          <w:color w:val="auto"/>
        </w:rPr>
        <w:t>before awarding a BPHA grant defeat</w:t>
      </w:r>
      <w:r w:rsidRPr="00817F00" w:rsidR="00E536E9">
        <w:rPr>
          <w:rFonts w:ascii="Palatino Linotype" w:hAnsi="Palatino Linotype"/>
          <w:color w:val="auto"/>
        </w:rPr>
        <w:t>s</w:t>
      </w:r>
      <w:r w:rsidRPr="00817F00" w:rsidR="00F959BD">
        <w:rPr>
          <w:rFonts w:ascii="Palatino Linotype" w:hAnsi="Palatino Linotype"/>
          <w:color w:val="auto"/>
        </w:rPr>
        <w:t xml:space="preserve"> the purpose of the grant. </w:t>
      </w:r>
      <w:proofErr w:type="gramStart"/>
      <w:r w:rsidRPr="00817F00" w:rsidR="00F959BD">
        <w:rPr>
          <w:rFonts w:ascii="Palatino Linotype" w:hAnsi="Palatino Linotype"/>
          <w:color w:val="auto"/>
        </w:rPr>
        <w:t xml:space="preserve">The majority </w:t>
      </w:r>
      <w:r w:rsidRPr="00817F00" w:rsidR="00F959BD">
        <w:rPr>
          <w:rFonts w:ascii="Palatino Linotype" w:hAnsi="Palatino Linotype"/>
        </w:rPr>
        <w:t>of</w:t>
      </w:r>
      <w:proofErr w:type="gramEnd"/>
      <w:r w:rsidRPr="00817F00" w:rsidR="00F959BD">
        <w:rPr>
          <w:rFonts w:ascii="Palatino Linotype" w:hAnsi="Palatino Linotype"/>
        </w:rPr>
        <w:t xml:space="preserve"> the grant </w:t>
      </w:r>
      <w:r w:rsidRPr="00817F00" w:rsidR="009A2727">
        <w:rPr>
          <w:rFonts w:ascii="Palatino Linotype" w:hAnsi="Palatino Linotype"/>
        </w:rPr>
        <w:t>fun</w:t>
      </w:r>
      <w:r w:rsidRPr="00817F00" w:rsidR="00B53569">
        <w:rPr>
          <w:rFonts w:ascii="Palatino Linotype" w:hAnsi="Palatino Linotype"/>
        </w:rPr>
        <w:t>ding</w:t>
      </w:r>
      <w:r w:rsidRPr="00817F00" w:rsidR="009A2727">
        <w:rPr>
          <w:rFonts w:ascii="Palatino Linotype" w:hAnsi="Palatino Linotype"/>
        </w:rPr>
        <w:t xml:space="preserve"> </w:t>
      </w:r>
      <w:r w:rsidRPr="00817F00" w:rsidR="00F959BD">
        <w:rPr>
          <w:rFonts w:ascii="Palatino Linotype" w:hAnsi="Palatino Linotype"/>
        </w:rPr>
        <w:t xml:space="preserve">is used for </w:t>
      </w:r>
      <w:r w:rsidRPr="00817F00" w:rsidR="00245160">
        <w:rPr>
          <w:rFonts w:ascii="Palatino Linotype" w:hAnsi="Palatino Linotype"/>
        </w:rPr>
        <w:t xml:space="preserve">the </w:t>
      </w:r>
      <w:r w:rsidRPr="00817F00" w:rsidR="004C51B3">
        <w:rPr>
          <w:rFonts w:ascii="Palatino Linotype" w:hAnsi="Palatino Linotype"/>
        </w:rPr>
        <w:t xml:space="preserve">costs to install wiring to the </w:t>
      </w:r>
      <w:proofErr w:type="spellStart"/>
      <w:r w:rsidRPr="00817F00" w:rsidR="004C51B3">
        <w:rPr>
          <w:rFonts w:ascii="Palatino Linotype" w:hAnsi="Palatino Linotype"/>
        </w:rPr>
        <w:t>unts</w:t>
      </w:r>
      <w:proofErr w:type="spellEnd"/>
      <w:r w:rsidRPr="00817F00" w:rsidR="009A2727">
        <w:rPr>
          <w:rFonts w:ascii="Palatino Linotype" w:hAnsi="Palatino Linotype"/>
        </w:rPr>
        <w:t>,</w:t>
      </w:r>
      <w:r w:rsidRPr="00817F00" w:rsidR="00F959BD">
        <w:rPr>
          <w:rFonts w:ascii="Palatino Linotype" w:hAnsi="Palatino Linotype"/>
        </w:rPr>
        <w:t xml:space="preserve"> and th</w:t>
      </w:r>
      <w:r w:rsidRPr="00817F00" w:rsidR="009A2727">
        <w:rPr>
          <w:rFonts w:ascii="Palatino Linotype" w:hAnsi="Palatino Linotype"/>
        </w:rPr>
        <w:t>at</w:t>
      </w:r>
      <w:r w:rsidRPr="00817F00" w:rsidR="00F959BD">
        <w:rPr>
          <w:rFonts w:ascii="Palatino Linotype" w:hAnsi="Palatino Linotype"/>
        </w:rPr>
        <w:t xml:space="preserve"> internal wiring occurs before the building is fully constructed. </w:t>
      </w:r>
      <w:r w:rsidRPr="00817F00" w:rsidR="00245160">
        <w:rPr>
          <w:rFonts w:ascii="Palatino Linotype" w:hAnsi="Palatino Linotype"/>
        </w:rPr>
        <w:t xml:space="preserve"> </w:t>
      </w:r>
      <w:r w:rsidRPr="00817F00" w:rsidR="00F959BD">
        <w:rPr>
          <w:rFonts w:ascii="Palatino Linotype" w:hAnsi="Palatino Linotype"/>
        </w:rPr>
        <w:t>Additionally,</w:t>
      </w:r>
      <w:r w:rsidR="002F1116">
        <w:rPr>
          <w:rFonts w:ascii="Palatino Linotype" w:hAnsi="Palatino Linotype"/>
        </w:rPr>
        <w:t xml:space="preserve"> </w:t>
      </w:r>
      <w:r w:rsidRPr="00817F00" w:rsidR="00B94A92">
        <w:rPr>
          <w:rFonts w:ascii="Palatino Linotype" w:hAnsi="Palatino Linotype"/>
        </w:rPr>
        <w:t xml:space="preserve">accepting Charter’s interpretation would result in </w:t>
      </w:r>
      <w:r w:rsidRPr="00817F00" w:rsidR="00047AEC">
        <w:rPr>
          <w:rFonts w:ascii="Palatino Linotype" w:hAnsi="Palatino Linotype"/>
        </w:rPr>
        <w:t xml:space="preserve">few, if any, </w:t>
      </w:r>
      <w:r w:rsidRPr="00817F00" w:rsidR="00B94A92">
        <w:rPr>
          <w:rFonts w:ascii="Palatino Linotype" w:hAnsi="Palatino Linotype"/>
        </w:rPr>
        <w:t xml:space="preserve">projects being approved for BPHA funding. </w:t>
      </w:r>
      <w:bookmarkStart w:name="_Hlk31639312" w:id="16"/>
      <w:r w:rsidRPr="00817F00" w:rsidR="003D2F9E">
        <w:rPr>
          <w:rFonts w:ascii="Palatino Linotype" w:hAnsi="Palatino Linotype"/>
        </w:rPr>
        <w:t xml:space="preserve"> </w:t>
      </w:r>
      <w:bookmarkEnd w:id="16"/>
    </w:p>
    <w:p w:rsidRPr="00817F00" w:rsidR="003D1456" w:rsidP="003F6C68" w:rsidRDefault="003D1456" w14:paraId="541E04BA" w14:textId="77777777">
      <w:pPr>
        <w:rPr>
          <w:rFonts w:ascii="Palatino Linotype" w:hAnsi="Palatino Linotype"/>
          <w:sz w:val="24"/>
          <w:szCs w:val="24"/>
        </w:rPr>
      </w:pPr>
    </w:p>
    <w:p w:rsidRPr="00817F00" w:rsidR="00961A59" w:rsidP="003F6C68" w:rsidRDefault="00961A59" w14:paraId="5151FA40" w14:textId="674494BF">
      <w:pPr>
        <w:rPr>
          <w:rFonts w:ascii="Palatino Linotype" w:hAnsi="Palatino Linotype"/>
          <w:sz w:val="24"/>
          <w:szCs w:val="24"/>
        </w:rPr>
      </w:pPr>
      <w:r w:rsidRPr="00817F00">
        <w:rPr>
          <w:rFonts w:ascii="Palatino Linotype" w:hAnsi="Palatino Linotype"/>
          <w:sz w:val="24"/>
          <w:szCs w:val="24"/>
        </w:rPr>
        <w:t xml:space="preserve">Charter further states that it has demonstrated that it </w:t>
      </w:r>
      <w:r w:rsidRPr="00817F00" w:rsidR="00613BEA">
        <w:rPr>
          <w:rFonts w:ascii="Palatino Linotype" w:hAnsi="Palatino Linotype"/>
          <w:sz w:val="24"/>
          <w:szCs w:val="24"/>
        </w:rPr>
        <w:t>“</w:t>
      </w:r>
      <w:r w:rsidRPr="00817F00">
        <w:rPr>
          <w:rFonts w:ascii="Palatino Linotype" w:hAnsi="Palatino Linotype"/>
          <w:sz w:val="24"/>
          <w:szCs w:val="24"/>
        </w:rPr>
        <w:t>can serve</w:t>
      </w:r>
      <w:r w:rsidRPr="00817F00" w:rsidR="00613BEA">
        <w:rPr>
          <w:rFonts w:ascii="Palatino Linotype" w:hAnsi="Palatino Linotype"/>
          <w:sz w:val="24"/>
          <w:szCs w:val="24"/>
        </w:rPr>
        <w:t>”</w:t>
      </w:r>
      <w:r w:rsidRPr="00817F00">
        <w:rPr>
          <w:rFonts w:ascii="Palatino Linotype" w:hAnsi="Palatino Linotype"/>
          <w:sz w:val="24"/>
          <w:szCs w:val="24"/>
        </w:rPr>
        <w:t xml:space="preserve"> the development because it already provides service to the contiguous property and that the network already passes the </w:t>
      </w:r>
      <w:r w:rsidRPr="001D0847" w:rsidR="001D0847">
        <w:rPr>
          <w:rFonts w:ascii="Palatino Linotype" w:hAnsi="Palatino Linotype"/>
          <w:sz w:val="24"/>
          <w:szCs w:val="24"/>
        </w:rPr>
        <w:t>Woodlands Apartments II Development</w:t>
      </w:r>
      <w:r w:rsidRPr="00817F00">
        <w:rPr>
          <w:rFonts w:ascii="Palatino Linotype" w:hAnsi="Palatino Linotype"/>
          <w:sz w:val="24"/>
          <w:szCs w:val="24"/>
        </w:rPr>
        <w:t>.</w:t>
      </w:r>
      <w:r w:rsidRPr="00817F00" w:rsidR="00775414">
        <w:rPr>
          <w:rStyle w:val="FootnoteReference"/>
          <w:rFonts w:ascii="Palatino Linotype" w:hAnsi="Palatino Linotype"/>
          <w:sz w:val="24"/>
          <w:szCs w:val="24"/>
        </w:rPr>
        <w:footnoteReference w:id="29"/>
      </w:r>
      <w:r w:rsidRPr="00817F00">
        <w:rPr>
          <w:rFonts w:ascii="Palatino Linotype" w:hAnsi="Palatino Linotype"/>
          <w:sz w:val="24"/>
          <w:szCs w:val="24"/>
        </w:rPr>
        <w:t xml:space="preserve">  </w:t>
      </w:r>
      <w:r w:rsidRPr="00817F00" w:rsidR="00FF38CB">
        <w:rPr>
          <w:rFonts w:ascii="Palatino Linotype" w:hAnsi="Palatino Linotype"/>
          <w:sz w:val="24"/>
          <w:szCs w:val="24"/>
        </w:rPr>
        <w:t xml:space="preserve">However, </w:t>
      </w:r>
      <w:r w:rsidRPr="00817F00" w:rsidR="00107EC7">
        <w:rPr>
          <w:rFonts w:ascii="Palatino Linotype" w:hAnsi="Palatino Linotype"/>
          <w:sz w:val="24"/>
          <w:szCs w:val="24"/>
        </w:rPr>
        <w:t>Staff notes that</w:t>
      </w:r>
      <w:r w:rsidRPr="00817F00" w:rsidR="00FF38CB">
        <w:rPr>
          <w:rFonts w:ascii="Palatino Linotype" w:hAnsi="Palatino Linotype"/>
          <w:sz w:val="24"/>
          <w:szCs w:val="24"/>
        </w:rPr>
        <w:t xml:space="preserve"> </w:t>
      </w:r>
      <w:r w:rsidRPr="00817F00" w:rsidR="0000505C">
        <w:rPr>
          <w:rFonts w:ascii="Palatino Linotype" w:hAnsi="Palatino Linotype"/>
          <w:sz w:val="24"/>
          <w:szCs w:val="24"/>
        </w:rPr>
        <w:t xml:space="preserve">whether </w:t>
      </w:r>
      <w:r w:rsidRPr="00817F00" w:rsidR="004361E7">
        <w:rPr>
          <w:rFonts w:ascii="Palatino Linotype" w:hAnsi="Palatino Linotype"/>
          <w:sz w:val="24"/>
          <w:szCs w:val="24"/>
        </w:rPr>
        <w:t xml:space="preserve">a network is available on a contiguous property is irrelevant to the definition of unserved housing development as defined.  </w:t>
      </w:r>
      <w:r w:rsidRPr="00817F00" w:rsidR="00775414">
        <w:rPr>
          <w:rFonts w:ascii="Palatino Linotype" w:hAnsi="Palatino Linotype"/>
          <w:sz w:val="24"/>
          <w:szCs w:val="24"/>
        </w:rPr>
        <w:t xml:space="preserve">Similarly, whether Charter </w:t>
      </w:r>
      <w:r w:rsidRPr="00817F00" w:rsidR="00613BEA">
        <w:rPr>
          <w:rFonts w:ascii="Palatino Linotype" w:hAnsi="Palatino Linotype"/>
          <w:sz w:val="24"/>
          <w:szCs w:val="24"/>
        </w:rPr>
        <w:t>“</w:t>
      </w:r>
      <w:r w:rsidRPr="00817F00" w:rsidR="00775414">
        <w:rPr>
          <w:rFonts w:ascii="Palatino Linotype" w:hAnsi="Palatino Linotype"/>
          <w:sz w:val="24"/>
          <w:szCs w:val="24"/>
        </w:rPr>
        <w:t>c</w:t>
      </w:r>
      <w:r w:rsidRPr="00817F00" w:rsidR="003D1456">
        <w:rPr>
          <w:rFonts w:ascii="Palatino Linotype" w:hAnsi="Palatino Linotype"/>
          <w:sz w:val="24"/>
          <w:szCs w:val="24"/>
        </w:rPr>
        <w:t xml:space="preserve">an </w:t>
      </w:r>
      <w:r w:rsidRPr="00817F00" w:rsidR="00E6756A">
        <w:rPr>
          <w:rFonts w:ascii="Palatino Linotype" w:hAnsi="Palatino Linotype"/>
          <w:sz w:val="24"/>
          <w:szCs w:val="24"/>
        </w:rPr>
        <w:t xml:space="preserve">or will </w:t>
      </w:r>
      <w:r w:rsidRPr="00817F00" w:rsidR="003D1456">
        <w:rPr>
          <w:rFonts w:ascii="Palatino Linotype" w:hAnsi="Palatino Linotype"/>
          <w:sz w:val="24"/>
          <w:szCs w:val="24"/>
        </w:rPr>
        <w:t>serve</w:t>
      </w:r>
      <w:r w:rsidRPr="00817F00" w:rsidR="00613BEA">
        <w:rPr>
          <w:rFonts w:ascii="Palatino Linotype" w:hAnsi="Palatino Linotype"/>
          <w:sz w:val="24"/>
          <w:szCs w:val="24"/>
        </w:rPr>
        <w:t>”</w:t>
      </w:r>
      <w:r w:rsidRPr="00817F00" w:rsidR="003D1456">
        <w:rPr>
          <w:rFonts w:ascii="Palatino Linotype" w:hAnsi="Palatino Linotype"/>
          <w:sz w:val="24"/>
          <w:szCs w:val="24"/>
        </w:rPr>
        <w:t xml:space="preserve"> does not mean</w:t>
      </w:r>
      <w:r w:rsidRPr="00817F00" w:rsidR="00775414">
        <w:rPr>
          <w:rFonts w:ascii="Palatino Linotype" w:hAnsi="Palatino Linotype"/>
          <w:sz w:val="24"/>
          <w:szCs w:val="24"/>
        </w:rPr>
        <w:t xml:space="preserve"> </w:t>
      </w:r>
      <w:r w:rsidRPr="00817F00" w:rsidR="00F179ED">
        <w:rPr>
          <w:rFonts w:ascii="Palatino Linotype" w:hAnsi="Palatino Linotype"/>
          <w:sz w:val="24"/>
          <w:szCs w:val="24"/>
        </w:rPr>
        <w:t xml:space="preserve">that </w:t>
      </w:r>
      <w:r w:rsidRPr="00817F00" w:rsidR="003D1456">
        <w:rPr>
          <w:rFonts w:ascii="Palatino Linotype" w:hAnsi="Palatino Linotype"/>
          <w:sz w:val="24"/>
          <w:szCs w:val="24"/>
        </w:rPr>
        <w:t>it does</w:t>
      </w:r>
      <w:r w:rsidRPr="00817F00" w:rsidR="0018595A">
        <w:rPr>
          <w:rFonts w:ascii="Palatino Linotype" w:hAnsi="Palatino Linotype"/>
          <w:sz w:val="24"/>
          <w:szCs w:val="24"/>
        </w:rPr>
        <w:t>, in fact,</w:t>
      </w:r>
      <w:r w:rsidRPr="00817F00" w:rsidR="00775414">
        <w:rPr>
          <w:rFonts w:ascii="Palatino Linotype" w:hAnsi="Palatino Linotype"/>
          <w:sz w:val="24"/>
          <w:szCs w:val="24"/>
        </w:rPr>
        <w:t xml:space="preserve"> </w:t>
      </w:r>
      <w:r w:rsidRPr="00817F00" w:rsidR="003D1456">
        <w:rPr>
          <w:rFonts w:ascii="Palatino Linotype" w:hAnsi="Palatino Linotype"/>
          <w:sz w:val="24"/>
          <w:szCs w:val="24"/>
        </w:rPr>
        <w:t>serve</w:t>
      </w:r>
      <w:r w:rsidRPr="00817F00" w:rsidR="00775414">
        <w:rPr>
          <w:rFonts w:ascii="Palatino Linotype" w:hAnsi="Palatino Linotype"/>
          <w:sz w:val="24"/>
          <w:szCs w:val="24"/>
        </w:rPr>
        <w:t xml:space="preserve"> the development</w:t>
      </w:r>
      <w:r w:rsidRPr="00817F00" w:rsidR="003D1456">
        <w:rPr>
          <w:rFonts w:ascii="Palatino Linotype" w:hAnsi="Palatino Linotype"/>
          <w:sz w:val="24"/>
          <w:szCs w:val="24"/>
        </w:rPr>
        <w:t xml:space="preserve">. </w:t>
      </w:r>
    </w:p>
    <w:p w:rsidRPr="00817F00" w:rsidR="004361E7" w:rsidP="003F6C68" w:rsidRDefault="004361E7" w14:paraId="38AE4FEA" w14:textId="123C9DC6">
      <w:pPr>
        <w:rPr>
          <w:rFonts w:ascii="Palatino Linotype" w:hAnsi="Palatino Linotype"/>
          <w:sz w:val="24"/>
          <w:szCs w:val="24"/>
        </w:rPr>
      </w:pPr>
    </w:p>
    <w:p w:rsidRPr="00817F00" w:rsidR="003E79F3" w:rsidP="00EC3289" w:rsidRDefault="00296C78" w14:paraId="43911CF4" w14:textId="1124E53B">
      <w:pPr>
        <w:rPr>
          <w:rFonts w:ascii="Palatino Linotype" w:hAnsi="Palatino Linotype"/>
          <w:sz w:val="24"/>
          <w:szCs w:val="24"/>
        </w:rPr>
      </w:pPr>
      <w:r w:rsidRPr="00817F00">
        <w:rPr>
          <w:rFonts w:ascii="Palatino Linotype" w:hAnsi="Palatino Linotype"/>
          <w:sz w:val="24"/>
          <w:szCs w:val="24"/>
        </w:rPr>
        <w:t xml:space="preserve">Staff </w:t>
      </w:r>
      <w:r w:rsidR="00222C1D">
        <w:rPr>
          <w:rFonts w:ascii="Palatino Linotype" w:hAnsi="Palatino Linotype"/>
          <w:sz w:val="24"/>
          <w:szCs w:val="24"/>
        </w:rPr>
        <w:t>noted</w:t>
      </w:r>
      <w:r w:rsidRPr="00817F00" w:rsidR="00222C1D">
        <w:rPr>
          <w:rFonts w:ascii="Palatino Linotype" w:hAnsi="Palatino Linotype"/>
          <w:sz w:val="24"/>
          <w:szCs w:val="24"/>
        </w:rPr>
        <w:t xml:space="preserve"> </w:t>
      </w:r>
      <w:r w:rsidRPr="00817F00">
        <w:rPr>
          <w:rFonts w:ascii="Palatino Linotype" w:hAnsi="Palatino Linotype"/>
          <w:sz w:val="24"/>
          <w:szCs w:val="24"/>
        </w:rPr>
        <w:t xml:space="preserve">that the </w:t>
      </w:r>
      <w:r w:rsidRPr="001D0847" w:rsidR="001D0847">
        <w:rPr>
          <w:rFonts w:ascii="Palatino Linotype" w:hAnsi="Palatino Linotype"/>
          <w:sz w:val="24"/>
          <w:szCs w:val="24"/>
        </w:rPr>
        <w:t xml:space="preserve">Woodlands Apartments II Development </w:t>
      </w:r>
      <w:r w:rsidRPr="00817F00">
        <w:rPr>
          <w:rFonts w:ascii="Palatino Linotype" w:hAnsi="Palatino Linotype"/>
          <w:sz w:val="24"/>
          <w:szCs w:val="24"/>
        </w:rPr>
        <w:t xml:space="preserve">is a separate development from the Woodlands I complex on the contiguous property and the fact that there is a separate ownership structure is germane to this argument.  Staff agrees that, from the </w:t>
      </w:r>
      <w:r w:rsidRPr="00817F00">
        <w:rPr>
          <w:rFonts w:ascii="Palatino Linotype" w:hAnsi="Palatino Linotype"/>
          <w:sz w:val="24"/>
          <w:szCs w:val="24"/>
        </w:rPr>
        <w:lastRenderedPageBreak/>
        <w:t xml:space="preserve">point of view of program rules, the issue of ownership is only relevant </w:t>
      </w:r>
      <w:proofErr w:type="gramStart"/>
      <w:r w:rsidRPr="00817F00">
        <w:rPr>
          <w:rFonts w:ascii="Palatino Linotype" w:hAnsi="Palatino Linotype"/>
          <w:sz w:val="24"/>
          <w:szCs w:val="24"/>
        </w:rPr>
        <w:t xml:space="preserve">in </w:t>
      </w:r>
      <w:r w:rsidRPr="00817F00" w:rsidR="00671BFB">
        <w:rPr>
          <w:rFonts w:ascii="Palatino Linotype" w:hAnsi="Palatino Linotype"/>
          <w:sz w:val="24"/>
          <w:szCs w:val="24"/>
        </w:rPr>
        <w:t>to</w:t>
      </w:r>
      <w:proofErr w:type="gramEnd"/>
      <w:r w:rsidRPr="00817F00" w:rsidR="00671BFB">
        <w:rPr>
          <w:rFonts w:ascii="Palatino Linotype" w:hAnsi="Palatino Linotype"/>
          <w:sz w:val="24"/>
          <w:szCs w:val="24"/>
        </w:rPr>
        <w:t xml:space="preserve"> the question </w:t>
      </w:r>
      <w:r w:rsidRPr="00817F00">
        <w:rPr>
          <w:rFonts w:ascii="Palatino Linotype" w:hAnsi="Palatino Linotype"/>
          <w:sz w:val="24"/>
          <w:szCs w:val="24"/>
        </w:rPr>
        <w:t>view of eligibility</w:t>
      </w:r>
      <w:r w:rsidR="00BB6E5F">
        <w:rPr>
          <w:rFonts w:ascii="Palatino Linotype" w:hAnsi="Palatino Linotype"/>
          <w:sz w:val="24"/>
          <w:szCs w:val="24"/>
        </w:rPr>
        <w:t>.</w:t>
      </w:r>
      <w:r w:rsidR="00BB6E5F">
        <w:rPr>
          <w:rStyle w:val="FootnoteReference"/>
          <w:rFonts w:ascii="Palatino Linotype" w:hAnsi="Palatino Linotype"/>
          <w:sz w:val="24"/>
          <w:szCs w:val="24"/>
        </w:rPr>
        <w:footnoteReference w:id="30"/>
      </w:r>
    </w:p>
    <w:p w:rsidRPr="00817F00" w:rsidR="00F959BD" w:rsidP="00EC3289" w:rsidRDefault="00F959BD" w14:paraId="5E5BBACC" w14:textId="77777777">
      <w:pPr>
        <w:rPr>
          <w:rFonts w:ascii="Palatino Linotype" w:hAnsi="Palatino Linotype"/>
          <w:sz w:val="24"/>
          <w:szCs w:val="24"/>
        </w:rPr>
      </w:pPr>
      <w:bookmarkStart w:name="_Hlk32323065" w:id="17"/>
    </w:p>
    <w:bookmarkEnd w:id="17"/>
    <w:p w:rsidRPr="00817F00" w:rsidR="007F0F3F" w:rsidP="00EC3289" w:rsidRDefault="004C51B3" w14:paraId="3D378517" w14:textId="4968008B">
      <w:pPr>
        <w:rPr>
          <w:rFonts w:ascii="Palatino Linotype" w:hAnsi="Palatino Linotype"/>
          <w:sz w:val="24"/>
          <w:szCs w:val="24"/>
        </w:rPr>
      </w:pPr>
      <w:r w:rsidRPr="00817F00">
        <w:rPr>
          <w:rFonts w:ascii="Palatino Linotype" w:hAnsi="Palatino Linotype"/>
          <w:sz w:val="24"/>
          <w:szCs w:val="24"/>
        </w:rPr>
        <w:t xml:space="preserve">NVCSS provided Staff documentation showing that a contract exists with a Charter subsidiary specifically for </w:t>
      </w:r>
      <w:proofErr w:type="gramStart"/>
      <w:r w:rsidRPr="00817F00">
        <w:rPr>
          <w:rFonts w:ascii="Palatino Linotype" w:hAnsi="Palatino Linotype"/>
          <w:sz w:val="24"/>
          <w:szCs w:val="24"/>
        </w:rPr>
        <w:t xml:space="preserve">the  </w:t>
      </w:r>
      <w:r w:rsidRPr="001D0847" w:rsidR="001D0847">
        <w:rPr>
          <w:rFonts w:ascii="Palatino Linotype" w:hAnsi="Palatino Linotype"/>
          <w:sz w:val="24"/>
          <w:szCs w:val="24"/>
        </w:rPr>
        <w:t>Woodlands</w:t>
      </w:r>
      <w:proofErr w:type="gramEnd"/>
      <w:r w:rsidRPr="001D0847" w:rsidR="001D0847">
        <w:rPr>
          <w:rFonts w:ascii="Palatino Linotype" w:hAnsi="Palatino Linotype"/>
          <w:sz w:val="24"/>
          <w:szCs w:val="24"/>
        </w:rPr>
        <w:t xml:space="preserve"> Apartments II Development</w:t>
      </w:r>
      <w:r w:rsidRPr="00817F00">
        <w:rPr>
          <w:rFonts w:ascii="Palatino Linotype" w:hAnsi="Palatino Linotype"/>
          <w:sz w:val="24"/>
          <w:szCs w:val="24"/>
        </w:rPr>
        <w:t xml:space="preserve">.  NVCSS informed Staff that the contract proposes to provide for the installation and maintenance of equipment from the </w:t>
      </w:r>
      <w:r w:rsidR="00817F00">
        <w:rPr>
          <w:rFonts w:ascii="Palatino Linotype" w:hAnsi="Palatino Linotype"/>
          <w:sz w:val="24"/>
          <w:szCs w:val="24"/>
        </w:rPr>
        <w:t xml:space="preserve">Charter subsidiary (the </w:t>
      </w:r>
      <w:r w:rsidRPr="00817F00">
        <w:rPr>
          <w:rFonts w:ascii="Palatino Linotype" w:hAnsi="Palatino Linotype"/>
          <w:sz w:val="24"/>
          <w:szCs w:val="24"/>
        </w:rPr>
        <w:t>Operator</w:t>
      </w:r>
      <w:r w:rsidR="00817F00">
        <w:rPr>
          <w:rFonts w:ascii="Palatino Linotype" w:hAnsi="Palatino Linotype"/>
          <w:sz w:val="24"/>
          <w:szCs w:val="24"/>
        </w:rPr>
        <w:t xml:space="preserve">) </w:t>
      </w:r>
      <w:r w:rsidRPr="00817F00">
        <w:rPr>
          <w:rFonts w:ascii="Palatino Linotype" w:hAnsi="Palatino Linotype"/>
          <w:sz w:val="24"/>
          <w:szCs w:val="24"/>
        </w:rPr>
        <w:t>at the Woodlands II location.</w:t>
      </w:r>
      <w:r w:rsidRPr="00817F00">
        <w:rPr>
          <w:rStyle w:val="FootnoteReference"/>
          <w:rFonts w:ascii="Palatino Linotype" w:hAnsi="Palatino Linotype"/>
          <w:sz w:val="24"/>
          <w:szCs w:val="24"/>
        </w:rPr>
        <w:footnoteReference w:id="31"/>
      </w:r>
      <w:r w:rsidRPr="00817F00">
        <w:rPr>
          <w:rFonts w:ascii="Palatino Linotype" w:hAnsi="Palatino Linotype"/>
          <w:sz w:val="24"/>
          <w:szCs w:val="24"/>
        </w:rPr>
        <w:t xml:space="preserve">  The applicant has stated that it will do the trenching to connect the Operator’s equipment at the MPOE to the Operator’s Point of Presence as well as to install all internal wiring from the MPOE to the residential units.</w:t>
      </w:r>
      <w:r w:rsidRPr="00817F00" w:rsidR="00F123AD">
        <w:rPr>
          <w:rStyle w:val="FootnoteReference"/>
          <w:rFonts w:ascii="Palatino Linotype" w:hAnsi="Palatino Linotype"/>
          <w:sz w:val="24"/>
          <w:szCs w:val="24"/>
        </w:rPr>
        <w:footnoteReference w:id="32"/>
      </w:r>
      <w:r w:rsidRPr="00817F00" w:rsidR="00F123AD">
        <w:rPr>
          <w:rFonts w:ascii="Palatino Linotype" w:hAnsi="Palatino Linotype"/>
          <w:sz w:val="24"/>
          <w:szCs w:val="24"/>
          <w:vertAlign w:val="superscript"/>
        </w:rPr>
        <w:t xml:space="preserve">, </w:t>
      </w:r>
      <w:r w:rsidRPr="00817F00" w:rsidR="00D62487">
        <w:rPr>
          <w:rStyle w:val="FootnoteReference"/>
          <w:rFonts w:ascii="Palatino Linotype" w:hAnsi="Palatino Linotype"/>
          <w:sz w:val="24"/>
          <w:szCs w:val="24"/>
        </w:rPr>
        <w:footnoteReference w:id="33"/>
      </w:r>
      <w:r w:rsidRPr="00817F00">
        <w:rPr>
          <w:rFonts w:ascii="Palatino Linotype" w:hAnsi="Palatino Linotype"/>
          <w:sz w:val="24"/>
          <w:szCs w:val="24"/>
        </w:rPr>
        <w:t xml:space="preserve">  By contrast, Charter has not provided Staff any supporting documentation indicating that Charter’s contract for the Woodlands I complex extends to any new or future development on the contiguous property.  Absent evidence of such an agreement, Charter’s assertion that its serving of Woodlands Phase I should be taken to mean Charter serves all future buildings or contiguous properties (Woodlands Phase II) is not supported.</w:t>
      </w:r>
    </w:p>
    <w:p w:rsidRPr="00817F00" w:rsidR="004C51B3" w:rsidP="00EC3289" w:rsidRDefault="004C51B3" w14:paraId="56767F52" w14:textId="77777777">
      <w:pPr>
        <w:rPr>
          <w:rFonts w:ascii="Palatino Linotype" w:hAnsi="Palatino Linotype"/>
          <w:sz w:val="24"/>
          <w:szCs w:val="24"/>
        </w:rPr>
      </w:pPr>
    </w:p>
    <w:p w:rsidRPr="00817F00" w:rsidR="00EC3289" w:rsidP="00EC3289" w:rsidRDefault="007F0F3F" w14:paraId="3E992FCE" w14:textId="776487B0">
      <w:pPr>
        <w:rPr>
          <w:rFonts w:ascii="Palatino Linotype" w:hAnsi="Palatino Linotype"/>
          <w:sz w:val="24"/>
          <w:szCs w:val="24"/>
        </w:rPr>
      </w:pPr>
      <w:r w:rsidRPr="00817F00">
        <w:rPr>
          <w:rFonts w:ascii="Palatino Linotype" w:hAnsi="Palatino Linotype"/>
          <w:sz w:val="24"/>
          <w:szCs w:val="24"/>
        </w:rPr>
        <w:t xml:space="preserve">Additionally, a </w:t>
      </w:r>
      <w:r w:rsidRPr="00817F00" w:rsidR="007D5B5E">
        <w:rPr>
          <w:rFonts w:ascii="Palatino Linotype" w:hAnsi="Palatino Linotype"/>
          <w:sz w:val="24"/>
          <w:szCs w:val="24"/>
        </w:rPr>
        <w:t>p</w:t>
      </w:r>
      <w:r w:rsidRPr="00817F00" w:rsidR="00EC3289">
        <w:rPr>
          <w:rFonts w:ascii="Palatino Linotype" w:hAnsi="Palatino Linotype"/>
          <w:sz w:val="24"/>
          <w:szCs w:val="24"/>
        </w:rPr>
        <w:t xml:space="preserve">roperty owner has the right to choose </w:t>
      </w:r>
      <w:r w:rsidRPr="00817F00" w:rsidR="00A1001C">
        <w:rPr>
          <w:rFonts w:ascii="Palatino Linotype" w:hAnsi="Palatino Linotype"/>
          <w:sz w:val="24"/>
          <w:szCs w:val="24"/>
        </w:rPr>
        <w:t>the</w:t>
      </w:r>
      <w:r w:rsidRPr="00817F00" w:rsidR="00EC3289">
        <w:rPr>
          <w:rFonts w:ascii="Palatino Linotype" w:hAnsi="Palatino Linotype"/>
          <w:sz w:val="24"/>
          <w:szCs w:val="24"/>
        </w:rPr>
        <w:t xml:space="preserve"> entity it wants to </w:t>
      </w:r>
      <w:r w:rsidRPr="00817F00" w:rsidR="008B3670">
        <w:rPr>
          <w:rFonts w:ascii="Palatino Linotype" w:hAnsi="Palatino Linotype"/>
          <w:sz w:val="24"/>
          <w:szCs w:val="24"/>
        </w:rPr>
        <w:t>install facilities</w:t>
      </w:r>
      <w:r w:rsidRPr="00817F00" w:rsidR="003739ED">
        <w:rPr>
          <w:rFonts w:ascii="Palatino Linotype" w:hAnsi="Palatino Linotype"/>
          <w:sz w:val="24"/>
          <w:szCs w:val="24"/>
        </w:rPr>
        <w:t xml:space="preserve"> for the </w:t>
      </w:r>
      <w:r w:rsidRPr="00817F00" w:rsidR="00EC3289">
        <w:rPr>
          <w:rFonts w:ascii="Palatino Linotype" w:hAnsi="Palatino Linotype"/>
          <w:sz w:val="24"/>
          <w:szCs w:val="24"/>
        </w:rPr>
        <w:t>b</w:t>
      </w:r>
      <w:r w:rsidRPr="00817F00">
        <w:rPr>
          <w:rFonts w:ascii="Palatino Linotype" w:hAnsi="Palatino Linotype"/>
          <w:sz w:val="24"/>
          <w:szCs w:val="24"/>
        </w:rPr>
        <w:t xml:space="preserve">roadband </w:t>
      </w:r>
      <w:r w:rsidRPr="00817F00" w:rsidR="003739ED">
        <w:rPr>
          <w:rFonts w:ascii="Palatino Linotype" w:hAnsi="Palatino Linotype"/>
          <w:sz w:val="24"/>
          <w:szCs w:val="24"/>
        </w:rPr>
        <w:t>network</w:t>
      </w:r>
      <w:r w:rsidRPr="00817F00" w:rsidR="00EC3289">
        <w:rPr>
          <w:rFonts w:ascii="Palatino Linotype" w:hAnsi="Palatino Linotype"/>
          <w:sz w:val="24"/>
          <w:szCs w:val="24"/>
        </w:rPr>
        <w:t xml:space="preserve"> on its property while the building </w:t>
      </w:r>
      <w:r w:rsidRPr="00817F00" w:rsidR="003739ED">
        <w:rPr>
          <w:rFonts w:ascii="Palatino Linotype" w:hAnsi="Palatino Linotype"/>
          <w:sz w:val="24"/>
          <w:szCs w:val="24"/>
        </w:rPr>
        <w:t xml:space="preserve">is </w:t>
      </w:r>
      <w:r w:rsidRPr="00817F00" w:rsidR="00EC3289">
        <w:rPr>
          <w:rFonts w:ascii="Palatino Linotype" w:hAnsi="Palatino Linotype"/>
          <w:sz w:val="24"/>
          <w:szCs w:val="24"/>
        </w:rPr>
        <w:t>under construction.</w:t>
      </w:r>
      <w:r w:rsidRPr="00817F00" w:rsidR="003739ED">
        <w:rPr>
          <w:rFonts w:ascii="Palatino Linotype" w:hAnsi="Palatino Linotype"/>
          <w:sz w:val="24"/>
          <w:szCs w:val="24"/>
        </w:rPr>
        <w:t xml:space="preserve"> </w:t>
      </w:r>
      <w:r w:rsidRPr="00817F00">
        <w:rPr>
          <w:rFonts w:ascii="Palatino Linotype" w:hAnsi="Palatino Linotype"/>
          <w:sz w:val="24"/>
          <w:szCs w:val="24"/>
        </w:rPr>
        <w:t xml:space="preserve"> NVCSS</w:t>
      </w:r>
      <w:r w:rsidRPr="00817F00" w:rsidR="00EC3289">
        <w:rPr>
          <w:rFonts w:ascii="Palatino Linotype" w:hAnsi="Palatino Linotype"/>
          <w:sz w:val="24"/>
          <w:szCs w:val="24"/>
        </w:rPr>
        <w:t xml:space="preserve"> </w:t>
      </w:r>
      <w:r w:rsidRPr="00817F00">
        <w:rPr>
          <w:rFonts w:ascii="Palatino Linotype" w:hAnsi="Palatino Linotype"/>
          <w:sz w:val="24"/>
          <w:szCs w:val="24"/>
        </w:rPr>
        <w:t xml:space="preserve">is not </w:t>
      </w:r>
      <w:r w:rsidRPr="00817F00" w:rsidR="00A1001C">
        <w:rPr>
          <w:rFonts w:ascii="Palatino Linotype" w:hAnsi="Palatino Linotype"/>
          <w:sz w:val="24"/>
          <w:szCs w:val="24"/>
        </w:rPr>
        <w:t>required</w:t>
      </w:r>
      <w:r w:rsidRPr="00817F00">
        <w:rPr>
          <w:rFonts w:ascii="Palatino Linotype" w:hAnsi="Palatino Linotype"/>
          <w:sz w:val="24"/>
          <w:szCs w:val="24"/>
        </w:rPr>
        <w:t xml:space="preserve"> to use C</w:t>
      </w:r>
      <w:r w:rsidRPr="00817F00" w:rsidR="00EC3289">
        <w:rPr>
          <w:rFonts w:ascii="Palatino Linotype" w:hAnsi="Palatino Linotype"/>
          <w:sz w:val="24"/>
          <w:szCs w:val="24"/>
        </w:rPr>
        <w:t>harter</w:t>
      </w:r>
      <w:r w:rsidRPr="00817F00" w:rsidR="00A1001C">
        <w:rPr>
          <w:rFonts w:ascii="Palatino Linotype" w:hAnsi="Palatino Linotype"/>
          <w:sz w:val="24"/>
          <w:szCs w:val="24"/>
        </w:rPr>
        <w:t>’s</w:t>
      </w:r>
      <w:r w:rsidRPr="00817F00" w:rsidR="003739ED">
        <w:rPr>
          <w:rFonts w:ascii="Palatino Linotype" w:hAnsi="Palatino Linotype"/>
          <w:sz w:val="24"/>
          <w:szCs w:val="24"/>
        </w:rPr>
        <w:t xml:space="preserve"> services just</w:t>
      </w:r>
      <w:r w:rsidRPr="00817F00" w:rsidR="00EC3289">
        <w:rPr>
          <w:rFonts w:ascii="Palatino Linotype" w:hAnsi="Palatino Linotype"/>
          <w:sz w:val="24"/>
          <w:szCs w:val="24"/>
        </w:rPr>
        <w:t xml:space="preserve"> b</w:t>
      </w:r>
      <w:r w:rsidRPr="00817F00">
        <w:rPr>
          <w:rFonts w:ascii="Palatino Linotype" w:hAnsi="Palatino Linotype"/>
          <w:sz w:val="24"/>
          <w:szCs w:val="24"/>
        </w:rPr>
        <w:t>ecause C</w:t>
      </w:r>
      <w:r w:rsidRPr="00817F00" w:rsidR="00EC3289">
        <w:rPr>
          <w:rFonts w:ascii="Palatino Linotype" w:hAnsi="Palatino Linotype"/>
          <w:sz w:val="24"/>
          <w:szCs w:val="24"/>
        </w:rPr>
        <w:t xml:space="preserve">harter is </w:t>
      </w:r>
      <w:r w:rsidRPr="00817F00">
        <w:rPr>
          <w:rFonts w:ascii="Palatino Linotype" w:hAnsi="Palatino Linotype"/>
          <w:sz w:val="24"/>
          <w:szCs w:val="24"/>
        </w:rPr>
        <w:t xml:space="preserve">serving </w:t>
      </w:r>
      <w:r w:rsidRPr="00817F00" w:rsidR="00EC3289">
        <w:rPr>
          <w:rFonts w:ascii="Palatino Linotype" w:hAnsi="Palatino Linotype"/>
          <w:sz w:val="24"/>
          <w:szCs w:val="24"/>
        </w:rPr>
        <w:t xml:space="preserve">the building on </w:t>
      </w:r>
      <w:r w:rsidRPr="00817F00" w:rsidR="003739ED">
        <w:rPr>
          <w:rFonts w:ascii="Palatino Linotype" w:hAnsi="Palatino Linotype"/>
          <w:sz w:val="24"/>
          <w:szCs w:val="24"/>
        </w:rPr>
        <w:t xml:space="preserve">the </w:t>
      </w:r>
      <w:r w:rsidRPr="00817F00" w:rsidR="00C36718">
        <w:rPr>
          <w:rFonts w:ascii="Palatino Linotype" w:hAnsi="Palatino Linotype"/>
          <w:sz w:val="24"/>
          <w:szCs w:val="24"/>
        </w:rPr>
        <w:t xml:space="preserve">adjacent </w:t>
      </w:r>
      <w:r w:rsidRPr="00817F00" w:rsidR="00EC3289">
        <w:rPr>
          <w:rFonts w:ascii="Palatino Linotype" w:hAnsi="Palatino Linotype"/>
          <w:sz w:val="24"/>
          <w:szCs w:val="24"/>
        </w:rPr>
        <w:t xml:space="preserve">property. </w:t>
      </w:r>
      <w:r w:rsidRPr="00817F00" w:rsidR="00C846DD">
        <w:rPr>
          <w:rFonts w:ascii="Palatino Linotype" w:hAnsi="Palatino Linotype"/>
          <w:sz w:val="24"/>
          <w:szCs w:val="24"/>
        </w:rPr>
        <w:t xml:space="preserve"> </w:t>
      </w:r>
      <w:r w:rsidRPr="00817F00">
        <w:rPr>
          <w:rFonts w:ascii="Palatino Linotype" w:hAnsi="Palatino Linotype"/>
          <w:sz w:val="24"/>
          <w:szCs w:val="24"/>
        </w:rPr>
        <w:t xml:space="preserve">Here, NVCSS has </w:t>
      </w:r>
      <w:r w:rsidRPr="00817F00" w:rsidR="00EC3289">
        <w:rPr>
          <w:rFonts w:ascii="Palatino Linotype" w:hAnsi="Palatino Linotype"/>
          <w:sz w:val="24"/>
          <w:szCs w:val="24"/>
        </w:rPr>
        <w:t xml:space="preserve">chosen to </w:t>
      </w:r>
      <w:r w:rsidRPr="00817F00" w:rsidR="000E61AA">
        <w:rPr>
          <w:rFonts w:ascii="Palatino Linotype" w:hAnsi="Palatino Linotype"/>
          <w:sz w:val="24"/>
          <w:szCs w:val="24"/>
        </w:rPr>
        <w:t xml:space="preserve">install the facilities </w:t>
      </w:r>
      <w:r w:rsidRPr="00817F00" w:rsidR="00671BFB">
        <w:rPr>
          <w:rFonts w:ascii="Palatino Linotype" w:hAnsi="Palatino Linotype"/>
          <w:sz w:val="24"/>
          <w:szCs w:val="24"/>
        </w:rPr>
        <w:t>itself</w:t>
      </w:r>
      <w:r w:rsidRPr="00817F00" w:rsidR="000E61AA">
        <w:rPr>
          <w:rFonts w:ascii="Palatino Linotype" w:hAnsi="Palatino Linotype"/>
          <w:sz w:val="24"/>
          <w:szCs w:val="24"/>
        </w:rPr>
        <w:t xml:space="preserve">.  </w:t>
      </w:r>
    </w:p>
    <w:p w:rsidRPr="00817F00" w:rsidR="00C36718" w:rsidP="003F6C68" w:rsidRDefault="00C36718" w14:paraId="139F0E75" w14:textId="77777777">
      <w:pPr>
        <w:rPr>
          <w:rFonts w:ascii="Palatino Linotype" w:hAnsi="Palatino Linotype"/>
          <w:sz w:val="24"/>
          <w:szCs w:val="24"/>
        </w:rPr>
      </w:pPr>
    </w:p>
    <w:p w:rsidRPr="00817F00" w:rsidR="005A21CA" w:rsidP="003F6C68" w:rsidRDefault="00F1287B" w14:paraId="728F0109" w14:textId="2E7C5F27">
      <w:pPr>
        <w:rPr>
          <w:rFonts w:ascii="Palatino Linotype" w:hAnsi="Palatino Linotype"/>
          <w:sz w:val="24"/>
          <w:szCs w:val="24"/>
          <w:highlight w:val="yellow"/>
        </w:rPr>
      </w:pPr>
      <w:r w:rsidRPr="00817F00">
        <w:rPr>
          <w:rFonts w:ascii="Palatino Linotype" w:hAnsi="Palatino Linotype"/>
          <w:sz w:val="24"/>
          <w:szCs w:val="24"/>
        </w:rPr>
        <w:t>Charter</w:t>
      </w:r>
      <w:r w:rsidRPr="00817F00" w:rsidR="00671BFB">
        <w:rPr>
          <w:rFonts w:ascii="Palatino Linotype" w:hAnsi="Palatino Linotype"/>
          <w:sz w:val="24"/>
          <w:szCs w:val="24"/>
        </w:rPr>
        <w:t>’s</w:t>
      </w:r>
      <w:r w:rsidRPr="00817F00">
        <w:rPr>
          <w:rFonts w:ascii="Palatino Linotype" w:hAnsi="Palatino Linotype"/>
          <w:sz w:val="24"/>
          <w:szCs w:val="24"/>
        </w:rPr>
        <w:t xml:space="preserve"> </w:t>
      </w:r>
      <w:r w:rsidRPr="00817F00" w:rsidR="008769B5">
        <w:rPr>
          <w:rFonts w:ascii="Palatino Linotype" w:hAnsi="Palatino Linotype"/>
          <w:sz w:val="24"/>
          <w:szCs w:val="24"/>
        </w:rPr>
        <w:t>other arguments</w:t>
      </w:r>
      <w:r w:rsidRPr="00817F00" w:rsidR="00671BFB">
        <w:rPr>
          <w:rFonts w:ascii="Palatino Linotype" w:hAnsi="Palatino Linotype"/>
          <w:sz w:val="24"/>
          <w:szCs w:val="24"/>
        </w:rPr>
        <w:t xml:space="preserve"> similarly</w:t>
      </w:r>
      <w:r w:rsidRPr="00817F00" w:rsidR="008769B5">
        <w:rPr>
          <w:rFonts w:ascii="Palatino Linotype" w:hAnsi="Palatino Linotype"/>
          <w:sz w:val="24"/>
          <w:szCs w:val="24"/>
        </w:rPr>
        <w:t xml:space="preserve"> are not </w:t>
      </w:r>
      <w:r w:rsidRPr="00817F00" w:rsidR="00671BFB">
        <w:rPr>
          <w:rFonts w:ascii="Palatino Linotype" w:hAnsi="Palatino Linotype"/>
          <w:sz w:val="24"/>
          <w:szCs w:val="24"/>
        </w:rPr>
        <w:t xml:space="preserve">relevant </w:t>
      </w:r>
      <w:r w:rsidRPr="00817F00" w:rsidR="008769B5">
        <w:rPr>
          <w:rFonts w:ascii="Palatino Linotype" w:hAnsi="Palatino Linotype"/>
          <w:sz w:val="24"/>
          <w:szCs w:val="24"/>
        </w:rPr>
        <w:t xml:space="preserve">to the issue of whether the Woodlands II location is an unserved housing development, as defined in </w:t>
      </w:r>
      <w:r w:rsidR="00CF39CB">
        <w:rPr>
          <w:rFonts w:ascii="Palatino Linotype" w:hAnsi="Palatino Linotype"/>
          <w:sz w:val="24"/>
          <w:szCs w:val="24"/>
        </w:rPr>
        <w:t>s</w:t>
      </w:r>
      <w:r w:rsidRPr="00817F00" w:rsidR="008769B5">
        <w:rPr>
          <w:rFonts w:ascii="Palatino Linotype" w:hAnsi="Palatino Linotype"/>
          <w:sz w:val="24"/>
          <w:szCs w:val="24"/>
        </w:rPr>
        <w:t>tatue and in D.18-06-032.</w:t>
      </w:r>
      <w:r w:rsidRPr="00817F00" w:rsidR="0012253F">
        <w:rPr>
          <w:rFonts w:ascii="Palatino Linotype" w:hAnsi="Palatino Linotype"/>
          <w:sz w:val="24"/>
          <w:szCs w:val="24"/>
        </w:rPr>
        <w:t xml:space="preserve">  </w:t>
      </w:r>
      <w:r w:rsidRPr="00817F00" w:rsidR="00CA37C2">
        <w:rPr>
          <w:rFonts w:ascii="Palatino Linotype" w:hAnsi="Palatino Linotype"/>
          <w:sz w:val="24"/>
          <w:szCs w:val="24"/>
        </w:rPr>
        <w:t>Specifically, Charter argues that t</w:t>
      </w:r>
      <w:r w:rsidRPr="00817F00" w:rsidR="00E6756A">
        <w:rPr>
          <w:rFonts w:ascii="Palatino Linotype" w:hAnsi="Palatino Linotype"/>
          <w:sz w:val="24"/>
          <w:szCs w:val="24"/>
        </w:rPr>
        <w:t>he applicant can</w:t>
      </w:r>
      <w:r w:rsidRPr="00817F00" w:rsidR="00671BFB">
        <w:rPr>
          <w:rFonts w:ascii="Palatino Linotype" w:hAnsi="Palatino Linotype"/>
          <w:sz w:val="24"/>
          <w:szCs w:val="24"/>
        </w:rPr>
        <w:t>not</w:t>
      </w:r>
      <w:r w:rsidRPr="00817F00" w:rsidR="00E6756A">
        <w:rPr>
          <w:rFonts w:ascii="Palatino Linotype" w:hAnsi="Palatino Linotype"/>
          <w:sz w:val="24"/>
          <w:szCs w:val="24"/>
        </w:rPr>
        <w:t xml:space="preserve"> verify it has not denied an ISP access to the property or attest to the condition of the property</w:t>
      </w:r>
      <w:r w:rsidRPr="00817F00" w:rsidR="009378DC">
        <w:rPr>
          <w:rFonts w:ascii="Palatino Linotype" w:hAnsi="Palatino Linotype"/>
          <w:sz w:val="24"/>
          <w:szCs w:val="24"/>
        </w:rPr>
        <w:t xml:space="preserve"> and the applicant failed to identify a bandwidth source at the MPOE.</w:t>
      </w:r>
      <w:r w:rsidRPr="00817F00" w:rsidR="009378DC">
        <w:rPr>
          <w:rStyle w:val="FootnoteReference"/>
          <w:rFonts w:ascii="Palatino Linotype" w:hAnsi="Palatino Linotype"/>
          <w:sz w:val="24"/>
          <w:szCs w:val="24"/>
        </w:rPr>
        <w:footnoteReference w:id="34"/>
      </w:r>
      <w:r w:rsidRPr="00817F00" w:rsidR="009378DC">
        <w:rPr>
          <w:rFonts w:ascii="Palatino Linotype" w:hAnsi="Palatino Linotype"/>
          <w:sz w:val="24"/>
          <w:szCs w:val="24"/>
        </w:rPr>
        <w:t xml:space="preserve"> </w:t>
      </w:r>
      <w:r w:rsidRPr="00817F00" w:rsidR="008E1B2F">
        <w:rPr>
          <w:rFonts w:ascii="Palatino Linotype" w:hAnsi="Palatino Linotype"/>
          <w:sz w:val="24"/>
          <w:szCs w:val="24"/>
        </w:rPr>
        <w:t xml:space="preserve"> </w:t>
      </w:r>
      <w:r w:rsidRPr="00817F00" w:rsidR="00CA37C2">
        <w:rPr>
          <w:rFonts w:ascii="Palatino Linotype" w:hAnsi="Palatino Linotype"/>
          <w:sz w:val="24"/>
          <w:szCs w:val="24"/>
        </w:rPr>
        <w:t>Staff disagrees with this argument.</w:t>
      </w:r>
      <w:r w:rsidRPr="00817F00" w:rsidR="00C846DD">
        <w:rPr>
          <w:rFonts w:ascii="Palatino Linotype" w:hAnsi="Palatino Linotype"/>
          <w:sz w:val="24"/>
          <w:szCs w:val="24"/>
        </w:rPr>
        <w:t xml:space="preserve"> </w:t>
      </w:r>
      <w:r w:rsidRPr="00817F00" w:rsidR="00CA37C2">
        <w:rPr>
          <w:rFonts w:ascii="Palatino Linotype" w:hAnsi="Palatino Linotype"/>
          <w:sz w:val="24"/>
          <w:szCs w:val="24"/>
        </w:rPr>
        <w:t xml:space="preserve"> Per D.18-06-032, the applicant must attest that (1) it expects its property to be in residential use for at least the next 10 years and (2) the buildings included in the application meet</w:t>
      </w:r>
      <w:r w:rsidR="004C7CBF">
        <w:rPr>
          <w:rFonts w:ascii="Palatino Linotype" w:hAnsi="Palatino Linotype"/>
          <w:sz w:val="24"/>
          <w:szCs w:val="24"/>
        </w:rPr>
        <w:t>s</w:t>
      </w:r>
      <w:r w:rsidRPr="00817F00" w:rsidR="00CA37C2">
        <w:rPr>
          <w:rFonts w:ascii="Palatino Linotype" w:hAnsi="Palatino Linotype"/>
          <w:sz w:val="24"/>
          <w:szCs w:val="24"/>
        </w:rPr>
        <w:t xml:space="preserve"> the standards for acceptable basic living conditions as determined </w:t>
      </w:r>
      <w:r w:rsidRPr="00817F00" w:rsidR="00CA37C2">
        <w:rPr>
          <w:rFonts w:ascii="Palatino Linotype" w:hAnsi="Palatino Linotype"/>
          <w:sz w:val="24"/>
          <w:szCs w:val="24"/>
        </w:rPr>
        <w:lastRenderedPageBreak/>
        <w:t>under HUD for similar guidelines.</w:t>
      </w:r>
      <w:r w:rsidRPr="00817F00" w:rsidR="00CA37C2">
        <w:rPr>
          <w:rStyle w:val="FootnoteReference"/>
          <w:rFonts w:ascii="Palatino Linotype" w:hAnsi="Palatino Linotype"/>
          <w:sz w:val="24"/>
          <w:szCs w:val="24"/>
        </w:rPr>
        <w:footnoteReference w:id="35"/>
      </w:r>
      <w:r w:rsidRPr="00817F00" w:rsidR="00CA37C2">
        <w:rPr>
          <w:rFonts w:ascii="Palatino Linotype" w:hAnsi="Palatino Linotype"/>
          <w:sz w:val="24"/>
          <w:szCs w:val="24"/>
        </w:rPr>
        <w:t xml:space="preserve">  The applicant</w:t>
      </w:r>
      <w:r w:rsidRPr="00817F00" w:rsidR="00987499">
        <w:rPr>
          <w:rFonts w:ascii="Palatino Linotype" w:hAnsi="Palatino Linotype"/>
          <w:sz w:val="24"/>
          <w:szCs w:val="24"/>
        </w:rPr>
        <w:t xml:space="preserve"> attested to both statements in its application, and, thus,</w:t>
      </w:r>
      <w:r w:rsidRPr="00817F00" w:rsidR="00CA37C2">
        <w:rPr>
          <w:rFonts w:ascii="Palatino Linotype" w:hAnsi="Palatino Linotype"/>
          <w:sz w:val="24"/>
          <w:szCs w:val="24"/>
        </w:rPr>
        <w:t xml:space="preserve"> complied with these requirements.</w:t>
      </w:r>
      <w:r w:rsidRPr="00817F00" w:rsidR="008B3670">
        <w:rPr>
          <w:rFonts w:ascii="Palatino Linotype" w:hAnsi="Palatino Linotype"/>
          <w:sz w:val="24"/>
          <w:szCs w:val="24"/>
        </w:rPr>
        <w:t xml:space="preserve">  </w:t>
      </w:r>
      <w:r w:rsidRPr="00817F00" w:rsidR="00123950">
        <w:rPr>
          <w:rFonts w:ascii="Palatino Linotype" w:hAnsi="Palatino Linotype"/>
          <w:sz w:val="24"/>
          <w:szCs w:val="24"/>
        </w:rPr>
        <w:t xml:space="preserve">The applicant </w:t>
      </w:r>
      <w:r w:rsidRPr="00817F00" w:rsidR="000E61AA">
        <w:rPr>
          <w:rFonts w:ascii="Palatino Linotype" w:hAnsi="Palatino Linotype"/>
          <w:sz w:val="24"/>
          <w:szCs w:val="24"/>
        </w:rPr>
        <w:t>identif</w:t>
      </w:r>
      <w:r w:rsidRPr="00817F00" w:rsidR="00FF38CB">
        <w:rPr>
          <w:rFonts w:ascii="Palatino Linotype" w:hAnsi="Palatino Linotype"/>
          <w:sz w:val="24"/>
          <w:szCs w:val="24"/>
        </w:rPr>
        <w:t>i</w:t>
      </w:r>
      <w:r w:rsidRPr="00817F00" w:rsidR="00E32817">
        <w:rPr>
          <w:rFonts w:ascii="Palatino Linotype" w:hAnsi="Palatino Linotype"/>
          <w:sz w:val="24"/>
          <w:szCs w:val="24"/>
        </w:rPr>
        <w:t>ed</w:t>
      </w:r>
      <w:r w:rsidRPr="00817F00" w:rsidR="000E61AA">
        <w:rPr>
          <w:rFonts w:ascii="Palatino Linotype" w:hAnsi="Palatino Linotype"/>
          <w:sz w:val="24"/>
          <w:szCs w:val="24"/>
        </w:rPr>
        <w:t xml:space="preserve"> Charter as </w:t>
      </w:r>
      <w:r w:rsidRPr="00817F00" w:rsidR="00C3307E">
        <w:rPr>
          <w:rFonts w:ascii="Palatino Linotype" w:hAnsi="Palatino Linotype"/>
          <w:sz w:val="24"/>
          <w:szCs w:val="24"/>
        </w:rPr>
        <w:t xml:space="preserve">an </w:t>
      </w:r>
      <w:r w:rsidRPr="00817F00" w:rsidR="000E61AA">
        <w:rPr>
          <w:rFonts w:ascii="Palatino Linotype" w:hAnsi="Palatino Linotype"/>
          <w:sz w:val="24"/>
          <w:szCs w:val="24"/>
        </w:rPr>
        <w:t xml:space="preserve">ISP </w:t>
      </w:r>
      <w:r w:rsidRPr="00817F00" w:rsidR="00C3307E">
        <w:rPr>
          <w:rFonts w:ascii="Palatino Linotype" w:hAnsi="Palatino Linotype"/>
          <w:sz w:val="24"/>
          <w:szCs w:val="24"/>
        </w:rPr>
        <w:t>for</w:t>
      </w:r>
      <w:r w:rsidRPr="00817F00" w:rsidR="000E61AA">
        <w:rPr>
          <w:rFonts w:ascii="Palatino Linotype" w:hAnsi="Palatino Linotype"/>
          <w:sz w:val="24"/>
          <w:szCs w:val="24"/>
        </w:rPr>
        <w:t xml:space="preserve"> the </w:t>
      </w:r>
      <w:r w:rsidRPr="00817F00" w:rsidR="00C3307E">
        <w:rPr>
          <w:rFonts w:ascii="Palatino Linotype" w:hAnsi="Palatino Linotype"/>
          <w:sz w:val="24"/>
          <w:szCs w:val="24"/>
        </w:rPr>
        <w:t xml:space="preserve">internet </w:t>
      </w:r>
      <w:r w:rsidRPr="00817F00" w:rsidR="000E61AA">
        <w:rPr>
          <w:rFonts w:ascii="Palatino Linotype" w:hAnsi="Palatino Linotype"/>
          <w:sz w:val="24"/>
          <w:szCs w:val="24"/>
        </w:rPr>
        <w:t xml:space="preserve">bandwidth source and provided evidence of a contract to support that contention. </w:t>
      </w:r>
      <w:r w:rsidRPr="00817F00" w:rsidR="008B3670">
        <w:rPr>
          <w:rFonts w:ascii="Palatino Linotype" w:hAnsi="Palatino Linotype"/>
          <w:sz w:val="24"/>
          <w:szCs w:val="24"/>
        </w:rPr>
        <w:t xml:space="preserve"> </w:t>
      </w:r>
      <w:r w:rsidRPr="00817F00" w:rsidR="008769B5">
        <w:rPr>
          <w:rFonts w:ascii="Palatino Linotype" w:hAnsi="Palatino Linotype"/>
          <w:sz w:val="24"/>
          <w:szCs w:val="24"/>
        </w:rPr>
        <w:t>Charter</w:t>
      </w:r>
      <w:r w:rsidRPr="00817F00" w:rsidR="0018595A">
        <w:rPr>
          <w:rFonts w:ascii="Palatino Linotype" w:hAnsi="Palatino Linotype"/>
          <w:sz w:val="24"/>
          <w:szCs w:val="24"/>
        </w:rPr>
        <w:t>,</w:t>
      </w:r>
      <w:r w:rsidRPr="00817F00" w:rsidR="008769B5">
        <w:rPr>
          <w:rFonts w:ascii="Palatino Linotype" w:hAnsi="Palatino Linotype"/>
          <w:sz w:val="24"/>
          <w:szCs w:val="24"/>
        </w:rPr>
        <w:t xml:space="preserve"> </w:t>
      </w:r>
      <w:r w:rsidRPr="00817F00" w:rsidR="00CA37C2">
        <w:rPr>
          <w:rFonts w:ascii="Palatino Linotype" w:hAnsi="Palatino Linotype"/>
          <w:sz w:val="24"/>
          <w:szCs w:val="24"/>
        </w:rPr>
        <w:t xml:space="preserve">however, </w:t>
      </w:r>
      <w:r w:rsidRPr="00817F00" w:rsidR="008769B5">
        <w:rPr>
          <w:rFonts w:ascii="Palatino Linotype" w:hAnsi="Palatino Linotype"/>
          <w:sz w:val="24"/>
          <w:szCs w:val="24"/>
        </w:rPr>
        <w:t xml:space="preserve">noted an error in the </w:t>
      </w:r>
      <w:r w:rsidR="00BB6E5F">
        <w:rPr>
          <w:rFonts w:ascii="Palatino Linotype" w:hAnsi="Palatino Linotype"/>
          <w:sz w:val="24"/>
          <w:szCs w:val="24"/>
        </w:rPr>
        <w:t xml:space="preserve">report posted by </w:t>
      </w:r>
      <w:r w:rsidR="001438A7">
        <w:rPr>
          <w:rFonts w:ascii="Palatino Linotype" w:hAnsi="Palatino Linotype"/>
          <w:sz w:val="24"/>
          <w:szCs w:val="24"/>
        </w:rPr>
        <w:t>Staff after project submission</w:t>
      </w:r>
      <w:r w:rsidRPr="00817F00" w:rsidR="008769B5">
        <w:rPr>
          <w:rFonts w:ascii="Palatino Linotype" w:hAnsi="Palatino Linotype"/>
          <w:sz w:val="24"/>
          <w:szCs w:val="24"/>
        </w:rPr>
        <w:t xml:space="preserve"> </w:t>
      </w:r>
      <w:r w:rsidRPr="00817F00" w:rsidR="00A86988">
        <w:rPr>
          <w:rFonts w:ascii="Palatino Linotype" w:hAnsi="Palatino Linotype"/>
          <w:sz w:val="24"/>
          <w:szCs w:val="24"/>
        </w:rPr>
        <w:t>on the Public Housing Account website which details the specifics of the Woodlands II project.</w:t>
      </w:r>
      <w:r w:rsidRPr="00817F00" w:rsidR="00C3307E">
        <w:rPr>
          <w:rFonts w:ascii="Palatino Linotype" w:hAnsi="Palatino Linotype"/>
          <w:sz w:val="24"/>
          <w:szCs w:val="24"/>
        </w:rPr>
        <w:t xml:space="preserve">  </w:t>
      </w:r>
      <w:r w:rsidRPr="00817F00" w:rsidR="00A86988">
        <w:rPr>
          <w:rFonts w:ascii="Palatino Linotype" w:hAnsi="Palatino Linotype"/>
          <w:sz w:val="24"/>
          <w:szCs w:val="24"/>
        </w:rPr>
        <w:t xml:space="preserve">The wording in the report states that the ISP was denied access.  This statement is not correct, as the applicant did attest that it has not denied </w:t>
      </w:r>
      <w:r w:rsidRPr="00817F00" w:rsidR="00671BFB">
        <w:rPr>
          <w:rFonts w:ascii="Palatino Linotype" w:hAnsi="Palatino Linotype"/>
          <w:sz w:val="24"/>
          <w:szCs w:val="24"/>
        </w:rPr>
        <w:t xml:space="preserve">any ISP </w:t>
      </w:r>
      <w:r w:rsidRPr="00817F00" w:rsidR="00A86988">
        <w:rPr>
          <w:rFonts w:ascii="Palatino Linotype" w:hAnsi="Palatino Linotype"/>
          <w:sz w:val="24"/>
          <w:szCs w:val="24"/>
        </w:rPr>
        <w:t>access to the property.</w:t>
      </w:r>
      <w:r w:rsidRPr="00817F00" w:rsidR="00C3307E">
        <w:rPr>
          <w:rFonts w:ascii="Palatino Linotype" w:hAnsi="Palatino Linotype"/>
          <w:sz w:val="24"/>
          <w:szCs w:val="24"/>
        </w:rPr>
        <w:t xml:space="preserve">  </w:t>
      </w:r>
      <w:r w:rsidRPr="00817F00" w:rsidR="00A86988">
        <w:rPr>
          <w:rFonts w:ascii="Palatino Linotype" w:hAnsi="Palatino Linotype"/>
          <w:sz w:val="24"/>
          <w:szCs w:val="24"/>
        </w:rPr>
        <w:t xml:space="preserve">The report was in </w:t>
      </w:r>
      <w:proofErr w:type="gramStart"/>
      <w:r w:rsidRPr="00817F00" w:rsidR="00A86988">
        <w:rPr>
          <w:rFonts w:ascii="Palatino Linotype" w:hAnsi="Palatino Linotype"/>
          <w:sz w:val="24"/>
          <w:szCs w:val="24"/>
        </w:rPr>
        <w:t>error</w:t>
      </w:r>
      <w:r w:rsidRPr="00817F00" w:rsidR="00671BFB">
        <w:rPr>
          <w:rFonts w:ascii="Palatino Linotype" w:hAnsi="Palatino Linotype"/>
          <w:sz w:val="24"/>
          <w:szCs w:val="24"/>
        </w:rPr>
        <w:t>,</w:t>
      </w:r>
      <w:r w:rsidRPr="00817F00" w:rsidR="00A86988">
        <w:rPr>
          <w:rFonts w:ascii="Palatino Linotype" w:hAnsi="Palatino Linotype"/>
          <w:sz w:val="24"/>
          <w:szCs w:val="24"/>
        </w:rPr>
        <w:t xml:space="preserve"> and</w:t>
      </w:r>
      <w:proofErr w:type="gramEnd"/>
      <w:r w:rsidRPr="00817F00" w:rsidR="00A86988">
        <w:rPr>
          <w:rFonts w:ascii="Palatino Linotype" w:hAnsi="Palatino Linotype"/>
          <w:sz w:val="24"/>
          <w:szCs w:val="24"/>
        </w:rPr>
        <w:t xml:space="preserve"> has been corrected and reposted</w:t>
      </w:r>
      <w:r w:rsidRPr="00817F00" w:rsidR="003B64AB">
        <w:rPr>
          <w:rFonts w:ascii="Palatino Linotype" w:hAnsi="Palatino Linotype"/>
          <w:sz w:val="24"/>
          <w:szCs w:val="24"/>
        </w:rPr>
        <w:t xml:space="preserve"> on the </w:t>
      </w:r>
      <w:r w:rsidR="00222C1D">
        <w:rPr>
          <w:rFonts w:ascii="Palatino Linotype" w:hAnsi="Palatino Linotype"/>
          <w:sz w:val="24"/>
          <w:szCs w:val="24"/>
        </w:rPr>
        <w:t xml:space="preserve">Public Housing Account </w:t>
      </w:r>
      <w:r w:rsidRPr="00817F00" w:rsidR="003B64AB">
        <w:rPr>
          <w:rFonts w:ascii="Palatino Linotype" w:hAnsi="Palatino Linotype"/>
          <w:sz w:val="24"/>
          <w:szCs w:val="24"/>
        </w:rPr>
        <w:t>website</w:t>
      </w:r>
      <w:r w:rsidRPr="00817F00" w:rsidR="00A86988">
        <w:rPr>
          <w:rFonts w:ascii="Palatino Linotype" w:hAnsi="Palatino Linotype"/>
          <w:sz w:val="24"/>
          <w:szCs w:val="24"/>
        </w:rPr>
        <w:t>.</w:t>
      </w:r>
      <w:r w:rsidR="00222C1D">
        <w:rPr>
          <w:rStyle w:val="FootnoteReference"/>
          <w:rFonts w:ascii="Palatino Linotype" w:hAnsi="Palatino Linotype"/>
          <w:sz w:val="24"/>
          <w:szCs w:val="24"/>
        </w:rPr>
        <w:footnoteReference w:id="36"/>
      </w:r>
      <w:r w:rsidRPr="00817F00" w:rsidR="00A86988">
        <w:rPr>
          <w:rFonts w:ascii="Palatino Linotype" w:hAnsi="Palatino Linotype"/>
          <w:sz w:val="24"/>
          <w:szCs w:val="24"/>
        </w:rPr>
        <w:t xml:space="preserve">   </w:t>
      </w:r>
      <w:r w:rsidRPr="00817F00" w:rsidR="008769B5">
        <w:rPr>
          <w:rFonts w:ascii="Palatino Linotype" w:hAnsi="Palatino Linotype"/>
          <w:sz w:val="24"/>
          <w:szCs w:val="24"/>
        </w:rPr>
        <w:t xml:space="preserve"> </w:t>
      </w:r>
    </w:p>
    <w:bookmarkEnd w:id="11"/>
    <w:p w:rsidRPr="00817F00" w:rsidR="00D304E7" w:rsidP="003F6C68" w:rsidRDefault="00D304E7" w14:paraId="1E204371" w14:textId="14B430CB">
      <w:pPr>
        <w:rPr>
          <w:rFonts w:ascii="Palatino Linotype" w:hAnsi="Palatino Linotype"/>
          <w:sz w:val="24"/>
          <w:szCs w:val="24"/>
        </w:rPr>
      </w:pPr>
    </w:p>
    <w:p w:rsidRPr="00817F00" w:rsidR="002A403D" w:rsidP="002A403D" w:rsidRDefault="002A403D" w14:paraId="7CF224F5" w14:textId="3F3C5B72">
      <w:pPr>
        <w:rPr>
          <w:rFonts w:ascii="Palatino Linotype" w:hAnsi="Palatino Linotype"/>
          <w:sz w:val="24"/>
          <w:szCs w:val="24"/>
        </w:rPr>
      </w:pPr>
      <w:r w:rsidRPr="00817F00">
        <w:rPr>
          <w:rFonts w:ascii="Palatino Linotype" w:hAnsi="Palatino Linotype"/>
          <w:sz w:val="24"/>
          <w:szCs w:val="24"/>
        </w:rPr>
        <w:t>Lastly, Charter argues that it can</w:t>
      </w:r>
      <w:r w:rsidRPr="00817F00" w:rsidR="00671BFB">
        <w:rPr>
          <w:rFonts w:ascii="Palatino Linotype" w:hAnsi="Palatino Linotype"/>
          <w:sz w:val="24"/>
          <w:szCs w:val="24"/>
        </w:rPr>
        <w:t>not</w:t>
      </w:r>
      <w:r w:rsidRPr="00817F00">
        <w:rPr>
          <w:rFonts w:ascii="Palatino Linotype" w:hAnsi="Palatino Linotype"/>
          <w:sz w:val="24"/>
          <w:szCs w:val="24"/>
        </w:rPr>
        <w:t xml:space="preserve"> determine whether commercially available broadband service is offered at the unit if the unit does</w:t>
      </w:r>
      <w:r w:rsidR="00CF39CB">
        <w:rPr>
          <w:rFonts w:ascii="Palatino Linotype" w:hAnsi="Palatino Linotype"/>
          <w:sz w:val="24"/>
          <w:szCs w:val="24"/>
        </w:rPr>
        <w:t xml:space="preserve"> </w:t>
      </w:r>
      <w:r w:rsidRPr="00817F00">
        <w:rPr>
          <w:rFonts w:ascii="Palatino Linotype" w:hAnsi="Palatino Linotype"/>
          <w:sz w:val="24"/>
          <w:szCs w:val="24"/>
        </w:rPr>
        <w:t>n</w:t>
      </w:r>
      <w:r w:rsidRPr="00817F00" w:rsidR="00671BFB">
        <w:rPr>
          <w:rFonts w:ascii="Palatino Linotype" w:hAnsi="Palatino Linotype"/>
          <w:sz w:val="24"/>
          <w:szCs w:val="24"/>
        </w:rPr>
        <w:t>ot</w:t>
      </w:r>
      <w:r w:rsidRPr="00817F00">
        <w:rPr>
          <w:rFonts w:ascii="Palatino Linotype" w:hAnsi="Palatino Linotype"/>
          <w:sz w:val="24"/>
          <w:szCs w:val="24"/>
        </w:rPr>
        <w:t xml:space="preserve"> exist and therefore </w:t>
      </w:r>
      <w:r w:rsidRPr="00817F00" w:rsidR="008B3670">
        <w:rPr>
          <w:rFonts w:ascii="Palatino Linotype" w:hAnsi="Palatino Linotype"/>
          <w:sz w:val="24"/>
          <w:szCs w:val="24"/>
        </w:rPr>
        <w:t xml:space="preserve">it </w:t>
      </w:r>
      <w:r w:rsidRPr="00817F00" w:rsidR="00671BFB">
        <w:rPr>
          <w:rFonts w:ascii="Palatino Linotype" w:hAnsi="Palatino Linotype"/>
          <w:sz w:val="24"/>
          <w:szCs w:val="24"/>
        </w:rPr>
        <w:t xml:space="preserve">is denied </w:t>
      </w:r>
      <w:r w:rsidRPr="00817F00" w:rsidR="008B3670">
        <w:rPr>
          <w:rFonts w:ascii="Palatino Linotype" w:hAnsi="Palatino Linotype"/>
          <w:sz w:val="24"/>
          <w:szCs w:val="24"/>
        </w:rPr>
        <w:t>due</w:t>
      </w:r>
      <w:r w:rsidRPr="00817F00">
        <w:rPr>
          <w:rFonts w:ascii="Palatino Linotype" w:hAnsi="Palatino Linotype"/>
          <w:sz w:val="24"/>
          <w:szCs w:val="24"/>
        </w:rPr>
        <w:t xml:space="preserve"> process to meaningfully challenge the application.</w:t>
      </w:r>
      <w:r w:rsidRPr="00817F00">
        <w:rPr>
          <w:rStyle w:val="FootnoteReference"/>
          <w:rFonts w:ascii="Palatino Linotype" w:hAnsi="Palatino Linotype"/>
          <w:sz w:val="24"/>
          <w:szCs w:val="24"/>
        </w:rPr>
        <w:footnoteReference w:id="37"/>
      </w:r>
      <w:r w:rsidRPr="00817F00">
        <w:rPr>
          <w:rFonts w:ascii="Palatino Linotype" w:hAnsi="Palatino Linotype"/>
          <w:sz w:val="24"/>
          <w:szCs w:val="24"/>
        </w:rPr>
        <w:t xml:space="preserve"> </w:t>
      </w:r>
      <w:r w:rsidRPr="00817F00" w:rsidR="0077491C">
        <w:rPr>
          <w:rFonts w:ascii="Palatino Linotype" w:hAnsi="Palatino Linotype"/>
          <w:sz w:val="24"/>
          <w:szCs w:val="24"/>
        </w:rPr>
        <w:t xml:space="preserve"> </w:t>
      </w:r>
      <w:r w:rsidRPr="00817F00">
        <w:rPr>
          <w:rFonts w:ascii="Palatino Linotype" w:hAnsi="Palatino Linotype"/>
          <w:sz w:val="24"/>
          <w:szCs w:val="24"/>
        </w:rPr>
        <w:t>Staff disagrees with Charter’s contention.</w:t>
      </w:r>
      <w:r w:rsidRPr="00817F00" w:rsidR="00D1147E">
        <w:rPr>
          <w:rFonts w:ascii="Palatino Linotype" w:hAnsi="Palatino Linotype"/>
          <w:sz w:val="24"/>
          <w:szCs w:val="24"/>
        </w:rPr>
        <w:t xml:space="preserve"> </w:t>
      </w:r>
      <w:r w:rsidRPr="00817F00">
        <w:rPr>
          <w:rFonts w:ascii="Palatino Linotype" w:hAnsi="Palatino Linotype"/>
          <w:sz w:val="24"/>
          <w:szCs w:val="24"/>
        </w:rPr>
        <w:t xml:space="preserve"> Due process requires notice and opportunity to be heard. </w:t>
      </w:r>
      <w:r w:rsidRPr="00817F00" w:rsidR="00D1147E">
        <w:rPr>
          <w:rFonts w:ascii="Palatino Linotype" w:hAnsi="Palatino Linotype"/>
          <w:sz w:val="24"/>
          <w:szCs w:val="24"/>
        </w:rPr>
        <w:t xml:space="preserve"> </w:t>
      </w:r>
      <w:r w:rsidRPr="00817F00">
        <w:rPr>
          <w:rFonts w:ascii="Palatino Linotype" w:hAnsi="Palatino Linotype"/>
          <w:sz w:val="24"/>
          <w:szCs w:val="24"/>
        </w:rPr>
        <w:t>Charter received notice of the draft Resolution and had the opportunity to challenge the application</w:t>
      </w:r>
      <w:r w:rsidRPr="00817F00" w:rsidR="00671BFB">
        <w:rPr>
          <w:rFonts w:ascii="Palatino Linotype" w:hAnsi="Palatino Linotype"/>
          <w:sz w:val="24"/>
          <w:szCs w:val="24"/>
        </w:rPr>
        <w:t>,</w:t>
      </w:r>
      <w:r w:rsidRPr="00817F00">
        <w:rPr>
          <w:rFonts w:ascii="Palatino Linotype" w:hAnsi="Palatino Linotype"/>
          <w:sz w:val="24"/>
          <w:szCs w:val="24"/>
        </w:rPr>
        <w:t xml:space="preserve"> which it did. </w:t>
      </w:r>
      <w:r w:rsidRPr="00817F00" w:rsidR="00D1147E">
        <w:rPr>
          <w:rFonts w:ascii="Palatino Linotype" w:hAnsi="Palatino Linotype"/>
          <w:sz w:val="24"/>
          <w:szCs w:val="24"/>
        </w:rPr>
        <w:t xml:space="preserve"> </w:t>
      </w:r>
      <w:r w:rsidRPr="00817F00">
        <w:rPr>
          <w:rFonts w:ascii="Palatino Linotype" w:hAnsi="Palatino Linotype"/>
          <w:sz w:val="24"/>
          <w:szCs w:val="24"/>
        </w:rPr>
        <w:t xml:space="preserve">The fact that Staff </w:t>
      </w:r>
      <w:r w:rsidRPr="00817F00" w:rsidR="00671BFB">
        <w:rPr>
          <w:rFonts w:ascii="Palatino Linotype" w:hAnsi="Palatino Linotype"/>
          <w:sz w:val="24"/>
          <w:szCs w:val="24"/>
        </w:rPr>
        <w:t xml:space="preserve">rejected </w:t>
      </w:r>
      <w:r w:rsidRPr="00817F00">
        <w:rPr>
          <w:rFonts w:ascii="Palatino Linotype" w:hAnsi="Palatino Linotype"/>
          <w:sz w:val="24"/>
          <w:szCs w:val="24"/>
        </w:rPr>
        <w:t>the challenge does not mean Charter was denied due process.</w:t>
      </w:r>
    </w:p>
    <w:p w:rsidRPr="00817F00" w:rsidR="00001F9F" w:rsidP="003F6C68" w:rsidRDefault="00001F9F" w14:paraId="280BFAE4" w14:textId="77777777">
      <w:pPr>
        <w:rPr>
          <w:rFonts w:ascii="Palatino Linotype" w:hAnsi="Palatino Linotype"/>
          <w:sz w:val="24"/>
          <w:szCs w:val="24"/>
        </w:rPr>
      </w:pPr>
    </w:p>
    <w:p w:rsidRPr="00817F00" w:rsidR="003F6C68" w:rsidP="003F6C68" w:rsidRDefault="003F6C68" w14:paraId="70C2468D" w14:textId="77777777">
      <w:pPr>
        <w:pStyle w:val="Heading1"/>
        <w:tabs>
          <w:tab w:val="left" w:pos="1170"/>
        </w:tabs>
        <w:rPr>
          <w:rFonts w:ascii="Palatino Linotype" w:hAnsi="Palatino Linotype"/>
          <w:sz w:val="26"/>
          <w:szCs w:val="26"/>
        </w:rPr>
      </w:pPr>
      <w:bookmarkStart w:name="_Toc444857044" w:id="18"/>
      <w:r w:rsidRPr="00817F00">
        <w:rPr>
          <w:rFonts w:ascii="Palatino Linotype" w:hAnsi="Palatino Linotype"/>
          <w:sz w:val="26"/>
          <w:szCs w:val="26"/>
        </w:rPr>
        <w:t>FINDINGS</w:t>
      </w:r>
      <w:bookmarkEnd w:id="18"/>
    </w:p>
    <w:p w:rsidRPr="00817F00" w:rsidR="003F6C68" w:rsidP="003F6C68" w:rsidRDefault="003F6C68" w14:paraId="68197A4B" w14:textId="77777777">
      <w:pPr>
        <w:tabs>
          <w:tab w:val="left" w:pos="1080"/>
        </w:tabs>
        <w:autoSpaceDE w:val="0"/>
        <w:autoSpaceDN w:val="0"/>
        <w:adjustRightInd w:val="0"/>
        <w:rPr>
          <w:rFonts w:ascii="Palatino Linotype" w:hAnsi="Palatino Linotype" w:cs="Palatino Linotype"/>
          <w:color w:val="000000"/>
          <w:sz w:val="24"/>
          <w:szCs w:val="24"/>
        </w:rPr>
      </w:pPr>
    </w:p>
    <w:p w:rsidRPr="00817F00" w:rsidR="003F6C68" w:rsidP="003F6C68" w:rsidRDefault="003F6C68" w14:paraId="34757ED1"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817F00">
        <w:rPr>
          <w:rFonts w:ascii="Palatino Linotype" w:hAnsi="Palatino Linotype" w:cs="Palatino Linotype"/>
          <w:color w:val="000000"/>
          <w:sz w:val="24"/>
          <w:szCs w:val="24"/>
        </w:rPr>
        <w:t xml:space="preserve">NVCSS </w:t>
      </w:r>
      <w:proofErr w:type="gramStart"/>
      <w:r w:rsidRPr="00817F00">
        <w:rPr>
          <w:rFonts w:ascii="Palatino Linotype" w:hAnsi="Palatino Linotype" w:cs="Palatino Linotype"/>
          <w:color w:val="000000"/>
          <w:sz w:val="24"/>
          <w:szCs w:val="24"/>
        </w:rPr>
        <w:t>submitted an application</w:t>
      </w:r>
      <w:proofErr w:type="gramEnd"/>
      <w:r w:rsidRPr="00817F00">
        <w:rPr>
          <w:rFonts w:ascii="Palatino Linotype" w:hAnsi="Palatino Linotype" w:cs="Palatino Linotype"/>
          <w:color w:val="000000"/>
          <w:sz w:val="24"/>
          <w:szCs w:val="24"/>
        </w:rPr>
        <w:t xml:space="preserve"> for BPHA funding for its Woodlands II project on June 27, 2019.  NVCSS amended its application and resubmitted the Woodlands II project with a corrected address on August 23, 2019.  </w:t>
      </w:r>
    </w:p>
    <w:p w:rsidRPr="00817F00" w:rsidR="003F6C68" w:rsidP="003F6C68" w:rsidRDefault="003F6C68" w14:paraId="1A8EDD2A" w14:textId="77777777">
      <w:pPr>
        <w:autoSpaceDE w:val="0"/>
        <w:autoSpaceDN w:val="0"/>
        <w:adjustRightInd w:val="0"/>
        <w:ind w:left="720"/>
        <w:rPr>
          <w:rFonts w:ascii="Palatino Linotype" w:hAnsi="Palatino Linotype" w:cs="Palatino Linotype"/>
          <w:color w:val="000000"/>
          <w:sz w:val="24"/>
          <w:szCs w:val="24"/>
        </w:rPr>
      </w:pPr>
    </w:p>
    <w:p w:rsidRPr="00817F00" w:rsidR="003F6C68" w:rsidP="003F6C68" w:rsidRDefault="003F6C68" w14:paraId="75C74170" w14:textId="4FCD73CA">
      <w:pPr>
        <w:numPr>
          <w:ilvl w:val="0"/>
          <w:numId w:val="3"/>
        </w:numPr>
        <w:autoSpaceDE w:val="0"/>
        <w:autoSpaceDN w:val="0"/>
        <w:adjustRightInd w:val="0"/>
        <w:ind w:left="720"/>
        <w:rPr>
          <w:rFonts w:ascii="Palatino Linotype" w:hAnsi="Palatino Linotype" w:cs="Palatino Linotype"/>
          <w:color w:val="000000"/>
          <w:sz w:val="24"/>
          <w:szCs w:val="24"/>
        </w:rPr>
      </w:pPr>
      <w:r w:rsidRPr="00817F00">
        <w:rPr>
          <w:rFonts w:ascii="Palatino Linotype" w:hAnsi="Palatino Linotype" w:cs="Palatino Linotype"/>
          <w:color w:val="000000"/>
          <w:sz w:val="24"/>
          <w:szCs w:val="24"/>
        </w:rPr>
        <w:t xml:space="preserve">NVCSS’s application proposes the </w:t>
      </w:r>
      <w:r w:rsidRPr="00817F00">
        <w:rPr>
          <w:rFonts w:ascii="Palatino Linotype" w:hAnsi="Palatino Linotype" w:cs="Palatino Linotype"/>
          <w:sz w:val="24"/>
          <w:szCs w:val="24"/>
        </w:rPr>
        <w:t xml:space="preserve">construction of </w:t>
      </w:r>
      <w:r w:rsidRPr="00817F00" w:rsidR="0047393B">
        <w:rPr>
          <w:rFonts w:ascii="Palatino Linotype" w:hAnsi="Palatino Linotype" w:cs="Palatino Linotype"/>
          <w:sz w:val="24"/>
          <w:szCs w:val="24"/>
        </w:rPr>
        <w:t>the</w:t>
      </w:r>
      <w:r w:rsidRPr="00817F00" w:rsidR="004B0240">
        <w:rPr>
          <w:rFonts w:ascii="Palatino Linotype" w:hAnsi="Palatino Linotype" w:cs="Palatino Linotype"/>
          <w:sz w:val="24"/>
          <w:szCs w:val="24"/>
        </w:rPr>
        <w:t xml:space="preserve"> </w:t>
      </w:r>
      <w:r w:rsidRPr="00817F00">
        <w:rPr>
          <w:rFonts w:ascii="Palatino Linotype" w:hAnsi="Palatino Linotype" w:cs="Palatino Linotype"/>
          <w:sz w:val="24"/>
          <w:szCs w:val="24"/>
        </w:rPr>
        <w:t xml:space="preserve">broadband network with both wired and wireless components in order to connect the planned (not yet built) Woodlands Apartments II Development to broadband </w:t>
      </w:r>
      <w:r w:rsidR="00CE32CA">
        <w:rPr>
          <w:rFonts w:ascii="Palatino Linotype" w:hAnsi="Palatino Linotype" w:cs="Palatino Linotype"/>
          <w:sz w:val="24"/>
          <w:szCs w:val="24"/>
        </w:rPr>
        <w:t>i</w:t>
      </w:r>
      <w:r w:rsidRPr="00817F00">
        <w:rPr>
          <w:rFonts w:ascii="Palatino Linotype" w:hAnsi="Palatino Linotype" w:cs="Palatino Linotype"/>
          <w:sz w:val="24"/>
          <w:szCs w:val="24"/>
        </w:rPr>
        <w:t>nternet</w:t>
      </w:r>
      <w:r w:rsidRPr="00817F00">
        <w:rPr>
          <w:rFonts w:ascii="Palatino Linotype" w:hAnsi="Palatino Linotype" w:cs="Palatino Linotype"/>
          <w:color w:val="000000"/>
          <w:sz w:val="24"/>
          <w:szCs w:val="24"/>
        </w:rPr>
        <w:t xml:space="preserve">.  </w:t>
      </w:r>
    </w:p>
    <w:p w:rsidRPr="00817F00" w:rsidR="003F6C68" w:rsidP="003F6C68" w:rsidRDefault="003F6C68" w14:paraId="782653D4" w14:textId="77777777">
      <w:pPr>
        <w:autoSpaceDE w:val="0"/>
        <w:autoSpaceDN w:val="0"/>
        <w:adjustRightInd w:val="0"/>
        <w:ind w:left="720"/>
        <w:rPr>
          <w:rFonts w:ascii="Palatino Linotype" w:hAnsi="Palatino Linotype" w:cs="Palatino Linotype"/>
          <w:color w:val="000000"/>
          <w:sz w:val="24"/>
          <w:szCs w:val="24"/>
        </w:rPr>
      </w:pPr>
    </w:p>
    <w:p w:rsidRPr="00817F00" w:rsidR="003F6C68" w:rsidP="003F6C68" w:rsidRDefault="003F6C68" w14:paraId="716AECD1" w14:textId="1FC153D1">
      <w:pPr>
        <w:numPr>
          <w:ilvl w:val="0"/>
          <w:numId w:val="3"/>
        </w:numPr>
        <w:autoSpaceDE w:val="0"/>
        <w:autoSpaceDN w:val="0"/>
        <w:adjustRightInd w:val="0"/>
        <w:ind w:left="720"/>
        <w:rPr>
          <w:rFonts w:ascii="Palatino Linotype" w:hAnsi="Palatino Linotype" w:cs="Palatino Linotype"/>
          <w:color w:val="000000"/>
          <w:sz w:val="24"/>
          <w:szCs w:val="24"/>
        </w:rPr>
      </w:pPr>
      <w:r w:rsidRPr="00817F00">
        <w:rPr>
          <w:rFonts w:ascii="Palatino Linotype" w:hAnsi="Palatino Linotype" w:cs="Palatino Linotype"/>
          <w:color w:val="000000"/>
          <w:sz w:val="24"/>
          <w:szCs w:val="24"/>
        </w:rPr>
        <w:t xml:space="preserve">On July 12, 2019, Staff posted a project summary of the Woodlands II project.  The summary was posted on the Commission’s Broadband Public Housing Account </w:t>
      </w:r>
      <w:r w:rsidRPr="00817F00" w:rsidR="00EF22F9">
        <w:rPr>
          <w:rFonts w:ascii="Palatino Linotype" w:hAnsi="Palatino Linotype" w:cs="Palatino Linotype"/>
          <w:color w:val="000000"/>
          <w:sz w:val="24"/>
          <w:szCs w:val="24"/>
        </w:rPr>
        <w:t xml:space="preserve">(BPHA) </w:t>
      </w:r>
      <w:r w:rsidRPr="00817F00">
        <w:rPr>
          <w:rFonts w:ascii="Palatino Linotype" w:hAnsi="Palatino Linotype" w:cs="Palatino Linotype"/>
          <w:color w:val="000000"/>
          <w:sz w:val="24"/>
          <w:szCs w:val="24"/>
        </w:rPr>
        <w:t xml:space="preserve">webpage.  On September 3, 2019, Staff posted a project summary of the Woodlands II project with a revised project address.  </w:t>
      </w:r>
    </w:p>
    <w:p w:rsidRPr="00817F00" w:rsidR="003F6C68" w:rsidP="003F6C68" w:rsidRDefault="003F6C68" w14:paraId="2E0BF10F" w14:textId="77777777">
      <w:pPr>
        <w:autoSpaceDE w:val="0"/>
        <w:autoSpaceDN w:val="0"/>
        <w:adjustRightInd w:val="0"/>
        <w:rPr>
          <w:rFonts w:ascii="Palatino Linotype" w:hAnsi="Palatino Linotype" w:cs="Palatino Linotype"/>
          <w:color w:val="000000"/>
          <w:sz w:val="24"/>
          <w:szCs w:val="24"/>
        </w:rPr>
      </w:pPr>
    </w:p>
    <w:p w:rsidRPr="00817F00" w:rsidR="003F6C68" w:rsidP="003F6C68" w:rsidRDefault="003F6C68" w14:paraId="1B2B8BEB" w14:textId="73BA30A3">
      <w:pPr>
        <w:numPr>
          <w:ilvl w:val="0"/>
          <w:numId w:val="3"/>
        </w:numPr>
        <w:autoSpaceDE w:val="0"/>
        <w:autoSpaceDN w:val="0"/>
        <w:adjustRightInd w:val="0"/>
        <w:ind w:left="720"/>
        <w:rPr>
          <w:rFonts w:ascii="Palatino Linotype" w:hAnsi="Palatino Linotype" w:cs="Palatino Linotype"/>
          <w:color w:val="000000"/>
          <w:sz w:val="24"/>
          <w:szCs w:val="24"/>
        </w:rPr>
      </w:pPr>
      <w:r w:rsidRPr="00817F00">
        <w:rPr>
          <w:rFonts w:ascii="Palatino Linotype" w:hAnsi="Palatino Linotype" w:cs="Palatino Linotype"/>
          <w:color w:val="000000"/>
          <w:sz w:val="24"/>
          <w:szCs w:val="24"/>
        </w:rPr>
        <w:t xml:space="preserve">Charter submitted a challenge for both the initial application and the revised application on the basis that it serves the project location.  Given that the </w:t>
      </w:r>
      <w:r w:rsidRPr="001D0847" w:rsidR="001D0847">
        <w:rPr>
          <w:rFonts w:ascii="Palatino Linotype" w:hAnsi="Palatino Linotype" w:cs="Palatino Linotype"/>
          <w:color w:val="000000"/>
          <w:sz w:val="24"/>
          <w:szCs w:val="24"/>
        </w:rPr>
        <w:t xml:space="preserve">Woodlands Apartments II Development </w:t>
      </w:r>
      <w:r w:rsidRPr="00817F00">
        <w:rPr>
          <w:rFonts w:ascii="Palatino Linotype" w:hAnsi="Palatino Linotype" w:cs="Palatino Linotype"/>
          <w:color w:val="000000"/>
          <w:sz w:val="24"/>
          <w:szCs w:val="24"/>
        </w:rPr>
        <w:t xml:space="preserve">is not fully constructed, that the </w:t>
      </w:r>
      <w:r w:rsidRPr="00817F00">
        <w:rPr>
          <w:rFonts w:ascii="Palatino Linotype" w:hAnsi="Palatino Linotype" w:cs="Palatino Linotype"/>
          <w:color w:val="000000"/>
          <w:sz w:val="24"/>
          <w:szCs w:val="24"/>
        </w:rPr>
        <w:lastRenderedPageBreak/>
        <w:t xml:space="preserve">development is not an extension of any previous apartment development and that Charter has not demonstrated that it is offering broadband </w:t>
      </w:r>
      <w:r w:rsidR="00CE32CA">
        <w:rPr>
          <w:rFonts w:ascii="Palatino Linotype" w:hAnsi="Palatino Linotype" w:cs="Palatino Linotype"/>
          <w:color w:val="000000"/>
          <w:sz w:val="24"/>
          <w:szCs w:val="24"/>
        </w:rPr>
        <w:t>i</w:t>
      </w:r>
      <w:r w:rsidRPr="00817F00">
        <w:rPr>
          <w:rFonts w:ascii="Palatino Linotype" w:hAnsi="Palatino Linotype" w:cs="Palatino Linotype"/>
          <w:color w:val="000000"/>
          <w:sz w:val="24"/>
          <w:szCs w:val="24"/>
        </w:rPr>
        <w:t xml:space="preserve">nternet service at the project location, Staff denies Charter’s challenge.  </w:t>
      </w:r>
    </w:p>
    <w:p w:rsidRPr="00817F00" w:rsidR="003F6C68" w:rsidP="003F6C68" w:rsidRDefault="003F6C68" w14:paraId="70A36413" w14:textId="77777777">
      <w:pPr>
        <w:autoSpaceDE w:val="0"/>
        <w:autoSpaceDN w:val="0"/>
        <w:adjustRightInd w:val="0"/>
        <w:ind w:left="720"/>
        <w:rPr>
          <w:rFonts w:ascii="Palatino Linotype" w:hAnsi="Palatino Linotype" w:cs="Palatino Linotype"/>
          <w:color w:val="000000"/>
          <w:sz w:val="24"/>
          <w:szCs w:val="24"/>
        </w:rPr>
      </w:pPr>
    </w:p>
    <w:p w:rsidRPr="00817F00" w:rsidR="003F6C68" w:rsidP="003F6C68" w:rsidRDefault="003F6C68" w14:paraId="47432576" w14:textId="77777777">
      <w:pPr>
        <w:numPr>
          <w:ilvl w:val="0"/>
          <w:numId w:val="3"/>
        </w:numPr>
        <w:autoSpaceDE w:val="0"/>
        <w:autoSpaceDN w:val="0"/>
        <w:adjustRightInd w:val="0"/>
        <w:ind w:left="720"/>
        <w:rPr>
          <w:rFonts w:ascii="Palatino Linotype" w:hAnsi="Palatino Linotype"/>
          <w:sz w:val="24"/>
          <w:szCs w:val="24"/>
        </w:rPr>
      </w:pPr>
      <w:r w:rsidRPr="00817F00">
        <w:rPr>
          <w:rFonts w:ascii="Palatino Linotype" w:hAnsi="Palatino Linotype"/>
          <w:sz w:val="24"/>
          <w:szCs w:val="24"/>
        </w:rPr>
        <w:t xml:space="preserve">Based on its review, Staff determined that the project qualifies for funding under D.18-06-032 and recommends Commission approval of CASF funding for </w:t>
      </w:r>
      <w:r w:rsidRPr="00817F00">
        <w:rPr>
          <w:rFonts w:ascii="Palatino Linotype" w:hAnsi="Palatino Linotype" w:cs="Palatino Linotype"/>
          <w:color w:val="000000"/>
          <w:sz w:val="24"/>
          <w:szCs w:val="24"/>
        </w:rPr>
        <w:t>NVCSS’s Woodlands II project</w:t>
      </w:r>
      <w:r w:rsidRPr="00817F00">
        <w:rPr>
          <w:rFonts w:ascii="Palatino Linotype" w:hAnsi="Palatino Linotype"/>
          <w:sz w:val="24"/>
          <w:szCs w:val="24"/>
        </w:rPr>
        <w:t xml:space="preserve">. </w:t>
      </w:r>
    </w:p>
    <w:p w:rsidRPr="00817F00" w:rsidR="003F6C68" w:rsidP="003F6C68" w:rsidRDefault="003F6C68" w14:paraId="760103BE" w14:textId="77777777">
      <w:pPr>
        <w:autoSpaceDE w:val="0"/>
        <w:autoSpaceDN w:val="0"/>
        <w:adjustRightInd w:val="0"/>
        <w:ind w:left="720"/>
        <w:rPr>
          <w:rFonts w:ascii="Palatino Linotype" w:hAnsi="Palatino Linotype"/>
          <w:sz w:val="24"/>
          <w:szCs w:val="24"/>
        </w:rPr>
      </w:pPr>
    </w:p>
    <w:p w:rsidRPr="00817F00" w:rsidR="003F6C68" w:rsidP="003F6C68" w:rsidRDefault="003F6C68" w14:paraId="1FF99519" w14:textId="73BF1689">
      <w:pPr>
        <w:pStyle w:val="ListParagraph"/>
        <w:numPr>
          <w:ilvl w:val="0"/>
          <w:numId w:val="3"/>
        </w:numPr>
        <w:tabs>
          <w:tab w:val="left" w:pos="360"/>
          <w:tab w:val="left" w:pos="9540"/>
        </w:tabs>
        <w:ind w:left="720" w:right="630"/>
        <w:rPr>
          <w:rFonts w:ascii="Palatino Linotype" w:hAnsi="Palatino Linotype"/>
          <w:color w:val="000000"/>
          <w:sz w:val="24"/>
          <w:szCs w:val="24"/>
        </w:rPr>
      </w:pPr>
      <w:r w:rsidRPr="00817F00">
        <w:rPr>
          <w:rFonts w:ascii="Palatino Linotype" w:hAnsi="Palatino Linotype"/>
          <w:sz w:val="24"/>
          <w:szCs w:val="24"/>
        </w:rPr>
        <w:t>A notice was emailed on</w:t>
      </w:r>
      <w:r w:rsidRPr="00817F00" w:rsidR="00DC754D">
        <w:rPr>
          <w:rFonts w:ascii="Palatino Linotype" w:hAnsi="Palatino Linotype"/>
          <w:sz w:val="24"/>
          <w:szCs w:val="24"/>
        </w:rPr>
        <w:t xml:space="preserve"> January 3, 2020</w:t>
      </w:r>
      <w:r w:rsidRPr="00817F00">
        <w:rPr>
          <w:rFonts w:ascii="Palatino Linotype" w:hAnsi="Palatino Linotype"/>
          <w:sz w:val="24"/>
          <w:szCs w:val="24"/>
        </w:rPr>
        <w:t xml:space="preserve">, informing all applicants filing for CASF funding and parties on the CASF distribution list of the availability of the draft of this Resolution on the Commission’s website at </w:t>
      </w:r>
      <w:hyperlink w:history="1" r:id="rId9">
        <w:r w:rsidRPr="006325C3" w:rsidR="00222C1D">
          <w:rPr>
            <w:rStyle w:val="Hyperlink"/>
            <w:rFonts w:ascii="Palatino Linotype" w:hAnsi="Palatino Linotype"/>
            <w:sz w:val="24"/>
            <w:szCs w:val="24"/>
          </w:rPr>
          <w:t>http://www.cpuc.ca.gov/PUC/documents/</w:t>
        </w:r>
      </w:hyperlink>
      <w:r w:rsidRPr="00817F00">
        <w:rPr>
          <w:rFonts w:ascii="Palatino Linotype" w:hAnsi="Palatino Linotype"/>
          <w:color w:val="000000"/>
          <w:sz w:val="24"/>
          <w:szCs w:val="24"/>
        </w:rPr>
        <w:t xml:space="preserve">.  </w:t>
      </w:r>
      <w:r w:rsidRPr="00222C1D" w:rsidR="00222C1D">
        <w:rPr>
          <w:rFonts w:ascii="Palatino Linotype" w:hAnsi="Palatino Linotype"/>
          <w:color w:val="000000"/>
          <w:sz w:val="24"/>
          <w:szCs w:val="24"/>
        </w:rPr>
        <w:t xml:space="preserve">Charter submitted comments.    No reply comments were received.  </w:t>
      </w:r>
    </w:p>
    <w:p w:rsidRPr="00817F00" w:rsidR="003F6C68" w:rsidP="003F6C68" w:rsidRDefault="003F6C68" w14:paraId="44D9AA56" w14:textId="77777777">
      <w:pPr>
        <w:tabs>
          <w:tab w:val="left" w:pos="360"/>
          <w:tab w:val="left" w:pos="9540"/>
        </w:tabs>
        <w:ind w:right="630"/>
        <w:rPr>
          <w:rFonts w:ascii="Palatino Linotype" w:hAnsi="Palatino Linotype"/>
          <w:b/>
          <w:sz w:val="24"/>
          <w:szCs w:val="24"/>
        </w:rPr>
      </w:pPr>
    </w:p>
    <w:p w:rsidRPr="00817F00" w:rsidR="003F6C68" w:rsidP="003F6C68" w:rsidRDefault="003F6C68" w14:paraId="6D687F4E" w14:textId="77777777">
      <w:pPr>
        <w:keepNext/>
        <w:keepLines/>
        <w:tabs>
          <w:tab w:val="left" w:pos="360"/>
          <w:tab w:val="left" w:pos="9540"/>
        </w:tabs>
        <w:ind w:left="-86" w:right="630"/>
        <w:rPr>
          <w:rFonts w:ascii="Palatino Linotype" w:hAnsi="Palatino Linotype"/>
          <w:sz w:val="24"/>
          <w:szCs w:val="24"/>
        </w:rPr>
      </w:pPr>
      <w:r w:rsidRPr="00817F00">
        <w:rPr>
          <w:rFonts w:ascii="Palatino Linotype" w:hAnsi="Palatino Linotype"/>
          <w:b/>
          <w:sz w:val="24"/>
          <w:szCs w:val="24"/>
        </w:rPr>
        <w:t xml:space="preserve">       THEREFORE, IT IS ORDERED that:</w:t>
      </w:r>
    </w:p>
    <w:p w:rsidRPr="00817F00" w:rsidR="003F6C68" w:rsidP="003F6C68" w:rsidRDefault="003F6C68" w14:paraId="5CE8B9E9" w14:textId="77777777">
      <w:pPr>
        <w:autoSpaceDE w:val="0"/>
        <w:autoSpaceDN w:val="0"/>
        <w:adjustRightInd w:val="0"/>
        <w:rPr>
          <w:rFonts w:ascii="Palatino Linotype" w:hAnsi="Palatino Linotype" w:cs="Palatino Linotype"/>
          <w:color w:val="000000"/>
          <w:sz w:val="24"/>
          <w:szCs w:val="24"/>
        </w:rPr>
      </w:pPr>
    </w:p>
    <w:p w:rsidRPr="00817F00" w:rsidR="003F6C68" w:rsidP="003F6C68" w:rsidRDefault="003F6C68" w14:paraId="6731131B" w14:textId="7ADB7F95">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817F00">
        <w:rPr>
          <w:rFonts w:ascii="Palatino Linotype" w:hAnsi="Palatino Linotype" w:cs="Palatino Linotype"/>
          <w:color w:val="000000"/>
          <w:sz w:val="24"/>
          <w:szCs w:val="24"/>
        </w:rPr>
        <w:t>The Commission shall award a grant of $</w:t>
      </w:r>
      <w:r w:rsidRPr="00817F00" w:rsidR="0084551F">
        <w:rPr>
          <w:rFonts w:ascii="Palatino Linotype" w:hAnsi="Palatino Linotype" w:cs="Palatino Linotype"/>
          <w:color w:val="000000"/>
          <w:sz w:val="24"/>
          <w:szCs w:val="24"/>
        </w:rPr>
        <w:t>35,949</w:t>
      </w:r>
      <w:r w:rsidRPr="00817F00">
        <w:rPr>
          <w:rFonts w:ascii="Palatino Linotype" w:hAnsi="Palatino Linotype" w:cs="Palatino Linotype"/>
          <w:color w:val="000000"/>
          <w:sz w:val="24"/>
          <w:szCs w:val="24"/>
        </w:rPr>
        <w:t xml:space="preserve"> to Northern Valley Catholic Social Service (NVCSS) for the Woodlands II project as described herein.</w:t>
      </w:r>
    </w:p>
    <w:p w:rsidRPr="00817F00" w:rsidR="003F6C68" w:rsidP="003F6C68" w:rsidRDefault="003F6C68" w14:paraId="60B6EF7D" w14:textId="7E8146C7">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817F00">
        <w:rPr>
          <w:rFonts w:ascii="Palatino Linotype" w:hAnsi="Palatino Linotype" w:cs="Palatino Linotype"/>
          <w:color w:val="000000"/>
          <w:sz w:val="24"/>
          <w:szCs w:val="24"/>
        </w:rPr>
        <w:t>The program fund payment of $</w:t>
      </w:r>
      <w:r w:rsidRPr="00817F00" w:rsidR="0084551F">
        <w:rPr>
          <w:rFonts w:ascii="Palatino Linotype" w:hAnsi="Palatino Linotype" w:cs="Palatino Linotype"/>
          <w:color w:val="000000"/>
          <w:sz w:val="24"/>
          <w:szCs w:val="24"/>
        </w:rPr>
        <w:t>35,949</w:t>
      </w:r>
      <w:r w:rsidRPr="00817F00">
        <w:rPr>
          <w:rFonts w:ascii="Palatino Linotype" w:hAnsi="Palatino Linotype" w:cs="Palatino Linotype"/>
          <w:color w:val="000000"/>
          <w:sz w:val="24"/>
          <w:szCs w:val="24"/>
        </w:rPr>
        <w:t xml:space="preserve"> shall be paid out of the CASF Public Housing Account in accordance with the guidelines adopted in D.</w:t>
      </w:r>
      <w:bookmarkStart w:name="_Hlk26951337" w:id="19"/>
      <w:r w:rsidRPr="00817F00">
        <w:rPr>
          <w:rFonts w:ascii="Palatino Linotype" w:hAnsi="Palatino Linotype" w:cs="Palatino Linotype"/>
          <w:color w:val="000000"/>
          <w:sz w:val="24"/>
          <w:szCs w:val="24"/>
        </w:rPr>
        <w:t>18-06-032</w:t>
      </w:r>
      <w:bookmarkEnd w:id="19"/>
      <w:r w:rsidRPr="00817F00">
        <w:rPr>
          <w:rFonts w:ascii="Palatino Linotype" w:hAnsi="Palatino Linotype" w:cs="Palatino Linotype"/>
          <w:color w:val="000000"/>
          <w:sz w:val="24"/>
          <w:szCs w:val="24"/>
        </w:rPr>
        <w:t>, and with the process defined in Appendix B of this Resolution, “Payments to CASF Recipients”.</w:t>
      </w:r>
    </w:p>
    <w:p w:rsidRPr="00817F00" w:rsidR="003F6C68" w:rsidP="003F6C68" w:rsidRDefault="003F6C68" w14:paraId="650E71D7" w14:textId="30F359C8">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817F00">
        <w:rPr>
          <w:rFonts w:ascii="Palatino Linotype" w:hAnsi="Palatino Linotype" w:cs="Palatino Linotype"/>
          <w:color w:val="000000"/>
          <w:sz w:val="24"/>
          <w:szCs w:val="24"/>
        </w:rPr>
        <w:t xml:space="preserve">NVCSS shall comply with all guidelines, requirements and, conditions associated with a CASF award, as specified in D.18-06-032, and this Resolution. </w:t>
      </w:r>
    </w:p>
    <w:p w:rsidRPr="00817F00" w:rsidR="003F6C68" w:rsidP="003F6C68" w:rsidRDefault="003F6C68" w14:paraId="7632205D" w14:textId="77777777">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817F00">
        <w:rPr>
          <w:rFonts w:ascii="Palatino Linotype" w:hAnsi="Palatino Linotype" w:cs="Palatino Linotype"/>
          <w:color w:val="000000"/>
          <w:sz w:val="24"/>
          <w:szCs w:val="24"/>
        </w:rPr>
        <w:t xml:space="preserve">If NVCSS fails to complete the project in accordance with the CASF guidelines and requirements outlined in D.18-06-032, and the terms in this Resolution, NVCSS must reimburse some or </w:t>
      </w:r>
      <w:proofErr w:type="gramStart"/>
      <w:r w:rsidRPr="00817F00">
        <w:rPr>
          <w:rFonts w:ascii="Palatino Linotype" w:hAnsi="Palatino Linotype" w:cs="Palatino Linotype"/>
          <w:color w:val="000000"/>
          <w:sz w:val="24"/>
          <w:szCs w:val="24"/>
        </w:rPr>
        <w:t>all of</w:t>
      </w:r>
      <w:proofErr w:type="gramEnd"/>
      <w:r w:rsidRPr="00817F00">
        <w:rPr>
          <w:rFonts w:ascii="Palatino Linotype" w:hAnsi="Palatino Linotype" w:cs="Palatino Linotype"/>
          <w:color w:val="000000"/>
          <w:sz w:val="24"/>
          <w:szCs w:val="24"/>
        </w:rPr>
        <w:t xml:space="preserve"> the CASF funds that it has received.</w:t>
      </w:r>
    </w:p>
    <w:p w:rsidRPr="00817F00" w:rsidR="003F6C68" w:rsidP="003F6C68" w:rsidRDefault="003F6C68" w14:paraId="7C109920" w14:textId="77777777">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817F00">
        <w:rPr>
          <w:rFonts w:ascii="Palatino Linotype" w:hAnsi="Palatino Linotype" w:cs="Palatino Linotype"/>
          <w:color w:val="000000"/>
          <w:sz w:val="24"/>
          <w:szCs w:val="24"/>
        </w:rPr>
        <w:t xml:space="preserve">NVCSS must complete and execute the consent form (to be sent to NVCSS after this Resolution is adopted) agreeing to the conditions set forth in this Resolution and return it to the CASF Staff within 30 calendar days from the date of the adoption of this Resolution.  Failure to submit the consent form within 30 calendar days from the date of this Resolution’s adoption, the Commission will deem the grant or award to be null and void.  </w:t>
      </w:r>
    </w:p>
    <w:p w:rsidRPr="00817F00" w:rsidR="003F6C68" w:rsidP="003F6C68" w:rsidRDefault="003F6C68" w14:paraId="23CF5EE2" w14:textId="77777777">
      <w:pPr>
        <w:autoSpaceDE w:val="0"/>
        <w:autoSpaceDN w:val="0"/>
        <w:adjustRightInd w:val="0"/>
        <w:ind w:left="720"/>
        <w:rPr>
          <w:rFonts w:ascii="Palatino Linotype" w:hAnsi="Palatino Linotype" w:cs="Palatino Linotype"/>
          <w:color w:val="000000"/>
          <w:sz w:val="24"/>
          <w:szCs w:val="24"/>
        </w:rPr>
      </w:pPr>
    </w:p>
    <w:p w:rsidRPr="00817F00" w:rsidR="003F6C68" w:rsidP="003F6C68" w:rsidRDefault="003F6C68" w14:paraId="6577BA1F" w14:textId="77777777">
      <w:pPr>
        <w:keepNext/>
        <w:keepLines/>
        <w:tabs>
          <w:tab w:val="left" w:pos="360"/>
        </w:tabs>
        <w:spacing w:after="120"/>
        <w:ind w:right="630"/>
        <w:rPr>
          <w:rFonts w:ascii="Palatino Linotype" w:hAnsi="Palatino Linotype"/>
          <w:sz w:val="24"/>
          <w:szCs w:val="24"/>
        </w:rPr>
      </w:pPr>
      <w:r w:rsidRPr="00817F00">
        <w:rPr>
          <w:rFonts w:ascii="Palatino Linotype" w:hAnsi="Palatino Linotype"/>
          <w:sz w:val="24"/>
          <w:szCs w:val="24"/>
        </w:rPr>
        <w:lastRenderedPageBreak/>
        <w:t>This Resolution is effective today.</w:t>
      </w:r>
    </w:p>
    <w:p w:rsidRPr="00817F00" w:rsidR="003F6C68" w:rsidP="003F6C68" w:rsidRDefault="003F6C68" w14:paraId="3D2C360A" w14:textId="77777777">
      <w:pPr>
        <w:pStyle w:val="xl41"/>
        <w:keepNext/>
        <w:keepLines/>
        <w:overflowPunct/>
        <w:autoSpaceDE/>
        <w:autoSpaceDN/>
        <w:adjustRightInd/>
        <w:spacing w:before="0" w:after="0"/>
        <w:ind w:right="630"/>
        <w:textAlignment w:val="auto"/>
        <w:rPr>
          <w:rFonts w:ascii="Palatino Linotype" w:hAnsi="Palatino Linotype" w:eastAsia="Times New Roman"/>
          <w:szCs w:val="24"/>
        </w:rPr>
      </w:pPr>
    </w:p>
    <w:p w:rsidRPr="00817F00" w:rsidR="003F6C68" w:rsidP="003F6C68" w:rsidRDefault="003F6C68" w14:paraId="6422045C" w14:textId="772F9D65">
      <w:pPr>
        <w:keepNext/>
        <w:keepLines/>
        <w:ind w:right="630"/>
        <w:rPr>
          <w:rFonts w:ascii="Palatino Linotype" w:hAnsi="Palatino Linotype"/>
          <w:sz w:val="24"/>
          <w:szCs w:val="24"/>
        </w:rPr>
      </w:pPr>
      <w:r w:rsidRPr="00817F00">
        <w:rPr>
          <w:rFonts w:ascii="Palatino Linotype" w:hAnsi="Palatino Linotype"/>
          <w:sz w:val="24"/>
          <w:szCs w:val="24"/>
        </w:rPr>
        <w:t xml:space="preserve">I hereby certify that this Resolution was adopted by the Public Utilities Commission at its regular meeting on February </w:t>
      </w:r>
      <w:r w:rsidR="00204C4C">
        <w:rPr>
          <w:rFonts w:ascii="Palatino Linotype" w:hAnsi="Palatino Linotype"/>
          <w:sz w:val="24"/>
          <w:szCs w:val="24"/>
        </w:rPr>
        <w:t>27</w:t>
      </w:r>
      <w:r w:rsidRPr="00817F00">
        <w:rPr>
          <w:rFonts w:ascii="Palatino Linotype" w:hAnsi="Palatino Linotype"/>
          <w:sz w:val="24"/>
          <w:szCs w:val="24"/>
        </w:rPr>
        <w:t>, 2020.  The following Commissioners approved it:</w:t>
      </w:r>
    </w:p>
    <w:p w:rsidRPr="00817F00" w:rsidR="003F6C68" w:rsidP="003F6C68" w:rsidRDefault="003F6C68" w14:paraId="080E1863" w14:textId="77777777">
      <w:pPr>
        <w:keepNext/>
        <w:keepLines/>
        <w:rPr>
          <w:rFonts w:ascii="Palatino Linotype" w:hAnsi="Palatino Linotype"/>
          <w:sz w:val="24"/>
          <w:szCs w:val="24"/>
        </w:rPr>
      </w:pPr>
    </w:p>
    <w:p w:rsidRPr="00817F00" w:rsidR="003F6C68" w:rsidP="003F6C68" w:rsidRDefault="003F6C68" w14:paraId="1FCA5513" w14:textId="77777777">
      <w:pPr>
        <w:keepNext/>
        <w:keepLines/>
        <w:rPr>
          <w:rFonts w:ascii="Palatino Linotype" w:hAnsi="Palatino Linotype"/>
          <w:sz w:val="24"/>
          <w:szCs w:val="24"/>
        </w:rPr>
      </w:pPr>
    </w:p>
    <w:p w:rsidRPr="00817F00" w:rsidR="003F6C68" w:rsidP="003F6C68" w:rsidRDefault="003F6C68" w14:paraId="302E7BD7" w14:textId="77777777">
      <w:pPr>
        <w:keepNext/>
        <w:keepLines/>
        <w:rPr>
          <w:rFonts w:ascii="Palatino Linotype" w:hAnsi="Palatino Linotype"/>
          <w:sz w:val="24"/>
          <w:szCs w:val="24"/>
        </w:rPr>
      </w:pPr>
    </w:p>
    <w:p w:rsidRPr="00817F00" w:rsidR="003F6C68" w:rsidP="003F6C68" w:rsidRDefault="003F6C68" w14:paraId="0251BAF4" w14:textId="77777777">
      <w:pPr>
        <w:keepNext/>
        <w:keepLines/>
        <w:rPr>
          <w:rFonts w:ascii="Palatino Linotype" w:hAnsi="Palatino Linotype"/>
          <w:sz w:val="24"/>
          <w:szCs w:val="24"/>
        </w:rPr>
      </w:pPr>
    </w:p>
    <w:p w:rsidRPr="00817F00" w:rsidR="003F6C68" w:rsidP="003F6C68" w:rsidRDefault="003F6C68" w14:paraId="147DDFEF" w14:textId="77777777">
      <w:pPr>
        <w:keepNext/>
        <w:keepLines/>
        <w:rPr>
          <w:rFonts w:ascii="Palatino Linotype" w:hAnsi="Palatino Linotype"/>
          <w:sz w:val="24"/>
          <w:szCs w:val="24"/>
        </w:rPr>
      </w:pPr>
    </w:p>
    <w:tbl>
      <w:tblPr>
        <w:tblW w:w="4590" w:type="dxa"/>
        <w:tblInd w:w="3888" w:type="dxa"/>
        <w:tblLayout w:type="fixed"/>
        <w:tblLook w:val="0000" w:firstRow="0" w:lastRow="0" w:firstColumn="0" w:lastColumn="0" w:noHBand="0" w:noVBand="0"/>
      </w:tblPr>
      <w:tblGrid>
        <w:gridCol w:w="4032"/>
        <w:gridCol w:w="558"/>
      </w:tblGrid>
      <w:tr w:rsidRPr="00817F00" w:rsidR="003F6C68" w:rsidTr="005E105A" w14:paraId="22235D0C" w14:textId="77777777">
        <w:tc>
          <w:tcPr>
            <w:tcW w:w="4032" w:type="dxa"/>
            <w:tcBorders>
              <w:bottom w:val="single" w:color="auto" w:sz="6" w:space="0"/>
            </w:tcBorders>
          </w:tcPr>
          <w:p w:rsidRPr="00817F00" w:rsidR="003F6C68" w:rsidP="005E105A" w:rsidRDefault="003F6C68" w14:paraId="3C049DA2" w14:textId="5F5883B0">
            <w:pPr>
              <w:keepNext/>
              <w:keepLines/>
              <w:ind w:right="-648"/>
              <w:rPr>
                <w:rFonts w:ascii="Palatino Linotype" w:hAnsi="Palatino Linotype"/>
                <w:sz w:val="24"/>
                <w:szCs w:val="24"/>
              </w:rPr>
            </w:pPr>
            <w:r w:rsidRPr="00817F00">
              <w:rPr>
                <w:rFonts w:ascii="Palatino Linotype" w:hAnsi="Palatino Linotype"/>
                <w:sz w:val="24"/>
                <w:szCs w:val="24"/>
              </w:rPr>
              <w:t xml:space="preserve"> </w:t>
            </w:r>
            <w:r w:rsidR="000318AA">
              <w:rPr>
                <w:rFonts w:ascii="Palatino Linotype" w:hAnsi="Palatino Linotype"/>
                <w:sz w:val="24"/>
                <w:szCs w:val="24"/>
              </w:rPr>
              <w:t xml:space="preserve">           /s/ ALICE STEBBINS</w:t>
            </w:r>
            <w:r w:rsidRPr="00817F00">
              <w:rPr>
                <w:rFonts w:ascii="Palatino Linotype" w:hAnsi="Palatino Linotype"/>
                <w:sz w:val="24"/>
                <w:szCs w:val="24"/>
              </w:rPr>
              <w:t xml:space="preserve">              </w:t>
            </w:r>
          </w:p>
        </w:tc>
        <w:tc>
          <w:tcPr>
            <w:tcW w:w="558" w:type="dxa"/>
            <w:tcBorders>
              <w:bottom w:val="single" w:color="auto" w:sz="6" w:space="0"/>
            </w:tcBorders>
          </w:tcPr>
          <w:p w:rsidRPr="00817F00" w:rsidR="003F6C68" w:rsidP="005E105A" w:rsidRDefault="003F6C68" w14:paraId="1820171C" w14:textId="77777777">
            <w:pPr>
              <w:keepNext/>
              <w:keepLines/>
              <w:ind w:right="-648"/>
              <w:rPr>
                <w:rFonts w:ascii="Palatino Linotype" w:hAnsi="Palatino Linotype"/>
                <w:sz w:val="24"/>
                <w:szCs w:val="24"/>
              </w:rPr>
            </w:pPr>
          </w:p>
        </w:tc>
      </w:tr>
      <w:tr w:rsidRPr="00817F00" w:rsidR="003F6C68" w:rsidTr="005E105A" w14:paraId="3EDFBC7F" w14:textId="77777777">
        <w:tc>
          <w:tcPr>
            <w:tcW w:w="4032" w:type="dxa"/>
          </w:tcPr>
          <w:p w:rsidRPr="00817F00" w:rsidR="003F6C68" w:rsidP="005E105A" w:rsidRDefault="000318AA" w14:paraId="41B560F6" w14:textId="72903081">
            <w:pPr>
              <w:pStyle w:val="Heading6"/>
              <w:keepLines/>
              <w:jc w:val="center"/>
              <w:rPr>
                <w:rFonts w:ascii="Palatino Linotype" w:hAnsi="Palatino Linotype"/>
                <w:szCs w:val="24"/>
              </w:rPr>
            </w:pPr>
            <w:r>
              <w:rPr>
                <w:rFonts w:ascii="Palatino Linotype" w:hAnsi="Palatino Linotype"/>
                <w:szCs w:val="24"/>
              </w:rPr>
              <w:t>Alice Stebbins</w:t>
            </w:r>
          </w:p>
          <w:p w:rsidRPr="00817F00" w:rsidR="003F6C68" w:rsidP="005E105A" w:rsidRDefault="003F6C68" w14:paraId="6655A1C5" w14:textId="77777777">
            <w:pPr>
              <w:pStyle w:val="Heading6"/>
              <w:keepLines/>
              <w:spacing w:before="0"/>
              <w:jc w:val="center"/>
              <w:rPr>
                <w:rFonts w:ascii="Palatino Linotype" w:hAnsi="Palatino Linotype"/>
                <w:szCs w:val="24"/>
              </w:rPr>
            </w:pPr>
            <w:r w:rsidRPr="00817F00">
              <w:rPr>
                <w:rFonts w:ascii="Palatino Linotype" w:hAnsi="Palatino Linotype"/>
                <w:szCs w:val="24"/>
              </w:rPr>
              <w:t>Executive Director</w:t>
            </w:r>
          </w:p>
          <w:p w:rsidRPr="00817F00" w:rsidR="003F6C68" w:rsidP="005E105A" w:rsidRDefault="003F6C68" w14:paraId="7E2BEBB0" w14:textId="77777777">
            <w:pPr>
              <w:rPr>
                <w:rFonts w:ascii="Palatino Linotype" w:hAnsi="Palatino Linotype"/>
                <w:sz w:val="24"/>
                <w:szCs w:val="24"/>
              </w:rPr>
            </w:pPr>
          </w:p>
          <w:p w:rsidRPr="00817F00" w:rsidR="003F6C68" w:rsidP="005E105A" w:rsidRDefault="003F6C68" w14:paraId="75FDB911" w14:textId="77777777">
            <w:pPr>
              <w:rPr>
                <w:rFonts w:ascii="Palatino Linotype" w:hAnsi="Palatino Linotype"/>
                <w:sz w:val="24"/>
                <w:szCs w:val="24"/>
              </w:rPr>
            </w:pPr>
          </w:p>
          <w:tbl>
            <w:tblPr>
              <w:tblpPr w:leftFromText="180" w:rightFromText="180" w:vertAnchor="page" w:horzAnchor="margin" w:tblpY="1576"/>
              <w:tblW w:w="3781" w:type="dxa"/>
              <w:tblLayout w:type="fixed"/>
              <w:tblLook w:val="04A0" w:firstRow="1" w:lastRow="0" w:firstColumn="1" w:lastColumn="0" w:noHBand="0" w:noVBand="1"/>
            </w:tblPr>
            <w:tblGrid>
              <w:gridCol w:w="3781"/>
            </w:tblGrid>
            <w:tr w:rsidRPr="006E4A6F" w:rsidR="009744BF" w:rsidTr="009744BF" w14:paraId="05D64DD4" w14:textId="77777777">
              <w:tc>
                <w:tcPr>
                  <w:tcW w:w="3781" w:type="dxa"/>
                  <w:shd w:val="clear" w:color="auto" w:fill="auto"/>
                </w:tcPr>
                <w:p w:rsidRPr="006E4A6F" w:rsidR="009744BF" w:rsidP="009744BF" w:rsidRDefault="009744BF" w14:paraId="7CF95F9F" w14:textId="77777777">
                  <w:pPr>
                    <w:tabs>
                      <w:tab w:val="left" w:pos="240"/>
                      <w:tab w:val="left" w:pos="720"/>
                      <w:tab w:val="right" w:pos="10080"/>
                    </w:tabs>
                    <w:rPr>
                      <w:rFonts w:ascii="Palatino Linotype" w:hAnsi="Palatino Linotype" w:eastAsia="Calibri"/>
                      <w:color w:val="000000"/>
                      <w:sz w:val="24"/>
                      <w:szCs w:val="24"/>
                    </w:rPr>
                  </w:pPr>
                  <w:r>
                    <w:rPr>
                      <w:rFonts w:ascii="Palatino Linotype" w:hAnsi="Palatino Linotype" w:eastAsia="Calibri"/>
                      <w:sz w:val="24"/>
                      <w:szCs w:val="24"/>
                    </w:rPr>
                    <w:t>MARYBEL BATJER</w:t>
                  </w:r>
                </w:p>
              </w:tc>
            </w:tr>
            <w:tr w:rsidRPr="006E4A6F" w:rsidR="009744BF" w:rsidTr="009744BF" w14:paraId="51109904" w14:textId="77777777">
              <w:tc>
                <w:tcPr>
                  <w:tcW w:w="3781" w:type="dxa"/>
                  <w:shd w:val="clear" w:color="auto" w:fill="auto"/>
                </w:tcPr>
                <w:p w:rsidRPr="006E4A6F" w:rsidR="009744BF" w:rsidP="009744BF" w:rsidRDefault="009744BF" w14:paraId="09746342" w14:textId="77777777">
                  <w:pPr>
                    <w:tabs>
                      <w:tab w:val="left" w:pos="240"/>
                      <w:tab w:val="left" w:pos="720"/>
                      <w:tab w:val="right" w:pos="10080"/>
                    </w:tabs>
                    <w:ind w:right="1785"/>
                    <w:jc w:val="right"/>
                    <w:rPr>
                      <w:rFonts w:ascii="Palatino Linotype" w:hAnsi="Palatino Linotype" w:eastAsia="Calibri"/>
                      <w:color w:val="000000"/>
                      <w:sz w:val="24"/>
                      <w:szCs w:val="24"/>
                    </w:rPr>
                  </w:pPr>
                  <w:r w:rsidRPr="006E4A6F">
                    <w:rPr>
                      <w:rFonts w:ascii="Palatino Linotype" w:hAnsi="Palatino Linotype" w:eastAsia="Calibri"/>
                      <w:sz w:val="24"/>
                      <w:szCs w:val="24"/>
                    </w:rPr>
                    <w:t>President</w:t>
                  </w:r>
                </w:p>
              </w:tc>
            </w:tr>
            <w:tr w:rsidRPr="006E4A6F" w:rsidR="009744BF" w:rsidTr="009744BF" w14:paraId="7E545C88" w14:textId="77777777">
              <w:tc>
                <w:tcPr>
                  <w:tcW w:w="3781" w:type="dxa"/>
                  <w:shd w:val="clear" w:color="auto" w:fill="auto"/>
                </w:tcPr>
                <w:p w:rsidRPr="006E4A6F" w:rsidR="009744BF" w:rsidP="009744BF" w:rsidRDefault="009744BF" w14:paraId="04CB1795" w14:textId="77777777">
                  <w:pPr>
                    <w:tabs>
                      <w:tab w:val="left" w:pos="240"/>
                      <w:tab w:val="left" w:pos="720"/>
                      <w:tab w:val="right" w:pos="10080"/>
                    </w:tabs>
                    <w:rPr>
                      <w:rFonts w:ascii="Palatino Linotype" w:hAnsi="Palatino Linotype" w:eastAsia="Calibri"/>
                      <w:color w:val="000000"/>
                      <w:sz w:val="24"/>
                      <w:szCs w:val="24"/>
                    </w:rPr>
                  </w:pPr>
                  <w:r w:rsidRPr="006E4A6F">
                    <w:rPr>
                      <w:rFonts w:ascii="Palatino Linotype" w:hAnsi="Palatino Linotype" w:eastAsia="Calibri"/>
                      <w:sz w:val="24"/>
                      <w:szCs w:val="24"/>
                    </w:rPr>
                    <w:t>LIANE M. RANDOLPH</w:t>
                  </w:r>
                </w:p>
              </w:tc>
            </w:tr>
            <w:tr w:rsidRPr="006E4A6F" w:rsidR="009744BF" w:rsidTr="009744BF" w14:paraId="073FE682" w14:textId="77777777">
              <w:tc>
                <w:tcPr>
                  <w:tcW w:w="3781" w:type="dxa"/>
                  <w:shd w:val="clear" w:color="auto" w:fill="auto"/>
                </w:tcPr>
                <w:p w:rsidRPr="006E4A6F" w:rsidR="009744BF" w:rsidP="009744BF" w:rsidRDefault="009744BF" w14:paraId="056ED076" w14:textId="77777777">
                  <w:pPr>
                    <w:tabs>
                      <w:tab w:val="left" w:pos="240"/>
                      <w:tab w:val="left" w:pos="720"/>
                      <w:tab w:val="right" w:pos="10080"/>
                    </w:tabs>
                    <w:rPr>
                      <w:rFonts w:ascii="Palatino Linotype" w:hAnsi="Palatino Linotype" w:eastAsia="Calibri"/>
                      <w:color w:val="000000"/>
                      <w:sz w:val="24"/>
                      <w:szCs w:val="24"/>
                    </w:rPr>
                  </w:pPr>
                  <w:r w:rsidRPr="006E4A6F">
                    <w:rPr>
                      <w:rFonts w:ascii="Palatino Linotype" w:hAnsi="Palatino Linotype" w:eastAsia="Calibri"/>
                      <w:sz w:val="24"/>
                      <w:szCs w:val="24"/>
                    </w:rPr>
                    <w:t>MARTHA GUZMAN ACEVES</w:t>
                  </w:r>
                </w:p>
              </w:tc>
            </w:tr>
            <w:tr w:rsidRPr="006E4A6F" w:rsidR="009744BF" w:rsidTr="009744BF" w14:paraId="45303748" w14:textId="77777777">
              <w:tc>
                <w:tcPr>
                  <w:tcW w:w="3781" w:type="dxa"/>
                  <w:shd w:val="clear" w:color="auto" w:fill="auto"/>
                </w:tcPr>
                <w:p w:rsidR="009744BF" w:rsidP="009744BF" w:rsidRDefault="009744BF" w14:paraId="397AC013" w14:textId="77777777">
                  <w:pPr>
                    <w:tabs>
                      <w:tab w:val="left" w:pos="240"/>
                      <w:tab w:val="left" w:pos="720"/>
                      <w:tab w:val="right" w:pos="10080"/>
                    </w:tabs>
                    <w:rPr>
                      <w:rFonts w:ascii="Palatino Linotype" w:hAnsi="Palatino Linotype" w:eastAsia="Calibri"/>
                      <w:sz w:val="24"/>
                      <w:szCs w:val="24"/>
                    </w:rPr>
                  </w:pPr>
                  <w:r w:rsidRPr="006E4A6F">
                    <w:rPr>
                      <w:rFonts w:ascii="Palatino Linotype" w:hAnsi="Palatino Linotype" w:eastAsia="Calibri"/>
                      <w:sz w:val="24"/>
                      <w:szCs w:val="24"/>
                    </w:rPr>
                    <w:t>CLIFFORD RECHTSCHAFFEN</w:t>
                  </w:r>
                </w:p>
                <w:p w:rsidRPr="006E4A6F" w:rsidR="009744BF" w:rsidP="009744BF" w:rsidRDefault="009744BF" w14:paraId="3527713E" w14:textId="77777777">
                  <w:pPr>
                    <w:tabs>
                      <w:tab w:val="left" w:pos="240"/>
                      <w:tab w:val="left" w:pos="720"/>
                      <w:tab w:val="right" w:pos="10080"/>
                    </w:tabs>
                    <w:rPr>
                      <w:rFonts w:ascii="Palatino Linotype" w:hAnsi="Palatino Linotype" w:eastAsia="Calibri"/>
                      <w:color w:val="000000"/>
                      <w:sz w:val="24"/>
                      <w:szCs w:val="24"/>
                    </w:rPr>
                  </w:pPr>
                  <w:r w:rsidRPr="006E4A6F">
                    <w:rPr>
                      <w:rFonts w:ascii="Palatino Linotype" w:hAnsi="Palatino Linotype" w:eastAsia="Calibri"/>
                      <w:sz w:val="24"/>
                      <w:szCs w:val="24"/>
                    </w:rPr>
                    <w:t>G</w:t>
                  </w:r>
                  <w:r>
                    <w:rPr>
                      <w:rFonts w:ascii="Palatino Linotype" w:hAnsi="Palatino Linotype" w:eastAsia="Calibri"/>
                      <w:sz w:val="24"/>
                      <w:szCs w:val="24"/>
                    </w:rPr>
                    <w:t>ENEVIEVE</w:t>
                  </w:r>
                  <w:r w:rsidRPr="006E4A6F">
                    <w:rPr>
                      <w:rFonts w:ascii="Palatino Linotype" w:hAnsi="Palatino Linotype" w:eastAsia="Calibri"/>
                      <w:sz w:val="24"/>
                      <w:szCs w:val="24"/>
                    </w:rPr>
                    <w:t xml:space="preserve"> S</w:t>
                  </w:r>
                  <w:r>
                    <w:rPr>
                      <w:rFonts w:ascii="Palatino Linotype" w:hAnsi="Palatino Linotype" w:eastAsia="Calibri"/>
                      <w:sz w:val="24"/>
                      <w:szCs w:val="24"/>
                    </w:rPr>
                    <w:t>HIROMA</w:t>
                  </w:r>
                </w:p>
              </w:tc>
            </w:tr>
            <w:tr w:rsidRPr="006E4A6F" w:rsidR="009744BF" w:rsidTr="009744BF" w14:paraId="6A3AA541" w14:textId="77777777">
              <w:tc>
                <w:tcPr>
                  <w:tcW w:w="3781" w:type="dxa"/>
                  <w:shd w:val="clear" w:color="auto" w:fill="auto"/>
                </w:tcPr>
                <w:p w:rsidRPr="006E4A6F" w:rsidR="009744BF" w:rsidP="009744BF" w:rsidRDefault="009744BF" w14:paraId="65C5A43D" w14:textId="77777777">
                  <w:pPr>
                    <w:tabs>
                      <w:tab w:val="right" w:pos="10080"/>
                    </w:tabs>
                    <w:ind w:right="1155"/>
                    <w:jc w:val="right"/>
                    <w:rPr>
                      <w:rFonts w:ascii="Palatino Linotype" w:hAnsi="Palatino Linotype" w:eastAsia="Calibri"/>
                      <w:color w:val="000000"/>
                      <w:sz w:val="24"/>
                      <w:szCs w:val="24"/>
                    </w:rPr>
                  </w:pPr>
                  <w:r w:rsidRPr="006E4A6F">
                    <w:rPr>
                      <w:rFonts w:ascii="Palatino Linotype" w:hAnsi="Palatino Linotype" w:eastAsia="Calibri"/>
                      <w:sz w:val="24"/>
                      <w:szCs w:val="24"/>
                    </w:rPr>
                    <w:t>Commissioners</w:t>
                  </w:r>
                </w:p>
              </w:tc>
            </w:tr>
          </w:tbl>
          <w:p w:rsidRPr="00817F00" w:rsidR="003F6C68" w:rsidP="005E105A" w:rsidRDefault="003F6C68" w14:paraId="21B1C461" w14:textId="77777777">
            <w:pPr>
              <w:rPr>
                <w:rFonts w:ascii="Palatino Linotype" w:hAnsi="Palatino Linotype"/>
                <w:sz w:val="24"/>
                <w:szCs w:val="24"/>
              </w:rPr>
            </w:pPr>
          </w:p>
          <w:p w:rsidRPr="00817F00" w:rsidR="003F6C68" w:rsidP="005E105A" w:rsidRDefault="003F6C68" w14:paraId="3BC772D0" w14:textId="77777777">
            <w:pPr>
              <w:rPr>
                <w:rFonts w:ascii="Palatino Linotype" w:hAnsi="Palatino Linotype"/>
                <w:sz w:val="24"/>
                <w:szCs w:val="24"/>
              </w:rPr>
            </w:pPr>
            <w:r w:rsidRPr="00817F00">
              <w:rPr>
                <w:rFonts w:ascii="Palatino Linotype" w:hAnsi="Palatino Linotype"/>
                <w:sz w:val="24"/>
                <w:szCs w:val="24"/>
              </w:rPr>
              <w:t xml:space="preserve"> </w:t>
            </w:r>
          </w:p>
        </w:tc>
        <w:tc>
          <w:tcPr>
            <w:tcW w:w="558" w:type="dxa"/>
          </w:tcPr>
          <w:p w:rsidRPr="00817F00" w:rsidR="003F6C68" w:rsidP="005E105A" w:rsidRDefault="003F6C68" w14:paraId="6D8C6A87" w14:textId="77777777">
            <w:pPr>
              <w:pStyle w:val="Heading6"/>
              <w:keepLines/>
              <w:jc w:val="center"/>
              <w:rPr>
                <w:rFonts w:ascii="Palatino Linotype" w:hAnsi="Palatino Linotype"/>
                <w:szCs w:val="24"/>
              </w:rPr>
            </w:pPr>
          </w:p>
        </w:tc>
        <w:bookmarkStart w:name="_GoBack" w:id="20"/>
        <w:bookmarkEnd w:id="20"/>
      </w:tr>
      <w:tr w:rsidRPr="00817F00" w:rsidR="003F6C68" w:rsidTr="005E105A" w14:paraId="189D6DB2" w14:textId="77777777">
        <w:tc>
          <w:tcPr>
            <w:tcW w:w="4032" w:type="dxa"/>
          </w:tcPr>
          <w:p w:rsidRPr="00817F00" w:rsidR="003F6C68" w:rsidP="005E105A" w:rsidRDefault="003F6C68" w14:paraId="284F2CEE" w14:textId="77777777">
            <w:pPr>
              <w:pStyle w:val="Heading6"/>
              <w:keepLines/>
              <w:jc w:val="left"/>
              <w:rPr>
                <w:rFonts w:ascii="Palatino Linotype" w:hAnsi="Palatino Linotype"/>
                <w:szCs w:val="24"/>
              </w:rPr>
            </w:pPr>
          </w:p>
        </w:tc>
        <w:tc>
          <w:tcPr>
            <w:tcW w:w="558" w:type="dxa"/>
          </w:tcPr>
          <w:p w:rsidRPr="00817F00" w:rsidR="003F6C68" w:rsidP="005E105A" w:rsidRDefault="003F6C68" w14:paraId="007B634F" w14:textId="77777777">
            <w:pPr>
              <w:pStyle w:val="Heading6"/>
              <w:keepLines/>
              <w:jc w:val="left"/>
              <w:rPr>
                <w:rFonts w:ascii="Palatino Linotype" w:hAnsi="Palatino Linotype"/>
                <w:szCs w:val="24"/>
              </w:rPr>
            </w:pPr>
          </w:p>
        </w:tc>
      </w:tr>
    </w:tbl>
    <w:p w:rsidRPr="00817F00" w:rsidR="003F6C68" w:rsidP="003F6C68" w:rsidRDefault="003F6C68" w14:paraId="6A860EA5" w14:textId="77777777">
      <w:pPr>
        <w:keepNext/>
        <w:keepLines/>
        <w:rPr>
          <w:rFonts w:ascii="Palatino Linotype" w:hAnsi="Palatino Linotype"/>
          <w:sz w:val="24"/>
          <w:szCs w:val="24"/>
        </w:rPr>
      </w:pPr>
      <w:r w:rsidRPr="00817F00">
        <w:rPr>
          <w:rFonts w:ascii="Palatino Linotype" w:hAnsi="Palatino Linotype"/>
          <w:sz w:val="24"/>
          <w:szCs w:val="24"/>
        </w:rPr>
        <w:br w:type="page"/>
      </w:r>
    </w:p>
    <w:p w:rsidRPr="00817F00" w:rsidR="003F6C68" w:rsidP="003F6C68" w:rsidRDefault="003F6C68" w14:paraId="33ECB223" w14:textId="77777777">
      <w:pPr>
        <w:keepNext/>
        <w:keepLines/>
        <w:rPr>
          <w:rFonts w:ascii="Palatino Linotype" w:hAnsi="Palatino Linotype"/>
          <w:sz w:val="24"/>
          <w:szCs w:val="24"/>
        </w:rPr>
        <w:sectPr w:rsidRPr="00817F00" w:rsidR="003F6C68" w:rsidSect="0098124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475" w:gutter="0"/>
          <w:pgNumType w:start="1"/>
          <w:cols w:space="720"/>
          <w:titlePg/>
          <w:docGrid w:linePitch="272"/>
        </w:sectPr>
      </w:pPr>
    </w:p>
    <w:p w:rsidRPr="00817F00" w:rsidR="003F6C68" w:rsidP="003F6C68" w:rsidRDefault="003F6C68" w14:paraId="1A7AB0F3" w14:textId="77777777">
      <w:pPr>
        <w:keepLines/>
        <w:widowControl w:val="0"/>
        <w:contextualSpacing/>
        <w:jc w:val="center"/>
        <w:rPr>
          <w:rFonts w:ascii="Palatino Linotype" w:hAnsi="Palatino Linotype"/>
          <w:sz w:val="24"/>
          <w:szCs w:val="24"/>
        </w:rPr>
      </w:pPr>
      <w:r w:rsidRPr="00817F00">
        <w:rPr>
          <w:rFonts w:ascii="Palatino Linotype" w:hAnsi="Palatino Linotype"/>
          <w:b/>
          <w:sz w:val="24"/>
          <w:szCs w:val="24"/>
        </w:rPr>
        <w:lastRenderedPageBreak/>
        <w:t>APPENDIX A</w:t>
      </w:r>
    </w:p>
    <w:p w:rsidRPr="00817F00" w:rsidR="003F6C68" w:rsidP="003F6C68" w:rsidRDefault="003F6C68" w14:paraId="6FE311A6" w14:textId="77777777">
      <w:pPr>
        <w:keepLines/>
        <w:jc w:val="center"/>
        <w:rPr>
          <w:rFonts w:ascii="Palatino Linotype" w:hAnsi="Palatino Linotype"/>
          <w:sz w:val="24"/>
          <w:szCs w:val="24"/>
        </w:rPr>
      </w:pPr>
      <w:r w:rsidRPr="00817F00">
        <w:rPr>
          <w:rFonts w:ascii="Palatino Linotype" w:hAnsi="Palatino Linotype"/>
          <w:b/>
          <w:sz w:val="24"/>
          <w:szCs w:val="24"/>
        </w:rPr>
        <w:t>Audit and Reporting Requirements</w:t>
      </w:r>
    </w:p>
    <w:p w:rsidRPr="00817F00" w:rsidR="003F6C68" w:rsidP="003F6C68" w:rsidRDefault="003F6C68" w14:paraId="7528F00F" w14:textId="77777777">
      <w:pPr>
        <w:keepLines/>
        <w:rPr>
          <w:rFonts w:ascii="Palatino Linotype" w:hAnsi="Palatino Linotype"/>
          <w:sz w:val="24"/>
          <w:szCs w:val="24"/>
        </w:rPr>
      </w:pPr>
    </w:p>
    <w:bookmarkEnd w:id="0"/>
    <w:p w:rsidRPr="00817F00" w:rsidR="003F6C68" w:rsidP="003F6C68" w:rsidRDefault="003F6C68" w14:paraId="3E8E58E0" w14:textId="77777777">
      <w:pPr>
        <w:pStyle w:val="Default"/>
        <w:rPr>
          <w:rFonts w:ascii="Palatino Linotype" w:hAnsi="Palatino Linotype" w:cs="Palatino Linotype"/>
          <w:b/>
          <w:bCs/>
        </w:rPr>
      </w:pPr>
      <w:r w:rsidRPr="00817F00">
        <w:rPr>
          <w:rFonts w:ascii="Palatino Linotype" w:hAnsi="Palatino Linotype" w:cs="Palatino Linotype"/>
          <w:b/>
          <w:bCs/>
        </w:rPr>
        <w:t xml:space="preserve">Project Audit </w:t>
      </w:r>
    </w:p>
    <w:p w:rsidRPr="00817F00" w:rsidR="003F6C68" w:rsidP="003F6C68" w:rsidRDefault="003F6C68" w14:paraId="75F452BA" w14:textId="77777777">
      <w:pPr>
        <w:pStyle w:val="Default"/>
        <w:rPr>
          <w:rFonts w:ascii="Palatino Linotype" w:hAnsi="Palatino Linotype" w:cs="Palatino Linotype"/>
        </w:rPr>
      </w:pPr>
    </w:p>
    <w:p w:rsidRPr="00817F00" w:rsidR="003F6C68" w:rsidP="003F6C68" w:rsidRDefault="003F6C68" w14:paraId="3916A31B" w14:textId="77777777">
      <w:pPr>
        <w:pStyle w:val="Default"/>
        <w:rPr>
          <w:rFonts w:ascii="Palatino Linotype" w:hAnsi="Palatino Linotype" w:cs="Palatino Linotype"/>
        </w:rPr>
      </w:pPr>
      <w:r w:rsidRPr="00817F00">
        <w:rPr>
          <w:rFonts w:ascii="Palatino Linotype" w:hAnsi="Palatino Linotype" w:cs="Palatino Linotype"/>
        </w:rPr>
        <w:t xml:space="preserve">The Commission has the right to conduct and enforce any necessary audit, verification, quality check, and discovery during and after the project implementation to ensure that CASF funds are spent in accordance with Commission approval. </w:t>
      </w:r>
    </w:p>
    <w:p w:rsidRPr="00817F00" w:rsidR="003F6C68" w:rsidP="003F6C68" w:rsidRDefault="003F6C68" w14:paraId="347C0E43" w14:textId="77777777">
      <w:pPr>
        <w:pStyle w:val="Default"/>
        <w:rPr>
          <w:rFonts w:ascii="Palatino Linotype" w:hAnsi="Palatino Linotype" w:cs="Palatino Linotype"/>
        </w:rPr>
      </w:pPr>
    </w:p>
    <w:p w:rsidRPr="00817F00" w:rsidR="003F6C68" w:rsidP="003F6C68" w:rsidRDefault="003F6C68" w14:paraId="163BF6CF" w14:textId="77777777">
      <w:pPr>
        <w:pStyle w:val="Default"/>
        <w:rPr>
          <w:rFonts w:ascii="Palatino Linotype" w:hAnsi="Palatino Linotype" w:cs="Palatino Linotype"/>
        </w:rPr>
      </w:pPr>
      <w:r w:rsidRPr="00817F00">
        <w:rPr>
          <w:rFonts w:ascii="Palatino Linotype" w:hAnsi="Palatino Linotype" w:cs="Palatino Linotype"/>
        </w:rPr>
        <w:t>NVCSS invoices will be subject to a financial audit by the Commission at any time within three years of completion of the project.</w:t>
      </w:r>
    </w:p>
    <w:p w:rsidRPr="00817F00" w:rsidR="003F6C68" w:rsidP="003F6C68" w:rsidRDefault="003F6C68" w14:paraId="15782E35" w14:textId="77777777">
      <w:pPr>
        <w:pStyle w:val="Default"/>
        <w:rPr>
          <w:rFonts w:ascii="Palatino Linotype" w:hAnsi="Palatino Linotype" w:cs="Palatino Linotype"/>
        </w:rPr>
      </w:pPr>
    </w:p>
    <w:p w:rsidRPr="00817F00" w:rsidR="003F6C68" w:rsidP="003F6C68" w:rsidRDefault="003F6C68" w14:paraId="3E9153E9" w14:textId="77777777">
      <w:pPr>
        <w:pStyle w:val="Default"/>
        <w:rPr>
          <w:rFonts w:ascii="Palatino Linotype" w:hAnsi="Palatino Linotype" w:cs="Palatino Linotype"/>
          <w:b/>
          <w:bCs/>
        </w:rPr>
      </w:pPr>
      <w:r w:rsidRPr="00817F00">
        <w:rPr>
          <w:rFonts w:ascii="Palatino Linotype" w:hAnsi="Palatino Linotype" w:cs="Palatino Linotype"/>
          <w:b/>
          <w:bCs/>
        </w:rPr>
        <w:t>Project Reporting Requirements</w:t>
      </w:r>
    </w:p>
    <w:p w:rsidRPr="00817F00" w:rsidR="003F6C68" w:rsidP="003F6C68" w:rsidRDefault="003F6C68" w14:paraId="684CF55F" w14:textId="77777777">
      <w:pPr>
        <w:pStyle w:val="Default"/>
        <w:rPr>
          <w:rFonts w:ascii="Palatino Linotype" w:hAnsi="Palatino Linotype" w:cs="Palatino Linotype"/>
        </w:rPr>
      </w:pPr>
    </w:p>
    <w:p w:rsidRPr="00817F00" w:rsidR="003F6C68" w:rsidP="003F6C68" w:rsidRDefault="003F6C68" w14:paraId="6B6E34A5" w14:textId="39A25BB9">
      <w:pPr>
        <w:pStyle w:val="Default"/>
        <w:rPr>
          <w:rFonts w:ascii="Palatino Linotype" w:hAnsi="Palatino Linotype" w:cs="Palatino Linotype"/>
        </w:rPr>
      </w:pPr>
      <w:r w:rsidRPr="00817F00">
        <w:rPr>
          <w:rFonts w:ascii="Palatino Linotype" w:hAnsi="Palatino Linotype" w:cs="Palatino Linotype"/>
        </w:rPr>
        <w:t xml:space="preserve">NVCSS must submit a project status report six months after the project award date if the project has not been completed, irrespective of whether NVCSS requests reimbursement or payment.  The project status report shall include the deployment schedule with major </w:t>
      </w:r>
      <w:r w:rsidRPr="00817F00" w:rsidR="001F3A27">
        <w:rPr>
          <w:rFonts w:ascii="Palatino Linotype" w:hAnsi="Palatino Linotype" w:cs="Palatino Linotype"/>
        </w:rPr>
        <w:t>milestones,</w:t>
      </w:r>
      <w:r w:rsidRPr="00817F00">
        <w:rPr>
          <w:rFonts w:ascii="Palatino Linotype" w:hAnsi="Palatino Linotype" w:cs="Palatino Linotype"/>
        </w:rPr>
        <w:t xml:space="preserve"> and it shall indicate the planned and actual completion date of each project task/milestone as well as any problems or issues encountered during implementation and the actions taken to resolve these issues/problems during project implementation and construction.  NVCSS must certify that each project status report is true and correct under penalty of perjury.  </w:t>
      </w:r>
    </w:p>
    <w:p w:rsidRPr="00817F00" w:rsidR="003F6C68" w:rsidP="003F6C68" w:rsidRDefault="003F6C68" w14:paraId="7DE696CC" w14:textId="77777777">
      <w:pPr>
        <w:pStyle w:val="Default"/>
        <w:rPr>
          <w:rFonts w:ascii="Palatino Linotype" w:hAnsi="Palatino Linotype" w:cs="Palatino Linotype"/>
        </w:rPr>
      </w:pPr>
    </w:p>
    <w:p w:rsidRPr="00817F00" w:rsidR="003F6C68" w:rsidP="003F6C68" w:rsidRDefault="003F6C68" w14:paraId="12340FDE" w14:textId="77777777">
      <w:pPr>
        <w:pStyle w:val="Default"/>
        <w:rPr>
          <w:rFonts w:ascii="Palatino Linotype" w:hAnsi="Palatino Linotype" w:cs="Palatino Linotype"/>
        </w:rPr>
      </w:pPr>
      <w:r w:rsidRPr="00817F00">
        <w:rPr>
          <w:rFonts w:ascii="Palatino Linotype" w:hAnsi="Palatino Linotype" w:cs="Palatino Linotype"/>
        </w:rPr>
        <w:t>NVCSS must submit a project completion report describing the total project cost, including engineering, planning, design, material costs, and an assessment of the average speed the internet service is delivering to a resident as per the grant requirements during the peak hours of 7 p.m. to 11 p.m.  NVCSS must include the screenshots of CalSPEED speed test results in its completion report.</w:t>
      </w:r>
    </w:p>
    <w:p w:rsidRPr="00817F00" w:rsidR="003F6C68" w:rsidP="003F6C68" w:rsidRDefault="003F6C68" w14:paraId="72515F95" w14:textId="77777777">
      <w:pPr>
        <w:pStyle w:val="Default"/>
        <w:rPr>
          <w:rFonts w:ascii="Palatino Linotype" w:hAnsi="Palatino Linotype" w:cs="Palatino Linotype"/>
        </w:rPr>
      </w:pPr>
    </w:p>
    <w:p w:rsidRPr="00817F00" w:rsidR="003F6C68" w:rsidP="003F6C68" w:rsidRDefault="003F6C68" w14:paraId="36CCD037" w14:textId="77777777">
      <w:pPr>
        <w:pStyle w:val="Default"/>
        <w:rPr>
          <w:rFonts w:ascii="Palatino Linotype" w:hAnsi="Palatino Linotype" w:cs="Palatino Linotype"/>
        </w:rPr>
      </w:pPr>
      <w:r w:rsidRPr="00817F00">
        <w:rPr>
          <w:rFonts w:ascii="Palatino Linotype" w:hAnsi="Palatino Linotype" w:cs="Palatino Linotype"/>
        </w:rPr>
        <w:t>NVCSS must certify that each project status and completion report is true and correct under penalty of perjury.</w:t>
      </w:r>
    </w:p>
    <w:p w:rsidRPr="00817F00" w:rsidR="003F6C68" w:rsidP="003F6C68" w:rsidRDefault="003F6C68" w14:paraId="6A5C95D6" w14:textId="77777777">
      <w:pPr>
        <w:pStyle w:val="Default"/>
        <w:rPr>
          <w:rFonts w:ascii="Palatino Linotype" w:hAnsi="Palatino Linotype" w:cs="Palatino Linotype"/>
        </w:rPr>
      </w:pPr>
    </w:p>
    <w:p w:rsidRPr="00817F00" w:rsidR="003F6C68" w:rsidP="003F6C68" w:rsidRDefault="003F6C68" w14:paraId="7CED13FF" w14:textId="5663B0FF">
      <w:pPr>
        <w:pStyle w:val="Default"/>
        <w:rPr>
          <w:rFonts w:ascii="Palatino Linotype" w:hAnsi="Palatino Linotype" w:cs="Palatino Linotype"/>
        </w:rPr>
      </w:pPr>
      <w:r w:rsidRPr="00817F00">
        <w:rPr>
          <w:rFonts w:ascii="Palatino Linotype" w:hAnsi="Palatino Linotype" w:cs="Palatino Linotype"/>
        </w:rPr>
        <w:t>NVCSS is required to operate and maintain the broadband network for five years after it has been successfully installed.  After installation, for a five year period, NVCSS must submit timely reports for every project awarded on a biennial basis showing the following three Key Performance Indicators: the average monthly percentage of uptime, the average monthly number of individual devices that access the system and average amount of data transferred over the network.</w:t>
      </w:r>
      <w:r w:rsidRPr="00817F00">
        <w:rPr>
          <w:rStyle w:val="FootnoteReference"/>
          <w:rFonts w:ascii="Palatino Linotype" w:hAnsi="Palatino Linotype" w:cs="Palatino Linotype"/>
        </w:rPr>
        <w:footnoteReference w:id="38"/>
      </w:r>
    </w:p>
    <w:p w:rsidRPr="00817F00" w:rsidR="003F6C68" w:rsidP="003F6C68" w:rsidRDefault="003F6C68" w14:paraId="2E251500" w14:textId="77777777">
      <w:pPr>
        <w:rPr>
          <w:rFonts w:ascii="Palatino Linotype" w:hAnsi="Palatino Linotype"/>
        </w:rPr>
        <w:sectPr w:rsidRPr="00817F00" w:rsidR="003F6C68" w:rsidSect="00F54F5E">
          <w:headerReference w:type="default" r:id="rId16"/>
          <w:footerReference w:type="default" r:id="rId17"/>
          <w:headerReference w:type="first" r:id="rId18"/>
          <w:footerReference w:type="first" r:id="rId19"/>
          <w:type w:val="continuous"/>
          <w:pgSz w:w="12240" w:h="15840" w:code="1"/>
          <w:pgMar w:top="1440" w:right="1440" w:bottom="1440" w:left="1440" w:header="720" w:footer="475" w:gutter="0"/>
          <w:pgNumType w:start="1"/>
          <w:cols w:space="720"/>
          <w:docGrid w:linePitch="272"/>
        </w:sectPr>
      </w:pPr>
    </w:p>
    <w:p w:rsidRPr="00817F00" w:rsidR="003F6C68" w:rsidP="003F6C68" w:rsidRDefault="003F6C68" w14:paraId="5FA3621C" w14:textId="77777777">
      <w:pPr>
        <w:keepLines/>
        <w:widowControl w:val="0"/>
        <w:contextualSpacing/>
        <w:jc w:val="center"/>
        <w:rPr>
          <w:rFonts w:ascii="Palatino Linotype" w:hAnsi="Palatino Linotype"/>
          <w:sz w:val="24"/>
          <w:szCs w:val="24"/>
        </w:rPr>
      </w:pPr>
      <w:r w:rsidRPr="00817F00">
        <w:rPr>
          <w:rFonts w:ascii="Palatino Linotype" w:hAnsi="Palatino Linotype"/>
          <w:b/>
          <w:sz w:val="24"/>
          <w:szCs w:val="24"/>
        </w:rPr>
        <w:lastRenderedPageBreak/>
        <w:t>APPENDIX B</w:t>
      </w:r>
    </w:p>
    <w:p w:rsidRPr="00817F00" w:rsidR="003F6C68" w:rsidP="003F6C68" w:rsidRDefault="003F6C68" w14:paraId="19F7C675" w14:textId="77777777">
      <w:pPr>
        <w:keepLines/>
        <w:jc w:val="center"/>
        <w:rPr>
          <w:rFonts w:ascii="Palatino Linotype" w:hAnsi="Palatino Linotype"/>
          <w:sz w:val="24"/>
          <w:szCs w:val="24"/>
        </w:rPr>
      </w:pPr>
      <w:r w:rsidRPr="00817F00">
        <w:rPr>
          <w:rFonts w:ascii="Palatino Linotype" w:hAnsi="Palatino Linotype"/>
          <w:b/>
          <w:sz w:val="24"/>
          <w:szCs w:val="24"/>
        </w:rPr>
        <w:t>Payments to CASF Recipients</w:t>
      </w:r>
    </w:p>
    <w:p w:rsidRPr="00817F00" w:rsidR="003F6C68" w:rsidP="003F6C68" w:rsidRDefault="003F6C68" w14:paraId="51853AC3" w14:textId="77777777">
      <w:pPr>
        <w:keepLines/>
        <w:rPr>
          <w:rFonts w:ascii="Palatino Linotype" w:hAnsi="Palatino Linotype"/>
          <w:sz w:val="24"/>
          <w:szCs w:val="24"/>
        </w:rPr>
      </w:pPr>
    </w:p>
    <w:p w:rsidRPr="00817F00" w:rsidR="003F6C68" w:rsidP="003F6C68" w:rsidRDefault="003F6C68" w14:paraId="7F2C36E2" w14:textId="02C80901">
      <w:pPr>
        <w:keepNext/>
        <w:keepLines/>
        <w:rPr>
          <w:rFonts w:ascii="Palatino Linotype" w:hAnsi="Palatino Linotype"/>
          <w:sz w:val="24"/>
          <w:szCs w:val="24"/>
        </w:rPr>
      </w:pPr>
      <w:r w:rsidRPr="00817F00">
        <w:rPr>
          <w:rFonts w:ascii="Palatino Linotype" w:hAnsi="Palatino Linotype"/>
          <w:sz w:val="24"/>
          <w:szCs w:val="24"/>
        </w:rPr>
        <w:t xml:space="preserve">Payment to NVCSS will be made upon project completion and the submission of a project completion report.  NVCSS may request payment for expenditures incurred during the first six months if NVCSS submits a </w:t>
      </w:r>
      <w:r w:rsidRPr="00817F00" w:rsidR="004B0240">
        <w:rPr>
          <w:rFonts w:ascii="Palatino Linotype" w:hAnsi="Palatino Linotype"/>
          <w:sz w:val="24"/>
          <w:szCs w:val="24"/>
        </w:rPr>
        <w:t>six-</w:t>
      </w:r>
      <w:r w:rsidRPr="00817F00">
        <w:rPr>
          <w:rFonts w:ascii="Palatino Linotype" w:hAnsi="Palatino Linotype"/>
          <w:sz w:val="24"/>
          <w:szCs w:val="24"/>
        </w:rPr>
        <w:t xml:space="preserve">month progress </w:t>
      </w:r>
      <w:r w:rsidRPr="00817F00" w:rsidR="001F3A27">
        <w:rPr>
          <w:rFonts w:ascii="Palatino Linotype" w:hAnsi="Palatino Linotype"/>
          <w:sz w:val="24"/>
          <w:szCs w:val="24"/>
        </w:rPr>
        <w:t>report and</w:t>
      </w:r>
      <w:r w:rsidRPr="00817F00">
        <w:rPr>
          <w:rFonts w:ascii="Palatino Linotype" w:hAnsi="Palatino Linotype"/>
          <w:sz w:val="24"/>
          <w:szCs w:val="24"/>
        </w:rPr>
        <w:t xml:space="preserve"> certifies that the progress report is true and correct under penalty of perjury.  </w:t>
      </w:r>
    </w:p>
    <w:p w:rsidRPr="00817F00" w:rsidR="003F6C68" w:rsidP="003F6C68" w:rsidRDefault="003F6C68" w14:paraId="5E427974" w14:textId="77777777">
      <w:pPr>
        <w:keepNext/>
        <w:keepLines/>
        <w:rPr>
          <w:rFonts w:ascii="Palatino Linotype" w:hAnsi="Palatino Linotype"/>
          <w:sz w:val="24"/>
          <w:szCs w:val="24"/>
        </w:rPr>
      </w:pPr>
    </w:p>
    <w:p w:rsidRPr="00817F00" w:rsidR="003F6C68" w:rsidP="003F6C68" w:rsidRDefault="003F6C68" w14:paraId="373A52FF" w14:textId="77777777">
      <w:pPr>
        <w:keepNext/>
        <w:keepLines/>
        <w:rPr>
          <w:rFonts w:ascii="Palatino Linotype" w:hAnsi="Palatino Linotype"/>
          <w:sz w:val="24"/>
          <w:szCs w:val="24"/>
          <w:highlight w:val="yellow"/>
        </w:rPr>
      </w:pPr>
      <w:r w:rsidRPr="00817F00">
        <w:rPr>
          <w:rFonts w:ascii="Palatino Linotype" w:hAnsi="Palatino Linotype"/>
          <w:sz w:val="24"/>
          <w:szCs w:val="24"/>
        </w:rPr>
        <w:t>Payment will be based upon receipt and approval of invoices/other supporting documents showing the expenditures incurred for the project in accordance with the CASF funding submitted by NVCSS in their application.</w:t>
      </w:r>
    </w:p>
    <w:p w:rsidRPr="00817F00" w:rsidR="003F6C68" w:rsidP="003F6C68" w:rsidRDefault="003F6C68" w14:paraId="538EE424" w14:textId="77777777">
      <w:pPr>
        <w:keepNext/>
        <w:keepLines/>
        <w:rPr>
          <w:rFonts w:ascii="Palatino Linotype" w:hAnsi="Palatino Linotype"/>
          <w:sz w:val="24"/>
          <w:szCs w:val="24"/>
        </w:rPr>
      </w:pPr>
    </w:p>
    <w:p w:rsidRPr="00817F00" w:rsidR="003F6C68" w:rsidP="003F6C68" w:rsidRDefault="003F6C68" w14:paraId="2BD31B50" w14:textId="77777777">
      <w:pPr>
        <w:keepNext/>
        <w:keepLines/>
        <w:rPr>
          <w:rFonts w:ascii="Palatino Linotype" w:hAnsi="Palatino Linotype"/>
          <w:sz w:val="24"/>
          <w:szCs w:val="24"/>
        </w:rPr>
      </w:pPr>
      <w:r w:rsidRPr="00817F00">
        <w:rPr>
          <w:rFonts w:ascii="Palatino Linotype" w:hAnsi="Palatino Linotype"/>
          <w:sz w:val="24"/>
          <w:szCs w:val="24"/>
        </w:rPr>
        <w:t>Payment to NVCSS will be made in accordance with, and within the time specified in California Government Code § 927 et seq.  The Commission generally processes payments within 20-25 business days, including Communications Division and Administrative Services review.  The State Controller’s Office (SCO) requires an additional 14-21 business days to issue payment from the day that requests are received by SCO from the Administrative Services.</w:t>
      </w:r>
      <w:r w:rsidRPr="00817F00">
        <w:rPr>
          <w:rStyle w:val="FootnoteReference"/>
          <w:rFonts w:ascii="Palatino Linotype" w:hAnsi="Palatino Linotype"/>
          <w:sz w:val="24"/>
          <w:szCs w:val="24"/>
        </w:rPr>
        <w:footnoteReference w:id="39"/>
      </w:r>
    </w:p>
    <w:p w:rsidRPr="00817F00" w:rsidR="003F6C68" w:rsidP="003F6C68" w:rsidRDefault="003F6C68" w14:paraId="5CCB848F" w14:textId="77777777">
      <w:pPr>
        <w:rPr>
          <w:rFonts w:ascii="Palatino Linotype" w:hAnsi="Palatino Linotype"/>
        </w:rPr>
      </w:pPr>
    </w:p>
    <w:p w:rsidRPr="00817F00" w:rsidR="003F6C68" w:rsidP="003F6C68" w:rsidRDefault="003F6C68" w14:paraId="06A93A25" w14:textId="77777777">
      <w:pPr>
        <w:rPr>
          <w:rFonts w:ascii="Palatino Linotype" w:hAnsi="Palatino Linotype"/>
        </w:rPr>
      </w:pPr>
    </w:p>
    <w:p w:rsidRPr="00817F00" w:rsidR="003D02B7" w:rsidP="003F6C68" w:rsidRDefault="003D02B7" w14:paraId="4E144512" w14:textId="7AAAA9BD">
      <w:pPr>
        <w:rPr>
          <w:rFonts w:ascii="Palatino Linotype" w:hAnsi="Palatino Linotype"/>
        </w:rPr>
      </w:pPr>
    </w:p>
    <w:sectPr w:rsidRPr="00817F00" w:rsidR="003D02B7" w:rsidSect="003D02B7">
      <w:headerReference w:type="default" r:id="rId20"/>
      <w:footerReference w:type="default" r:id="rId21"/>
      <w:pgSz w:w="12240" w:h="15840" w:code="1"/>
      <w:pgMar w:top="1440" w:right="1440" w:bottom="1440" w:left="1440" w:header="720" w:footer="475"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1011A" w16cex:dateUtc="2020-02-14T19:20:00Z"/>
  <w16cex:commentExtensible w16cex:durableId="21F10153" w16cex:dateUtc="2020-02-14T19:21:00Z"/>
  <w16cex:commentExtensible w16cex:durableId="21F1016E" w16cex:dateUtc="2020-02-14T19:22:00Z"/>
  <w16cex:commentExtensible w16cex:durableId="21F101ED" w16cex:dateUtc="2020-02-14T19:24:00Z"/>
  <w16cex:commentExtensible w16cex:durableId="21F1022B" w16cex:dateUtc="2020-02-14T1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1EB4" w14:textId="77777777" w:rsidR="00766AE2" w:rsidRDefault="00766AE2">
      <w:r>
        <w:separator/>
      </w:r>
    </w:p>
  </w:endnote>
  <w:endnote w:type="continuationSeparator" w:id="0">
    <w:p w14:paraId="541F5FA8" w14:textId="77777777" w:rsidR="00766AE2" w:rsidRDefault="0076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20000A87" w:usb1="08000000" w:usb2="00000008" w:usb3="00000000" w:csb0="000001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45F3" w14:textId="77777777" w:rsidR="00AC0C7E" w:rsidRDefault="00AC0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242071779"/>
      <w:docPartObj>
        <w:docPartGallery w:val="Page Numbers (Bottom of Page)"/>
        <w:docPartUnique/>
      </w:docPartObj>
    </w:sdtPr>
    <w:sdtEndPr>
      <w:rPr>
        <w:noProof/>
      </w:rPr>
    </w:sdtEndPr>
    <w:sdtContent>
      <w:p w14:paraId="42702DAF" w14:textId="77777777" w:rsidR="006F020A" w:rsidRPr="00ED1BE5" w:rsidRDefault="006F020A">
        <w:pPr>
          <w:pStyle w:val="Footer"/>
          <w:jc w:val="center"/>
          <w:rPr>
            <w:rFonts w:ascii="Palatino Linotype" w:hAnsi="Palatino Linotype"/>
          </w:rPr>
        </w:pPr>
        <w:r w:rsidRPr="00ED1BE5">
          <w:rPr>
            <w:rFonts w:ascii="Palatino Linotype" w:hAnsi="Palatino Linotype"/>
          </w:rPr>
          <w:fldChar w:fldCharType="begin"/>
        </w:r>
        <w:r w:rsidRPr="00ED1BE5">
          <w:rPr>
            <w:rFonts w:ascii="Palatino Linotype" w:hAnsi="Palatino Linotype"/>
          </w:rPr>
          <w:instrText xml:space="preserve"> PAGE   \* MERGEFORMAT </w:instrText>
        </w:r>
        <w:r w:rsidRPr="00ED1BE5">
          <w:rPr>
            <w:rFonts w:ascii="Palatino Linotype" w:hAnsi="Palatino Linotype"/>
          </w:rPr>
          <w:fldChar w:fldCharType="separate"/>
        </w:r>
        <w:r>
          <w:rPr>
            <w:rFonts w:ascii="Palatino Linotype" w:hAnsi="Palatino Linotype"/>
            <w:noProof/>
          </w:rPr>
          <w:t>7</w:t>
        </w:r>
        <w:r w:rsidRPr="00ED1BE5">
          <w:rPr>
            <w:rFonts w:ascii="Palatino Linotype" w:hAnsi="Palatino Linotype"/>
            <w:noProof/>
          </w:rPr>
          <w:fldChar w:fldCharType="end"/>
        </w:r>
      </w:p>
    </w:sdtContent>
  </w:sdt>
  <w:p w14:paraId="64957B3F" w14:textId="77777777" w:rsidR="006F020A" w:rsidRDefault="006F0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EA9D" w14:textId="5156FB92" w:rsidR="006F020A" w:rsidRPr="009361D8" w:rsidRDefault="00F7141F" w:rsidP="00E95ECC">
    <w:pPr>
      <w:pStyle w:val="Footer"/>
    </w:pPr>
    <w:r w:rsidRPr="00F7141F">
      <w:rPr>
        <w:rFonts w:ascii="Tahoma" w:hAnsi="Tahoma" w:cs="Tahoma"/>
      </w:rPr>
      <w:t>328447336</w:t>
    </w:r>
  </w:p>
  <w:p w14:paraId="7EFD3899" w14:textId="77777777" w:rsidR="006F020A" w:rsidRPr="00E95ECC" w:rsidRDefault="006F020A" w:rsidP="00E95E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534338"/>
      <w:docPartObj>
        <w:docPartGallery w:val="Page Numbers (Bottom of Page)"/>
        <w:docPartUnique/>
      </w:docPartObj>
    </w:sdtPr>
    <w:sdtEndPr>
      <w:rPr>
        <w:noProof/>
      </w:rPr>
    </w:sdtEndPr>
    <w:sdtContent>
      <w:p w14:paraId="6A7F1766" w14:textId="77777777" w:rsidR="006F020A" w:rsidRDefault="006F020A">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28B18B62" w14:textId="77777777" w:rsidR="006F020A" w:rsidRDefault="006F02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B92C" w14:textId="77777777" w:rsidR="006F020A" w:rsidRDefault="006F020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851561"/>
      <w:docPartObj>
        <w:docPartGallery w:val="Page Numbers (Bottom of Page)"/>
        <w:docPartUnique/>
      </w:docPartObj>
    </w:sdtPr>
    <w:sdtEndPr>
      <w:rPr>
        <w:noProof/>
      </w:rPr>
    </w:sdtEndPr>
    <w:sdtContent>
      <w:p w14:paraId="099AC46F" w14:textId="784EDFD2" w:rsidR="006F020A" w:rsidRDefault="006F020A">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14:paraId="116E7E90" w14:textId="77777777" w:rsidR="006F020A" w:rsidRDefault="006F0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AC020" w14:textId="77777777" w:rsidR="00766AE2" w:rsidRDefault="00766AE2">
      <w:r>
        <w:separator/>
      </w:r>
    </w:p>
  </w:footnote>
  <w:footnote w:type="continuationSeparator" w:id="0">
    <w:p w14:paraId="6A40623F" w14:textId="77777777" w:rsidR="00766AE2" w:rsidRDefault="00766AE2">
      <w:r>
        <w:continuationSeparator/>
      </w:r>
    </w:p>
  </w:footnote>
  <w:footnote w:id="1">
    <w:p w14:paraId="07D8DC3C" w14:textId="49D4CEF1" w:rsidR="006F020A" w:rsidRPr="00103BC4" w:rsidRDefault="006F020A">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In June 2019, NVCSS submitted its application stating that the project was planned and not yet under construction.  Staff has since learned that construction commenced in September 2019.  On February 10, 2020 NVCSS informed Staff that framing of the building is complete. </w:t>
      </w:r>
    </w:p>
  </w:footnote>
  <w:footnote w:id="2">
    <w:p w14:paraId="252848E7" w14:textId="77777777" w:rsidR="006F020A" w:rsidRPr="00103BC4" w:rsidRDefault="006F020A" w:rsidP="003F6C68">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w:t>
      </w:r>
      <w:r w:rsidRPr="00103BC4">
        <w:rPr>
          <w:rFonts w:ascii="Palatino Linotype" w:hAnsi="Palatino Linotype"/>
          <w:i/>
          <w:iCs/>
        </w:rPr>
        <w:t>Decision Implementing the California Advanced Services Fund Broadband Adoption, Public Housing and Loan Accounts Provisions</w:t>
      </w:r>
      <w:r w:rsidRPr="00103BC4">
        <w:rPr>
          <w:rFonts w:ascii="Palatino Linotype" w:hAnsi="Palatino Linotype"/>
        </w:rPr>
        <w:t xml:space="preserve"> [D.18-06-032] (2018), Appendix 2.</w:t>
      </w:r>
    </w:p>
  </w:footnote>
  <w:footnote w:id="3">
    <w:p w14:paraId="158186E2" w14:textId="32D29BF1" w:rsidR="006F020A" w:rsidRDefault="006F020A" w:rsidP="003F6C68">
      <w:pPr>
        <w:pStyle w:val="FootnoteText"/>
      </w:pPr>
      <w:r w:rsidRPr="00103BC4">
        <w:rPr>
          <w:rStyle w:val="FootnoteReference"/>
          <w:rFonts w:ascii="Palatino Linotype" w:hAnsi="Palatino Linotype"/>
        </w:rPr>
        <w:footnoteRef/>
      </w:r>
      <w:r w:rsidRPr="00103BC4">
        <w:rPr>
          <w:rFonts w:ascii="Palatino Linotype" w:hAnsi="Palatino Linotype"/>
        </w:rPr>
        <w:t xml:space="preserve"> Id. at p. 1.</w:t>
      </w:r>
      <w:r>
        <w:rPr>
          <w:rFonts w:ascii="Palatino Linotype" w:hAnsi="Palatino Linotype"/>
        </w:rPr>
        <w:t xml:space="preserve">  </w:t>
      </w:r>
    </w:p>
  </w:footnote>
  <w:footnote w:id="4">
    <w:p w14:paraId="25205216" w14:textId="05697221" w:rsidR="006F020A" w:rsidRPr="00103BC4" w:rsidRDefault="006F020A" w:rsidP="003F6C68">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D.18-06-032, Appendix 2, p. 3. </w:t>
      </w:r>
    </w:p>
  </w:footnote>
  <w:footnote w:id="5">
    <w:p w14:paraId="146541BB" w14:textId="01AAB8F2" w:rsidR="006F020A" w:rsidRPr="00103BC4" w:rsidRDefault="006F020A">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See </w:t>
      </w:r>
      <w:proofErr w:type="spellStart"/>
      <w:r w:rsidRPr="00103BC4">
        <w:rPr>
          <w:rFonts w:ascii="Palatino Linotype" w:hAnsi="Palatino Linotype"/>
        </w:rPr>
        <w:t>fn</w:t>
      </w:r>
      <w:proofErr w:type="spellEnd"/>
      <w:r w:rsidRPr="00103BC4">
        <w:rPr>
          <w:rFonts w:ascii="Palatino Linotype" w:hAnsi="Palatino Linotype"/>
        </w:rPr>
        <w:t xml:space="preserve"> 1. </w:t>
      </w:r>
    </w:p>
  </w:footnote>
  <w:footnote w:id="6">
    <w:p w14:paraId="63F9E27E" w14:textId="47ACF953" w:rsidR="006F020A" w:rsidRPr="00103BC4" w:rsidRDefault="006F020A" w:rsidP="003F6C68">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D.18-06-032, Appendix 2, p. 4  which states “Non-profit housing developers involved in limited partnerships with for profit entities participating may also be eligible, since the IRS considers an exempt organization's participation as a general partner in a limited partnership with for profit limited partners as consistent with the organization's exempt status under Internal Revenue Code Section 501(c)(3).”</w:t>
      </w:r>
    </w:p>
  </w:footnote>
  <w:footnote w:id="7">
    <w:p w14:paraId="0472E713" w14:textId="77777777" w:rsidR="006F020A" w:rsidRDefault="006F020A" w:rsidP="003F6C68">
      <w:pPr>
        <w:pStyle w:val="FootnoteText"/>
      </w:pPr>
      <w:r w:rsidRPr="00103BC4">
        <w:rPr>
          <w:rStyle w:val="FootnoteReference"/>
          <w:rFonts w:ascii="Palatino Linotype" w:hAnsi="Palatino Linotype"/>
        </w:rPr>
        <w:footnoteRef/>
      </w:r>
      <w:r w:rsidRPr="00103BC4">
        <w:rPr>
          <w:rFonts w:ascii="Palatino Linotype" w:hAnsi="Palatino Linotype"/>
        </w:rPr>
        <w:t xml:space="preserve"> Id</w:t>
      </w:r>
      <w:r w:rsidRPr="00103BC4">
        <w:rPr>
          <w:rFonts w:ascii="Palatino Linotype" w:hAnsi="Palatino Linotype"/>
          <w:i/>
          <w:iCs/>
        </w:rPr>
        <w:t>.</w:t>
      </w:r>
      <w:r w:rsidRPr="00103BC4">
        <w:rPr>
          <w:rFonts w:ascii="Palatino Linotype" w:hAnsi="Palatino Linotype"/>
        </w:rPr>
        <w:t xml:space="preserve"> at p. 3.</w:t>
      </w:r>
    </w:p>
  </w:footnote>
  <w:footnote w:id="8">
    <w:p w14:paraId="47177B93" w14:textId="77777777" w:rsidR="006F020A" w:rsidRPr="00223AED" w:rsidRDefault="006F020A" w:rsidP="003F6C68">
      <w:pPr>
        <w:pStyle w:val="FootnoteText"/>
        <w:rPr>
          <w:rFonts w:ascii="Palatino Linotype" w:hAnsi="Palatino Linotype"/>
        </w:rPr>
      </w:pPr>
      <w:r w:rsidRPr="00223AED">
        <w:rPr>
          <w:rStyle w:val="FootnoteReference"/>
          <w:rFonts w:ascii="Palatino Linotype" w:hAnsi="Palatino Linotype"/>
        </w:rPr>
        <w:footnoteRef/>
      </w:r>
      <w:r w:rsidRPr="00223AED">
        <w:rPr>
          <w:rFonts w:ascii="Palatino Linotype" w:hAnsi="Palatino Linotype"/>
        </w:rPr>
        <w:t xml:space="preserve"> </w:t>
      </w:r>
      <w:r w:rsidRPr="00AD0319">
        <w:rPr>
          <w:rFonts w:ascii="Palatino Linotype" w:hAnsi="Palatino Linotype"/>
        </w:rPr>
        <w:t>https://www.cpuc.ca.gov/General.aspx?id=908</w:t>
      </w:r>
    </w:p>
  </w:footnote>
  <w:footnote w:id="9">
    <w:p w14:paraId="6AEC8EAA" w14:textId="77777777" w:rsidR="006F020A" w:rsidRPr="0077491C" w:rsidRDefault="006F020A" w:rsidP="003F6C68">
      <w:pPr>
        <w:pStyle w:val="FootnoteText"/>
        <w:rPr>
          <w:rFonts w:ascii="Palatino Linotype" w:hAnsi="Palatino Linotype"/>
        </w:rPr>
      </w:pPr>
      <w:r w:rsidRPr="0077491C">
        <w:rPr>
          <w:rStyle w:val="FootnoteReference"/>
          <w:rFonts w:ascii="Palatino Linotype" w:hAnsi="Palatino Linotype"/>
        </w:rPr>
        <w:footnoteRef/>
      </w:r>
      <w:r w:rsidRPr="0077491C">
        <w:rPr>
          <w:rFonts w:ascii="Palatino Linotype" w:hAnsi="Palatino Linotype"/>
        </w:rPr>
        <w:t xml:space="preserve"> </w:t>
      </w:r>
      <w:r w:rsidRPr="0077491C">
        <w:rPr>
          <w:rFonts w:ascii="Palatino Linotype" w:hAnsi="Palatino Linotype"/>
          <w:i/>
          <w:iCs/>
        </w:rPr>
        <w:t>Charter Challenge to NVCSS BPHA Application</w:t>
      </w:r>
      <w:r w:rsidRPr="0077491C">
        <w:rPr>
          <w:rFonts w:ascii="Palatino Linotype" w:hAnsi="Palatino Linotype"/>
        </w:rPr>
        <w:t>, July 26, 2019</w:t>
      </w:r>
    </w:p>
  </w:footnote>
  <w:footnote w:id="10">
    <w:p w14:paraId="102A0EEA" w14:textId="77777777" w:rsidR="006F020A" w:rsidRPr="0077491C" w:rsidRDefault="006F020A" w:rsidP="003F6C68">
      <w:pPr>
        <w:pStyle w:val="FootnoteText"/>
        <w:rPr>
          <w:rFonts w:ascii="Palatino Linotype" w:hAnsi="Palatino Linotype"/>
        </w:rPr>
      </w:pPr>
      <w:r w:rsidRPr="0077491C">
        <w:rPr>
          <w:rStyle w:val="FootnoteReference"/>
          <w:rFonts w:ascii="Palatino Linotype" w:hAnsi="Palatino Linotype"/>
        </w:rPr>
        <w:footnoteRef/>
      </w:r>
      <w:r w:rsidRPr="0077491C">
        <w:rPr>
          <w:rFonts w:ascii="Palatino Linotype" w:hAnsi="Palatino Linotype"/>
        </w:rPr>
        <w:t xml:space="preserve"> </w:t>
      </w:r>
      <w:r w:rsidRPr="0077491C">
        <w:rPr>
          <w:rFonts w:ascii="Palatino Linotype" w:hAnsi="Palatino Linotype"/>
          <w:i/>
          <w:iCs/>
        </w:rPr>
        <w:t>Charter Challenge to Corrected NVCSS BPHA Application</w:t>
      </w:r>
      <w:r w:rsidRPr="0077491C">
        <w:rPr>
          <w:rFonts w:ascii="Palatino Linotype" w:hAnsi="Palatino Linotype"/>
        </w:rPr>
        <w:t>, September 17, 2019</w:t>
      </w:r>
    </w:p>
  </w:footnote>
  <w:footnote w:id="11">
    <w:p w14:paraId="388AE3ED" w14:textId="4BC6E6F0" w:rsidR="006F020A" w:rsidRPr="00103BC4" w:rsidRDefault="006F020A" w:rsidP="003F6C68">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w:t>
      </w:r>
      <w:r w:rsidRPr="00592C95">
        <w:rPr>
          <w:rFonts w:ascii="Palatino Linotype" w:hAnsi="Palatino Linotype"/>
        </w:rPr>
        <w:t xml:space="preserve">The existing apartment complex (‘The Woodlands’) is owned by PC Redding Apartments Limited Partnership of which NVCSS is a general partner.  </w:t>
      </w:r>
    </w:p>
  </w:footnote>
  <w:footnote w:id="12">
    <w:p w14:paraId="4356C86C" w14:textId="17A906EF" w:rsidR="006F020A" w:rsidRPr="00103BC4" w:rsidRDefault="006F020A" w:rsidP="003F6C68">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NVCSS stated (in an email from </w:t>
      </w:r>
      <w:r w:rsidRPr="003516FF">
        <w:rPr>
          <w:rFonts w:ascii="Palatino Linotype" w:hAnsi="Palatino Linotype"/>
        </w:rPr>
        <w:t>Stephanus Malaihollo</w:t>
      </w:r>
      <w:r>
        <w:rPr>
          <w:rFonts w:ascii="Palatino Linotype" w:hAnsi="Palatino Linotype"/>
        </w:rPr>
        <w:t>, Systems Engineer, Palm Communities</w:t>
      </w:r>
      <w:r w:rsidRPr="00103BC4">
        <w:rPr>
          <w:rFonts w:ascii="Palatino Linotype" w:hAnsi="Palatino Linotype"/>
        </w:rPr>
        <w:t xml:space="preserve">, December 17, 2019) that the Woodlands Apartments II Development is completely separate from the existing apartment development on the contiguous property as it is a different entity, has different investors and funding not tied to the previous development.  </w:t>
      </w:r>
    </w:p>
  </w:footnote>
  <w:footnote w:id="13">
    <w:p w14:paraId="475A454D" w14:textId="73CFCCAF" w:rsidR="006F020A" w:rsidRPr="00103BC4" w:rsidRDefault="006F020A">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See </w:t>
      </w:r>
      <w:proofErr w:type="spellStart"/>
      <w:r w:rsidRPr="00103BC4">
        <w:rPr>
          <w:rFonts w:ascii="Palatino Linotype" w:hAnsi="Palatino Linotype"/>
        </w:rPr>
        <w:t>fn</w:t>
      </w:r>
      <w:proofErr w:type="spellEnd"/>
      <w:r w:rsidRPr="00103BC4">
        <w:rPr>
          <w:rFonts w:ascii="Palatino Linotype" w:hAnsi="Palatino Linotype"/>
        </w:rPr>
        <w:t xml:space="preserve"> 1. </w:t>
      </w:r>
    </w:p>
  </w:footnote>
  <w:footnote w:id="14">
    <w:p w14:paraId="7353C274" w14:textId="1428880C" w:rsidR="006F020A" w:rsidRPr="00245160" w:rsidRDefault="006F020A" w:rsidP="003F6C68">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D.18-06-032, Appendix 2, p. 3. “A ‘minimum point of entry’ (MPOE) is either the closest practicable point to where the wiring crosses a property line or the closest practicable point to where the wiring enters a multiunit building or buildings.”</w:t>
      </w:r>
      <w:r w:rsidRPr="00245160">
        <w:rPr>
          <w:rFonts w:ascii="Palatino Linotype" w:hAnsi="Palatino Linotype"/>
        </w:rPr>
        <w:t xml:space="preserve">   </w:t>
      </w:r>
    </w:p>
  </w:footnote>
  <w:footnote w:id="15">
    <w:p w14:paraId="6F57D991" w14:textId="00B4AFD8" w:rsidR="006F020A" w:rsidRPr="0077491C" w:rsidRDefault="006F020A" w:rsidP="003F6C68">
      <w:pPr>
        <w:pStyle w:val="FootnoteText"/>
        <w:rPr>
          <w:rFonts w:ascii="Palatino Linotype" w:hAnsi="Palatino Linotype"/>
        </w:rPr>
      </w:pPr>
      <w:r w:rsidRPr="00245160">
        <w:rPr>
          <w:rStyle w:val="FootnoteReference"/>
          <w:rFonts w:ascii="Palatino Linotype" w:hAnsi="Palatino Linotype"/>
        </w:rPr>
        <w:footnoteRef/>
      </w:r>
      <w:r w:rsidRPr="00245160">
        <w:rPr>
          <w:rFonts w:ascii="Palatino Linotype" w:hAnsi="Palatino Linotype"/>
        </w:rPr>
        <w:t xml:space="preserve"> </w:t>
      </w:r>
      <w:r>
        <w:rPr>
          <w:rFonts w:ascii="Palatino Linotype" w:hAnsi="Palatino Linotype"/>
        </w:rPr>
        <w:t>Id. at</w:t>
      </w:r>
      <w:r w:rsidRPr="003D098D">
        <w:rPr>
          <w:rFonts w:ascii="Palatino Linotype" w:hAnsi="Palatino Linotype"/>
        </w:rPr>
        <w:t xml:space="preserve"> pp. 14-16.</w:t>
      </w:r>
    </w:p>
  </w:footnote>
  <w:footnote w:id="16">
    <w:p w14:paraId="18429294" w14:textId="2ECA980F" w:rsidR="006F020A" w:rsidRPr="00DF2043" w:rsidRDefault="006F020A" w:rsidP="003F6C68">
      <w:pPr>
        <w:pStyle w:val="FootnoteText"/>
        <w:rPr>
          <w:rFonts w:ascii="Palatino Linotype" w:hAnsi="Palatino Linotype"/>
        </w:rPr>
      </w:pPr>
      <w:r w:rsidRPr="00DF2043">
        <w:rPr>
          <w:rStyle w:val="FootnoteReference"/>
          <w:rFonts w:ascii="Palatino Linotype" w:hAnsi="Palatino Linotype"/>
        </w:rPr>
        <w:footnoteRef/>
      </w:r>
      <w:r w:rsidRPr="00DF2043">
        <w:rPr>
          <w:rFonts w:ascii="Palatino Linotype" w:hAnsi="Palatino Linotype"/>
        </w:rPr>
        <w:t xml:space="preserve"> CEQA Guidelines § 15061(b)(3) </w:t>
      </w:r>
    </w:p>
  </w:footnote>
  <w:footnote w:id="17">
    <w:p w14:paraId="07602737" w14:textId="2E69DE8C" w:rsidR="006F020A" w:rsidRPr="007C3A68" w:rsidRDefault="006F020A" w:rsidP="007C3A68">
      <w:bookmarkStart w:id="12" w:name="_Hlk32924781"/>
      <w:r w:rsidRPr="00DF2043">
        <w:rPr>
          <w:rStyle w:val="FootnoteReference"/>
          <w:rFonts w:ascii="Palatino Linotype" w:hAnsi="Palatino Linotype"/>
        </w:rPr>
        <w:footnoteRef/>
      </w:r>
      <w:r w:rsidRPr="00DF2043">
        <w:rPr>
          <w:rFonts w:ascii="Palatino Linotype" w:hAnsi="Palatino Linotype"/>
        </w:rPr>
        <w:t xml:space="preserve"> </w:t>
      </w:r>
      <w:r w:rsidRPr="00F8660B">
        <w:rPr>
          <w:rFonts w:ascii="Palatino Linotype" w:hAnsi="Palatino Linotype"/>
        </w:rPr>
        <w:t>Charter submitted comments on January 27, 2020. This complies with the Commission’s Rules of Practice and Procedure Rule 1.15, when a due date (January 26th) falls on a day the Commission is closed, the due date of these comments is automatically extended to the first day the Commission is open (January 27, 2020).  Staff realized that NVCSS was inadvertently left off the distribution list.</w:t>
      </w:r>
      <w:r>
        <w:rPr>
          <w:rFonts w:ascii="Palatino Linotype" w:hAnsi="Palatino Linotype"/>
        </w:rPr>
        <w:t xml:space="preserve"> </w:t>
      </w:r>
      <w:r w:rsidRPr="00F8660B">
        <w:rPr>
          <w:rFonts w:ascii="Palatino Linotype" w:hAnsi="Palatino Linotype"/>
        </w:rPr>
        <w:t xml:space="preserve"> NVCSS was not provided timely notice of the draft resolution, and therefore, did not submit comments by the January 27th due date.  Staff informed NVCSs of the omission and NVCSS elected (in an email from Stephanus Malaihollo, January 29, 2020) to forgo seeking an extension of time to submit comments, and thus effectively waived its right to comment on the draft </w:t>
      </w:r>
      <w:proofErr w:type="gramStart"/>
      <w:r w:rsidRPr="00F8660B">
        <w:rPr>
          <w:rFonts w:ascii="Palatino Linotype" w:hAnsi="Palatino Linotype"/>
        </w:rPr>
        <w:t xml:space="preserve">resolution.   </w:t>
      </w:r>
      <w:proofErr w:type="gramEnd"/>
      <w:r w:rsidRPr="00954704">
        <w:rPr>
          <w:rFonts w:ascii="Palatino Linotype" w:hAnsi="Palatino Linotype"/>
        </w:rPr>
        <w:t>.</w:t>
      </w:r>
      <w:r>
        <w:t xml:space="preserve">   </w:t>
      </w:r>
      <w:bookmarkEnd w:id="12"/>
    </w:p>
  </w:footnote>
  <w:footnote w:id="18">
    <w:p w14:paraId="67B18331" w14:textId="7B882883" w:rsidR="006F020A" w:rsidRPr="00DF2043" w:rsidRDefault="006F020A">
      <w:pPr>
        <w:pStyle w:val="FootnoteText"/>
        <w:rPr>
          <w:rFonts w:ascii="Palatino Linotype" w:hAnsi="Palatino Linotype"/>
        </w:rPr>
      </w:pPr>
      <w:r w:rsidRPr="00DF2043">
        <w:rPr>
          <w:rStyle w:val="FootnoteReference"/>
          <w:rFonts w:ascii="Palatino Linotype" w:hAnsi="Palatino Linotype"/>
        </w:rPr>
        <w:footnoteRef/>
      </w:r>
      <w:r w:rsidRPr="00DF2043">
        <w:rPr>
          <w:rFonts w:ascii="Palatino Linotype" w:hAnsi="Palatino Linotype"/>
        </w:rPr>
        <w:t xml:space="preserve"> Charter’s Comments to Draft Resolution T-17864, p. 3</w:t>
      </w:r>
      <w:r>
        <w:rPr>
          <w:rFonts w:ascii="Palatino Linotype" w:hAnsi="Palatino Linotype"/>
        </w:rPr>
        <w:t>.</w:t>
      </w:r>
    </w:p>
  </w:footnote>
  <w:footnote w:id="19">
    <w:p w14:paraId="52278287" w14:textId="6B39E5D0" w:rsidR="006F020A" w:rsidRPr="00DF2043" w:rsidRDefault="006F020A">
      <w:pPr>
        <w:pStyle w:val="FootnoteText"/>
        <w:rPr>
          <w:rFonts w:ascii="Palatino Linotype" w:hAnsi="Palatino Linotype"/>
        </w:rPr>
      </w:pPr>
      <w:r w:rsidRPr="00DF2043">
        <w:rPr>
          <w:rStyle w:val="FootnoteReference"/>
          <w:rFonts w:ascii="Palatino Linotype" w:hAnsi="Palatino Linotype"/>
        </w:rPr>
        <w:footnoteRef/>
      </w:r>
      <w:r w:rsidRPr="00DF2043">
        <w:rPr>
          <w:rFonts w:ascii="Palatino Linotype" w:hAnsi="Palatino Linotype"/>
        </w:rPr>
        <w:t xml:space="preserve"> </w:t>
      </w:r>
      <w:r w:rsidRPr="00245160">
        <w:rPr>
          <w:rFonts w:ascii="Palatino Linotype" w:hAnsi="Palatino Linotype"/>
        </w:rPr>
        <w:t>Id</w:t>
      </w:r>
      <w:r w:rsidRPr="00EB355F">
        <w:rPr>
          <w:rFonts w:ascii="Palatino Linotype" w:hAnsi="Palatino Linotype"/>
        </w:rPr>
        <w:t>.</w:t>
      </w:r>
      <w:r w:rsidRPr="00DF2043">
        <w:rPr>
          <w:rFonts w:ascii="Palatino Linotype" w:hAnsi="Palatino Linotype"/>
        </w:rPr>
        <w:t xml:space="preserve"> at </w:t>
      </w:r>
      <w:r>
        <w:rPr>
          <w:rFonts w:ascii="Palatino Linotype" w:hAnsi="Palatino Linotype"/>
        </w:rPr>
        <w:t xml:space="preserve">p. </w:t>
      </w:r>
      <w:r w:rsidRPr="00DF2043">
        <w:rPr>
          <w:rFonts w:ascii="Palatino Linotype" w:hAnsi="Palatino Linotype"/>
        </w:rPr>
        <w:t>3. Charter further states that a housing unit must exist for Staff to be able to determine whether commercially available broadband service is offered at the unit.</w:t>
      </w:r>
      <w:r>
        <w:rPr>
          <w:rFonts w:ascii="Palatino Linotype" w:hAnsi="Palatino Linotype"/>
        </w:rPr>
        <w:t xml:space="preserve"> </w:t>
      </w:r>
    </w:p>
  </w:footnote>
  <w:footnote w:id="20">
    <w:p w14:paraId="3433C8A7" w14:textId="3A695F6F" w:rsidR="006F020A" w:rsidRDefault="006F020A">
      <w:pPr>
        <w:pStyle w:val="FootnoteText"/>
      </w:pPr>
      <w:r w:rsidRPr="00DF2043">
        <w:rPr>
          <w:rStyle w:val="FootnoteReference"/>
          <w:rFonts w:ascii="Palatino Linotype" w:hAnsi="Palatino Linotype"/>
        </w:rPr>
        <w:footnoteRef/>
      </w:r>
      <w:r w:rsidRPr="00DF2043">
        <w:rPr>
          <w:rFonts w:ascii="Palatino Linotype" w:hAnsi="Palatino Linotype"/>
        </w:rPr>
        <w:t xml:space="preserve"> </w:t>
      </w:r>
      <w:r w:rsidRPr="0049088D">
        <w:rPr>
          <w:rFonts w:ascii="Palatino Linotype" w:hAnsi="Palatino Linotype"/>
        </w:rPr>
        <w:t>Id</w:t>
      </w:r>
      <w:r w:rsidRPr="00EB355F">
        <w:rPr>
          <w:rFonts w:ascii="Palatino Linotype" w:hAnsi="Palatino Linotype"/>
        </w:rPr>
        <w:t>.</w:t>
      </w:r>
      <w:r w:rsidRPr="00DF2043">
        <w:rPr>
          <w:rFonts w:ascii="Palatino Linotype" w:hAnsi="Palatino Linotype"/>
        </w:rPr>
        <w:t xml:space="preserve"> at </w:t>
      </w:r>
      <w:r>
        <w:rPr>
          <w:rFonts w:ascii="Palatino Linotype" w:hAnsi="Palatino Linotype"/>
        </w:rPr>
        <w:t xml:space="preserve">pp. </w:t>
      </w:r>
      <w:r w:rsidRPr="00DF2043">
        <w:rPr>
          <w:rFonts w:ascii="Palatino Linotype" w:hAnsi="Palatino Linotype"/>
        </w:rPr>
        <w:t>5-7.</w:t>
      </w:r>
    </w:p>
  </w:footnote>
  <w:footnote w:id="21">
    <w:p w14:paraId="263B7D36" w14:textId="4C242344" w:rsidR="006F020A" w:rsidRPr="00DF2043" w:rsidRDefault="006F020A" w:rsidP="001F2655">
      <w:pPr>
        <w:pStyle w:val="FootnoteText"/>
        <w:rPr>
          <w:rFonts w:ascii="Palatino Linotype" w:hAnsi="Palatino Linotype"/>
        </w:rPr>
      </w:pPr>
      <w:r w:rsidRPr="00DF2043">
        <w:rPr>
          <w:rStyle w:val="FootnoteReference"/>
          <w:rFonts w:ascii="Palatino Linotype" w:hAnsi="Palatino Linotype"/>
        </w:rPr>
        <w:footnoteRef/>
      </w:r>
      <w:r w:rsidRPr="00DF2043">
        <w:rPr>
          <w:rFonts w:ascii="Palatino Linotype" w:hAnsi="Palatino Linotype"/>
        </w:rPr>
        <w:t xml:space="preserve"> Id. </w:t>
      </w:r>
    </w:p>
  </w:footnote>
  <w:footnote w:id="22">
    <w:p w14:paraId="25A2E2DF" w14:textId="756DD9DC" w:rsidR="006F020A" w:rsidRPr="00DF2043" w:rsidRDefault="006F020A">
      <w:pPr>
        <w:pStyle w:val="FootnoteText"/>
        <w:rPr>
          <w:rFonts w:ascii="Palatino Linotype" w:hAnsi="Palatino Linotype"/>
        </w:rPr>
      </w:pPr>
      <w:r w:rsidRPr="00DF2043">
        <w:rPr>
          <w:rStyle w:val="FootnoteReference"/>
          <w:rFonts w:ascii="Palatino Linotype" w:hAnsi="Palatino Linotype"/>
        </w:rPr>
        <w:footnoteRef/>
      </w:r>
      <w:r w:rsidRPr="00DF2043">
        <w:rPr>
          <w:rFonts w:ascii="Palatino Linotype" w:hAnsi="Palatino Linotype"/>
        </w:rPr>
        <w:t xml:space="preserve"> </w:t>
      </w:r>
      <w:r>
        <w:rPr>
          <w:rFonts w:ascii="Palatino Linotype" w:hAnsi="Palatino Linotype"/>
        </w:rPr>
        <w:t>Id. at</w:t>
      </w:r>
      <w:r w:rsidRPr="00DF2043">
        <w:rPr>
          <w:rFonts w:ascii="Palatino Linotype" w:hAnsi="Palatino Linotype"/>
        </w:rPr>
        <w:t xml:space="preserve"> pp. 4-5.</w:t>
      </w:r>
    </w:p>
  </w:footnote>
  <w:footnote w:id="23">
    <w:p w14:paraId="53A02688" w14:textId="56D34EA0" w:rsidR="006F020A" w:rsidRPr="008E1B2F" w:rsidRDefault="006F020A">
      <w:pPr>
        <w:pStyle w:val="FootnoteText"/>
        <w:rPr>
          <w:rFonts w:ascii="Palatino Linotype" w:hAnsi="Palatino Linotype"/>
        </w:rPr>
      </w:pPr>
      <w:r w:rsidRPr="00DF2043">
        <w:rPr>
          <w:rStyle w:val="FootnoteReference"/>
          <w:rFonts w:ascii="Palatino Linotype" w:hAnsi="Palatino Linotype"/>
        </w:rPr>
        <w:footnoteRef/>
      </w:r>
      <w:r w:rsidRPr="00DF2043">
        <w:rPr>
          <w:rFonts w:ascii="Palatino Linotype" w:hAnsi="Palatino Linotype"/>
        </w:rPr>
        <w:t xml:space="preserve"> Pub. Util. Code, § 281(i)(3)(B)(i) and D.18-06-032, Appendix 2, p. 3.</w:t>
      </w:r>
    </w:p>
  </w:footnote>
  <w:footnote w:id="24">
    <w:p w14:paraId="07D165E3" w14:textId="3FFFBAA1" w:rsidR="006F020A" w:rsidRDefault="006F020A">
      <w:pPr>
        <w:pStyle w:val="FootnoteText"/>
      </w:pPr>
      <w:r w:rsidRPr="008E1B2F">
        <w:rPr>
          <w:rStyle w:val="FootnoteReference"/>
          <w:rFonts w:ascii="Palatino Linotype" w:hAnsi="Palatino Linotype"/>
        </w:rPr>
        <w:footnoteRef/>
      </w:r>
      <w:r w:rsidRPr="008E1B2F">
        <w:rPr>
          <w:rFonts w:ascii="Palatino Linotype" w:hAnsi="Palatino Linotype"/>
        </w:rPr>
        <w:t xml:space="preserve"> Resolution T-17864, pp. 3-4</w:t>
      </w:r>
      <w:r>
        <w:rPr>
          <w:rFonts w:ascii="Palatino Linotype" w:hAnsi="Palatino Linotype"/>
        </w:rPr>
        <w:t xml:space="preserve">; see also </w:t>
      </w:r>
      <w:proofErr w:type="spellStart"/>
      <w:r>
        <w:rPr>
          <w:rFonts w:ascii="Palatino Linotype" w:hAnsi="Palatino Linotype"/>
        </w:rPr>
        <w:t>fn</w:t>
      </w:r>
      <w:proofErr w:type="spellEnd"/>
      <w:r>
        <w:rPr>
          <w:rFonts w:ascii="Palatino Linotype" w:hAnsi="Palatino Linotype"/>
        </w:rPr>
        <w:t xml:space="preserve"> 1.</w:t>
      </w:r>
    </w:p>
  </w:footnote>
  <w:footnote w:id="25">
    <w:p w14:paraId="3C375994" w14:textId="0FE5B088" w:rsidR="006F020A" w:rsidRPr="008E1B2F" w:rsidRDefault="006F020A">
      <w:pPr>
        <w:pStyle w:val="FootnoteText"/>
        <w:rPr>
          <w:rFonts w:ascii="Palatino Linotype" w:hAnsi="Palatino Linotype"/>
        </w:rPr>
      </w:pPr>
      <w:r w:rsidRPr="008E1B2F">
        <w:rPr>
          <w:rStyle w:val="FootnoteReference"/>
          <w:rFonts w:ascii="Palatino Linotype" w:hAnsi="Palatino Linotype"/>
        </w:rPr>
        <w:footnoteRef/>
      </w:r>
      <w:r w:rsidRPr="008E1B2F">
        <w:rPr>
          <w:rFonts w:ascii="Palatino Linotype" w:hAnsi="Palatino Linotype"/>
        </w:rPr>
        <w:t xml:space="preserve"> Charter’s Comments, p. 3.</w:t>
      </w:r>
    </w:p>
  </w:footnote>
  <w:footnote w:id="26">
    <w:p w14:paraId="33A911FE" w14:textId="4D48D7E2" w:rsidR="006F020A" w:rsidRPr="00245160" w:rsidRDefault="006F020A" w:rsidP="00C21D6B">
      <w:pPr>
        <w:pStyle w:val="FootnoteText"/>
        <w:rPr>
          <w:rFonts w:ascii="Palatino Linotype" w:hAnsi="Palatino Linotype"/>
        </w:rPr>
      </w:pPr>
      <w:r w:rsidRPr="0077491C">
        <w:rPr>
          <w:rStyle w:val="FootnoteReference"/>
          <w:rFonts w:ascii="Palatino Linotype" w:hAnsi="Palatino Linotype"/>
        </w:rPr>
        <w:footnoteRef/>
      </w:r>
      <w:r w:rsidRPr="0077491C">
        <w:rPr>
          <w:rFonts w:ascii="Palatino Linotype" w:hAnsi="Palatino Linotype"/>
        </w:rPr>
        <w:t xml:space="preserve"> Pub. Util. Code, </w:t>
      </w:r>
      <w:r>
        <w:rPr>
          <w:rFonts w:ascii="Palatino Linotype" w:hAnsi="Palatino Linotype"/>
        </w:rPr>
        <w:t>section</w:t>
      </w:r>
      <w:r w:rsidRPr="0077491C">
        <w:rPr>
          <w:rFonts w:ascii="Palatino Linotype" w:hAnsi="Palatino Linotype"/>
        </w:rPr>
        <w:t xml:space="preserve"> 281(i) states, a “Publicly support community” or PSC, is defined as a publicly subsidized multifamily housing development.  Pub. Util. Code</w:t>
      </w:r>
      <w:r>
        <w:rPr>
          <w:rFonts w:ascii="Palatino Linotype" w:hAnsi="Palatino Linotype"/>
        </w:rPr>
        <w:t xml:space="preserve"> section</w:t>
      </w:r>
      <w:r w:rsidRPr="0077491C">
        <w:rPr>
          <w:rFonts w:ascii="Palatino Linotype" w:hAnsi="Palatino Linotype"/>
        </w:rPr>
        <w:t xml:space="preserve"> 281(i)(3)(A) further states, funding is provided to PSCs to finance projects to connect a broadband network to that PSC.  Whether or not Section 281 </w:t>
      </w:r>
      <w:r w:rsidRPr="008E1B2F">
        <w:rPr>
          <w:rFonts w:ascii="Palatino Linotype" w:hAnsi="Palatino Linotype"/>
        </w:rPr>
        <w:t xml:space="preserve">requires </w:t>
      </w:r>
      <w:r w:rsidRPr="00245160">
        <w:rPr>
          <w:rFonts w:ascii="Palatino Linotype" w:hAnsi="Palatino Linotype"/>
        </w:rPr>
        <w:t xml:space="preserve">the PSC to be constructed, is under construction or is constructed is not contemplated and has never be a determining factor for BPHA funding.  The statute and program guidelines do not state how an unconstructed project should be treated. The Commission has the discretion to determine whether an applicant is eligible for funding even though the development is under construction and housing units have not been built or wired for service </w:t>
      </w:r>
    </w:p>
  </w:footnote>
  <w:footnote w:id="27">
    <w:p w14:paraId="62CECDCC" w14:textId="7E8EDACE" w:rsidR="006F020A" w:rsidRPr="0077491C" w:rsidRDefault="006F020A">
      <w:pPr>
        <w:pStyle w:val="FootnoteText"/>
        <w:rPr>
          <w:rFonts w:ascii="Palatino Linotype" w:hAnsi="Palatino Linotype"/>
        </w:rPr>
      </w:pPr>
      <w:r w:rsidRPr="00245160">
        <w:rPr>
          <w:rStyle w:val="FootnoteReference"/>
          <w:rFonts w:ascii="Palatino Linotype" w:hAnsi="Palatino Linotype"/>
        </w:rPr>
        <w:footnoteRef/>
      </w:r>
      <w:r w:rsidRPr="00245160">
        <w:rPr>
          <w:rFonts w:ascii="Palatino Linotype" w:hAnsi="Palatino Linotype"/>
        </w:rPr>
        <w:t xml:space="preserve"> Senate Bill 745(Hueso), Stats. 2016, </w:t>
      </w:r>
      <w:proofErr w:type="spellStart"/>
      <w:r w:rsidRPr="00245160">
        <w:rPr>
          <w:rFonts w:ascii="Palatino Linotype" w:hAnsi="Palatino Linotype"/>
        </w:rPr>
        <w:t>ch.</w:t>
      </w:r>
      <w:proofErr w:type="spellEnd"/>
      <w:r w:rsidRPr="00245160">
        <w:rPr>
          <w:rFonts w:ascii="Palatino Linotype" w:hAnsi="Palatino Linotype"/>
        </w:rPr>
        <w:t xml:space="preserve"> 710 amending Pub. Util. Code, </w:t>
      </w:r>
      <w:r>
        <w:rPr>
          <w:rFonts w:ascii="Palatino Linotype" w:hAnsi="Palatino Linotype"/>
        </w:rPr>
        <w:t>sections</w:t>
      </w:r>
      <w:r w:rsidRPr="00245160">
        <w:rPr>
          <w:rFonts w:ascii="Palatino Linotype" w:hAnsi="Palatino Linotype"/>
        </w:rPr>
        <w:t xml:space="preserve"> 281 and 914.7.</w:t>
      </w:r>
    </w:p>
  </w:footnote>
  <w:footnote w:id="28">
    <w:p w14:paraId="504423E3" w14:textId="60907641" w:rsidR="006F020A" w:rsidRPr="00BB6E5F" w:rsidRDefault="006F020A">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The following projects for an installation of an broadband network in new housing developments (either in planned or under construction) were approved by expedited review: MidPen Housing Corporation Donner Lofts and Foster Square approved on 10/30/2015, MidPen Housing Corporation </w:t>
      </w:r>
      <w:r w:rsidRPr="00BB6E5F">
        <w:rPr>
          <w:rFonts w:ascii="Palatino Linotype" w:hAnsi="Palatino Linotype"/>
        </w:rPr>
        <w:t xml:space="preserve">Laguna Commons approved on 4/6/2016, MidPen Housing Celestina Gardens and St. Stephens Senior Housing approved on 11/8/2016, First Community Housing Second Street Studios approved on 3/2/2017, PEP Housing Sun House Senior approved on 3/7/2017, and Mercy Housing California 180 Beamer and 623 Vernon approved on 9/7/2017 </w:t>
      </w:r>
    </w:p>
  </w:footnote>
  <w:footnote w:id="29">
    <w:p w14:paraId="39301BBE" w14:textId="252C99F9" w:rsidR="006F020A" w:rsidRPr="00BB6E5F" w:rsidRDefault="006F020A">
      <w:pPr>
        <w:pStyle w:val="FootnoteText"/>
        <w:rPr>
          <w:rFonts w:ascii="Palatino Linotype" w:hAnsi="Palatino Linotype"/>
        </w:rPr>
      </w:pPr>
      <w:r w:rsidRPr="00BB6E5F">
        <w:rPr>
          <w:rStyle w:val="FootnoteReference"/>
          <w:rFonts w:ascii="Palatino Linotype" w:hAnsi="Palatino Linotype"/>
        </w:rPr>
        <w:footnoteRef/>
      </w:r>
      <w:r w:rsidRPr="00BB6E5F">
        <w:rPr>
          <w:rFonts w:ascii="Palatino Linotype" w:hAnsi="Palatino Linotype"/>
        </w:rPr>
        <w:t xml:space="preserve"> Charter’s Comments, pp. 3-6.</w:t>
      </w:r>
    </w:p>
  </w:footnote>
  <w:footnote w:id="30">
    <w:p w14:paraId="1F1FBB58" w14:textId="282C21CA" w:rsidR="006F020A" w:rsidRDefault="006F020A">
      <w:pPr>
        <w:pStyle w:val="FootnoteText"/>
      </w:pPr>
      <w:r w:rsidRPr="00BB6E5F">
        <w:rPr>
          <w:rStyle w:val="FootnoteReference"/>
          <w:rFonts w:ascii="Palatino Linotype" w:hAnsi="Palatino Linotype"/>
        </w:rPr>
        <w:footnoteRef/>
      </w:r>
      <w:r w:rsidRPr="00BB6E5F">
        <w:rPr>
          <w:rFonts w:ascii="Palatino Linotype" w:hAnsi="Palatino Linotype"/>
        </w:rPr>
        <w:t xml:space="preserve"> Other projects have been funded through the BPHA that were installations on contiguous properties with different limited partnerships listed as owners.  For example, CD awarded grants by expedited review for the installation of inside networks in the Sunnyview I and II apartment developments in Delano, CA.  These developments are physically contiguous to each other and are owned by different limited liability corporations whose managing general partner is the Central Valley Coalition for Affordable Housing.</w:t>
      </w:r>
      <w:r w:rsidRPr="00BB6E5F">
        <w:t xml:space="preserve">  </w:t>
      </w:r>
    </w:p>
  </w:footnote>
  <w:footnote w:id="31">
    <w:p w14:paraId="4908B9DD" w14:textId="263B4618" w:rsidR="006F020A" w:rsidRPr="00103BC4" w:rsidRDefault="006F020A">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w:t>
      </w:r>
      <w:proofErr w:type="gramStart"/>
      <w:r w:rsidRPr="00103BC4">
        <w:rPr>
          <w:rFonts w:ascii="Palatino Linotype" w:hAnsi="Palatino Linotype"/>
        </w:rPr>
        <w:t>Malaihollo ,</w:t>
      </w:r>
      <w:proofErr w:type="gramEnd"/>
      <w:r w:rsidRPr="00103BC4">
        <w:rPr>
          <w:rFonts w:ascii="Palatino Linotype" w:hAnsi="Palatino Linotype"/>
        </w:rPr>
        <w:t xml:space="preserve"> Stephanus “Woodlands II Project”.  </w:t>
      </w:r>
      <w:r>
        <w:rPr>
          <w:rFonts w:ascii="Palatino Linotype" w:hAnsi="Palatino Linotype"/>
        </w:rPr>
        <w:t xml:space="preserve">Email to Staff dated </w:t>
      </w:r>
      <w:r w:rsidRPr="00103BC4">
        <w:rPr>
          <w:rFonts w:ascii="Palatino Linotype" w:hAnsi="Palatino Linotype"/>
        </w:rPr>
        <w:t xml:space="preserve">January 22, 2020.  </w:t>
      </w:r>
    </w:p>
  </w:footnote>
  <w:footnote w:id="32">
    <w:p w14:paraId="229AFD03" w14:textId="4AFCDB76" w:rsidR="006F020A" w:rsidRPr="00103BC4" w:rsidRDefault="006F020A">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w:t>
      </w:r>
      <w:proofErr w:type="gramStart"/>
      <w:r w:rsidRPr="00103BC4">
        <w:rPr>
          <w:rFonts w:ascii="Palatino Linotype" w:hAnsi="Palatino Linotype"/>
        </w:rPr>
        <w:t>Malaihollo ,</w:t>
      </w:r>
      <w:proofErr w:type="gramEnd"/>
      <w:r w:rsidRPr="00103BC4">
        <w:rPr>
          <w:rFonts w:ascii="Palatino Linotype" w:hAnsi="Palatino Linotype"/>
        </w:rPr>
        <w:t xml:space="preserve"> Stephanus “Woodlands II Project”. </w:t>
      </w:r>
      <w:r>
        <w:rPr>
          <w:rFonts w:ascii="Palatino Linotype" w:hAnsi="Palatino Linotype"/>
        </w:rPr>
        <w:t xml:space="preserve">Email to Staff dated </w:t>
      </w:r>
      <w:r w:rsidRPr="00103BC4">
        <w:rPr>
          <w:rFonts w:ascii="Palatino Linotype" w:hAnsi="Palatino Linotype"/>
        </w:rPr>
        <w:t xml:space="preserve">December 17, 2019. </w:t>
      </w:r>
    </w:p>
  </w:footnote>
  <w:footnote w:id="33">
    <w:p w14:paraId="57976A35" w14:textId="308FBB3D" w:rsidR="006F020A" w:rsidRPr="00103BC4" w:rsidRDefault="006F020A">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In this situation, the </w:t>
      </w:r>
      <w:r>
        <w:rPr>
          <w:rFonts w:ascii="Palatino Linotype" w:hAnsi="Palatino Linotype"/>
        </w:rPr>
        <w:t>“</w:t>
      </w:r>
      <w:r w:rsidRPr="00103BC4">
        <w:rPr>
          <w:rFonts w:ascii="Palatino Linotype" w:hAnsi="Palatino Linotype"/>
        </w:rPr>
        <w:t>Point of Presence</w:t>
      </w:r>
      <w:r>
        <w:rPr>
          <w:rFonts w:ascii="Palatino Linotype" w:hAnsi="Palatino Linotype"/>
        </w:rPr>
        <w:t>”</w:t>
      </w:r>
      <w:r w:rsidRPr="00103BC4">
        <w:rPr>
          <w:rFonts w:ascii="Palatino Linotype" w:hAnsi="Palatino Linotype"/>
        </w:rPr>
        <w:t xml:space="preserve"> is the access point for the Operator’s existing network</w:t>
      </w:r>
    </w:p>
  </w:footnote>
  <w:footnote w:id="34">
    <w:p w14:paraId="17B3CAB6" w14:textId="72B3FB21" w:rsidR="006F020A" w:rsidRPr="00103BC4" w:rsidRDefault="006F020A" w:rsidP="009378DC">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w:t>
      </w:r>
      <w:r>
        <w:rPr>
          <w:rFonts w:ascii="Palatino Linotype" w:hAnsi="Palatino Linotype"/>
        </w:rPr>
        <w:t xml:space="preserve">Charter’s Comments, pp. </w:t>
      </w:r>
      <w:r w:rsidRPr="00103BC4">
        <w:rPr>
          <w:rFonts w:ascii="Palatino Linotype" w:hAnsi="Palatino Linotype"/>
        </w:rPr>
        <w:t xml:space="preserve"> 5-6. Charter further claims since the rules contemplate an existing structure, the application is premature and should be denied. (Id. at 7). </w:t>
      </w:r>
    </w:p>
  </w:footnote>
  <w:footnote w:id="35">
    <w:p w14:paraId="7FA9BB03" w14:textId="079EB77D" w:rsidR="006F020A" w:rsidRDefault="006F020A">
      <w:pPr>
        <w:pStyle w:val="FootnoteText"/>
      </w:pPr>
      <w:r w:rsidRPr="00103BC4">
        <w:rPr>
          <w:rStyle w:val="FootnoteReference"/>
          <w:rFonts w:ascii="Palatino Linotype" w:hAnsi="Palatino Linotype"/>
        </w:rPr>
        <w:footnoteRef/>
      </w:r>
      <w:r w:rsidRPr="00103BC4">
        <w:rPr>
          <w:rFonts w:ascii="Palatino Linotype" w:hAnsi="Palatino Linotype"/>
        </w:rPr>
        <w:t xml:space="preserve"> D.18-06-032, p. Appendix 2, pp. 6, 8.</w:t>
      </w:r>
    </w:p>
  </w:footnote>
  <w:footnote w:id="36">
    <w:p w14:paraId="601E8DF3" w14:textId="5E179741" w:rsidR="006F020A" w:rsidRPr="001438A7" w:rsidRDefault="006F020A">
      <w:pPr>
        <w:pStyle w:val="FootnoteText"/>
        <w:rPr>
          <w:rFonts w:ascii="Palatino Linotype" w:hAnsi="Palatino Linotype"/>
        </w:rPr>
      </w:pPr>
      <w:r w:rsidRPr="001438A7">
        <w:rPr>
          <w:rStyle w:val="FootnoteReference"/>
          <w:rFonts w:ascii="Palatino Linotype" w:hAnsi="Palatino Linotype"/>
        </w:rPr>
        <w:footnoteRef/>
      </w:r>
      <w:r w:rsidRPr="001438A7">
        <w:rPr>
          <w:rFonts w:ascii="Palatino Linotype" w:hAnsi="Palatino Linotype"/>
        </w:rPr>
        <w:t xml:space="preserve"> </w:t>
      </w:r>
      <w:hyperlink r:id="rId1" w:history="1">
        <w:r w:rsidRPr="001438A7">
          <w:rPr>
            <w:rStyle w:val="Hyperlink"/>
            <w:rFonts w:ascii="Palatino Linotype" w:hAnsi="Palatino Linotype"/>
          </w:rPr>
          <w:t>https://www.cpuc.ca.gov/General.aspx?id=908</w:t>
        </w:r>
      </w:hyperlink>
      <w:r w:rsidRPr="001438A7">
        <w:rPr>
          <w:rFonts w:ascii="Palatino Linotype" w:hAnsi="Palatino Linotype"/>
        </w:rPr>
        <w:t xml:space="preserve"> </w:t>
      </w:r>
    </w:p>
  </w:footnote>
  <w:footnote w:id="37">
    <w:p w14:paraId="1696524C" w14:textId="77777777" w:rsidR="006F020A" w:rsidRPr="00B11023" w:rsidRDefault="006F020A" w:rsidP="002A403D">
      <w:pPr>
        <w:pStyle w:val="FootnoteText"/>
        <w:rPr>
          <w:rFonts w:ascii="Palatino Linotype" w:hAnsi="Palatino Linotype"/>
        </w:rPr>
      </w:pPr>
      <w:r w:rsidRPr="001438A7">
        <w:rPr>
          <w:rStyle w:val="FootnoteReference"/>
          <w:rFonts w:ascii="Palatino Linotype" w:hAnsi="Palatino Linotype"/>
        </w:rPr>
        <w:footnoteRef/>
      </w:r>
      <w:r w:rsidRPr="001438A7">
        <w:rPr>
          <w:rFonts w:ascii="Palatino Linotype" w:hAnsi="Palatino Linotype"/>
        </w:rPr>
        <w:t xml:space="preserve"> Charter’s Comments, pp. 6-7.</w:t>
      </w:r>
    </w:p>
  </w:footnote>
  <w:footnote w:id="38">
    <w:p w14:paraId="4CFDF7D4" w14:textId="77777777" w:rsidR="006F020A" w:rsidRPr="00103BC4" w:rsidRDefault="006F020A" w:rsidP="003F6C68">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D.18-06-032, Appendix 2, pp. 17-18.</w:t>
      </w:r>
    </w:p>
  </w:footnote>
  <w:footnote w:id="39">
    <w:p w14:paraId="46196578" w14:textId="77777777" w:rsidR="006F020A" w:rsidRPr="00245160" w:rsidRDefault="006F020A" w:rsidP="003F6C68">
      <w:pPr>
        <w:pStyle w:val="FootnoteText"/>
        <w:rPr>
          <w:rFonts w:ascii="Palatino Linotype" w:hAnsi="Palatino Linotype"/>
        </w:rPr>
      </w:pPr>
      <w:r w:rsidRPr="00245160">
        <w:rPr>
          <w:rStyle w:val="FootnoteReference"/>
          <w:rFonts w:ascii="Palatino Linotype" w:hAnsi="Palatino Linotype"/>
        </w:rPr>
        <w:footnoteRef/>
      </w:r>
      <w:r w:rsidRPr="00245160">
        <w:rPr>
          <w:rFonts w:ascii="Palatino Linotype" w:hAnsi="Palatino Linotype"/>
        </w:rPr>
        <w:t xml:space="preserve"> D.18-06-032, Appendix 2, page 19 for full listing of payment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9F2D" w14:textId="77777777" w:rsidR="00AC0C7E" w:rsidRDefault="00AC0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842F" w14:textId="433666C5" w:rsidR="006F020A" w:rsidRDefault="006F020A" w:rsidP="00437C88">
    <w:pPr>
      <w:pStyle w:val="Header"/>
      <w:tabs>
        <w:tab w:val="clear" w:pos="4320"/>
        <w:tab w:val="clear" w:pos="8640"/>
        <w:tab w:val="center" w:pos="4680"/>
        <w:tab w:val="right" w:pos="9360"/>
      </w:tabs>
      <w:rPr>
        <w:rFonts w:ascii="Palatino Linotype" w:hAnsi="Palatino Linotype"/>
      </w:rPr>
    </w:pPr>
    <w:r w:rsidRPr="00CD57B4">
      <w:rPr>
        <w:rFonts w:ascii="Palatino Linotype" w:hAnsi="Palatino Linotype"/>
      </w:rPr>
      <w:t>Resolution T-</w:t>
    </w:r>
    <w:r>
      <w:rPr>
        <w:rFonts w:ascii="Palatino Linotype" w:hAnsi="Palatino Linotype"/>
      </w:rPr>
      <w:t>17684</w:t>
    </w:r>
    <w:r>
      <w:rPr>
        <w:rFonts w:ascii="Palatino Linotype" w:hAnsi="Palatino Linotype"/>
      </w:rPr>
      <w:tab/>
    </w:r>
    <w:r>
      <w:rPr>
        <w:rFonts w:ascii="Palatino Linotype" w:hAnsi="Palatino Linotype"/>
      </w:rPr>
      <w:tab/>
    </w:r>
    <w:r w:rsidRPr="00AC0C7E">
      <w:rPr>
        <w:rFonts w:ascii="Palatino Linotype" w:hAnsi="Palatino Linotype"/>
        <w:sz w:val="24"/>
        <w:szCs w:val="24"/>
      </w:rPr>
      <w:t>2/2</w:t>
    </w:r>
    <w:r w:rsidR="00923EFC" w:rsidRPr="00AC0C7E">
      <w:rPr>
        <w:rFonts w:ascii="Palatino Linotype" w:hAnsi="Palatino Linotype"/>
        <w:sz w:val="24"/>
        <w:szCs w:val="24"/>
      </w:rPr>
      <w:t>8</w:t>
    </w:r>
    <w:r w:rsidRPr="00AC0C7E">
      <w:rPr>
        <w:rFonts w:ascii="Palatino Linotype" w:hAnsi="Palatino Linotype"/>
        <w:sz w:val="24"/>
        <w:szCs w:val="24"/>
      </w:rPr>
      <w:t>/2020</w:t>
    </w:r>
  </w:p>
  <w:p w14:paraId="2D19E5E1" w14:textId="77777777" w:rsidR="006F020A" w:rsidRDefault="006F020A" w:rsidP="00437C88">
    <w:pPr>
      <w:pStyle w:val="Header"/>
    </w:pPr>
    <w:r>
      <w:t>CD/WG1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D473" w14:textId="34B54E00" w:rsidR="006F020A" w:rsidRPr="00AC0C7E" w:rsidRDefault="006F020A" w:rsidP="009008B2">
    <w:pPr>
      <w:pStyle w:val="Header"/>
      <w:tabs>
        <w:tab w:val="clear" w:pos="4320"/>
        <w:tab w:val="clear" w:pos="8640"/>
      </w:tabs>
      <w:rPr>
        <w:rFonts w:ascii="Palatino Linotype" w:hAnsi="Palatino Linotype"/>
        <w:sz w:val="24"/>
        <w:szCs w:val="24"/>
      </w:rPr>
    </w:pPr>
    <w:r w:rsidRPr="00AC0C7E">
      <w:rPr>
        <w:rFonts w:ascii="Palatino Linotype" w:hAnsi="Palatino Linotype"/>
        <w:sz w:val="24"/>
        <w:szCs w:val="24"/>
      </w:rPr>
      <w:t xml:space="preserve">Resolution T-17684                                                         </w:t>
    </w:r>
    <w:r w:rsidR="00AC0C7E">
      <w:rPr>
        <w:rFonts w:ascii="Palatino Linotype" w:hAnsi="Palatino Linotype"/>
        <w:sz w:val="24"/>
        <w:szCs w:val="24"/>
      </w:rPr>
      <w:t xml:space="preserve"> </w:t>
    </w:r>
    <w:r w:rsidRPr="00AC0C7E">
      <w:rPr>
        <w:rFonts w:ascii="Palatino Linotype" w:hAnsi="Palatino Linotype"/>
        <w:sz w:val="24"/>
        <w:szCs w:val="24"/>
      </w:rPr>
      <w:t xml:space="preserve">  Date of Issuance: </w:t>
    </w:r>
    <w:r w:rsidR="00C13804" w:rsidRPr="00AC0C7E">
      <w:rPr>
        <w:rFonts w:ascii="Palatino Linotype" w:hAnsi="Palatino Linotype"/>
        <w:sz w:val="24"/>
        <w:szCs w:val="24"/>
      </w:rPr>
      <w:t>February 28</w:t>
    </w:r>
    <w:r w:rsidRPr="00AC0C7E">
      <w:rPr>
        <w:rFonts w:ascii="Palatino Linotype" w:hAnsi="Palatino Linotype"/>
        <w:sz w:val="24"/>
        <w:szCs w:val="24"/>
      </w:rPr>
      <w:t xml:space="preserve">, 2020 </w:t>
    </w:r>
  </w:p>
  <w:p w14:paraId="6A2F31D1" w14:textId="7E58393A" w:rsidR="006F020A" w:rsidRPr="00CD57B4" w:rsidRDefault="006F020A" w:rsidP="00970C84">
    <w:pPr>
      <w:pStyle w:val="Header"/>
      <w:tabs>
        <w:tab w:val="clear" w:pos="4320"/>
        <w:tab w:val="clear" w:pos="8640"/>
        <w:tab w:val="left" w:pos="6930"/>
        <w:tab w:val="left" w:pos="8676"/>
      </w:tabs>
      <w:rPr>
        <w:rFonts w:ascii="Palatino Linotype" w:hAnsi="Palatino Linotype"/>
      </w:rPr>
    </w:pPr>
    <w:r w:rsidRPr="00CD57B4">
      <w:rPr>
        <w:rFonts w:ascii="Palatino Linotype" w:hAnsi="Palatino Linotype"/>
      </w:rPr>
      <w:t>CD/</w:t>
    </w:r>
    <w:r>
      <w:rPr>
        <w:rFonts w:ascii="Palatino Linotype" w:hAnsi="Palatino Linotype"/>
      </w:rPr>
      <w:t>WG1</w:t>
    </w:r>
    <w:r w:rsidRPr="00CD57B4">
      <w:rPr>
        <w:rFonts w:ascii="Palatino Linotype" w:hAnsi="Palatino Linotyp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86DF" w14:textId="77777777" w:rsidR="006F020A" w:rsidRDefault="006F020A" w:rsidP="00794163">
    <w:pPr>
      <w:pStyle w:val="Header"/>
      <w:tabs>
        <w:tab w:val="clear" w:pos="4320"/>
        <w:tab w:val="clear" w:pos="8640"/>
        <w:tab w:val="center" w:pos="4680"/>
        <w:tab w:val="right" w:pos="9360"/>
      </w:tabs>
      <w:rPr>
        <w:rFonts w:ascii="Palatino Linotype" w:hAnsi="Palatino Linotype"/>
      </w:rPr>
    </w:pPr>
    <w:r w:rsidRPr="00CD57B4">
      <w:rPr>
        <w:rFonts w:ascii="Palatino Linotype" w:hAnsi="Palatino Linotype"/>
      </w:rPr>
      <w:t>Resolution T-</w:t>
    </w:r>
    <w:r>
      <w:rPr>
        <w:rFonts w:ascii="Palatino Linotype" w:hAnsi="Palatino Linotype"/>
      </w:rPr>
      <w:t>17684</w:t>
    </w:r>
    <w:r>
      <w:rPr>
        <w:rFonts w:ascii="Palatino Linotype" w:hAnsi="Palatino Linotype"/>
      </w:rPr>
      <w:tab/>
    </w:r>
  </w:p>
  <w:p w14:paraId="22311F10" w14:textId="77777777" w:rsidR="006F020A" w:rsidRDefault="006F020A">
    <w:pPr>
      <w:pStyle w:val="Header"/>
    </w:pPr>
    <w:r>
      <w:t>CD/WG1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EAFE" w14:textId="77777777" w:rsidR="006F020A" w:rsidRPr="00CD57B4" w:rsidRDefault="006F020A" w:rsidP="009008B2">
    <w:pPr>
      <w:pStyle w:val="Header"/>
      <w:tabs>
        <w:tab w:val="clear" w:pos="4320"/>
        <w:tab w:val="clear" w:pos="8640"/>
      </w:tabs>
      <w:rPr>
        <w:rFonts w:ascii="Palatino Linotype" w:hAnsi="Palatino Linotype"/>
      </w:rPr>
    </w:pPr>
    <w:r w:rsidRPr="00CD57B4">
      <w:rPr>
        <w:rFonts w:ascii="Palatino Linotype" w:hAnsi="Palatino Linotype"/>
      </w:rPr>
      <w:t>Resolution T-</w:t>
    </w:r>
    <w:r>
      <w:rPr>
        <w:rFonts w:ascii="Palatino Linotype" w:hAnsi="Palatino Linotype"/>
      </w:rPr>
      <w:t>17684</w:t>
    </w:r>
    <w:r w:rsidRPr="00CD57B4">
      <w:rPr>
        <w:rFonts w:ascii="Palatino Linotype" w:hAnsi="Palatino Linotype"/>
      </w:rPr>
      <w:t xml:space="preserve">                                                    </w:t>
    </w:r>
  </w:p>
  <w:p w14:paraId="1D66FD93" w14:textId="77777777" w:rsidR="006F020A" w:rsidRPr="00CD57B4" w:rsidRDefault="006F020A" w:rsidP="00350F7D">
    <w:pPr>
      <w:pStyle w:val="Header"/>
      <w:tabs>
        <w:tab w:val="clear" w:pos="4320"/>
        <w:tab w:val="clear" w:pos="8640"/>
        <w:tab w:val="left" w:pos="6981"/>
        <w:tab w:val="left" w:pos="8676"/>
      </w:tabs>
      <w:rPr>
        <w:rFonts w:ascii="Palatino Linotype" w:hAnsi="Palatino Linotype"/>
      </w:rPr>
    </w:pPr>
    <w:r w:rsidRPr="00CD57B4">
      <w:rPr>
        <w:rFonts w:ascii="Palatino Linotype" w:hAnsi="Palatino Linotype"/>
      </w:rPr>
      <w:t>CD/</w:t>
    </w:r>
    <w:r>
      <w:rPr>
        <w:rFonts w:ascii="Palatino Linotype" w:hAnsi="Palatino Linotype"/>
      </w:rPr>
      <w:t>WG1</w:t>
    </w:r>
    <w:r w:rsidRPr="00CD57B4">
      <w:rPr>
        <w:rFonts w:ascii="Palatino Linotype" w:hAnsi="Palatino Linotyp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9F62" w14:textId="77777777" w:rsidR="006F020A" w:rsidRDefault="006F020A" w:rsidP="00794163">
    <w:pPr>
      <w:pStyle w:val="Header"/>
      <w:tabs>
        <w:tab w:val="clear" w:pos="4320"/>
        <w:tab w:val="clear" w:pos="8640"/>
        <w:tab w:val="center" w:pos="4680"/>
        <w:tab w:val="right" w:pos="9360"/>
      </w:tabs>
      <w:rPr>
        <w:rFonts w:ascii="Palatino Linotype" w:hAnsi="Palatino Linotype"/>
      </w:rPr>
    </w:pPr>
    <w:r w:rsidRPr="00CD57B4">
      <w:rPr>
        <w:rFonts w:ascii="Palatino Linotype" w:hAnsi="Palatino Linotype"/>
      </w:rPr>
      <w:t>Resolution T-</w:t>
    </w:r>
    <w:r>
      <w:rPr>
        <w:rFonts w:ascii="Palatino Linotype" w:hAnsi="Palatino Linotype"/>
      </w:rPr>
      <w:t>17684</w:t>
    </w:r>
    <w:r>
      <w:rPr>
        <w:rFonts w:ascii="Palatino Linotype" w:hAnsi="Palatino Linotype"/>
      </w:rPr>
      <w:tab/>
    </w:r>
  </w:p>
  <w:p w14:paraId="18A963D2" w14:textId="77777777" w:rsidR="006F020A" w:rsidRDefault="006F020A">
    <w:pPr>
      <w:pStyle w:val="Header"/>
    </w:pPr>
    <w:r>
      <w:t>CD/WG1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AA1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9A189F"/>
    <w:multiLevelType w:val="hybridMultilevel"/>
    <w:tmpl w:val="9CA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22EB4"/>
    <w:multiLevelType w:val="hybridMultilevel"/>
    <w:tmpl w:val="F716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05A83"/>
    <w:multiLevelType w:val="hybridMultilevel"/>
    <w:tmpl w:val="CA500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C7FD6"/>
    <w:multiLevelType w:val="hybridMultilevel"/>
    <w:tmpl w:val="8D9ABB6E"/>
    <w:lvl w:ilvl="0" w:tplc="F4C000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B35794"/>
    <w:multiLevelType w:val="hybridMultilevel"/>
    <w:tmpl w:val="3188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884EB0">
      <w:start w:val="1"/>
      <w:numFmt w:val="upperLetter"/>
      <w:lvlText w:val="%5."/>
      <w:lvlJc w:val="left"/>
      <w:pPr>
        <w:ind w:left="3600" w:hanging="360"/>
      </w:pPr>
      <w:rPr>
        <w:rFonts w:hint="default"/>
      </w:rPr>
    </w:lvl>
    <w:lvl w:ilvl="5" w:tplc="5BB0C0A8">
      <w:start w:val="2"/>
      <w:numFmt w:val="decimal"/>
      <w:lvlText w:val="%6"/>
      <w:lvlJc w:val="left"/>
      <w:pPr>
        <w:ind w:left="4500" w:hanging="360"/>
      </w:pPr>
      <w:rPr>
        <w:rFonts w:hint="default"/>
      </w:rPr>
    </w:lvl>
    <w:lvl w:ilvl="6" w:tplc="DA02FE66">
      <w:start w:val="2"/>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75048"/>
    <w:multiLevelType w:val="hybridMultilevel"/>
    <w:tmpl w:val="5F907A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119F3"/>
    <w:multiLevelType w:val="hybridMultilevel"/>
    <w:tmpl w:val="9BAE12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1"/>
  </w:num>
  <w:num w:numId="5">
    <w:abstractNumId w:val="4"/>
  </w:num>
  <w:num w:numId="6">
    <w:abstractNumId w:val="5"/>
  </w:num>
  <w:num w:numId="7">
    <w:abstractNumId w:val="2"/>
  </w:num>
  <w:num w:numId="8">
    <w:abstractNumId w:val="6"/>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hideSpellingErrors/>
  <w:hideGrammaticalErrors/>
  <w:activeWritingStyle w:lang="en-US" w:vendorID="64" w:dllVersion="0" w:nlCheck="1" w:checkStyle="0" w:appName="MSWord"/>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E0"/>
    <w:rsid w:val="0000006C"/>
    <w:rsid w:val="00000FF6"/>
    <w:rsid w:val="00001F9F"/>
    <w:rsid w:val="00004AC1"/>
    <w:rsid w:val="0000505C"/>
    <w:rsid w:val="000056B8"/>
    <w:rsid w:val="00010320"/>
    <w:rsid w:val="00010F27"/>
    <w:rsid w:val="0001168C"/>
    <w:rsid w:val="00011801"/>
    <w:rsid w:val="00012D8C"/>
    <w:rsid w:val="00014DA2"/>
    <w:rsid w:val="000156C0"/>
    <w:rsid w:val="00017839"/>
    <w:rsid w:val="0002089C"/>
    <w:rsid w:val="00021C6D"/>
    <w:rsid w:val="00023690"/>
    <w:rsid w:val="0002392F"/>
    <w:rsid w:val="000257DB"/>
    <w:rsid w:val="00027221"/>
    <w:rsid w:val="000306D3"/>
    <w:rsid w:val="000318AA"/>
    <w:rsid w:val="00031A9E"/>
    <w:rsid w:val="00033B03"/>
    <w:rsid w:val="00033CFC"/>
    <w:rsid w:val="000344BA"/>
    <w:rsid w:val="00034794"/>
    <w:rsid w:val="0003483D"/>
    <w:rsid w:val="00034F25"/>
    <w:rsid w:val="000352F8"/>
    <w:rsid w:val="0003549E"/>
    <w:rsid w:val="000357AA"/>
    <w:rsid w:val="00035E3D"/>
    <w:rsid w:val="00040369"/>
    <w:rsid w:val="000405BB"/>
    <w:rsid w:val="000415ED"/>
    <w:rsid w:val="000423BB"/>
    <w:rsid w:val="00043196"/>
    <w:rsid w:val="00043421"/>
    <w:rsid w:val="000439AA"/>
    <w:rsid w:val="00044637"/>
    <w:rsid w:val="00044E29"/>
    <w:rsid w:val="00047ADA"/>
    <w:rsid w:val="00047AEC"/>
    <w:rsid w:val="0005145F"/>
    <w:rsid w:val="00052EFE"/>
    <w:rsid w:val="000530CA"/>
    <w:rsid w:val="000547D4"/>
    <w:rsid w:val="00056173"/>
    <w:rsid w:val="00056365"/>
    <w:rsid w:val="00062137"/>
    <w:rsid w:val="00062BA3"/>
    <w:rsid w:val="0006447A"/>
    <w:rsid w:val="000650B4"/>
    <w:rsid w:val="00066D9A"/>
    <w:rsid w:val="00070B4F"/>
    <w:rsid w:val="00070C31"/>
    <w:rsid w:val="00071332"/>
    <w:rsid w:val="00071D87"/>
    <w:rsid w:val="000720D9"/>
    <w:rsid w:val="00072C38"/>
    <w:rsid w:val="00072E2B"/>
    <w:rsid w:val="000747DA"/>
    <w:rsid w:val="00075B58"/>
    <w:rsid w:val="000765A4"/>
    <w:rsid w:val="00077062"/>
    <w:rsid w:val="000777C4"/>
    <w:rsid w:val="00077FCA"/>
    <w:rsid w:val="000805E4"/>
    <w:rsid w:val="00081518"/>
    <w:rsid w:val="0008181B"/>
    <w:rsid w:val="000819D8"/>
    <w:rsid w:val="00081F88"/>
    <w:rsid w:val="000838E8"/>
    <w:rsid w:val="00085988"/>
    <w:rsid w:val="00091417"/>
    <w:rsid w:val="000914CB"/>
    <w:rsid w:val="000917FD"/>
    <w:rsid w:val="00092D3B"/>
    <w:rsid w:val="000940A1"/>
    <w:rsid w:val="0009506D"/>
    <w:rsid w:val="0009575D"/>
    <w:rsid w:val="000964DC"/>
    <w:rsid w:val="000A00CA"/>
    <w:rsid w:val="000A1EC4"/>
    <w:rsid w:val="000A25BA"/>
    <w:rsid w:val="000A2B5F"/>
    <w:rsid w:val="000A40F0"/>
    <w:rsid w:val="000A57F0"/>
    <w:rsid w:val="000A5DEE"/>
    <w:rsid w:val="000A687C"/>
    <w:rsid w:val="000B14DA"/>
    <w:rsid w:val="000B1791"/>
    <w:rsid w:val="000B2405"/>
    <w:rsid w:val="000B4609"/>
    <w:rsid w:val="000B57EB"/>
    <w:rsid w:val="000B58D7"/>
    <w:rsid w:val="000B6641"/>
    <w:rsid w:val="000B79A6"/>
    <w:rsid w:val="000C243E"/>
    <w:rsid w:val="000C26AC"/>
    <w:rsid w:val="000C2C61"/>
    <w:rsid w:val="000C4993"/>
    <w:rsid w:val="000C5796"/>
    <w:rsid w:val="000C6FB4"/>
    <w:rsid w:val="000D0745"/>
    <w:rsid w:val="000D0A50"/>
    <w:rsid w:val="000D130A"/>
    <w:rsid w:val="000D5DC0"/>
    <w:rsid w:val="000D5FBB"/>
    <w:rsid w:val="000D6E19"/>
    <w:rsid w:val="000D708B"/>
    <w:rsid w:val="000E20CF"/>
    <w:rsid w:val="000E3679"/>
    <w:rsid w:val="000E38B4"/>
    <w:rsid w:val="000E61AA"/>
    <w:rsid w:val="000E68DB"/>
    <w:rsid w:val="000E743E"/>
    <w:rsid w:val="000F1CBF"/>
    <w:rsid w:val="000F4C42"/>
    <w:rsid w:val="000F5D25"/>
    <w:rsid w:val="000F608D"/>
    <w:rsid w:val="000F6FCB"/>
    <w:rsid w:val="000F7781"/>
    <w:rsid w:val="0010030E"/>
    <w:rsid w:val="00103221"/>
    <w:rsid w:val="001035C9"/>
    <w:rsid w:val="00103BC4"/>
    <w:rsid w:val="00105398"/>
    <w:rsid w:val="00105476"/>
    <w:rsid w:val="00105694"/>
    <w:rsid w:val="00107B64"/>
    <w:rsid w:val="00107EC7"/>
    <w:rsid w:val="00111355"/>
    <w:rsid w:val="001115DE"/>
    <w:rsid w:val="00112392"/>
    <w:rsid w:val="001125C0"/>
    <w:rsid w:val="00112A02"/>
    <w:rsid w:val="00114A3F"/>
    <w:rsid w:val="0011514E"/>
    <w:rsid w:val="001153DA"/>
    <w:rsid w:val="0011550F"/>
    <w:rsid w:val="001171D3"/>
    <w:rsid w:val="00117E11"/>
    <w:rsid w:val="00117FB2"/>
    <w:rsid w:val="001209DA"/>
    <w:rsid w:val="00120D86"/>
    <w:rsid w:val="00121961"/>
    <w:rsid w:val="00122207"/>
    <w:rsid w:val="0012253F"/>
    <w:rsid w:val="00122757"/>
    <w:rsid w:val="00123950"/>
    <w:rsid w:val="00123FF2"/>
    <w:rsid w:val="00124B4E"/>
    <w:rsid w:val="00125F96"/>
    <w:rsid w:val="00126828"/>
    <w:rsid w:val="00126F72"/>
    <w:rsid w:val="001277E2"/>
    <w:rsid w:val="00127C6B"/>
    <w:rsid w:val="00127DFD"/>
    <w:rsid w:val="00130940"/>
    <w:rsid w:val="0013173C"/>
    <w:rsid w:val="00132A0F"/>
    <w:rsid w:val="001338FD"/>
    <w:rsid w:val="00134377"/>
    <w:rsid w:val="001352D4"/>
    <w:rsid w:val="00135BC9"/>
    <w:rsid w:val="00135E8E"/>
    <w:rsid w:val="0014004E"/>
    <w:rsid w:val="001401A6"/>
    <w:rsid w:val="00140F00"/>
    <w:rsid w:val="00141ED8"/>
    <w:rsid w:val="00142AE0"/>
    <w:rsid w:val="001438A7"/>
    <w:rsid w:val="00143960"/>
    <w:rsid w:val="00143E09"/>
    <w:rsid w:val="00145CF1"/>
    <w:rsid w:val="00147A43"/>
    <w:rsid w:val="001512B2"/>
    <w:rsid w:val="001521D7"/>
    <w:rsid w:val="00155630"/>
    <w:rsid w:val="00157A94"/>
    <w:rsid w:val="0016291D"/>
    <w:rsid w:val="00163C5B"/>
    <w:rsid w:val="00166028"/>
    <w:rsid w:val="00166990"/>
    <w:rsid w:val="00167674"/>
    <w:rsid w:val="001700F8"/>
    <w:rsid w:val="00173348"/>
    <w:rsid w:val="00174211"/>
    <w:rsid w:val="0017496E"/>
    <w:rsid w:val="00175E30"/>
    <w:rsid w:val="0017603F"/>
    <w:rsid w:val="00177CC3"/>
    <w:rsid w:val="00177DE4"/>
    <w:rsid w:val="00180361"/>
    <w:rsid w:val="001804FA"/>
    <w:rsid w:val="001818DE"/>
    <w:rsid w:val="00183A30"/>
    <w:rsid w:val="0018443D"/>
    <w:rsid w:val="0018595A"/>
    <w:rsid w:val="00186186"/>
    <w:rsid w:val="00187F3E"/>
    <w:rsid w:val="0019170E"/>
    <w:rsid w:val="001920CB"/>
    <w:rsid w:val="001929BB"/>
    <w:rsid w:val="001937E6"/>
    <w:rsid w:val="00193A91"/>
    <w:rsid w:val="0019419B"/>
    <w:rsid w:val="001949DE"/>
    <w:rsid w:val="00196EAA"/>
    <w:rsid w:val="001A0A84"/>
    <w:rsid w:val="001A11FC"/>
    <w:rsid w:val="001A125B"/>
    <w:rsid w:val="001A179B"/>
    <w:rsid w:val="001A2B69"/>
    <w:rsid w:val="001A6008"/>
    <w:rsid w:val="001A6191"/>
    <w:rsid w:val="001A6AB7"/>
    <w:rsid w:val="001A7FCF"/>
    <w:rsid w:val="001B017E"/>
    <w:rsid w:val="001B15DF"/>
    <w:rsid w:val="001B435F"/>
    <w:rsid w:val="001B457D"/>
    <w:rsid w:val="001B4E82"/>
    <w:rsid w:val="001B5972"/>
    <w:rsid w:val="001B6FB3"/>
    <w:rsid w:val="001B7302"/>
    <w:rsid w:val="001C022B"/>
    <w:rsid w:val="001C2B18"/>
    <w:rsid w:val="001C456C"/>
    <w:rsid w:val="001C53D6"/>
    <w:rsid w:val="001C55D9"/>
    <w:rsid w:val="001C5731"/>
    <w:rsid w:val="001D0847"/>
    <w:rsid w:val="001D26A2"/>
    <w:rsid w:val="001D2914"/>
    <w:rsid w:val="001D2DB5"/>
    <w:rsid w:val="001D3722"/>
    <w:rsid w:val="001D5325"/>
    <w:rsid w:val="001D54E3"/>
    <w:rsid w:val="001D62CF"/>
    <w:rsid w:val="001D69BA"/>
    <w:rsid w:val="001D7B71"/>
    <w:rsid w:val="001E1397"/>
    <w:rsid w:val="001E452A"/>
    <w:rsid w:val="001E4D38"/>
    <w:rsid w:val="001E5178"/>
    <w:rsid w:val="001E6072"/>
    <w:rsid w:val="001E7D7D"/>
    <w:rsid w:val="001F1346"/>
    <w:rsid w:val="001F2655"/>
    <w:rsid w:val="001F2C13"/>
    <w:rsid w:val="001F34F3"/>
    <w:rsid w:val="001F3A27"/>
    <w:rsid w:val="001F58AD"/>
    <w:rsid w:val="001F5F17"/>
    <w:rsid w:val="001F7E75"/>
    <w:rsid w:val="002002E2"/>
    <w:rsid w:val="00200D2C"/>
    <w:rsid w:val="002014A7"/>
    <w:rsid w:val="00201D00"/>
    <w:rsid w:val="002024F7"/>
    <w:rsid w:val="002032A0"/>
    <w:rsid w:val="00204269"/>
    <w:rsid w:val="0020426D"/>
    <w:rsid w:val="00204C4C"/>
    <w:rsid w:val="002056C5"/>
    <w:rsid w:val="00206C26"/>
    <w:rsid w:val="002102F7"/>
    <w:rsid w:val="00211095"/>
    <w:rsid w:val="002115BB"/>
    <w:rsid w:val="00211DF4"/>
    <w:rsid w:val="0021280C"/>
    <w:rsid w:val="00213EDC"/>
    <w:rsid w:val="00215EE2"/>
    <w:rsid w:val="002162BC"/>
    <w:rsid w:val="00217A33"/>
    <w:rsid w:val="00220332"/>
    <w:rsid w:val="00220DBF"/>
    <w:rsid w:val="00220E9F"/>
    <w:rsid w:val="002219B7"/>
    <w:rsid w:val="00222628"/>
    <w:rsid w:val="00222C1D"/>
    <w:rsid w:val="002230E5"/>
    <w:rsid w:val="00223BD4"/>
    <w:rsid w:val="002265A0"/>
    <w:rsid w:val="00227C93"/>
    <w:rsid w:val="00230076"/>
    <w:rsid w:val="00230A3D"/>
    <w:rsid w:val="0023120A"/>
    <w:rsid w:val="00231370"/>
    <w:rsid w:val="00231A18"/>
    <w:rsid w:val="00231F48"/>
    <w:rsid w:val="002329AB"/>
    <w:rsid w:val="00233EC9"/>
    <w:rsid w:val="002344F6"/>
    <w:rsid w:val="00234539"/>
    <w:rsid w:val="002346B2"/>
    <w:rsid w:val="00235411"/>
    <w:rsid w:val="002367F5"/>
    <w:rsid w:val="00236BDB"/>
    <w:rsid w:val="0023742C"/>
    <w:rsid w:val="00237CA6"/>
    <w:rsid w:val="0024101F"/>
    <w:rsid w:val="002425CC"/>
    <w:rsid w:val="002444AC"/>
    <w:rsid w:val="0024475D"/>
    <w:rsid w:val="00245160"/>
    <w:rsid w:val="00245CE9"/>
    <w:rsid w:val="00246A59"/>
    <w:rsid w:val="00247219"/>
    <w:rsid w:val="00247648"/>
    <w:rsid w:val="00250507"/>
    <w:rsid w:val="00252758"/>
    <w:rsid w:val="00252A6F"/>
    <w:rsid w:val="0025381F"/>
    <w:rsid w:val="00254598"/>
    <w:rsid w:val="0025583C"/>
    <w:rsid w:val="00257E8B"/>
    <w:rsid w:val="00262081"/>
    <w:rsid w:val="0026299E"/>
    <w:rsid w:val="00263B3F"/>
    <w:rsid w:val="00264629"/>
    <w:rsid w:val="00265A82"/>
    <w:rsid w:val="00266684"/>
    <w:rsid w:val="00267B73"/>
    <w:rsid w:val="002702F2"/>
    <w:rsid w:val="0027047A"/>
    <w:rsid w:val="00270607"/>
    <w:rsid w:val="00272CEA"/>
    <w:rsid w:val="002744C5"/>
    <w:rsid w:val="00275C99"/>
    <w:rsid w:val="00276537"/>
    <w:rsid w:val="00282408"/>
    <w:rsid w:val="00283B30"/>
    <w:rsid w:val="0028452A"/>
    <w:rsid w:val="00284CF1"/>
    <w:rsid w:val="00287A7B"/>
    <w:rsid w:val="00287DD6"/>
    <w:rsid w:val="002918BB"/>
    <w:rsid w:val="0029267A"/>
    <w:rsid w:val="002928A3"/>
    <w:rsid w:val="00292FEC"/>
    <w:rsid w:val="00293871"/>
    <w:rsid w:val="00293B34"/>
    <w:rsid w:val="0029496F"/>
    <w:rsid w:val="00295319"/>
    <w:rsid w:val="00295E2F"/>
    <w:rsid w:val="00296C5E"/>
    <w:rsid w:val="00296C78"/>
    <w:rsid w:val="00297069"/>
    <w:rsid w:val="002973D7"/>
    <w:rsid w:val="0029764D"/>
    <w:rsid w:val="002A1CCE"/>
    <w:rsid w:val="002A403D"/>
    <w:rsid w:val="002A4950"/>
    <w:rsid w:val="002A5409"/>
    <w:rsid w:val="002A6F0B"/>
    <w:rsid w:val="002B0811"/>
    <w:rsid w:val="002B09A5"/>
    <w:rsid w:val="002B2477"/>
    <w:rsid w:val="002B3887"/>
    <w:rsid w:val="002B458A"/>
    <w:rsid w:val="002B4A61"/>
    <w:rsid w:val="002B541F"/>
    <w:rsid w:val="002B5D7F"/>
    <w:rsid w:val="002B70C4"/>
    <w:rsid w:val="002B7B6F"/>
    <w:rsid w:val="002C04CB"/>
    <w:rsid w:val="002C1C13"/>
    <w:rsid w:val="002C2431"/>
    <w:rsid w:val="002C254F"/>
    <w:rsid w:val="002C3CB6"/>
    <w:rsid w:val="002C5D67"/>
    <w:rsid w:val="002C6E93"/>
    <w:rsid w:val="002D2289"/>
    <w:rsid w:val="002D3F8F"/>
    <w:rsid w:val="002D45EF"/>
    <w:rsid w:val="002D4A5B"/>
    <w:rsid w:val="002D6253"/>
    <w:rsid w:val="002E218D"/>
    <w:rsid w:val="002E5447"/>
    <w:rsid w:val="002E5C0D"/>
    <w:rsid w:val="002E693B"/>
    <w:rsid w:val="002E6C48"/>
    <w:rsid w:val="002E7884"/>
    <w:rsid w:val="002E7F69"/>
    <w:rsid w:val="002F076D"/>
    <w:rsid w:val="002F1116"/>
    <w:rsid w:val="002F192D"/>
    <w:rsid w:val="002F19CE"/>
    <w:rsid w:val="002F24EA"/>
    <w:rsid w:val="002F2A79"/>
    <w:rsid w:val="002F4843"/>
    <w:rsid w:val="002F6EC7"/>
    <w:rsid w:val="002F72EC"/>
    <w:rsid w:val="003012F9"/>
    <w:rsid w:val="00301DBC"/>
    <w:rsid w:val="0030352A"/>
    <w:rsid w:val="0030380E"/>
    <w:rsid w:val="003047CC"/>
    <w:rsid w:val="00304BEF"/>
    <w:rsid w:val="00306078"/>
    <w:rsid w:val="003071C6"/>
    <w:rsid w:val="00307C7D"/>
    <w:rsid w:val="00307ED1"/>
    <w:rsid w:val="00310F6F"/>
    <w:rsid w:val="00311628"/>
    <w:rsid w:val="00313167"/>
    <w:rsid w:val="003137C6"/>
    <w:rsid w:val="00313810"/>
    <w:rsid w:val="003150E8"/>
    <w:rsid w:val="0032012C"/>
    <w:rsid w:val="00320A18"/>
    <w:rsid w:val="003223B7"/>
    <w:rsid w:val="0032372D"/>
    <w:rsid w:val="003262B2"/>
    <w:rsid w:val="003269F7"/>
    <w:rsid w:val="00330AA7"/>
    <w:rsid w:val="00330DF0"/>
    <w:rsid w:val="0033114D"/>
    <w:rsid w:val="00335C30"/>
    <w:rsid w:val="0033713A"/>
    <w:rsid w:val="00337723"/>
    <w:rsid w:val="0034288E"/>
    <w:rsid w:val="00344B0A"/>
    <w:rsid w:val="00345AC7"/>
    <w:rsid w:val="0034650B"/>
    <w:rsid w:val="003473AE"/>
    <w:rsid w:val="00347F07"/>
    <w:rsid w:val="00350F7D"/>
    <w:rsid w:val="003513A9"/>
    <w:rsid w:val="003516FF"/>
    <w:rsid w:val="0035177F"/>
    <w:rsid w:val="00355B02"/>
    <w:rsid w:val="003566D4"/>
    <w:rsid w:val="003577EF"/>
    <w:rsid w:val="00357A9F"/>
    <w:rsid w:val="00360BDD"/>
    <w:rsid w:val="00360D94"/>
    <w:rsid w:val="00361BCB"/>
    <w:rsid w:val="0036225A"/>
    <w:rsid w:val="00365AB0"/>
    <w:rsid w:val="00365B1A"/>
    <w:rsid w:val="00366D96"/>
    <w:rsid w:val="003676AB"/>
    <w:rsid w:val="00367BEB"/>
    <w:rsid w:val="00371692"/>
    <w:rsid w:val="003732DB"/>
    <w:rsid w:val="003739ED"/>
    <w:rsid w:val="00374405"/>
    <w:rsid w:val="003768A4"/>
    <w:rsid w:val="003777CC"/>
    <w:rsid w:val="00377B54"/>
    <w:rsid w:val="00381773"/>
    <w:rsid w:val="00382043"/>
    <w:rsid w:val="00382328"/>
    <w:rsid w:val="00382ECD"/>
    <w:rsid w:val="00384C32"/>
    <w:rsid w:val="00384EF7"/>
    <w:rsid w:val="00385422"/>
    <w:rsid w:val="00385F7F"/>
    <w:rsid w:val="00386BEC"/>
    <w:rsid w:val="003961B6"/>
    <w:rsid w:val="00396794"/>
    <w:rsid w:val="00397767"/>
    <w:rsid w:val="003A04B9"/>
    <w:rsid w:val="003A16F9"/>
    <w:rsid w:val="003A2147"/>
    <w:rsid w:val="003A43E5"/>
    <w:rsid w:val="003A4E0D"/>
    <w:rsid w:val="003A5285"/>
    <w:rsid w:val="003A5381"/>
    <w:rsid w:val="003A6443"/>
    <w:rsid w:val="003A735B"/>
    <w:rsid w:val="003B056C"/>
    <w:rsid w:val="003B3C7E"/>
    <w:rsid w:val="003B46FF"/>
    <w:rsid w:val="003B64AB"/>
    <w:rsid w:val="003B6B2F"/>
    <w:rsid w:val="003C1EE9"/>
    <w:rsid w:val="003C1F8C"/>
    <w:rsid w:val="003C2C95"/>
    <w:rsid w:val="003C382C"/>
    <w:rsid w:val="003C6D4B"/>
    <w:rsid w:val="003C6E47"/>
    <w:rsid w:val="003D02B7"/>
    <w:rsid w:val="003D098D"/>
    <w:rsid w:val="003D0F12"/>
    <w:rsid w:val="003D1456"/>
    <w:rsid w:val="003D20F2"/>
    <w:rsid w:val="003D21A0"/>
    <w:rsid w:val="003D2F9E"/>
    <w:rsid w:val="003D30BC"/>
    <w:rsid w:val="003D4BED"/>
    <w:rsid w:val="003D4D59"/>
    <w:rsid w:val="003D5FBB"/>
    <w:rsid w:val="003D6AE4"/>
    <w:rsid w:val="003E25EC"/>
    <w:rsid w:val="003E3872"/>
    <w:rsid w:val="003E4F74"/>
    <w:rsid w:val="003E79F3"/>
    <w:rsid w:val="003F0490"/>
    <w:rsid w:val="003F0779"/>
    <w:rsid w:val="003F18E5"/>
    <w:rsid w:val="003F2F66"/>
    <w:rsid w:val="003F4337"/>
    <w:rsid w:val="003F4A10"/>
    <w:rsid w:val="003F64AC"/>
    <w:rsid w:val="003F68E6"/>
    <w:rsid w:val="003F6C20"/>
    <w:rsid w:val="003F6C68"/>
    <w:rsid w:val="00402547"/>
    <w:rsid w:val="00402971"/>
    <w:rsid w:val="0040512E"/>
    <w:rsid w:val="00406134"/>
    <w:rsid w:val="004104F9"/>
    <w:rsid w:val="00411858"/>
    <w:rsid w:val="00412326"/>
    <w:rsid w:val="004146FE"/>
    <w:rsid w:val="00414A8D"/>
    <w:rsid w:val="004177AE"/>
    <w:rsid w:val="004210DC"/>
    <w:rsid w:val="00421E3D"/>
    <w:rsid w:val="00421F53"/>
    <w:rsid w:val="004221C4"/>
    <w:rsid w:val="00422638"/>
    <w:rsid w:val="0042307C"/>
    <w:rsid w:val="004234B5"/>
    <w:rsid w:val="00425CF4"/>
    <w:rsid w:val="00427D18"/>
    <w:rsid w:val="00427E45"/>
    <w:rsid w:val="00432638"/>
    <w:rsid w:val="00435B6D"/>
    <w:rsid w:val="004361E7"/>
    <w:rsid w:val="004376D6"/>
    <w:rsid w:val="00437C88"/>
    <w:rsid w:val="00437E3A"/>
    <w:rsid w:val="00440686"/>
    <w:rsid w:val="00441A6E"/>
    <w:rsid w:val="00441B53"/>
    <w:rsid w:val="00444A5A"/>
    <w:rsid w:val="0044523D"/>
    <w:rsid w:val="004465F9"/>
    <w:rsid w:val="00447DB4"/>
    <w:rsid w:val="00454E8D"/>
    <w:rsid w:val="00456BA8"/>
    <w:rsid w:val="00456C66"/>
    <w:rsid w:val="00457A15"/>
    <w:rsid w:val="00460116"/>
    <w:rsid w:val="00460581"/>
    <w:rsid w:val="00460CC5"/>
    <w:rsid w:val="00461481"/>
    <w:rsid w:val="00461656"/>
    <w:rsid w:val="004621D5"/>
    <w:rsid w:val="0046304A"/>
    <w:rsid w:val="00463C63"/>
    <w:rsid w:val="00466AFC"/>
    <w:rsid w:val="00470412"/>
    <w:rsid w:val="0047042E"/>
    <w:rsid w:val="00470467"/>
    <w:rsid w:val="00471B18"/>
    <w:rsid w:val="00473445"/>
    <w:rsid w:val="004737FE"/>
    <w:rsid w:val="0047393B"/>
    <w:rsid w:val="004772C8"/>
    <w:rsid w:val="004811C6"/>
    <w:rsid w:val="00481F59"/>
    <w:rsid w:val="004823A1"/>
    <w:rsid w:val="00483807"/>
    <w:rsid w:val="0048413F"/>
    <w:rsid w:val="0048439A"/>
    <w:rsid w:val="004847DC"/>
    <w:rsid w:val="0048545A"/>
    <w:rsid w:val="00486A50"/>
    <w:rsid w:val="00486C2A"/>
    <w:rsid w:val="004876A4"/>
    <w:rsid w:val="0049088D"/>
    <w:rsid w:val="0049091E"/>
    <w:rsid w:val="00493FAC"/>
    <w:rsid w:val="00494748"/>
    <w:rsid w:val="004964B8"/>
    <w:rsid w:val="004A0481"/>
    <w:rsid w:val="004A0A0B"/>
    <w:rsid w:val="004A0FFB"/>
    <w:rsid w:val="004A12C8"/>
    <w:rsid w:val="004A474D"/>
    <w:rsid w:val="004A509B"/>
    <w:rsid w:val="004A74A7"/>
    <w:rsid w:val="004B0240"/>
    <w:rsid w:val="004B1AD8"/>
    <w:rsid w:val="004B1C13"/>
    <w:rsid w:val="004B2898"/>
    <w:rsid w:val="004B35D4"/>
    <w:rsid w:val="004B3C91"/>
    <w:rsid w:val="004B417B"/>
    <w:rsid w:val="004B448B"/>
    <w:rsid w:val="004B5502"/>
    <w:rsid w:val="004B74DE"/>
    <w:rsid w:val="004B773A"/>
    <w:rsid w:val="004C1591"/>
    <w:rsid w:val="004C2C2B"/>
    <w:rsid w:val="004C2F05"/>
    <w:rsid w:val="004C34F2"/>
    <w:rsid w:val="004C3BD8"/>
    <w:rsid w:val="004C4939"/>
    <w:rsid w:val="004C5175"/>
    <w:rsid w:val="004C51B3"/>
    <w:rsid w:val="004C7CBF"/>
    <w:rsid w:val="004D4186"/>
    <w:rsid w:val="004D569C"/>
    <w:rsid w:val="004D75E6"/>
    <w:rsid w:val="004D7F09"/>
    <w:rsid w:val="004E0118"/>
    <w:rsid w:val="004E026D"/>
    <w:rsid w:val="004E105D"/>
    <w:rsid w:val="004E264A"/>
    <w:rsid w:val="004E3E53"/>
    <w:rsid w:val="004E3FD3"/>
    <w:rsid w:val="004E4204"/>
    <w:rsid w:val="004E43CD"/>
    <w:rsid w:val="004E44DF"/>
    <w:rsid w:val="004E662D"/>
    <w:rsid w:val="004F160A"/>
    <w:rsid w:val="004F1FE2"/>
    <w:rsid w:val="004F438E"/>
    <w:rsid w:val="004F518E"/>
    <w:rsid w:val="004F6583"/>
    <w:rsid w:val="004F65AD"/>
    <w:rsid w:val="004F7B73"/>
    <w:rsid w:val="004F7D47"/>
    <w:rsid w:val="005016A6"/>
    <w:rsid w:val="0050189E"/>
    <w:rsid w:val="00501C86"/>
    <w:rsid w:val="0050253D"/>
    <w:rsid w:val="0050272F"/>
    <w:rsid w:val="0050338E"/>
    <w:rsid w:val="00504E3B"/>
    <w:rsid w:val="0050550B"/>
    <w:rsid w:val="005057FF"/>
    <w:rsid w:val="00505AE4"/>
    <w:rsid w:val="00507441"/>
    <w:rsid w:val="00510101"/>
    <w:rsid w:val="00510C20"/>
    <w:rsid w:val="0051285E"/>
    <w:rsid w:val="00512A5D"/>
    <w:rsid w:val="00512B80"/>
    <w:rsid w:val="00513C8D"/>
    <w:rsid w:val="00514B28"/>
    <w:rsid w:val="00515B5A"/>
    <w:rsid w:val="00516A2E"/>
    <w:rsid w:val="00516C4F"/>
    <w:rsid w:val="00516FEA"/>
    <w:rsid w:val="00517486"/>
    <w:rsid w:val="005206F7"/>
    <w:rsid w:val="0052187D"/>
    <w:rsid w:val="0052190F"/>
    <w:rsid w:val="0052319A"/>
    <w:rsid w:val="00523829"/>
    <w:rsid w:val="00523876"/>
    <w:rsid w:val="00523C9D"/>
    <w:rsid w:val="00523F44"/>
    <w:rsid w:val="00524A64"/>
    <w:rsid w:val="005267CE"/>
    <w:rsid w:val="0053058F"/>
    <w:rsid w:val="00532A96"/>
    <w:rsid w:val="00532DA7"/>
    <w:rsid w:val="00533B24"/>
    <w:rsid w:val="00533BE5"/>
    <w:rsid w:val="005345D0"/>
    <w:rsid w:val="00536863"/>
    <w:rsid w:val="005372D1"/>
    <w:rsid w:val="005405BB"/>
    <w:rsid w:val="00540971"/>
    <w:rsid w:val="00542758"/>
    <w:rsid w:val="00543277"/>
    <w:rsid w:val="0054347E"/>
    <w:rsid w:val="00544E49"/>
    <w:rsid w:val="00544E7F"/>
    <w:rsid w:val="0054516C"/>
    <w:rsid w:val="00546E4F"/>
    <w:rsid w:val="00550FB9"/>
    <w:rsid w:val="00554695"/>
    <w:rsid w:val="00555270"/>
    <w:rsid w:val="005558A2"/>
    <w:rsid w:val="005568AF"/>
    <w:rsid w:val="00556C5B"/>
    <w:rsid w:val="00561A50"/>
    <w:rsid w:val="00562EE9"/>
    <w:rsid w:val="0056323D"/>
    <w:rsid w:val="00564F20"/>
    <w:rsid w:val="0056665C"/>
    <w:rsid w:val="00566BC8"/>
    <w:rsid w:val="00570D65"/>
    <w:rsid w:val="005716DB"/>
    <w:rsid w:val="005747B6"/>
    <w:rsid w:val="00574BC5"/>
    <w:rsid w:val="00574F4D"/>
    <w:rsid w:val="005753B1"/>
    <w:rsid w:val="00575750"/>
    <w:rsid w:val="0057602A"/>
    <w:rsid w:val="00576E58"/>
    <w:rsid w:val="005812AD"/>
    <w:rsid w:val="00581DFC"/>
    <w:rsid w:val="00582E66"/>
    <w:rsid w:val="00582F2B"/>
    <w:rsid w:val="00583DB0"/>
    <w:rsid w:val="00583DCE"/>
    <w:rsid w:val="00583E06"/>
    <w:rsid w:val="00585C29"/>
    <w:rsid w:val="005873E0"/>
    <w:rsid w:val="0058793D"/>
    <w:rsid w:val="0059147A"/>
    <w:rsid w:val="00592763"/>
    <w:rsid w:val="005927AB"/>
    <w:rsid w:val="00592C95"/>
    <w:rsid w:val="005933ED"/>
    <w:rsid w:val="00593E81"/>
    <w:rsid w:val="005955F5"/>
    <w:rsid w:val="00595C4C"/>
    <w:rsid w:val="005963B3"/>
    <w:rsid w:val="005969FE"/>
    <w:rsid w:val="0059794C"/>
    <w:rsid w:val="00597B02"/>
    <w:rsid w:val="005A06E4"/>
    <w:rsid w:val="005A2083"/>
    <w:rsid w:val="005A21CA"/>
    <w:rsid w:val="005A2220"/>
    <w:rsid w:val="005A3717"/>
    <w:rsid w:val="005A507D"/>
    <w:rsid w:val="005A5A5F"/>
    <w:rsid w:val="005A75F4"/>
    <w:rsid w:val="005A795F"/>
    <w:rsid w:val="005A7BC4"/>
    <w:rsid w:val="005B08FD"/>
    <w:rsid w:val="005B13C7"/>
    <w:rsid w:val="005B1431"/>
    <w:rsid w:val="005B1EE9"/>
    <w:rsid w:val="005B3A1D"/>
    <w:rsid w:val="005B44A9"/>
    <w:rsid w:val="005B4A1A"/>
    <w:rsid w:val="005B4CA1"/>
    <w:rsid w:val="005C08DD"/>
    <w:rsid w:val="005C0D4F"/>
    <w:rsid w:val="005C1F06"/>
    <w:rsid w:val="005C1FD4"/>
    <w:rsid w:val="005C25C0"/>
    <w:rsid w:val="005C2CB7"/>
    <w:rsid w:val="005C65A1"/>
    <w:rsid w:val="005C6EEC"/>
    <w:rsid w:val="005D0657"/>
    <w:rsid w:val="005D1E09"/>
    <w:rsid w:val="005D21CD"/>
    <w:rsid w:val="005D2E7F"/>
    <w:rsid w:val="005D3B5B"/>
    <w:rsid w:val="005D489B"/>
    <w:rsid w:val="005D5CE2"/>
    <w:rsid w:val="005D7AF6"/>
    <w:rsid w:val="005E092B"/>
    <w:rsid w:val="005E105A"/>
    <w:rsid w:val="005E18D3"/>
    <w:rsid w:val="005E24C9"/>
    <w:rsid w:val="005E356A"/>
    <w:rsid w:val="005E503B"/>
    <w:rsid w:val="005E54DF"/>
    <w:rsid w:val="005E5B9C"/>
    <w:rsid w:val="005E64D2"/>
    <w:rsid w:val="005E6590"/>
    <w:rsid w:val="005E681B"/>
    <w:rsid w:val="005E6D7E"/>
    <w:rsid w:val="005F1431"/>
    <w:rsid w:val="005F2B08"/>
    <w:rsid w:val="005F3346"/>
    <w:rsid w:val="005F33BC"/>
    <w:rsid w:val="005F3F6A"/>
    <w:rsid w:val="005F4984"/>
    <w:rsid w:val="00602883"/>
    <w:rsid w:val="00603A6F"/>
    <w:rsid w:val="00604748"/>
    <w:rsid w:val="006052CC"/>
    <w:rsid w:val="0060589E"/>
    <w:rsid w:val="00605E67"/>
    <w:rsid w:val="00605EF9"/>
    <w:rsid w:val="006077D9"/>
    <w:rsid w:val="00610AED"/>
    <w:rsid w:val="00612480"/>
    <w:rsid w:val="00613B47"/>
    <w:rsid w:val="00613BEA"/>
    <w:rsid w:val="0061613E"/>
    <w:rsid w:val="0062035B"/>
    <w:rsid w:val="0062099B"/>
    <w:rsid w:val="0062134D"/>
    <w:rsid w:val="0062145F"/>
    <w:rsid w:val="00622E29"/>
    <w:rsid w:val="00624D17"/>
    <w:rsid w:val="00625192"/>
    <w:rsid w:val="00625FD2"/>
    <w:rsid w:val="0062685A"/>
    <w:rsid w:val="00631133"/>
    <w:rsid w:val="00631F1F"/>
    <w:rsid w:val="006346EA"/>
    <w:rsid w:val="00634C8A"/>
    <w:rsid w:val="00635751"/>
    <w:rsid w:val="00636471"/>
    <w:rsid w:val="006368D5"/>
    <w:rsid w:val="0064006F"/>
    <w:rsid w:val="006415B1"/>
    <w:rsid w:val="006427E7"/>
    <w:rsid w:val="00643A14"/>
    <w:rsid w:val="0064404F"/>
    <w:rsid w:val="0064436E"/>
    <w:rsid w:val="00644AAB"/>
    <w:rsid w:val="00645F26"/>
    <w:rsid w:val="006552F2"/>
    <w:rsid w:val="006567DB"/>
    <w:rsid w:val="006575BF"/>
    <w:rsid w:val="006607EA"/>
    <w:rsid w:val="00661846"/>
    <w:rsid w:val="00662A73"/>
    <w:rsid w:val="00662BC5"/>
    <w:rsid w:val="006636E7"/>
    <w:rsid w:val="00663C34"/>
    <w:rsid w:val="006649E1"/>
    <w:rsid w:val="00665A36"/>
    <w:rsid w:val="00666D9C"/>
    <w:rsid w:val="00670149"/>
    <w:rsid w:val="006704B4"/>
    <w:rsid w:val="00671AAB"/>
    <w:rsid w:val="00671BFB"/>
    <w:rsid w:val="006725FE"/>
    <w:rsid w:val="006730D5"/>
    <w:rsid w:val="00673B94"/>
    <w:rsid w:val="0067417D"/>
    <w:rsid w:val="00681BB9"/>
    <w:rsid w:val="006836DD"/>
    <w:rsid w:val="00684621"/>
    <w:rsid w:val="00685C75"/>
    <w:rsid w:val="006860E5"/>
    <w:rsid w:val="00687891"/>
    <w:rsid w:val="00687EAC"/>
    <w:rsid w:val="0069147B"/>
    <w:rsid w:val="006915A6"/>
    <w:rsid w:val="00691EB5"/>
    <w:rsid w:val="00692D2D"/>
    <w:rsid w:val="0069317D"/>
    <w:rsid w:val="00693455"/>
    <w:rsid w:val="0069734B"/>
    <w:rsid w:val="006A0739"/>
    <w:rsid w:val="006A0998"/>
    <w:rsid w:val="006A0A4F"/>
    <w:rsid w:val="006A27DD"/>
    <w:rsid w:val="006A47A3"/>
    <w:rsid w:val="006A5425"/>
    <w:rsid w:val="006A5B0A"/>
    <w:rsid w:val="006A5C85"/>
    <w:rsid w:val="006B0611"/>
    <w:rsid w:val="006B26FE"/>
    <w:rsid w:val="006B4B14"/>
    <w:rsid w:val="006B4DF9"/>
    <w:rsid w:val="006B688D"/>
    <w:rsid w:val="006B7D9A"/>
    <w:rsid w:val="006C0597"/>
    <w:rsid w:val="006C1572"/>
    <w:rsid w:val="006C2F1A"/>
    <w:rsid w:val="006C3ECB"/>
    <w:rsid w:val="006C4E6E"/>
    <w:rsid w:val="006C4E92"/>
    <w:rsid w:val="006C4FC2"/>
    <w:rsid w:val="006C5831"/>
    <w:rsid w:val="006C676A"/>
    <w:rsid w:val="006C6C5A"/>
    <w:rsid w:val="006D0F63"/>
    <w:rsid w:val="006D28EB"/>
    <w:rsid w:val="006D2B9F"/>
    <w:rsid w:val="006D4B38"/>
    <w:rsid w:val="006D4E4D"/>
    <w:rsid w:val="006D742F"/>
    <w:rsid w:val="006E1D56"/>
    <w:rsid w:val="006E223C"/>
    <w:rsid w:val="006E3B39"/>
    <w:rsid w:val="006E4888"/>
    <w:rsid w:val="006E4CDB"/>
    <w:rsid w:val="006E54FC"/>
    <w:rsid w:val="006E569E"/>
    <w:rsid w:val="006E6406"/>
    <w:rsid w:val="006E6CC4"/>
    <w:rsid w:val="006E76AE"/>
    <w:rsid w:val="006E7AD5"/>
    <w:rsid w:val="006E7F14"/>
    <w:rsid w:val="006F0160"/>
    <w:rsid w:val="006F020A"/>
    <w:rsid w:val="006F033B"/>
    <w:rsid w:val="006F1470"/>
    <w:rsid w:val="006F1843"/>
    <w:rsid w:val="006F29C1"/>
    <w:rsid w:val="006F455E"/>
    <w:rsid w:val="006F46BA"/>
    <w:rsid w:val="006F4A8B"/>
    <w:rsid w:val="006F6BE4"/>
    <w:rsid w:val="006F730B"/>
    <w:rsid w:val="006F77AC"/>
    <w:rsid w:val="007018C0"/>
    <w:rsid w:val="0070228F"/>
    <w:rsid w:val="00702A5B"/>
    <w:rsid w:val="00702CE2"/>
    <w:rsid w:val="0070455A"/>
    <w:rsid w:val="00704DF9"/>
    <w:rsid w:val="00705870"/>
    <w:rsid w:val="0070635C"/>
    <w:rsid w:val="00710CD4"/>
    <w:rsid w:val="00710DE1"/>
    <w:rsid w:val="0071118F"/>
    <w:rsid w:val="007114F4"/>
    <w:rsid w:val="00711B9A"/>
    <w:rsid w:val="00713CF9"/>
    <w:rsid w:val="0071617F"/>
    <w:rsid w:val="0072003A"/>
    <w:rsid w:val="0072095B"/>
    <w:rsid w:val="00721882"/>
    <w:rsid w:val="00721D14"/>
    <w:rsid w:val="007222BD"/>
    <w:rsid w:val="00726655"/>
    <w:rsid w:val="007318CD"/>
    <w:rsid w:val="0073265F"/>
    <w:rsid w:val="0073310E"/>
    <w:rsid w:val="007336B9"/>
    <w:rsid w:val="007356CF"/>
    <w:rsid w:val="00736BB1"/>
    <w:rsid w:val="007411A1"/>
    <w:rsid w:val="00741611"/>
    <w:rsid w:val="007417AD"/>
    <w:rsid w:val="0074247E"/>
    <w:rsid w:val="00744E72"/>
    <w:rsid w:val="00745BE7"/>
    <w:rsid w:val="00746485"/>
    <w:rsid w:val="007469CC"/>
    <w:rsid w:val="00747288"/>
    <w:rsid w:val="0075019F"/>
    <w:rsid w:val="00750CC0"/>
    <w:rsid w:val="007513DA"/>
    <w:rsid w:val="00751418"/>
    <w:rsid w:val="00751505"/>
    <w:rsid w:val="007534F8"/>
    <w:rsid w:val="00753978"/>
    <w:rsid w:val="00754027"/>
    <w:rsid w:val="0075556F"/>
    <w:rsid w:val="00762372"/>
    <w:rsid w:val="007632B1"/>
    <w:rsid w:val="0076347A"/>
    <w:rsid w:val="00763F08"/>
    <w:rsid w:val="00764BAD"/>
    <w:rsid w:val="0076526A"/>
    <w:rsid w:val="00765E12"/>
    <w:rsid w:val="00766AE2"/>
    <w:rsid w:val="00767A2F"/>
    <w:rsid w:val="007706A1"/>
    <w:rsid w:val="00770852"/>
    <w:rsid w:val="00770EF7"/>
    <w:rsid w:val="00771F1E"/>
    <w:rsid w:val="00772B01"/>
    <w:rsid w:val="00772E3E"/>
    <w:rsid w:val="00774448"/>
    <w:rsid w:val="0077491C"/>
    <w:rsid w:val="0077533F"/>
    <w:rsid w:val="00775414"/>
    <w:rsid w:val="00782383"/>
    <w:rsid w:val="007837A3"/>
    <w:rsid w:val="00783A93"/>
    <w:rsid w:val="007842B5"/>
    <w:rsid w:val="0078513B"/>
    <w:rsid w:val="007859FE"/>
    <w:rsid w:val="0078640B"/>
    <w:rsid w:val="00787250"/>
    <w:rsid w:val="007873AF"/>
    <w:rsid w:val="00792161"/>
    <w:rsid w:val="00794154"/>
    <w:rsid w:val="00794163"/>
    <w:rsid w:val="00795B66"/>
    <w:rsid w:val="00795BA0"/>
    <w:rsid w:val="00795CBC"/>
    <w:rsid w:val="007961A3"/>
    <w:rsid w:val="007965E2"/>
    <w:rsid w:val="00796B91"/>
    <w:rsid w:val="007A13D6"/>
    <w:rsid w:val="007A1E85"/>
    <w:rsid w:val="007A219A"/>
    <w:rsid w:val="007A2D9F"/>
    <w:rsid w:val="007A38F0"/>
    <w:rsid w:val="007A3BAB"/>
    <w:rsid w:val="007A567D"/>
    <w:rsid w:val="007A6B33"/>
    <w:rsid w:val="007B1481"/>
    <w:rsid w:val="007B4160"/>
    <w:rsid w:val="007B47C6"/>
    <w:rsid w:val="007C0F2E"/>
    <w:rsid w:val="007C2745"/>
    <w:rsid w:val="007C2891"/>
    <w:rsid w:val="007C2A06"/>
    <w:rsid w:val="007C3A68"/>
    <w:rsid w:val="007C70AF"/>
    <w:rsid w:val="007C7905"/>
    <w:rsid w:val="007D0E15"/>
    <w:rsid w:val="007D43A9"/>
    <w:rsid w:val="007D54A4"/>
    <w:rsid w:val="007D5B5E"/>
    <w:rsid w:val="007D694E"/>
    <w:rsid w:val="007D7208"/>
    <w:rsid w:val="007D796B"/>
    <w:rsid w:val="007E24D6"/>
    <w:rsid w:val="007E28BC"/>
    <w:rsid w:val="007E3651"/>
    <w:rsid w:val="007F09C6"/>
    <w:rsid w:val="007F0F3F"/>
    <w:rsid w:val="007F38E2"/>
    <w:rsid w:val="007F3C69"/>
    <w:rsid w:val="007F3DC7"/>
    <w:rsid w:val="007F4573"/>
    <w:rsid w:val="007F5B32"/>
    <w:rsid w:val="007F6829"/>
    <w:rsid w:val="007F6D8C"/>
    <w:rsid w:val="00800740"/>
    <w:rsid w:val="008011F2"/>
    <w:rsid w:val="00802D4F"/>
    <w:rsid w:val="00803F2A"/>
    <w:rsid w:val="0080458D"/>
    <w:rsid w:val="00805660"/>
    <w:rsid w:val="00805E4C"/>
    <w:rsid w:val="00806C60"/>
    <w:rsid w:val="008078D6"/>
    <w:rsid w:val="00811B40"/>
    <w:rsid w:val="0081360B"/>
    <w:rsid w:val="00814113"/>
    <w:rsid w:val="00814A1A"/>
    <w:rsid w:val="008167E9"/>
    <w:rsid w:val="00816D59"/>
    <w:rsid w:val="00816F59"/>
    <w:rsid w:val="0081740C"/>
    <w:rsid w:val="00817F00"/>
    <w:rsid w:val="00821E2E"/>
    <w:rsid w:val="00822FA9"/>
    <w:rsid w:val="008309AB"/>
    <w:rsid w:val="00830C35"/>
    <w:rsid w:val="00831755"/>
    <w:rsid w:val="00834E3A"/>
    <w:rsid w:val="0083576E"/>
    <w:rsid w:val="0083704F"/>
    <w:rsid w:val="00837FC3"/>
    <w:rsid w:val="0084040E"/>
    <w:rsid w:val="00840494"/>
    <w:rsid w:val="008421D9"/>
    <w:rsid w:val="008423FD"/>
    <w:rsid w:val="008426A7"/>
    <w:rsid w:val="008434AC"/>
    <w:rsid w:val="00843C1E"/>
    <w:rsid w:val="00843E42"/>
    <w:rsid w:val="0084529F"/>
    <w:rsid w:val="0084551F"/>
    <w:rsid w:val="00845B0E"/>
    <w:rsid w:val="00850282"/>
    <w:rsid w:val="00851882"/>
    <w:rsid w:val="00853393"/>
    <w:rsid w:val="008552BE"/>
    <w:rsid w:val="00855597"/>
    <w:rsid w:val="00855611"/>
    <w:rsid w:val="00855C61"/>
    <w:rsid w:val="00855F40"/>
    <w:rsid w:val="00861F64"/>
    <w:rsid w:val="00862069"/>
    <w:rsid w:val="00862822"/>
    <w:rsid w:val="00862B7E"/>
    <w:rsid w:val="00862DC7"/>
    <w:rsid w:val="00864ABD"/>
    <w:rsid w:val="00865AB5"/>
    <w:rsid w:val="00870AAA"/>
    <w:rsid w:val="008715F1"/>
    <w:rsid w:val="00872D59"/>
    <w:rsid w:val="00873738"/>
    <w:rsid w:val="008740D3"/>
    <w:rsid w:val="00874212"/>
    <w:rsid w:val="008749BF"/>
    <w:rsid w:val="00875CC4"/>
    <w:rsid w:val="00875D43"/>
    <w:rsid w:val="008769B5"/>
    <w:rsid w:val="00877E5E"/>
    <w:rsid w:val="008803D3"/>
    <w:rsid w:val="008808D9"/>
    <w:rsid w:val="00880D54"/>
    <w:rsid w:val="0088133F"/>
    <w:rsid w:val="0088347B"/>
    <w:rsid w:val="00884ADD"/>
    <w:rsid w:val="00885415"/>
    <w:rsid w:val="00886439"/>
    <w:rsid w:val="0088751F"/>
    <w:rsid w:val="0089049C"/>
    <w:rsid w:val="00890EFB"/>
    <w:rsid w:val="00894099"/>
    <w:rsid w:val="0089578D"/>
    <w:rsid w:val="00895852"/>
    <w:rsid w:val="00896BC9"/>
    <w:rsid w:val="008A0711"/>
    <w:rsid w:val="008A09F1"/>
    <w:rsid w:val="008A11FC"/>
    <w:rsid w:val="008A1C4D"/>
    <w:rsid w:val="008A1FDE"/>
    <w:rsid w:val="008A618B"/>
    <w:rsid w:val="008A6B93"/>
    <w:rsid w:val="008A734C"/>
    <w:rsid w:val="008A74C4"/>
    <w:rsid w:val="008A7E56"/>
    <w:rsid w:val="008B0A9F"/>
    <w:rsid w:val="008B1E29"/>
    <w:rsid w:val="008B2F02"/>
    <w:rsid w:val="008B3670"/>
    <w:rsid w:val="008B4254"/>
    <w:rsid w:val="008B5782"/>
    <w:rsid w:val="008B609B"/>
    <w:rsid w:val="008B65AD"/>
    <w:rsid w:val="008B664B"/>
    <w:rsid w:val="008B682D"/>
    <w:rsid w:val="008C0896"/>
    <w:rsid w:val="008C0D34"/>
    <w:rsid w:val="008C208E"/>
    <w:rsid w:val="008C33A2"/>
    <w:rsid w:val="008C38C7"/>
    <w:rsid w:val="008C3A05"/>
    <w:rsid w:val="008C4BA1"/>
    <w:rsid w:val="008C4C37"/>
    <w:rsid w:val="008C4EFF"/>
    <w:rsid w:val="008C5647"/>
    <w:rsid w:val="008C6FFA"/>
    <w:rsid w:val="008C7F72"/>
    <w:rsid w:val="008D120F"/>
    <w:rsid w:val="008D13A8"/>
    <w:rsid w:val="008D1CC6"/>
    <w:rsid w:val="008D20ED"/>
    <w:rsid w:val="008D331D"/>
    <w:rsid w:val="008D4F38"/>
    <w:rsid w:val="008D569A"/>
    <w:rsid w:val="008D5A2C"/>
    <w:rsid w:val="008D6FA2"/>
    <w:rsid w:val="008D7F06"/>
    <w:rsid w:val="008D7F4B"/>
    <w:rsid w:val="008E089B"/>
    <w:rsid w:val="008E0F42"/>
    <w:rsid w:val="008E18D0"/>
    <w:rsid w:val="008E1B2F"/>
    <w:rsid w:val="008E1EDE"/>
    <w:rsid w:val="008E27A2"/>
    <w:rsid w:val="008E2DB6"/>
    <w:rsid w:val="008E2F93"/>
    <w:rsid w:val="008E450B"/>
    <w:rsid w:val="008E47DE"/>
    <w:rsid w:val="008E49B3"/>
    <w:rsid w:val="008E4E63"/>
    <w:rsid w:val="008E4EC9"/>
    <w:rsid w:val="008E4F5F"/>
    <w:rsid w:val="008E5097"/>
    <w:rsid w:val="008E5184"/>
    <w:rsid w:val="008E5315"/>
    <w:rsid w:val="008E735B"/>
    <w:rsid w:val="008E7A28"/>
    <w:rsid w:val="008F0DED"/>
    <w:rsid w:val="008F0FC1"/>
    <w:rsid w:val="008F2899"/>
    <w:rsid w:val="008F36F9"/>
    <w:rsid w:val="008F3A1C"/>
    <w:rsid w:val="008F46D8"/>
    <w:rsid w:val="008F4FFE"/>
    <w:rsid w:val="008F53A8"/>
    <w:rsid w:val="008F5775"/>
    <w:rsid w:val="00900376"/>
    <w:rsid w:val="009008B2"/>
    <w:rsid w:val="00900F74"/>
    <w:rsid w:val="009048C1"/>
    <w:rsid w:val="00904A67"/>
    <w:rsid w:val="00905047"/>
    <w:rsid w:val="009055CE"/>
    <w:rsid w:val="009077DE"/>
    <w:rsid w:val="009102EB"/>
    <w:rsid w:val="00911018"/>
    <w:rsid w:val="00911AD7"/>
    <w:rsid w:val="00912FEE"/>
    <w:rsid w:val="009136C7"/>
    <w:rsid w:val="00913921"/>
    <w:rsid w:val="0091581B"/>
    <w:rsid w:val="0091668F"/>
    <w:rsid w:val="00916E22"/>
    <w:rsid w:val="0091773D"/>
    <w:rsid w:val="00920AD0"/>
    <w:rsid w:val="00922564"/>
    <w:rsid w:val="0092393A"/>
    <w:rsid w:val="0092399D"/>
    <w:rsid w:val="009239D1"/>
    <w:rsid w:val="00923E3F"/>
    <w:rsid w:val="00923EFC"/>
    <w:rsid w:val="00924BE3"/>
    <w:rsid w:val="00925063"/>
    <w:rsid w:val="009268FA"/>
    <w:rsid w:val="009269EA"/>
    <w:rsid w:val="00927BAE"/>
    <w:rsid w:val="00930456"/>
    <w:rsid w:val="00930B47"/>
    <w:rsid w:val="0093343C"/>
    <w:rsid w:val="009336F0"/>
    <w:rsid w:val="00934300"/>
    <w:rsid w:val="00935555"/>
    <w:rsid w:val="00935B98"/>
    <w:rsid w:val="009361D8"/>
    <w:rsid w:val="00936B5B"/>
    <w:rsid w:val="00936D94"/>
    <w:rsid w:val="009378DC"/>
    <w:rsid w:val="00937A27"/>
    <w:rsid w:val="00942194"/>
    <w:rsid w:val="00942470"/>
    <w:rsid w:val="00942497"/>
    <w:rsid w:val="009437F2"/>
    <w:rsid w:val="009441DF"/>
    <w:rsid w:val="009464F2"/>
    <w:rsid w:val="009468C4"/>
    <w:rsid w:val="00947223"/>
    <w:rsid w:val="0095064F"/>
    <w:rsid w:val="009506FB"/>
    <w:rsid w:val="009513BD"/>
    <w:rsid w:val="00951593"/>
    <w:rsid w:val="00951805"/>
    <w:rsid w:val="00954704"/>
    <w:rsid w:val="0095652C"/>
    <w:rsid w:val="009579E5"/>
    <w:rsid w:val="0096070F"/>
    <w:rsid w:val="00960BA7"/>
    <w:rsid w:val="009619CA"/>
    <w:rsid w:val="00961A59"/>
    <w:rsid w:val="00961A98"/>
    <w:rsid w:val="00961AA4"/>
    <w:rsid w:val="00962B7E"/>
    <w:rsid w:val="00962F38"/>
    <w:rsid w:val="00963BA9"/>
    <w:rsid w:val="009644A7"/>
    <w:rsid w:val="009652F2"/>
    <w:rsid w:val="00966A2C"/>
    <w:rsid w:val="009709F9"/>
    <w:rsid w:val="00970C84"/>
    <w:rsid w:val="00970E0E"/>
    <w:rsid w:val="00971D06"/>
    <w:rsid w:val="009728E6"/>
    <w:rsid w:val="009730C0"/>
    <w:rsid w:val="009742CE"/>
    <w:rsid w:val="009744BF"/>
    <w:rsid w:val="00975C65"/>
    <w:rsid w:val="00980DFA"/>
    <w:rsid w:val="009810C4"/>
    <w:rsid w:val="00981241"/>
    <w:rsid w:val="009830BE"/>
    <w:rsid w:val="00984556"/>
    <w:rsid w:val="00985089"/>
    <w:rsid w:val="009854A2"/>
    <w:rsid w:val="009868C3"/>
    <w:rsid w:val="00987499"/>
    <w:rsid w:val="0099002F"/>
    <w:rsid w:val="00991223"/>
    <w:rsid w:val="00991286"/>
    <w:rsid w:val="009912EB"/>
    <w:rsid w:val="0099133E"/>
    <w:rsid w:val="0099135C"/>
    <w:rsid w:val="00992167"/>
    <w:rsid w:val="009930B3"/>
    <w:rsid w:val="00993909"/>
    <w:rsid w:val="00994476"/>
    <w:rsid w:val="00994B59"/>
    <w:rsid w:val="00995075"/>
    <w:rsid w:val="00995C21"/>
    <w:rsid w:val="009A0089"/>
    <w:rsid w:val="009A1514"/>
    <w:rsid w:val="009A1889"/>
    <w:rsid w:val="009A2726"/>
    <w:rsid w:val="009A2727"/>
    <w:rsid w:val="009A5828"/>
    <w:rsid w:val="009A634F"/>
    <w:rsid w:val="009A6639"/>
    <w:rsid w:val="009A674B"/>
    <w:rsid w:val="009B054C"/>
    <w:rsid w:val="009B17C5"/>
    <w:rsid w:val="009B1DC9"/>
    <w:rsid w:val="009B2DDB"/>
    <w:rsid w:val="009B5200"/>
    <w:rsid w:val="009B557F"/>
    <w:rsid w:val="009C22BE"/>
    <w:rsid w:val="009C427E"/>
    <w:rsid w:val="009C4D0E"/>
    <w:rsid w:val="009C5A9F"/>
    <w:rsid w:val="009C68AB"/>
    <w:rsid w:val="009C77F6"/>
    <w:rsid w:val="009D1923"/>
    <w:rsid w:val="009D1A46"/>
    <w:rsid w:val="009D31E8"/>
    <w:rsid w:val="009D3200"/>
    <w:rsid w:val="009D3E58"/>
    <w:rsid w:val="009D5211"/>
    <w:rsid w:val="009D5B39"/>
    <w:rsid w:val="009D6758"/>
    <w:rsid w:val="009D747D"/>
    <w:rsid w:val="009D7A54"/>
    <w:rsid w:val="009D7A97"/>
    <w:rsid w:val="009E0017"/>
    <w:rsid w:val="009E1BDD"/>
    <w:rsid w:val="009E4336"/>
    <w:rsid w:val="009E4E90"/>
    <w:rsid w:val="009E5C81"/>
    <w:rsid w:val="009E5DEB"/>
    <w:rsid w:val="009E7634"/>
    <w:rsid w:val="009E77A9"/>
    <w:rsid w:val="009E7E97"/>
    <w:rsid w:val="009F2D4D"/>
    <w:rsid w:val="009F3577"/>
    <w:rsid w:val="009F4754"/>
    <w:rsid w:val="009F4E04"/>
    <w:rsid w:val="009F5A8B"/>
    <w:rsid w:val="009F6B7E"/>
    <w:rsid w:val="00A010DB"/>
    <w:rsid w:val="00A015D0"/>
    <w:rsid w:val="00A05FF9"/>
    <w:rsid w:val="00A075EE"/>
    <w:rsid w:val="00A1001C"/>
    <w:rsid w:val="00A10DB3"/>
    <w:rsid w:val="00A136B5"/>
    <w:rsid w:val="00A13901"/>
    <w:rsid w:val="00A14374"/>
    <w:rsid w:val="00A16A09"/>
    <w:rsid w:val="00A17BDE"/>
    <w:rsid w:val="00A2099C"/>
    <w:rsid w:val="00A20E79"/>
    <w:rsid w:val="00A2256D"/>
    <w:rsid w:val="00A22F39"/>
    <w:rsid w:val="00A2424C"/>
    <w:rsid w:val="00A24ED4"/>
    <w:rsid w:val="00A267B3"/>
    <w:rsid w:val="00A26D5A"/>
    <w:rsid w:val="00A27230"/>
    <w:rsid w:val="00A2767A"/>
    <w:rsid w:val="00A277E5"/>
    <w:rsid w:val="00A27CFF"/>
    <w:rsid w:val="00A303A2"/>
    <w:rsid w:val="00A311BA"/>
    <w:rsid w:val="00A32DC7"/>
    <w:rsid w:val="00A33197"/>
    <w:rsid w:val="00A34469"/>
    <w:rsid w:val="00A348EA"/>
    <w:rsid w:val="00A3495A"/>
    <w:rsid w:val="00A34EA2"/>
    <w:rsid w:val="00A36BE9"/>
    <w:rsid w:val="00A37E5D"/>
    <w:rsid w:val="00A40865"/>
    <w:rsid w:val="00A40CE9"/>
    <w:rsid w:val="00A41010"/>
    <w:rsid w:val="00A4131E"/>
    <w:rsid w:val="00A42AC0"/>
    <w:rsid w:val="00A45F30"/>
    <w:rsid w:val="00A47D59"/>
    <w:rsid w:val="00A5035E"/>
    <w:rsid w:val="00A50897"/>
    <w:rsid w:val="00A548EA"/>
    <w:rsid w:val="00A60BF8"/>
    <w:rsid w:val="00A62069"/>
    <w:rsid w:val="00A62259"/>
    <w:rsid w:val="00A631E6"/>
    <w:rsid w:val="00A64599"/>
    <w:rsid w:val="00A65216"/>
    <w:rsid w:val="00A66FAB"/>
    <w:rsid w:val="00A706A1"/>
    <w:rsid w:val="00A7198C"/>
    <w:rsid w:val="00A71EBC"/>
    <w:rsid w:val="00A75369"/>
    <w:rsid w:val="00A801A8"/>
    <w:rsid w:val="00A81434"/>
    <w:rsid w:val="00A8166F"/>
    <w:rsid w:val="00A829C8"/>
    <w:rsid w:val="00A83A66"/>
    <w:rsid w:val="00A85941"/>
    <w:rsid w:val="00A86988"/>
    <w:rsid w:val="00A8765D"/>
    <w:rsid w:val="00A903E2"/>
    <w:rsid w:val="00A915DC"/>
    <w:rsid w:val="00A91993"/>
    <w:rsid w:val="00A92AF0"/>
    <w:rsid w:val="00A93A8F"/>
    <w:rsid w:val="00A94557"/>
    <w:rsid w:val="00AA3667"/>
    <w:rsid w:val="00AA58F8"/>
    <w:rsid w:val="00AA66BA"/>
    <w:rsid w:val="00AA6CD6"/>
    <w:rsid w:val="00AA743A"/>
    <w:rsid w:val="00AB11DD"/>
    <w:rsid w:val="00AB1714"/>
    <w:rsid w:val="00AB2AE5"/>
    <w:rsid w:val="00AB4115"/>
    <w:rsid w:val="00AB4AA6"/>
    <w:rsid w:val="00AB5BAE"/>
    <w:rsid w:val="00AB7FA0"/>
    <w:rsid w:val="00AC0C7E"/>
    <w:rsid w:val="00AC114C"/>
    <w:rsid w:val="00AC12BA"/>
    <w:rsid w:val="00AC245F"/>
    <w:rsid w:val="00AC28F1"/>
    <w:rsid w:val="00AC36E6"/>
    <w:rsid w:val="00AC6417"/>
    <w:rsid w:val="00AC79EA"/>
    <w:rsid w:val="00AD0162"/>
    <w:rsid w:val="00AD0319"/>
    <w:rsid w:val="00AD0923"/>
    <w:rsid w:val="00AD1402"/>
    <w:rsid w:val="00AD1DC7"/>
    <w:rsid w:val="00AD32E0"/>
    <w:rsid w:val="00AD37AA"/>
    <w:rsid w:val="00AD3AE4"/>
    <w:rsid w:val="00AD42B8"/>
    <w:rsid w:val="00AD48E5"/>
    <w:rsid w:val="00AD5887"/>
    <w:rsid w:val="00AD604C"/>
    <w:rsid w:val="00AD64AF"/>
    <w:rsid w:val="00AE1290"/>
    <w:rsid w:val="00AE2F8E"/>
    <w:rsid w:val="00AE4898"/>
    <w:rsid w:val="00AE4C48"/>
    <w:rsid w:val="00AE5D31"/>
    <w:rsid w:val="00AE6E7C"/>
    <w:rsid w:val="00AE6F47"/>
    <w:rsid w:val="00AF0436"/>
    <w:rsid w:val="00AF05F8"/>
    <w:rsid w:val="00AF4B7E"/>
    <w:rsid w:val="00AF5649"/>
    <w:rsid w:val="00AF5A99"/>
    <w:rsid w:val="00AF62C4"/>
    <w:rsid w:val="00AF7ED6"/>
    <w:rsid w:val="00B00FCC"/>
    <w:rsid w:val="00B012FD"/>
    <w:rsid w:val="00B04173"/>
    <w:rsid w:val="00B04D53"/>
    <w:rsid w:val="00B0674E"/>
    <w:rsid w:val="00B067C6"/>
    <w:rsid w:val="00B07D3A"/>
    <w:rsid w:val="00B10786"/>
    <w:rsid w:val="00B11023"/>
    <w:rsid w:val="00B119FF"/>
    <w:rsid w:val="00B11F39"/>
    <w:rsid w:val="00B13A99"/>
    <w:rsid w:val="00B13DF1"/>
    <w:rsid w:val="00B15256"/>
    <w:rsid w:val="00B16760"/>
    <w:rsid w:val="00B20421"/>
    <w:rsid w:val="00B21BCF"/>
    <w:rsid w:val="00B224DC"/>
    <w:rsid w:val="00B238C1"/>
    <w:rsid w:val="00B23C77"/>
    <w:rsid w:val="00B23CE2"/>
    <w:rsid w:val="00B24C4A"/>
    <w:rsid w:val="00B266CC"/>
    <w:rsid w:val="00B26F90"/>
    <w:rsid w:val="00B279DD"/>
    <w:rsid w:val="00B27EC2"/>
    <w:rsid w:val="00B30B2B"/>
    <w:rsid w:val="00B31A46"/>
    <w:rsid w:val="00B31C9C"/>
    <w:rsid w:val="00B31F24"/>
    <w:rsid w:val="00B32060"/>
    <w:rsid w:val="00B32081"/>
    <w:rsid w:val="00B33145"/>
    <w:rsid w:val="00B35733"/>
    <w:rsid w:val="00B35AC0"/>
    <w:rsid w:val="00B362F2"/>
    <w:rsid w:val="00B36499"/>
    <w:rsid w:val="00B36533"/>
    <w:rsid w:val="00B36C30"/>
    <w:rsid w:val="00B375F5"/>
    <w:rsid w:val="00B43454"/>
    <w:rsid w:val="00B43FD6"/>
    <w:rsid w:val="00B44D2A"/>
    <w:rsid w:val="00B454B1"/>
    <w:rsid w:val="00B47812"/>
    <w:rsid w:val="00B47F5D"/>
    <w:rsid w:val="00B51813"/>
    <w:rsid w:val="00B524D3"/>
    <w:rsid w:val="00B52824"/>
    <w:rsid w:val="00B53569"/>
    <w:rsid w:val="00B5434F"/>
    <w:rsid w:val="00B544AF"/>
    <w:rsid w:val="00B54748"/>
    <w:rsid w:val="00B556FB"/>
    <w:rsid w:val="00B558F2"/>
    <w:rsid w:val="00B55FF2"/>
    <w:rsid w:val="00B56002"/>
    <w:rsid w:val="00B57979"/>
    <w:rsid w:val="00B605AC"/>
    <w:rsid w:val="00B609AB"/>
    <w:rsid w:val="00B613CA"/>
    <w:rsid w:val="00B61607"/>
    <w:rsid w:val="00B61E5E"/>
    <w:rsid w:val="00B62072"/>
    <w:rsid w:val="00B6390C"/>
    <w:rsid w:val="00B64B3A"/>
    <w:rsid w:val="00B64D0E"/>
    <w:rsid w:val="00B6589B"/>
    <w:rsid w:val="00B66605"/>
    <w:rsid w:val="00B66E1B"/>
    <w:rsid w:val="00B673FF"/>
    <w:rsid w:val="00B70694"/>
    <w:rsid w:val="00B7094A"/>
    <w:rsid w:val="00B71B43"/>
    <w:rsid w:val="00B71E32"/>
    <w:rsid w:val="00B71FD6"/>
    <w:rsid w:val="00B72267"/>
    <w:rsid w:val="00B72B59"/>
    <w:rsid w:val="00B753A3"/>
    <w:rsid w:val="00B759DB"/>
    <w:rsid w:val="00B75F92"/>
    <w:rsid w:val="00B76842"/>
    <w:rsid w:val="00B77EDF"/>
    <w:rsid w:val="00B8184B"/>
    <w:rsid w:val="00B82421"/>
    <w:rsid w:val="00B8379D"/>
    <w:rsid w:val="00B84706"/>
    <w:rsid w:val="00B87160"/>
    <w:rsid w:val="00B90387"/>
    <w:rsid w:val="00B92A93"/>
    <w:rsid w:val="00B936DB"/>
    <w:rsid w:val="00B941C4"/>
    <w:rsid w:val="00B94A92"/>
    <w:rsid w:val="00B94BB8"/>
    <w:rsid w:val="00B965C4"/>
    <w:rsid w:val="00B97952"/>
    <w:rsid w:val="00BA193A"/>
    <w:rsid w:val="00BA350D"/>
    <w:rsid w:val="00BA3898"/>
    <w:rsid w:val="00BA3D45"/>
    <w:rsid w:val="00BA4C1D"/>
    <w:rsid w:val="00BA683E"/>
    <w:rsid w:val="00BA6CFE"/>
    <w:rsid w:val="00BA7A5D"/>
    <w:rsid w:val="00BB0983"/>
    <w:rsid w:val="00BB1FDD"/>
    <w:rsid w:val="00BB4675"/>
    <w:rsid w:val="00BB57E0"/>
    <w:rsid w:val="00BB587D"/>
    <w:rsid w:val="00BB6430"/>
    <w:rsid w:val="00BB6656"/>
    <w:rsid w:val="00BB6DB3"/>
    <w:rsid w:val="00BB6E5F"/>
    <w:rsid w:val="00BB7B83"/>
    <w:rsid w:val="00BC02B8"/>
    <w:rsid w:val="00BC03BF"/>
    <w:rsid w:val="00BC1CF2"/>
    <w:rsid w:val="00BC2574"/>
    <w:rsid w:val="00BC3636"/>
    <w:rsid w:val="00BC3BA7"/>
    <w:rsid w:val="00BC4C5F"/>
    <w:rsid w:val="00BC6E63"/>
    <w:rsid w:val="00BD0A72"/>
    <w:rsid w:val="00BD385E"/>
    <w:rsid w:val="00BD3D72"/>
    <w:rsid w:val="00BD6DAC"/>
    <w:rsid w:val="00BE079E"/>
    <w:rsid w:val="00BE0A55"/>
    <w:rsid w:val="00BE1D11"/>
    <w:rsid w:val="00BF0374"/>
    <w:rsid w:val="00BF11C8"/>
    <w:rsid w:val="00BF526A"/>
    <w:rsid w:val="00BF5956"/>
    <w:rsid w:val="00BF650C"/>
    <w:rsid w:val="00BF7573"/>
    <w:rsid w:val="00BF7A8C"/>
    <w:rsid w:val="00C00E82"/>
    <w:rsid w:val="00C03F1C"/>
    <w:rsid w:val="00C04225"/>
    <w:rsid w:val="00C048A1"/>
    <w:rsid w:val="00C04AB4"/>
    <w:rsid w:val="00C05FD0"/>
    <w:rsid w:val="00C07679"/>
    <w:rsid w:val="00C07ABF"/>
    <w:rsid w:val="00C106F0"/>
    <w:rsid w:val="00C123FE"/>
    <w:rsid w:val="00C12515"/>
    <w:rsid w:val="00C1267F"/>
    <w:rsid w:val="00C1372A"/>
    <w:rsid w:val="00C13804"/>
    <w:rsid w:val="00C144AE"/>
    <w:rsid w:val="00C14DCF"/>
    <w:rsid w:val="00C15BCB"/>
    <w:rsid w:val="00C1681D"/>
    <w:rsid w:val="00C16BE8"/>
    <w:rsid w:val="00C16DB0"/>
    <w:rsid w:val="00C17408"/>
    <w:rsid w:val="00C17E00"/>
    <w:rsid w:val="00C210CE"/>
    <w:rsid w:val="00C214C0"/>
    <w:rsid w:val="00C21D6B"/>
    <w:rsid w:val="00C2243E"/>
    <w:rsid w:val="00C240A5"/>
    <w:rsid w:val="00C242C2"/>
    <w:rsid w:val="00C313F0"/>
    <w:rsid w:val="00C31C25"/>
    <w:rsid w:val="00C31D90"/>
    <w:rsid w:val="00C328B9"/>
    <w:rsid w:val="00C328FF"/>
    <w:rsid w:val="00C3307E"/>
    <w:rsid w:val="00C336E1"/>
    <w:rsid w:val="00C355A1"/>
    <w:rsid w:val="00C35D8B"/>
    <w:rsid w:val="00C35E19"/>
    <w:rsid w:val="00C36718"/>
    <w:rsid w:val="00C3695A"/>
    <w:rsid w:val="00C37AB3"/>
    <w:rsid w:val="00C40F82"/>
    <w:rsid w:val="00C410B5"/>
    <w:rsid w:val="00C416B1"/>
    <w:rsid w:val="00C42444"/>
    <w:rsid w:val="00C44641"/>
    <w:rsid w:val="00C44735"/>
    <w:rsid w:val="00C4597E"/>
    <w:rsid w:val="00C4606F"/>
    <w:rsid w:val="00C4659B"/>
    <w:rsid w:val="00C4677E"/>
    <w:rsid w:val="00C505FA"/>
    <w:rsid w:val="00C51F43"/>
    <w:rsid w:val="00C520D8"/>
    <w:rsid w:val="00C52612"/>
    <w:rsid w:val="00C52DC0"/>
    <w:rsid w:val="00C52F31"/>
    <w:rsid w:val="00C5303A"/>
    <w:rsid w:val="00C5354B"/>
    <w:rsid w:val="00C53C06"/>
    <w:rsid w:val="00C54804"/>
    <w:rsid w:val="00C54B83"/>
    <w:rsid w:val="00C54E08"/>
    <w:rsid w:val="00C553CE"/>
    <w:rsid w:val="00C5720C"/>
    <w:rsid w:val="00C579BC"/>
    <w:rsid w:val="00C57C29"/>
    <w:rsid w:val="00C6052E"/>
    <w:rsid w:val="00C623B9"/>
    <w:rsid w:val="00C62F5C"/>
    <w:rsid w:val="00C64109"/>
    <w:rsid w:val="00C64D76"/>
    <w:rsid w:val="00C67574"/>
    <w:rsid w:val="00C72F63"/>
    <w:rsid w:val="00C74A6B"/>
    <w:rsid w:val="00C7521B"/>
    <w:rsid w:val="00C8069C"/>
    <w:rsid w:val="00C82AED"/>
    <w:rsid w:val="00C8435A"/>
    <w:rsid w:val="00C846DD"/>
    <w:rsid w:val="00C84FEA"/>
    <w:rsid w:val="00C853EA"/>
    <w:rsid w:val="00C86D8C"/>
    <w:rsid w:val="00C87518"/>
    <w:rsid w:val="00C908DB"/>
    <w:rsid w:val="00C931DF"/>
    <w:rsid w:val="00C93DCD"/>
    <w:rsid w:val="00C94270"/>
    <w:rsid w:val="00C948CB"/>
    <w:rsid w:val="00C95CDA"/>
    <w:rsid w:val="00C9645E"/>
    <w:rsid w:val="00C96D68"/>
    <w:rsid w:val="00C973C2"/>
    <w:rsid w:val="00CA186B"/>
    <w:rsid w:val="00CA29BD"/>
    <w:rsid w:val="00CA3529"/>
    <w:rsid w:val="00CA3763"/>
    <w:rsid w:val="00CA37C2"/>
    <w:rsid w:val="00CA537F"/>
    <w:rsid w:val="00CA5B66"/>
    <w:rsid w:val="00CA61CA"/>
    <w:rsid w:val="00CB01AA"/>
    <w:rsid w:val="00CB257C"/>
    <w:rsid w:val="00CB464B"/>
    <w:rsid w:val="00CB5BA0"/>
    <w:rsid w:val="00CB7EF3"/>
    <w:rsid w:val="00CC02A9"/>
    <w:rsid w:val="00CC08F8"/>
    <w:rsid w:val="00CC1384"/>
    <w:rsid w:val="00CC1DBD"/>
    <w:rsid w:val="00CC2282"/>
    <w:rsid w:val="00CC2A9B"/>
    <w:rsid w:val="00CC37D4"/>
    <w:rsid w:val="00CC3B90"/>
    <w:rsid w:val="00CC3C4E"/>
    <w:rsid w:val="00CC604B"/>
    <w:rsid w:val="00CC6DF6"/>
    <w:rsid w:val="00CC7EFE"/>
    <w:rsid w:val="00CD0424"/>
    <w:rsid w:val="00CD105D"/>
    <w:rsid w:val="00CD154E"/>
    <w:rsid w:val="00CD1B2E"/>
    <w:rsid w:val="00CD1CC3"/>
    <w:rsid w:val="00CD209D"/>
    <w:rsid w:val="00CD2660"/>
    <w:rsid w:val="00CD293B"/>
    <w:rsid w:val="00CD3AAC"/>
    <w:rsid w:val="00CD3E9F"/>
    <w:rsid w:val="00CD5595"/>
    <w:rsid w:val="00CD57B4"/>
    <w:rsid w:val="00CE01AD"/>
    <w:rsid w:val="00CE17BE"/>
    <w:rsid w:val="00CE32CA"/>
    <w:rsid w:val="00CE49A1"/>
    <w:rsid w:val="00CE4F3A"/>
    <w:rsid w:val="00CF19A5"/>
    <w:rsid w:val="00CF2354"/>
    <w:rsid w:val="00CF39CB"/>
    <w:rsid w:val="00CF4D37"/>
    <w:rsid w:val="00CF5221"/>
    <w:rsid w:val="00CF7049"/>
    <w:rsid w:val="00D007AA"/>
    <w:rsid w:val="00D007CB"/>
    <w:rsid w:val="00D00ADD"/>
    <w:rsid w:val="00D00EFA"/>
    <w:rsid w:val="00D03118"/>
    <w:rsid w:val="00D0357D"/>
    <w:rsid w:val="00D040F1"/>
    <w:rsid w:val="00D060E6"/>
    <w:rsid w:val="00D07A05"/>
    <w:rsid w:val="00D10D46"/>
    <w:rsid w:val="00D1104B"/>
    <w:rsid w:val="00D1147E"/>
    <w:rsid w:val="00D11858"/>
    <w:rsid w:val="00D11E9E"/>
    <w:rsid w:val="00D11F8D"/>
    <w:rsid w:val="00D12F80"/>
    <w:rsid w:val="00D12FF2"/>
    <w:rsid w:val="00D149E5"/>
    <w:rsid w:val="00D15586"/>
    <w:rsid w:val="00D15A7A"/>
    <w:rsid w:val="00D167BD"/>
    <w:rsid w:val="00D2170D"/>
    <w:rsid w:val="00D225EB"/>
    <w:rsid w:val="00D22AD4"/>
    <w:rsid w:val="00D24A2D"/>
    <w:rsid w:val="00D27EB1"/>
    <w:rsid w:val="00D304E7"/>
    <w:rsid w:val="00D307CF"/>
    <w:rsid w:val="00D32C33"/>
    <w:rsid w:val="00D345B3"/>
    <w:rsid w:val="00D35F3C"/>
    <w:rsid w:val="00D3738A"/>
    <w:rsid w:val="00D3742F"/>
    <w:rsid w:val="00D375B8"/>
    <w:rsid w:val="00D40447"/>
    <w:rsid w:val="00D40C45"/>
    <w:rsid w:val="00D4239A"/>
    <w:rsid w:val="00D423B2"/>
    <w:rsid w:val="00D427CB"/>
    <w:rsid w:val="00D42B77"/>
    <w:rsid w:val="00D42EA9"/>
    <w:rsid w:val="00D43440"/>
    <w:rsid w:val="00D43DA8"/>
    <w:rsid w:val="00D4555E"/>
    <w:rsid w:val="00D476E0"/>
    <w:rsid w:val="00D50692"/>
    <w:rsid w:val="00D52A52"/>
    <w:rsid w:val="00D53F0E"/>
    <w:rsid w:val="00D5547A"/>
    <w:rsid w:val="00D57493"/>
    <w:rsid w:val="00D62487"/>
    <w:rsid w:val="00D63F65"/>
    <w:rsid w:val="00D65DBB"/>
    <w:rsid w:val="00D672DF"/>
    <w:rsid w:val="00D700DE"/>
    <w:rsid w:val="00D7124F"/>
    <w:rsid w:val="00D736BC"/>
    <w:rsid w:val="00D74B2C"/>
    <w:rsid w:val="00D7576D"/>
    <w:rsid w:val="00D757A9"/>
    <w:rsid w:val="00D77917"/>
    <w:rsid w:val="00D8031F"/>
    <w:rsid w:val="00D81C4D"/>
    <w:rsid w:val="00D83569"/>
    <w:rsid w:val="00D837E2"/>
    <w:rsid w:val="00D83BED"/>
    <w:rsid w:val="00D84E67"/>
    <w:rsid w:val="00D850AA"/>
    <w:rsid w:val="00D86C41"/>
    <w:rsid w:val="00D8704F"/>
    <w:rsid w:val="00D9110F"/>
    <w:rsid w:val="00D92EB7"/>
    <w:rsid w:val="00D9330E"/>
    <w:rsid w:val="00D948D0"/>
    <w:rsid w:val="00D96E16"/>
    <w:rsid w:val="00DA0049"/>
    <w:rsid w:val="00DA1A9E"/>
    <w:rsid w:val="00DA2F90"/>
    <w:rsid w:val="00DA38F2"/>
    <w:rsid w:val="00DA494C"/>
    <w:rsid w:val="00DA5136"/>
    <w:rsid w:val="00DA6649"/>
    <w:rsid w:val="00DA66AE"/>
    <w:rsid w:val="00DA7149"/>
    <w:rsid w:val="00DA799C"/>
    <w:rsid w:val="00DB017D"/>
    <w:rsid w:val="00DB25EC"/>
    <w:rsid w:val="00DB39FF"/>
    <w:rsid w:val="00DC1845"/>
    <w:rsid w:val="00DC4C0F"/>
    <w:rsid w:val="00DC6186"/>
    <w:rsid w:val="00DC754D"/>
    <w:rsid w:val="00DD2A62"/>
    <w:rsid w:val="00DD4030"/>
    <w:rsid w:val="00DD542B"/>
    <w:rsid w:val="00DD6963"/>
    <w:rsid w:val="00DE472A"/>
    <w:rsid w:val="00DE61AF"/>
    <w:rsid w:val="00DF0816"/>
    <w:rsid w:val="00DF0867"/>
    <w:rsid w:val="00DF121D"/>
    <w:rsid w:val="00DF143A"/>
    <w:rsid w:val="00DF2043"/>
    <w:rsid w:val="00DF2511"/>
    <w:rsid w:val="00DF2731"/>
    <w:rsid w:val="00DF3A7C"/>
    <w:rsid w:val="00DF4C2B"/>
    <w:rsid w:val="00DF52D9"/>
    <w:rsid w:val="00E00B9A"/>
    <w:rsid w:val="00E00C0C"/>
    <w:rsid w:val="00E014B1"/>
    <w:rsid w:val="00E022FD"/>
    <w:rsid w:val="00E03324"/>
    <w:rsid w:val="00E034AA"/>
    <w:rsid w:val="00E0460E"/>
    <w:rsid w:val="00E10274"/>
    <w:rsid w:val="00E11C27"/>
    <w:rsid w:val="00E121F8"/>
    <w:rsid w:val="00E12D2D"/>
    <w:rsid w:val="00E12D6C"/>
    <w:rsid w:val="00E130AC"/>
    <w:rsid w:val="00E138B4"/>
    <w:rsid w:val="00E143A8"/>
    <w:rsid w:val="00E14D41"/>
    <w:rsid w:val="00E15099"/>
    <w:rsid w:val="00E15595"/>
    <w:rsid w:val="00E15653"/>
    <w:rsid w:val="00E178A6"/>
    <w:rsid w:val="00E205C5"/>
    <w:rsid w:val="00E21029"/>
    <w:rsid w:val="00E21896"/>
    <w:rsid w:val="00E2263F"/>
    <w:rsid w:val="00E232BE"/>
    <w:rsid w:val="00E2400B"/>
    <w:rsid w:val="00E2558D"/>
    <w:rsid w:val="00E25B6A"/>
    <w:rsid w:val="00E2603A"/>
    <w:rsid w:val="00E270DA"/>
    <w:rsid w:val="00E30D5C"/>
    <w:rsid w:val="00E32817"/>
    <w:rsid w:val="00E34B73"/>
    <w:rsid w:val="00E34FFB"/>
    <w:rsid w:val="00E35101"/>
    <w:rsid w:val="00E35C51"/>
    <w:rsid w:val="00E35EE8"/>
    <w:rsid w:val="00E40130"/>
    <w:rsid w:val="00E40CFB"/>
    <w:rsid w:val="00E41466"/>
    <w:rsid w:val="00E41919"/>
    <w:rsid w:val="00E41CC2"/>
    <w:rsid w:val="00E43437"/>
    <w:rsid w:val="00E4488F"/>
    <w:rsid w:val="00E466CA"/>
    <w:rsid w:val="00E46B40"/>
    <w:rsid w:val="00E50B02"/>
    <w:rsid w:val="00E50C3C"/>
    <w:rsid w:val="00E536E9"/>
    <w:rsid w:val="00E5423F"/>
    <w:rsid w:val="00E55215"/>
    <w:rsid w:val="00E565E4"/>
    <w:rsid w:val="00E568C5"/>
    <w:rsid w:val="00E56C40"/>
    <w:rsid w:val="00E612D5"/>
    <w:rsid w:val="00E61AEC"/>
    <w:rsid w:val="00E63955"/>
    <w:rsid w:val="00E63ECA"/>
    <w:rsid w:val="00E64DF6"/>
    <w:rsid w:val="00E65634"/>
    <w:rsid w:val="00E6756A"/>
    <w:rsid w:val="00E727B3"/>
    <w:rsid w:val="00E7365C"/>
    <w:rsid w:val="00E747C6"/>
    <w:rsid w:val="00E74C66"/>
    <w:rsid w:val="00E74DD0"/>
    <w:rsid w:val="00E74E21"/>
    <w:rsid w:val="00E75A13"/>
    <w:rsid w:val="00E80CFC"/>
    <w:rsid w:val="00E8197A"/>
    <w:rsid w:val="00E82753"/>
    <w:rsid w:val="00E82ADE"/>
    <w:rsid w:val="00E83F7F"/>
    <w:rsid w:val="00E86B22"/>
    <w:rsid w:val="00E86D04"/>
    <w:rsid w:val="00E87762"/>
    <w:rsid w:val="00E92045"/>
    <w:rsid w:val="00E94046"/>
    <w:rsid w:val="00E9444C"/>
    <w:rsid w:val="00E94E7F"/>
    <w:rsid w:val="00E95ECC"/>
    <w:rsid w:val="00E96376"/>
    <w:rsid w:val="00E970FF"/>
    <w:rsid w:val="00E97325"/>
    <w:rsid w:val="00EA2734"/>
    <w:rsid w:val="00EA2E1B"/>
    <w:rsid w:val="00EA375B"/>
    <w:rsid w:val="00EA42CC"/>
    <w:rsid w:val="00EA46DB"/>
    <w:rsid w:val="00EA5FFD"/>
    <w:rsid w:val="00EA6BF0"/>
    <w:rsid w:val="00EA7480"/>
    <w:rsid w:val="00EA7888"/>
    <w:rsid w:val="00EB05E2"/>
    <w:rsid w:val="00EB1064"/>
    <w:rsid w:val="00EB2592"/>
    <w:rsid w:val="00EB2E08"/>
    <w:rsid w:val="00EB2EEE"/>
    <w:rsid w:val="00EB355F"/>
    <w:rsid w:val="00EB4663"/>
    <w:rsid w:val="00EB4D5D"/>
    <w:rsid w:val="00EB55E0"/>
    <w:rsid w:val="00EB6800"/>
    <w:rsid w:val="00EB68B6"/>
    <w:rsid w:val="00EB7857"/>
    <w:rsid w:val="00EB7A5D"/>
    <w:rsid w:val="00EB7F5D"/>
    <w:rsid w:val="00EC1734"/>
    <w:rsid w:val="00EC2523"/>
    <w:rsid w:val="00EC3289"/>
    <w:rsid w:val="00EC3765"/>
    <w:rsid w:val="00EC3EF7"/>
    <w:rsid w:val="00EC41A5"/>
    <w:rsid w:val="00EC4900"/>
    <w:rsid w:val="00EC5073"/>
    <w:rsid w:val="00EC6D98"/>
    <w:rsid w:val="00EC7463"/>
    <w:rsid w:val="00EC7A95"/>
    <w:rsid w:val="00EC7FF8"/>
    <w:rsid w:val="00ED0B16"/>
    <w:rsid w:val="00ED2AAB"/>
    <w:rsid w:val="00ED2E68"/>
    <w:rsid w:val="00ED4398"/>
    <w:rsid w:val="00ED4925"/>
    <w:rsid w:val="00ED52A9"/>
    <w:rsid w:val="00ED5371"/>
    <w:rsid w:val="00ED5B34"/>
    <w:rsid w:val="00ED5C3F"/>
    <w:rsid w:val="00ED6048"/>
    <w:rsid w:val="00ED6700"/>
    <w:rsid w:val="00ED7ABE"/>
    <w:rsid w:val="00EE01E6"/>
    <w:rsid w:val="00EE28A5"/>
    <w:rsid w:val="00EE38A7"/>
    <w:rsid w:val="00EE6E4B"/>
    <w:rsid w:val="00EF0861"/>
    <w:rsid w:val="00EF0B8E"/>
    <w:rsid w:val="00EF118D"/>
    <w:rsid w:val="00EF1BC0"/>
    <w:rsid w:val="00EF1E57"/>
    <w:rsid w:val="00EF22F9"/>
    <w:rsid w:val="00EF369F"/>
    <w:rsid w:val="00EF4090"/>
    <w:rsid w:val="00EF4AF3"/>
    <w:rsid w:val="00EF5FFD"/>
    <w:rsid w:val="00F03038"/>
    <w:rsid w:val="00F032A3"/>
    <w:rsid w:val="00F05AC3"/>
    <w:rsid w:val="00F05DEC"/>
    <w:rsid w:val="00F05E2E"/>
    <w:rsid w:val="00F072C5"/>
    <w:rsid w:val="00F0759C"/>
    <w:rsid w:val="00F0770E"/>
    <w:rsid w:val="00F123AD"/>
    <w:rsid w:val="00F1287B"/>
    <w:rsid w:val="00F129E6"/>
    <w:rsid w:val="00F1368F"/>
    <w:rsid w:val="00F1374F"/>
    <w:rsid w:val="00F13FCD"/>
    <w:rsid w:val="00F14B91"/>
    <w:rsid w:val="00F15884"/>
    <w:rsid w:val="00F1655E"/>
    <w:rsid w:val="00F172E3"/>
    <w:rsid w:val="00F179ED"/>
    <w:rsid w:val="00F2058D"/>
    <w:rsid w:val="00F224BF"/>
    <w:rsid w:val="00F229D4"/>
    <w:rsid w:val="00F22B7D"/>
    <w:rsid w:val="00F22E62"/>
    <w:rsid w:val="00F22FD0"/>
    <w:rsid w:val="00F24282"/>
    <w:rsid w:val="00F24372"/>
    <w:rsid w:val="00F2510F"/>
    <w:rsid w:val="00F25F94"/>
    <w:rsid w:val="00F26104"/>
    <w:rsid w:val="00F301EC"/>
    <w:rsid w:val="00F31524"/>
    <w:rsid w:val="00F3207C"/>
    <w:rsid w:val="00F33B71"/>
    <w:rsid w:val="00F34326"/>
    <w:rsid w:val="00F3565D"/>
    <w:rsid w:val="00F4043A"/>
    <w:rsid w:val="00F413C4"/>
    <w:rsid w:val="00F41436"/>
    <w:rsid w:val="00F41D29"/>
    <w:rsid w:val="00F42DEB"/>
    <w:rsid w:val="00F432B8"/>
    <w:rsid w:val="00F45478"/>
    <w:rsid w:val="00F46DBE"/>
    <w:rsid w:val="00F47F17"/>
    <w:rsid w:val="00F5091B"/>
    <w:rsid w:val="00F519A6"/>
    <w:rsid w:val="00F522DB"/>
    <w:rsid w:val="00F53A1C"/>
    <w:rsid w:val="00F54F5E"/>
    <w:rsid w:val="00F5621A"/>
    <w:rsid w:val="00F60B1E"/>
    <w:rsid w:val="00F62266"/>
    <w:rsid w:val="00F634AD"/>
    <w:rsid w:val="00F647CB"/>
    <w:rsid w:val="00F64A8F"/>
    <w:rsid w:val="00F65587"/>
    <w:rsid w:val="00F66405"/>
    <w:rsid w:val="00F66E81"/>
    <w:rsid w:val="00F71271"/>
    <w:rsid w:val="00F7141F"/>
    <w:rsid w:val="00F72A74"/>
    <w:rsid w:val="00F741ED"/>
    <w:rsid w:val="00F751CF"/>
    <w:rsid w:val="00F77106"/>
    <w:rsid w:val="00F77497"/>
    <w:rsid w:val="00F802C8"/>
    <w:rsid w:val="00F815D5"/>
    <w:rsid w:val="00F82269"/>
    <w:rsid w:val="00F865E5"/>
    <w:rsid w:val="00F8660B"/>
    <w:rsid w:val="00F87833"/>
    <w:rsid w:val="00F87838"/>
    <w:rsid w:val="00F879A1"/>
    <w:rsid w:val="00F9031D"/>
    <w:rsid w:val="00F91B80"/>
    <w:rsid w:val="00F959BD"/>
    <w:rsid w:val="00F967F8"/>
    <w:rsid w:val="00F974DC"/>
    <w:rsid w:val="00FA180E"/>
    <w:rsid w:val="00FA1F04"/>
    <w:rsid w:val="00FA2537"/>
    <w:rsid w:val="00FA2DFA"/>
    <w:rsid w:val="00FA4B33"/>
    <w:rsid w:val="00FA4F98"/>
    <w:rsid w:val="00FA63B9"/>
    <w:rsid w:val="00FA7732"/>
    <w:rsid w:val="00FA7EC2"/>
    <w:rsid w:val="00FB0926"/>
    <w:rsid w:val="00FB0BC4"/>
    <w:rsid w:val="00FB24BB"/>
    <w:rsid w:val="00FB442C"/>
    <w:rsid w:val="00FC1DD2"/>
    <w:rsid w:val="00FC2917"/>
    <w:rsid w:val="00FC3BC4"/>
    <w:rsid w:val="00FC4411"/>
    <w:rsid w:val="00FC6768"/>
    <w:rsid w:val="00FC6BEA"/>
    <w:rsid w:val="00FC6ED3"/>
    <w:rsid w:val="00FC7913"/>
    <w:rsid w:val="00FD0D8C"/>
    <w:rsid w:val="00FD1302"/>
    <w:rsid w:val="00FD371A"/>
    <w:rsid w:val="00FD4ABE"/>
    <w:rsid w:val="00FD6AC3"/>
    <w:rsid w:val="00FD70BA"/>
    <w:rsid w:val="00FE0AB1"/>
    <w:rsid w:val="00FE1CD5"/>
    <w:rsid w:val="00FE4B36"/>
    <w:rsid w:val="00FE628E"/>
    <w:rsid w:val="00FE7697"/>
    <w:rsid w:val="00FF0C35"/>
    <w:rsid w:val="00FF151E"/>
    <w:rsid w:val="00FF20B5"/>
    <w:rsid w:val="00FF21A4"/>
    <w:rsid w:val="00FF22D4"/>
    <w:rsid w:val="00FF28B2"/>
    <w:rsid w:val="00FF2B91"/>
    <w:rsid w:val="00FF2E44"/>
    <w:rsid w:val="00FF38CB"/>
    <w:rsid w:val="00FF5415"/>
    <w:rsid w:val="00FF78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8C7"/>
  </w:style>
  <w:style w:type="paragraph" w:styleId="Heading1">
    <w:name w:val="heading 1"/>
    <w:basedOn w:val="Normal"/>
    <w:next w:val="Normal"/>
    <w:qFormat/>
    <w:pPr>
      <w:keepNext/>
      <w:outlineLvl w:val="0"/>
    </w:pPr>
    <w:rPr>
      <w:rFonts w:ascii="Palatino" w:hAnsi="Palatino"/>
      <w:b/>
      <w:sz w:val="24"/>
      <w:u w:val="single"/>
    </w:rPr>
  </w:style>
  <w:style w:type="paragraph" w:styleId="Heading2">
    <w:name w:val="heading 2"/>
    <w:basedOn w:val="Normal"/>
    <w:next w:val="Normal"/>
    <w:link w:val="Heading2Char"/>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rPr>
      <w:vertAlign w:val="superscript"/>
    </w:rPr>
  </w:style>
  <w:style w:type="paragraph" w:styleId="BodyText2">
    <w:name w:val="Body Text 2"/>
    <w:basedOn w:val="Normal"/>
    <w:pPr>
      <w:spacing w:after="120"/>
      <w:ind w:right="-720"/>
    </w:pPr>
    <w:rPr>
      <w:sz w:val="24"/>
    </w:rPr>
  </w:style>
  <w:style w:type="character" w:styleId="Hyperlink">
    <w:name w:val="Hyperlink"/>
    <w:uiPriority w:val="99"/>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1"/>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13810"/>
    <w:rPr>
      <w:sz w:val="16"/>
      <w:szCs w:val="16"/>
    </w:rPr>
  </w:style>
  <w:style w:type="paragraph" w:styleId="CommentText">
    <w:name w:val="annotation text"/>
    <w:basedOn w:val="Normal"/>
    <w:link w:val="CommentTextChar"/>
    <w:uiPriority w:val="99"/>
    <w:rsid w:val="00913810"/>
  </w:style>
  <w:style w:type="character" w:customStyle="1" w:styleId="CommentTextChar">
    <w:name w:val="Comment Text Char"/>
    <w:basedOn w:val="DefaultParagraphFont"/>
    <w:link w:val="CommentText"/>
    <w:uiPriority w:val="99"/>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uiPriority w:val="34"/>
    <w:qFormat/>
    <w:rsid w:val="00DA38F2"/>
    <w:pPr>
      <w:ind w:left="720"/>
    </w:p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rsid w:val="008F3A1C"/>
  </w:style>
  <w:style w:type="paragraph" w:styleId="TOC1">
    <w:name w:val="toc 1"/>
    <w:basedOn w:val="Normal"/>
    <w:next w:val="Normal"/>
    <w:autoRedefine/>
    <w:uiPriority w:val="39"/>
    <w:rsid w:val="00421E3D"/>
    <w:pPr>
      <w:tabs>
        <w:tab w:val="left" w:pos="440"/>
        <w:tab w:val="right" w:leader="dot" w:pos="9350"/>
      </w:tabs>
      <w:spacing w:after="100"/>
      <w:jc w:val="center"/>
    </w:pPr>
  </w:style>
  <w:style w:type="paragraph" w:styleId="TOC2">
    <w:name w:val="toc 2"/>
    <w:basedOn w:val="Normal"/>
    <w:next w:val="Normal"/>
    <w:autoRedefine/>
    <w:uiPriority w:val="39"/>
    <w:rsid w:val="0030352A"/>
    <w:pPr>
      <w:spacing w:after="100"/>
      <w:ind w:left="200"/>
    </w:pPr>
  </w:style>
  <w:style w:type="paragraph" w:styleId="TOC3">
    <w:name w:val="toc 3"/>
    <w:basedOn w:val="Normal"/>
    <w:next w:val="Normal"/>
    <w:autoRedefine/>
    <w:uiPriority w:val="39"/>
    <w:rsid w:val="0030352A"/>
    <w:pPr>
      <w:spacing w:after="100"/>
      <w:ind w:left="400"/>
    </w:pPr>
  </w:style>
  <w:style w:type="character" w:customStyle="1" w:styleId="UnresolvedMention1">
    <w:name w:val="Unresolved Mention1"/>
    <w:basedOn w:val="DefaultParagraphFont"/>
    <w:uiPriority w:val="99"/>
    <w:semiHidden/>
    <w:unhideWhenUsed/>
    <w:rsid w:val="007B1481"/>
    <w:rPr>
      <w:color w:val="605E5C"/>
      <w:shd w:val="clear" w:color="auto" w:fill="E1DFDD"/>
    </w:rPr>
  </w:style>
  <w:style w:type="character" w:customStyle="1" w:styleId="Heading2Char">
    <w:name w:val="Heading 2 Char"/>
    <w:basedOn w:val="DefaultParagraphFont"/>
    <w:link w:val="Heading2"/>
    <w:rsid w:val="00533BE5"/>
    <w:rPr>
      <w:rFonts w:ascii="Palatino" w:hAnsi="Palatino"/>
      <w:b/>
      <w:sz w:val="24"/>
    </w:rPr>
  </w:style>
  <w:style w:type="character" w:styleId="UnresolvedMention">
    <w:name w:val="Unresolved Mention"/>
    <w:basedOn w:val="DefaultParagraphFont"/>
    <w:uiPriority w:val="99"/>
    <w:semiHidden/>
    <w:unhideWhenUsed/>
    <w:rsid w:val="00222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6510">
      <w:bodyDiv w:val="1"/>
      <w:marLeft w:val="0"/>
      <w:marRight w:val="0"/>
      <w:marTop w:val="0"/>
      <w:marBottom w:val="0"/>
      <w:divBdr>
        <w:top w:val="none" w:sz="0" w:space="0" w:color="auto"/>
        <w:left w:val="none" w:sz="0" w:space="0" w:color="auto"/>
        <w:bottom w:val="none" w:sz="0" w:space="0" w:color="auto"/>
        <w:right w:val="none" w:sz="0" w:space="0" w:color="auto"/>
      </w:divBdr>
    </w:div>
    <w:div w:id="25184915">
      <w:bodyDiv w:val="1"/>
      <w:marLeft w:val="0"/>
      <w:marRight w:val="0"/>
      <w:marTop w:val="0"/>
      <w:marBottom w:val="0"/>
      <w:divBdr>
        <w:top w:val="none" w:sz="0" w:space="0" w:color="auto"/>
        <w:left w:val="none" w:sz="0" w:space="0" w:color="auto"/>
        <w:bottom w:val="none" w:sz="0" w:space="0" w:color="auto"/>
        <w:right w:val="none" w:sz="0" w:space="0" w:color="auto"/>
      </w:divBdr>
    </w:div>
    <w:div w:id="67464583">
      <w:bodyDiv w:val="1"/>
      <w:marLeft w:val="0"/>
      <w:marRight w:val="0"/>
      <w:marTop w:val="0"/>
      <w:marBottom w:val="0"/>
      <w:divBdr>
        <w:top w:val="none" w:sz="0" w:space="0" w:color="auto"/>
        <w:left w:val="none" w:sz="0" w:space="0" w:color="auto"/>
        <w:bottom w:val="none" w:sz="0" w:space="0" w:color="auto"/>
        <w:right w:val="none" w:sz="0" w:space="0" w:color="auto"/>
      </w:divBdr>
    </w:div>
    <w:div w:id="74322787">
      <w:bodyDiv w:val="1"/>
      <w:marLeft w:val="0"/>
      <w:marRight w:val="0"/>
      <w:marTop w:val="0"/>
      <w:marBottom w:val="0"/>
      <w:divBdr>
        <w:top w:val="none" w:sz="0" w:space="0" w:color="auto"/>
        <w:left w:val="none" w:sz="0" w:space="0" w:color="auto"/>
        <w:bottom w:val="none" w:sz="0" w:space="0" w:color="auto"/>
        <w:right w:val="none" w:sz="0" w:space="0" w:color="auto"/>
      </w:divBdr>
    </w:div>
    <w:div w:id="81221301">
      <w:bodyDiv w:val="1"/>
      <w:marLeft w:val="0"/>
      <w:marRight w:val="0"/>
      <w:marTop w:val="0"/>
      <w:marBottom w:val="0"/>
      <w:divBdr>
        <w:top w:val="none" w:sz="0" w:space="0" w:color="auto"/>
        <w:left w:val="none" w:sz="0" w:space="0" w:color="auto"/>
        <w:bottom w:val="none" w:sz="0" w:space="0" w:color="auto"/>
        <w:right w:val="none" w:sz="0" w:space="0" w:color="auto"/>
      </w:divBdr>
    </w:div>
    <w:div w:id="122618361">
      <w:bodyDiv w:val="1"/>
      <w:marLeft w:val="0"/>
      <w:marRight w:val="0"/>
      <w:marTop w:val="0"/>
      <w:marBottom w:val="0"/>
      <w:divBdr>
        <w:top w:val="none" w:sz="0" w:space="0" w:color="auto"/>
        <w:left w:val="none" w:sz="0" w:space="0" w:color="auto"/>
        <w:bottom w:val="none" w:sz="0" w:space="0" w:color="auto"/>
        <w:right w:val="none" w:sz="0" w:space="0" w:color="auto"/>
      </w:divBdr>
    </w:div>
    <w:div w:id="181166515">
      <w:bodyDiv w:val="1"/>
      <w:marLeft w:val="0"/>
      <w:marRight w:val="0"/>
      <w:marTop w:val="0"/>
      <w:marBottom w:val="0"/>
      <w:divBdr>
        <w:top w:val="none" w:sz="0" w:space="0" w:color="auto"/>
        <w:left w:val="none" w:sz="0" w:space="0" w:color="auto"/>
        <w:bottom w:val="none" w:sz="0" w:space="0" w:color="auto"/>
        <w:right w:val="none" w:sz="0" w:space="0" w:color="auto"/>
      </w:divBdr>
    </w:div>
    <w:div w:id="182476672">
      <w:bodyDiv w:val="1"/>
      <w:marLeft w:val="0"/>
      <w:marRight w:val="0"/>
      <w:marTop w:val="0"/>
      <w:marBottom w:val="0"/>
      <w:divBdr>
        <w:top w:val="none" w:sz="0" w:space="0" w:color="auto"/>
        <w:left w:val="none" w:sz="0" w:space="0" w:color="auto"/>
        <w:bottom w:val="none" w:sz="0" w:space="0" w:color="auto"/>
        <w:right w:val="none" w:sz="0" w:space="0" w:color="auto"/>
      </w:divBdr>
    </w:div>
    <w:div w:id="187449080">
      <w:bodyDiv w:val="1"/>
      <w:marLeft w:val="0"/>
      <w:marRight w:val="0"/>
      <w:marTop w:val="0"/>
      <w:marBottom w:val="0"/>
      <w:divBdr>
        <w:top w:val="none" w:sz="0" w:space="0" w:color="auto"/>
        <w:left w:val="none" w:sz="0" w:space="0" w:color="auto"/>
        <w:bottom w:val="none" w:sz="0" w:space="0" w:color="auto"/>
        <w:right w:val="none" w:sz="0" w:space="0" w:color="auto"/>
      </w:divBdr>
    </w:div>
    <w:div w:id="217981764">
      <w:bodyDiv w:val="1"/>
      <w:marLeft w:val="0"/>
      <w:marRight w:val="0"/>
      <w:marTop w:val="0"/>
      <w:marBottom w:val="0"/>
      <w:divBdr>
        <w:top w:val="none" w:sz="0" w:space="0" w:color="auto"/>
        <w:left w:val="none" w:sz="0" w:space="0" w:color="auto"/>
        <w:bottom w:val="none" w:sz="0" w:space="0" w:color="auto"/>
        <w:right w:val="none" w:sz="0" w:space="0" w:color="auto"/>
      </w:divBdr>
    </w:div>
    <w:div w:id="236519800">
      <w:bodyDiv w:val="1"/>
      <w:marLeft w:val="0"/>
      <w:marRight w:val="0"/>
      <w:marTop w:val="0"/>
      <w:marBottom w:val="0"/>
      <w:divBdr>
        <w:top w:val="none" w:sz="0" w:space="0" w:color="auto"/>
        <w:left w:val="none" w:sz="0" w:space="0" w:color="auto"/>
        <w:bottom w:val="none" w:sz="0" w:space="0" w:color="auto"/>
        <w:right w:val="none" w:sz="0" w:space="0" w:color="auto"/>
      </w:divBdr>
    </w:div>
    <w:div w:id="290089280">
      <w:bodyDiv w:val="1"/>
      <w:marLeft w:val="0"/>
      <w:marRight w:val="0"/>
      <w:marTop w:val="0"/>
      <w:marBottom w:val="0"/>
      <w:divBdr>
        <w:top w:val="none" w:sz="0" w:space="0" w:color="auto"/>
        <w:left w:val="none" w:sz="0" w:space="0" w:color="auto"/>
        <w:bottom w:val="none" w:sz="0" w:space="0" w:color="auto"/>
        <w:right w:val="none" w:sz="0" w:space="0" w:color="auto"/>
      </w:divBdr>
    </w:div>
    <w:div w:id="299190077">
      <w:bodyDiv w:val="1"/>
      <w:marLeft w:val="0"/>
      <w:marRight w:val="0"/>
      <w:marTop w:val="0"/>
      <w:marBottom w:val="0"/>
      <w:divBdr>
        <w:top w:val="none" w:sz="0" w:space="0" w:color="auto"/>
        <w:left w:val="none" w:sz="0" w:space="0" w:color="auto"/>
        <w:bottom w:val="none" w:sz="0" w:space="0" w:color="auto"/>
        <w:right w:val="none" w:sz="0" w:space="0" w:color="auto"/>
      </w:divBdr>
    </w:div>
    <w:div w:id="331298202">
      <w:bodyDiv w:val="1"/>
      <w:marLeft w:val="0"/>
      <w:marRight w:val="0"/>
      <w:marTop w:val="0"/>
      <w:marBottom w:val="0"/>
      <w:divBdr>
        <w:top w:val="none" w:sz="0" w:space="0" w:color="auto"/>
        <w:left w:val="none" w:sz="0" w:space="0" w:color="auto"/>
        <w:bottom w:val="none" w:sz="0" w:space="0" w:color="auto"/>
        <w:right w:val="none" w:sz="0" w:space="0" w:color="auto"/>
      </w:divBdr>
    </w:div>
    <w:div w:id="357702904">
      <w:bodyDiv w:val="1"/>
      <w:marLeft w:val="0"/>
      <w:marRight w:val="0"/>
      <w:marTop w:val="0"/>
      <w:marBottom w:val="0"/>
      <w:divBdr>
        <w:top w:val="none" w:sz="0" w:space="0" w:color="auto"/>
        <w:left w:val="none" w:sz="0" w:space="0" w:color="auto"/>
        <w:bottom w:val="none" w:sz="0" w:space="0" w:color="auto"/>
        <w:right w:val="none" w:sz="0" w:space="0" w:color="auto"/>
      </w:divBdr>
    </w:div>
    <w:div w:id="433599819">
      <w:bodyDiv w:val="1"/>
      <w:marLeft w:val="0"/>
      <w:marRight w:val="0"/>
      <w:marTop w:val="0"/>
      <w:marBottom w:val="0"/>
      <w:divBdr>
        <w:top w:val="none" w:sz="0" w:space="0" w:color="auto"/>
        <w:left w:val="none" w:sz="0" w:space="0" w:color="auto"/>
        <w:bottom w:val="none" w:sz="0" w:space="0" w:color="auto"/>
        <w:right w:val="none" w:sz="0" w:space="0" w:color="auto"/>
      </w:divBdr>
    </w:div>
    <w:div w:id="452139961">
      <w:bodyDiv w:val="1"/>
      <w:marLeft w:val="0"/>
      <w:marRight w:val="0"/>
      <w:marTop w:val="0"/>
      <w:marBottom w:val="0"/>
      <w:divBdr>
        <w:top w:val="none" w:sz="0" w:space="0" w:color="auto"/>
        <w:left w:val="none" w:sz="0" w:space="0" w:color="auto"/>
        <w:bottom w:val="none" w:sz="0" w:space="0" w:color="auto"/>
        <w:right w:val="none" w:sz="0" w:space="0" w:color="auto"/>
      </w:divBdr>
    </w:div>
    <w:div w:id="460877765">
      <w:bodyDiv w:val="1"/>
      <w:marLeft w:val="0"/>
      <w:marRight w:val="0"/>
      <w:marTop w:val="0"/>
      <w:marBottom w:val="0"/>
      <w:divBdr>
        <w:top w:val="none" w:sz="0" w:space="0" w:color="auto"/>
        <w:left w:val="none" w:sz="0" w:space="0" w:color="auto"/>
        <w:bottom w:val="none" w:sz="0" w:space="0" w:color="auto"/>
        <w:right w:val="none" w:sz="0" w:space="0" w:color="auto"/>
      </w:divBdr>
    </w:div>
    <w:div w:id="484584983">
      <w:bodyDiv w:val="1"/>
      <w:marLeft w:val="0"/>
      <w:marRight w:val="0"/>
      <w:marTop w:val="0"/>
      <w:marBottom w:val="0"/>
      <w:divBdr>
        <w:top w:val="none" w:sz="0" w:space="0" w:color="auto"/>
        <w:left w:val="none" w:sz="0" w:space="0" w:color="auto"/>
        <w:bottom w:val="none" w:sz="0" w:space="0" w:color="auto"/>
        <w:right w:val="none" w:sz="0" w:space="0" w:color="auto"/>
      </w:divBdr>
    </w:div>
    <w:div w:id="508953797">
      <w:bodyDiv w:val="1"/>
      <w:marLeft w:val="0"/>
      <w:marRight w:val="0"/>
      <w:marTop w:val="0"/>
      <w:marBottom w:val="0"/>
      <w:divBdr>
        <w:top w:val="none" w:sz="0" w:space="0" w:color="auto"/>
        <w:left w:val="none" w:sz="0" w:space="0" w:color="auto"/>
        <w:bottom w:val="none" w:sz="0" w:space="0" w:color="auto"/>
        <w:right w:val="none" w:sz="0" w:space="0" w:color="auto"/>
      </w:divBdr>
    </w:div>
    <w:div w:id="567544199">
      <w:bodyDiv w:val="1"/>
      <w:marLeft w:val="0"/>
      <w:marRight w:val="0"/>
      <w:marTop w:val="0"/>
      <w:marBottom w:val="0"/>
      <w:divBdr>
        <w:top w:val="none" w:sz="0" w:space="0" w:color="auto"/>
        <w:left w:val="none" w:sz="0" w:space="0" w:color="auto"/>
        <w:bottom w:val="none" w:sz="0" w:space="0" w:color="auto"/>
        <w:right w:val="none" w:sz="0" w:space="0" w:color="auto"/>
      </w:divBdr>
    </w:div>
    <w:div w:id="595940782">
      <w:bodyDiv w:val="1"/>
      <w:marLeft w:val="0"/>
      <w:marRight w:val="0"/>
      <w:marTop w:val="0"/>
      <w:marBottom w:val="0"/>
      <w:divBdr>
        <w:top w:val="none" w:sz="0" w:space="0" w:color="auto"/>
        <w:left w:val="none" w:sz="0" w:space="0" w:color="auto"/>
        <w:bottom w:val="none" w:sz="0" w:space="0" w:color="auto"/>
        <w:right w:val="none" w:sz="0" w:space="0" w:color="auto"/>
      </w:divBdr>
    </w:div>
    <w:div w:id="600189714">
      <w:bodyDiv w:val="1"/>
      <w:marLeft w:val="0"/>
      <w:marRight w:val="0"/>
      <w:marTop w:val="0"/>
      <w:marBottom w:val="0"/>
      <w:divBdr>
        <w:top w:val="none" w:sz="0" w:space="0" w:color="auto"/>
        <w:left w:val="none" w:sz="0" w:space="0" w:color="auto"/>
        <w:bottom w:val="none" w:sz="0" w:space="0" w:color="auto"/>
        <w:right w:val="none" w:sz="0" w:space="0" w:color="auto"/>
      </w:divBdr>
      <w:divsChild>
        <w:div w:id="703410811">
          <w:marLeft w:val="0"/>
          <w:marRight w:val="0"/>
          <w:marTop w:val="0"/>
          <w:marBottom w:val="0"/>
          <w:divBdr>
            <w:top w:val="none" w:sz="0" w:space="0" w:color="auto"/>
            <w:left w:val="single" w:sz="6" w:space="0" w:color="999999"/>
            <w:bottom w:val="none" w:sz="0" w:space="0" w:color="auto"/>
            <w:right w:val="single" w:sz="6" w:space="0" w:color="999999"/>
          </w:divBdr>
          <w:divsChild>
            <w:div w:id="1947034118">
              <w:marLeft w:val="0"/>
              <w:marRight w:val="0"/>
              <w:marTop w:val="0"/>
              <w:marBottom w:val="0"/>
              <w:divBdr>
                <w:top w:val="none" w:sz="0" w:space="0" w:color="auto"/>
                <w:left w:val="none" w:sz="0" w:space="0" w:color="auto"/>
                <w:bottom w:val="none" w:sz="0" w:space="0" w:color="auto"/>
                <w:right w:val="none" w:sz="0" w:space="0" w:color="auto"/>
              </w:divBdr>
              <w:divsChild>
                <w:div w:id="1735733878">
                  <w:marLeft w:val="0"/>
                  <w:marRight w:val="0"/>
                  <w:marTop w:val="0"/>
                  <w:marBottom w:val="0"/>
                  <w:divBdr>
                    <w:top w:val="none" w:sz="0" w:space="0" w:color="auto"/>
                    <w:left w:val="none" w:sz="0" w:space="0" w:color="auto"/>
                    <w:bottom w:val="single" w:sz="6" w:space="9" w:color="FFFFFF"/>
                    <w:right w:val="none" w:sz="0" w:space="0" w:color="auto"/>
                  </w:divBdr>
                  <w:divsChild>
                    <w:div w:id="173424343">
                      <w:marLeft w:val="0"/>
                      <w:marRight w:val="0"/>
                      <w:marTop w:val="0"/>
                      <w:marBottom w:val="0"/>
                      <w:divBdr>
                        <w:top w:val="none" w:sz="0" w:space="0" w:color="auto"/>
                        <w:left w:val="none" w:sz="0" w:space="0" w:color="auto"/>
                        <w:bottom w:val="none" w:sz="0" w:space="0" w:color="auto"/>
                        <w:right w:val="none" w:sz="0" w:space="0" w:color="auto"/>
                      </w:divBdr>
                      <w:divsChild>
                        <w:div w:id="37361883">
                          <w:marLeft w:val="0"/>
                          <w:marRight w:val="0"/>
                          <w:marTop w:val="0"/>
                          <w:marBottom w:val="0"/>
                          <w:divBdr>
                            <w:top w:val="none" w:sz="0" w:space="0" w:color="auto"/>
                            <w:left w:val="none" w:sz="0" w:space="0" w:color="auto"/>
                            <w:bottom w:val="none" w:sz="0" w:space="0" w:color="auto"/>
                            <w:right w:val="none" w:sz="0" w:space="0" w:color="auto"/>
                          </w:divBdr>
                          <w:divsChild>
                            <w:div w:id="2044213435">
                              <w:marLeft w:val="0"/>
                              <w:marRight w:val="0"/>
                              <w:marTop w:val="0"/>
                              <w:marBottom w:val="0"/>
                              <w:divBdr>
                                <w:top w:val="none" w:sz="0" w:space="0" w:color="auto"/>
                                <w:left w:val="none" w:sz="0" w:space="0" w:color="auto"/>
                                <w:bottom w:val="none" w:sz="0" w:space="0" w:color="auto"/>
                                <w:right w:val="none" w:sz="0" w:space="0" w:color="auto"/>
                              </w:divBdr>
                              <w:divsChild>
                                <w:div w:id="621113342">
                                  <w:marLeft w:val="0"/>
                                  <w:marRight w:val="0"/>
                                  <w:marTop w:val="0"/>
                                  <w:marBottom w:val="0"/>
                                  <w:divBdr>
                                    <w:top w:val="none" w:sz="0" w:space="0" w:color="auto"/>
                                    <w:left w:val="none" w:sz="0" w:space="0" w:color="auto"/>
                                    <w:bottom w:val="none" w:sz="0" w:space="0" w:color="auto"/>
                                    <w:right w:val="none" w:sz="0" w:space="0" w:color="auto"/>
                                  </w:divBdr>
                                  <w:divsChild>
                                    <w:div w:id="1816943977">
                                      <w:marLeft w:val="0"/>
                                      <w:marRight w:val="0"/>
                                      <w:marTop w:val="0"/>
                                      <w:marBottom w:val="0"/>
                                      <w:divBdr>
                                        <w:top w:val="none" w:sz="0" w:space="0" w:color="auto"/>
                                        <w:left w:val="none" w:sz="0" w:space="0" w:color="auto"/>
                                        <w:bottom w:val="none" w:sz="0" w:space="0" w:color="auto"/>
                                        <w:right w:val="none" w:sz="0" w:space="0" w:color="auto"/>
                                      </w:divBdr>
                                      <w:divsChild>
                                        <w:div w:id="1427338935">
                                          <w:marLeft w:val="600"/>
                                          <w:marRight w:val="375"/>
                                          <w:marTop w:val="120"/>
                                          <w:marBottom w:val="0"/>
                                          <w:divBdr>
                                            <w:top w:val="none" w:sz="0" w:space="0" w:color="auto"/>
                                            <w:left w:val="none" w:sz="0" w:space="0" w:color="auto"/>
                                            <w:bottom w:val="none" w:sz="0" w:space="0" w:color="auto"/>
                                            <w:right w:val="none" w:sz="0" w:space="0" w:color="auto"/>
                                          </w:divBdr>
                                          <w:divsChild>
                                            <w:div w:id="637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574314">
      <w:bodyDiv w:val="1"/>
      <w:marLeft w:val="0"/>
      <w:marRight w:val="0"/>
      <w:marTop w:val="0"/>
      <w:marBottom w:val="0"/>
      <w:divBdr>
        <w:top w:val="none" w:sz="0" w:space="0" w:color="auto"/>
        <w:left w:val="none" w:sz="0" w:space="0" w:color="auto"/>
        <w:bottom w:val="none" w:sz="0" w:space="0" w:color="auto"/>
        <w:right w:val="none" w:sz="0" w:space="0" w:color="auto"/>
      </w:divBdr>
    </w:div>
    <w:div w:id="611133518">
      <w:bodyDiv w:val="1"/>
      <w:marLeft w:val="0"/>
      <w:marRight w:val="0"/>
      <w:marTop w:val="0"/>
      <w:marBottom w:val="0"/>
      <w:divBdr>
        <w:top w:val="none" w:sz="0" w:space="0" w:color="auto"/>
        <w:left w:val="none" w:sz="0" w:space="0" w:color="auto"/>
        <w:bottom w:val="none" w:sz="0" w:space="0" w:color="auto"/>
        <w:right w:val="none" w:sz="0" w:space="0" w:color="auto"/>
      </w:divBdr>
    </w:div>
    <w:div w:id="631983246">
      <w:bodyDiv w:val="1"/>
      <w:marLeft w:val="0"/>
      <w:marRight w:val="0"/>
      <w:marTop w:val="0"/>
      <w:marBottom w:val="0"/>
      <w:divBdr>
        <w:top w:val="none" w:sz="0" w:space="0" w:color="auto"/>
        <w:left w:val="none" w:sz="0" w:space="0" w:color="auto"/>
        <w:bottom w:val="none" w:sz="0" w:space="0" w:color="auto"/>
        <w:right w:val="none" w:sz="0" w:space="0" w:color="auto"/>
      </w:divBdr>
    </w:div>
    <w:div w:id="632751782">
      <w:bodyDiv w:val="1"/>
      <w:marLeft w:val="0"/>
      <w:marRight w:val="0"/>
      <w:marTop w:val="0"/>
      <w:marBottom w:val="0"/>
      <w:divBdr>
        <w:top w:val="none" w:sz="0" w:space="0" w:color="auto"/>
        <w:left w:val="none" w:sz="0" w:space="0" w:color="auto"/>
        <w:bottom w:val="none" w:sz="0" w:space="0" w:color="auto"/>
        <w:right w:val="none" w:sz="0" w:space="0" w:color="auto"/>
      </w:divBdr>
    </w:div>
    <w:div w:id="686980884">
      <w:bodyDiv w:val="1"/>
      <w:marLeft w:val="0"/>
      <w:marRight w:val="0"/>
      <w:marTop w:val="0"/>
      <w:marBottom w:val="0"/>
      <w:divBdr>
        <w:top w:val="none" w:sz="0" w:space="0" w:color="auto"/>
        <w:left w:val="none" w:sz="0" w:space="0" w:color="auto"/>
        <w:bottom w:val="none" w:sz="0" w:space="0" w:color="auto"/>
        <w:right w:val="none" w:sz="0" w:space="0" w:color="auto"/>
      </w:divBdr>
    </w:div>
    <w:div w:id="705638137">
      <w:bodyDiv w:val="1"/>
      <w:marLeft w:val="0"/>
      <w:marRight w:val="0"/>
      <w:marTop w:val="0"/>
      <w:marBottom w:val="0"/>
      <w:divBdr>
        <w:top w:val="none" w:sz="0" w:space="0" w:color="auto"/>
        <w:left w:val="none" w:sz="0" w:space="0" w:color="auto"/>
        <w:bottom w:val="none" w:sz="0" w:space="0" w:color="auto"/>
        <w:right w:val="none" w:sz="0" w:space="0" w:color="auto"/>
      </w:divBdr>
    </w:div>
    <w:div w:id="709575699">
      <w:bodyDiv w:val="1"/>
      <w:marLeft w:val="0"/>
      <w:marRight w:val="0"/>
      <w:marTop w:val="0"/>
      <w:marBottom w:val="0"/>
      <w:divBdr>
        <w:top w:val="none" w:sz="0" w:space="0" w:color="auto"/>
        <w:left w:val="none" w:sz="0" w:space="0" w:color="auto"/>
        <w:bottom w:val="none" w:sz="0" w:space="0" w:color="auto"/>
        <w:right w:val="none" w:sz="0" w:space="0" w:color="auto"/>
      </w:divBdr>
    </w:div>
    <w:div w:id="758676676">
      <w:bodyDiv w:val="1"/>
      <w:marLeft w:val="0"/>
      <w:marRight w:val="0"/>
      <w:marTop w:val="0"/>
      <w:marBottom w:val="0"/>
      <w:divBdr>
        <w:top w:val="none" w:sz="0" w:space="0" w:color="auto"/>
        <w:left w:val="none" w:sz="0" w:space="0" w:color="auto"/>
        <w:bottom w:val="none" w:sz="0" w:space="0" w:color="auto"/>
        <w:right w:val="none" w:sz="0" w:space="0" w:color="auto"/>
      </w:divBdr>
    </w:div>
    <w:div w:id="773289751">
      <w:bodyDiv w:val="1"/>
      <w:marLeft w:val="0"/>
      <w:marRight w:val="0"/>
      <w:marTop w:val="0"/>
      <w:marBottom w:val="0"/>
      <w:divBdr>
        <w:top w:val="none" w:sz="0" w:space="0" w:color="auto"/>
        <w:left w:val="none" w:sz="0" w:space="0" w:color="auto"/>
        <w:bottom w:val="none" w:sz="0" w:space="0" w:color="auto"/>
        <w:right w:val="none" w:sz="0" w:space="0" w:color="auto"/>
      </w:divBdr>
    </w:div>
    <w:div w:id="837497102">
      <w:bodyDiv w:val="1"/>
      <w:marLeft w:val="0"/>
      <w:marRight w:val="0"/>
      <w:marTop w:val="0"/>
      <w:marBottom w:val="0"/>
      <w:divBdr>
        <w:top w:val="none" w:sz="0" w:space="0" w:color="auto"/>
        <w:left w:val="none" w:sz="0" w:space="0" w:color="auto"/>
        <w:bottom w:val="none" w:sz="0" w:space="0" w:color="auto"/>
        <w:right w:val="none" w:sz="0" w:space="0" w:color="auto"/>
      </w:divBdr>
    </w:div>
    <w:div w:id="877470930">
      <w:bodyDiv w:val="1"/>
      <w:marLeft w:val="0"/>
      <w:marRight w:val="0"/>
      <w:marTop w:val="0"/>
      <w:marBottom w:val="0"/>
      <w:divBdr>
        <w:top w:val="none" w:sz="0" w:space="0" w:color="auto"/>
        <w:left w:val="none" w:sz="0" w:space="0" w:color="auto"/>
        <w:bottom w:val="none" w:sz="0" w:space="0" w:color="auto"/>
        <w:right w:val="none" w:sz="0" w:space="0" w:color="auto"/>
      </w:divBdr>
    </w:div>
    <w:div w:id="911816854">
      <w:bodyDiv w:val="1"/>
      <w:marLeft w:val="0"/>
      <w:marRight w:val="0"/>
      <w:marTop w:val="0"/>
      <w:marBottom w:val="0"/>
      <w:divBdr>
        <w:top w:val="none" w:sz="0" w:space="0" w:color="auto"/>
        <w:left w:val="none" w:sz="0" w:space="0" w:color="auto"/>
        <w:bottom w:val="none" w:sz="0" w:space="0" w:color="auto"/>
        <w:right w:val="none" w:sz="0" w:space="0" w:color="auto"/>
      </w:divBdr>
    </w:div>
    <w:div w:id="968785386">
      <w:bodyDiv w:val="1"/>
      <w:marLeft w:val="0"/>
      <w:marRight w:val="0"/>
      <w:marTop w:val="0"/>
      <w:marBottom w:val="0"/>
      <w:divBdr>
        <w:top w:val="none" w:sz="0" w:space="0" w:color="auto"/>
        <w:left w:val="none" w:sz="0" w:space="0" w:color="auto"/>
        <w:bottom w:val="none" w:sz="0" w:space="0" w:color="auto"/>
        <w:right w:val="none" w:sz="0" w:space="0" w:color="auto"/>
      </w:divBdr>
      <w:divsChild>
        <w:div w:id="106855237">
          <w:marLeft w:val="0"/>
          <w:marRight w:val="0"/>
          <w:marTop w:val="0"/>
          <w:marBottom w:val="0"/>
          <w:divBdr>
            <w:top w:val="none" w:sz="0" w:space="0" w:color="auto"/>
            <w:left w:val="none" w:sz="0" w:space="0" w:color="auto"/>
            <w:bottom w:val="none" w:sz="0" w:space="0" w:color="auto"/>
            <w:right w:val="none" w:sz="0" w:space="0" w:color="auto"/>
          </w:divBdr>
        </w:div>
      </w:divsChild>
    </w:div>
    <w:div w:id="1008021802">
      <w:bodyDiv w:val="1"/>
      <w:marLeft w:val="0"/>
      <w:marRight w:val="0"/>
      <w:marTop w:val="0"/>
      <w:marBottom w:val="0"/>
      <w:divBdr>
        <w:top w:val="none" w:sz="0" w:space="0" w:color="auto"/>
        <w:left w:val="none" w:sz="0" w:space="0" w:color="auto"/>
        <w:bottom w:val="none" w:sz="0" w:space="0" w:color="auto"/>
        <w:right w:val="none" w:sz="0" w:space="0" w:color="auto"/>
      </w:divBdr>
    </w:div>
    <w:div w:id="1059329071">
      <w:bodyDiv w:val="1"/>
      <w:marLeft w:val="0"/>
      <w:marRight w:val="0"/>
      <w:marTop w:val="0"/>
      <w:marBottom w:val="0"/>
      <w:divBdr>
        <w:top w:val="none" w:sz="0" w:space="0" w:color="auto"/>
        <w:left w:val="none" w:sz="0" w:space="0" w:color="auto"/>
        <w:bottom w:val="none" w:sz="0" w:space="0" w:color="auto"/>
        <w:right w:val="none" w:sz="0" w:space="0" w:color="auto"/>
      </w:divBdr>
    </w:div>
    <w:div w:id="1075475693">
      <w:bodyDiv w:val="1"/>
      <w:marLeft w:val="0"/>
      <w:marRight w:val="0"/>
      <w:marTop w:val="0"/>
      <w:marBottom w:val="0"/>
      <w:divBdr>
        <w:top w:val="none" w:sz="0" w:space="0" w:color="auto"/>
        <w:left w:val="none" w:sz="0" w:space="0" w:color="auto"/>
        <w:bottom w:val="none" w:sz="0" w:space="0" w:color="auto"/>
        <w:right w:val="none" w:sz="0" w:space="0" w:color="auto"/>
      </w:divBdr>
    </w:div>
    <w:div w:id="1194464239">
      <w:bodyDiv w:val="1"/>
      <w:marLeft w:val="0"/>
      <w:marRight w:val="0"/>
      <w:marTop w:val="0"/>
      <w:marBottom w:val="0"/>
      <w:divBdr>
        <w:top w:val="none" w:sz="0" w:space="0" w:color="auto"/>
        <w:left w:val="none" w:sz="0" w:space="0" w:color="auto"/>
        <w:bottom w:val="none" w:sz="0" w:space="0" w:color="auto"/>
        <w:right w:val="none" w:sz="0" w:space="0" w:color="auto"/>
      </w:divBdr>
    </w:div>
    <w:div w:id="1217812221">
      <w:bodyDiv w:val="1"/>
      <w:marLeft w:val="0"/>
      <w:marRight w:val="0"/>
      <w:marTop w:val="0"/>
      <w:marBottom w:val="0"/>
      <w:divBdr>
        <w:top w:val="none" w:sz="0" w:space="0" w:color="auto"/>
        <w:left w:val="none" w:sz="0" w:space="0" w:color="auto"/>
        <w:bottom w:val="none" w:sz="0" w:space="0" w:color="auto"/>
        <w:right w:val="none" w:sz="0" w:space="0" w:color="auto"/>
      </w:divBdr>
    </w:div>
    <w:div w:id="1244877186">
      <w:bodyDiv w:val="1"/>
      <w:marLeft w:val="0"/>
      <w:marRight w:val="0"/>
      <w:marTop w:val="0"/>
      <w:marBottom w:val="0"/>
      <w:divBdr>
        <w:top w:val="none" w:sz="0" w:space="0" w:color="auto"/>
        <w:left w:val="none" w:sz="0" w:space="0" w:color="auto"/>
        <w:bottom w:val="none" w:sz="0" w:space="0" w:color="auto"/>
        <w:right w:val="none" w:sz="0" w:space="0" w:color="auto"/>
      </w:divBdr>
    </w:div>
    <w:div w:id="1267232970">
      <w:bodyDiv w:val="1"/>
      <w:marLeft w:val="0"/>
      <w:marRight w:val="0"/>
      <w:marTop w:val="0"/>
      <w:marBottom w:val="0"/>
      <w:divBdr>
        <w:top w:val="none" w:sz="0" w:space="0" w:color="auto"/>
        <w:left w:val="none" w:sz="0" w:space="0" w:color="auto"/>
        <w:bottom w:val="none" w:sz="0" w:space="0" w:color="auto"/>
        <w:right w:val="none" w:sz="0" w:space="0" w:color="auto"/>
      </w:divBdr>
    </w:div>
    <w:div w:id="1298335464">
      <w:bodyDiv w:val="1"/>
      <w:marLeft w:val="0"/>
      <w:marRight w:val="0"/>
      <w:marTop w:val="0"/>
      <w:marBottom w:val="0"/>
      <w:divBdr>
        <w:top w:val="none" w:sz="0" w:space="0" w:color="auto"/>
        <w:left w:val="none" w:sz="0" w:space="0" w:color="auto"/>
        <w:bottom w:val="none" w:sz="0" w:space="0" w:color="auto"/>
        <w:right w:val="none" w:sz="0" w:space="0" w:color="auto"/>
      </w:divBdr>
      <w:divsChild>
        <w:div w:id="2045859665">
          <w:marLeft w:val="0"/>
          <w:marRight w:val="0"/>
          <w:marTop w:val="0"/>
          <w:marBottom w:val="0"/>
          <w:divBdr>
            <w:top w:val="none" w:sz="0" w:space="0" w:color="auto"/>
            <w:left w:val="none" w:sz="0" w:space="0" w:color="auto"/>
            <w:bottom w:val="none" w:sz="0" w:space="0" w:color="auto"/>
            <w:right w:val="none" w:sz="0" w:space="0" w:color="auto"/>
          </w:divBdr>
        </w:div>
      </w:divsChild>
    </w:div>
    <w:div w:id="1352031842">
      <w:bodyDiv w:val="1"/>
      <w:marLeft w:val="0"/>
      <w:marRight w:val="0"/>
      <w:marTop w:val="0"/>
      <w:marBottom w:val="0"/>
      <w:divBdr>
        <w:top w:val="none" w:sz="0" w:space="0" w:color="auto"/>
        <w:left w:val="none" w:sz="0" w:space="0" w:color="auto"/>
        <w:bottom w:val="none" w:sz="0" w:space="0" w:color="auto"/>
        <w:right w:val="none" w:sz="0" w:space="0" w:color="auto"/>
      </w:divBdr>
    </w:div>
    <w:div w:id="1440219571">
      <w:bodyDiv w:val="1"/>
      <w:marLeft w:val="0"/>
      <w:marRight w:val="0"/>
      <w:marTop w:val="0"/>
      <w:marBottom w:val="0"/>
      <w:divBdr>
        <w:top w:val="none" w:sz="0" w:space="0" w:color="auto"/>
        <w:left w:val="none" w:sz="0" w:space="0" w:color="auto"/>
        <w:bottom w:val="none" w:sz="0" w:space="0" w:color="auto"/>
        <w:right w:val="none" w:sz="0" w:space="0" w:color="auto"/>
      </w:divBdr>
    </w:div>
    <w:div w:id="1545215134">
      <w:bodyDiv w:val="1"/>
      <w:marLeft w:val="0"/>
      <w:marRight w:val="0"/>
      <w:marTop w:val="0"/>
      <w:marBottom w:val="0"/>
      <w:divBdr>
        <w:top w:val="none" w:sz="0" w:space="0" w:color="auto"/>
        <w:left w:val="none" w:sz="0" w:space="0" w:color="auto"/>
        <w:bottom w:val="none" w:sz="0" w:space="0" w:color="auto"/>
        <w:right w:val="none" w:sz="0" w:space="0" w:color="auto"/>
      </w:divBdr>
    </w:div>
    <w:div w:id="1568371956">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
    <w:div w:id="1749498317">
      <w:bodyDiv w:val="1"/>
      <w:marLeft w:val="0"/>
      <w:marRight w:val="0"/>
      <w:marTop w:val="0"/>
      <w:marBottom w:val="0"/>
      <w:divBdr>
        <w:top w:val="none" w:sz="0" w:space="0" w:color="auto"/>
        <w:left w:val="none" w:sz="0" w:space="0" w:color="auto"/>
        <w:bottom w:val="none" w:sz="0" w:space="0" w:color="auto"/>
        <w:right w:val="none" w:sz="0" w:space="0" w:color="auto"/>
      </w:divBdr>
    </w:div>
    <w:div w:id="1755591315">
      <w:bodyDiv w:val="1"/>
      <w:marLeft w:val="0"/>
      <w:marRight w:val="0"/>
      <w:marTop w:val="0"/>
      <w:marBottom w:val="0"/>
      <w:divBdr>
        <w:top w:val="none" w:sz="0" w:space="0" w:color="auto"/>
        <w:left w:val="none" w:sz="0" w:space="0" w:color="auto"/>
        <w:bottom w:val="none" w:sz="0" w:space="0" w:color="auto"/>
        <w:right w:val="none" w:sz="0" w:space="0" w:color="auto"/>
      </w:divBdr>
      <w:divsChild>
        <w:div w:id="200673143">
          <w:marLeft w:val="0"/>
          <w:marRight w:val="0"/>
          <w:marTop w:val="0"/>
          <w:marBottom w:val="0"/>
          <w:divBdr>
            <w:top w:val="none" w:sz="0" w:space="0" w:color="auto"/>
            <w:left w:val="none" w:sz="0" w:space="0" w:color="auto"/>
            <w:bottom w:val="none" w:sz="0" w:space="0" w:color="auto"/>
            <w:right w:val="none" w:sz="0" w:space="0" w:color="auto"/>
          </w:divBdr>
        </w:div>
      </w:divsChild>
    </w:div>
    <w:div w:id="1780758226">
      <w:bodyDiv w:val="1"/>
      <w:marLeft w:val="0"/>
      <w:marRight w:val="0"/>
      <w:marTop w:val="0"/>
      <w:marBottom w:val="0"/>
      <w:divBdr>
        <w:top w:val="none" w:sz="0" w:space="0" w:color="auto"/>
        <w:left w:val="none" w:sz="0" w:space="0" w:color="auto"/>
        <w:bottom w:val="none" w:sz="0" w:space="0" w:color="auto"/>
        <w:right w:val="none" w:sz="0" w:space="0" w:color="auto"/>
      </w:divBdr>
    </w:div>
    <w:div w:id="1803226241">
      <w:bodyDiv w:val="1"/>
      <w:marLeft w:val="0"/>
      <w:marRight w:val="0"/>
      <w:marTop w:val="0"/>
      <w:marBottom w:val="0"/>
      <w:divBdr>
        <w:top w:val="none" w:sz="0" w:space="0" w:color="auto"/>
        <w:left w:val="none" w:sz="0" w:space="0" w:color="auto"/>
        <w:bottom w:val="none" w:sz="0" w:space="0" w:color="auto"/>
        <w:right w:val="none" w:sz="0" w:space="0" w:color="auto"/>
      </w:divBdr>
      <w:divsChild>
        <w:div w:id="620384748">
          <w:marLeft w:val="0"/>
          <w:marRight w:val="0"/>
          <w:marTop w:val="0"/>
          <w:marBottom w:val="0"/>
          <w:divBdr>
            <w:top w:val="none" w:sz="0" w:space="0" w:color="auto"/>
            <w:left w:val="single" w:sz="6" w:space="0" w:color="999999"/>
            <w:bottom w:val="none" w:sz="0" w:space="0" w:color="auto"/>
            <w:right w:val="single" w:sz="6" w:space="0" w:color="999999"/>
          </w:divBdr>
          <w:divsChild>
            <w:div w:id="630794784">
              <w:marLeft w:val="0"/>
              <w:marRight w:val="0"/>
              <w:marTop w:val="0"/>
              <w:marBottom w:val="0"/>
              <w:divBdr>
                <w:top w:val="none" w:sz="0" w:space="0" w:color="auto"/>
                <w:left w:val="none" w:sz="0" w:space="0" w:color="auto"/>
                <w:bottom w:val="none" w:sz="0" w:space="0" w:color="auto"/>
                <w:right w:val="none" w:sz="0" w:space="0" w:color="auto"/>
              </w:divBdr>
              <w:divsChild>
                <w:div w:id="1843858070">
                  <w:marLeft w:val="0"/>
                  <w:marRight w:val="0"/>
                  <w:marTop w:val="0"/>
                  <w:marBottom w:val="0"/>
                  <w:divBdr>
                    <w:top w:val="none" w:sz="0" w:space="0" w:color="auto"/>
                    <w:left w:val="none" w:sz="0" w:space="0" w:color="auto"/>
                    <w:bottom w:val="single" w:sz="6" w:space="9" w:color="FFFFFF"/>
                    <w:right w:val="none" w:sz="0" w:space="0" w:color="auto"/>
                  </w:divBdr>
                  <w:divsChild>
                    <w:div w:id="205258875">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sChild>
                            <w:div w:id="562760998">
                              <w:marLeft w:val="0"/>
                              <w:marRight w:val="0"/>
                              <w:marTop w:val="0"/>
                              <w:marBottom w:val="0"/>
                              <w:divBdr>
                                <w:top w:val="none" w:sz="0" w:space="0" w:color="auto"/>
                                <w:left w:val="none" w:sz="0" w:space="0" w:color="auto"/>
                                <w:bottom w:val="none" w:sz="0" w:space="0" w:color="auto"/>
                                <w:right w:val="none" w:sz="0" w:space="0" w:color="auto"/>
                              </w:divBdr>
                              <w:divsChild>
                                <w:div w:id="314995207">
                                  <w:marLeft w:val="0"/>
                                  <w:marRight w:val="0"/>
                                  <w:marTop w:val="0"/>
                                  <w:marBottom w:val="0"/>
                                  <w:divBdr>
                                    <w:top w:val="none" w:sz="0" w:space="0" w:color="auto"/>
                                    <w:left w:val="none" w:sz="0" w:space="0" w:color="auto"/>
                                    <w:bottom w:val="none" w:sz="0" w:space="0" w:color="auto"/>
                                    <w:right w:val="none" w:sz="0" w:space="0" w:color="auto"/>
                                  </w:divBdr>
                                  <w:divsChild>
                                    <w:div w:id="404691129">
                                      <w:marLeft w:val="0"/>
                                      <w:marRight w:val="0"/>
                                      <w:marTop w:val="0"/>
                                      <w:marBottom w:val="0"/>
                                      <w:divBdr>
                                        <w:top w:val="none" w:sz="0" w:space="0" w:color="auto"/>
                                        <w:left w:val="none" w:sz="0" w:space="0" w:color="auto"/>
                                        <w:bottom w:val="none" w:sz="0" w:space="0" w:color="auto"/>
                                        <w:right w:val="none" w:sz="0" w:space="0" w:color="auto"/>
                                      </w:divBdr>
                                      <w:divsChild>
                                        <w:div w:id="1013990635">
                                          <w:marLeft w:val="600"/>
                                          <w:marRight w:val="375"/>
                                          <w:marTop w:val="120"/>
                                          <w:marBottom w:val="0"/>
                                          <w:divBdr>
                                            <w:top w:val="none" w:sz="0" w:space="0" w:color="auto"/>
                                            <w:left w:val="none" w:sz="0" w:space="0" w:color="auto"/>
                                            <w:bottom w:val="none" w:sz="0" w:space="0" w:color="auto"/>
                                            <w:right w:val="none" w:sz="0" w:space="0" w:color="auto"/>
                                          </w:divBdr>
                                          <w:divsChild>
                                            <w:div w:id="721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110098">
      <w:bodyDiv w:val="1"/>
      <w:marLeft w:val="0"/>
      <w:marRight w:val="0"/>
      <w:marTop w:val="0"/>
      <w:marBottom w:val="0"/>
      <w:divBdr>
        <w:top w:val="none" w:sz="0" w:space="0" w:color="auto"/>
        <w:left w:val="none" w:sz="0" w:space="0" w:color="auto"/>
        <w:bottom w:val="none" w:sz="0" w:space="0" w:color="auto"/>
        <w:right w:val="none" w:sz="0" w:space="0" w:color="auto"/>
      </w:divBdr>
    </w:div>
    <w:div w:id="1838230618">
      <w:bodyDiv w:val="1"/>
      <w:marLeft w:val="0"/>
      <w:marRight w:val="0"/>
      <w:marTop w:val="0"/>
      <w:marBottom w:val="0"/>
      <w:divBdr>
        <w:top w:val="none" w:sz="0" w:space="0" w:color="auto"/>
        <w:left w:val="none" w:sz="0" w:space="0" w:color="auto"/>
        <w:bottom w:val="none" w:sz="0" w:space="0" w:color="auto"/>
        <w:right w:val="none" w:sz="0" w:space="0" w:color="auto"/>
      </w:divBdr>
    </w:div>
    <w:div w:id="1911037851">
      <w:bodyDiv w:val="1"/>
      <w:marLeft w:val="0"/>
      <w:marRight w:val="0"/>
      <w:marTop w:val="0"/>
      <w:marBottom w:val="0"/>
      <w:divBdr>
        <w:top w:val="none" w:sz="0" w:space="0" w:color="auto"/>
        <w:left w:val="none" w:sz="0" w:space="0" w:color="auto"/>
        <w:bottom w:val="none" w:sz="0" w:space="0" w:color="auto"/>
        <w:right w:val="none" w:sz="0" w:space="0" w:color="auto"/>
      </w:divBdr>
    </w:div>
    <w:div w:id="1957445953">
      <w:bodyDiv w:val="1"/>
      <w:marLeft w:val="0"/>
      <w:marRight w:val="0"/>
      <w:marTop w:val="0"/>
      <w:marBottom w:val="0"/>
      <w:divBdr>
        <w:top w:val="none" w:sz="0" w:space="0" w:color="auto"/>
        <w:left w:val="none" w:sz="0" w:space="0" w:color="auto"/>
        <w:bottom w:val="none" w:sz="0" w:space="0" w:color="auto"/>
        <w:right w:val="none" w:sz="0" w:space="0" w:color="auto"/>
      </w:divBdr>
      <w:divsChild>
        <w:div w:id="1249924815">
          <w:marLeft w:val="0"/>
          <w:marRight w:val="0"/>
          <w:marTop w:val="0"/>
          <w:marBottom w:val="0"/>
          <w:divBdr>
            <w:top w:val="none" w:sz="0" w:space="0" w:color="auto"/>
            <w:left w:val="none" w:sz="0" w:space="0" w:color="auto"/>
            <w:bottom w:val="none" w:sz="0" w:space="0" w:color="auto"/>
            <w:right w:val="none" w:sz="0" w:space="0" w:color="auto"/>
          </w:divBdr>
        </w:div>
      </w:divsChild>
    </w:div>
    <w:div w:id="1962879398">
      <w:bodyDiv w:val="1"/>
      <w:marLeft w:val="0"/>
      <w:marRight w:val="0"/>
      <w:marTop w:val="0"/>
      <w:marBottom w:val="0"/>
      <w:divBdr>
        <w:top w:val="none" w:sz="0" w:space="0" w:color="auto"/>
        <w:left w:val="none" w:sz="0" w:space="0" w:color="auto"/>
        <w:bottom w:val="none" w:sz="0" w:space="0" w:color="auto"/>
        <w:right w:val="none" w:sz="0" w:space="0" w:color="auto"/>
      </w:divBdr>
    </w:div>
    <w:div w:id="1987079049">
      <w:bodyDiv w:val="1"/>
      <w:marLeft w:val="0"/>
      <w:marRight w:val="0"/>
      <w:marTop w:val="0"/>
      <w:marBottom w:val="0"/>
      <w:divBdr>
        <w:top w:val="none" w:sz="0" w:space="0" w:color="auto"/>
        <w:left w:val="none" w:sz="0" w:space="0" w:color="auto"/>
        <w:bottom w:val="none" w:sz="0" w:space="0" w:color="auto"/>
        <w:right w:val="none" w:sz="0" w:space="0" w:color="auto"/>
      </w:divBdr>
    </w:div>
    <w:div w:id="21007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PUC/documents/"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puc.ca.gov/PUC/document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General.aspx?id=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32D6-8B7F-4368-8C11-2CCDFD06414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3936</ap:Words>
  <ap:Characters>22438</ap:Characters>
  <ap:Application>Microsoft Office Word</ap:Application>
  <ap:DocSecurity>0</ap:DocSecurity>
  <ap:Lines>186</ap:Lines>
  <ap:Paragraphs>52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26322</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2011-06-16T20:30:00Z</cp:lastPrinted>
  <dcterms:created xsi:type="dcterms:W3CDTF">2020-02-28T13:59:50Z</dcterms:created>
  <dcterms:modified xsi:type="dcterms:W3CDTF">2020-02-28T13:59:50Z</dcterms:modified>
</cp:coreProperties>
</file>