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533B" w:rsidR="00CF17DE" w:rsidRDefault="00CF17DE" w14:paraId="70BEAF91" w14:textId="77777777">
      <w:pPr>
        <w:pStyle w:val="titlebar"/>
        <w:rPr>
          <w:rFonts w:cs="Helvetica"/>
          <w:szCs w:val="26"/>
        </w:rPr>
      </w:pPr>
      <w:r w:rsidRPr="0046533B">
        <w:rPr>
          <w:rFonts w:cs="Helvetica"/>
          <w:szCs w:val="26"/>
        </w:rPr>
        <w:t>PUBLIC UTILITIES COMMISSION OF THE STATE OF CALIFORNIA</w:t>
      </w:r>
    </w:p>
    <w:p w:rsidRPr="00827CD4" w:rsidR="00BE3A84" w:rsidRDefault="00BE3A84" w14:paraId="7D2E79ED" w14:textId="507C3D84">
      <w:pPr>
        <w:suppressAutoHyphens/>
        <w:rPr>
          <w:rFonts w:ascii="Palatino Linotype" w:hAnsi="Palatino Linotype"/>
          <w:szCs w:val="26"/>
        </w:rPr>
      </w:pPr>
    </w:p>
    <w:p w:rsidRPr="00827CD4" w:rsidR="00BE3A84" w:rsidRDefault="00BE3A84" w14:paraId="4950DB34" w14:textId="738D5E1E">
      <w:pPr>
        <w:suppressAutoHyphens/>
        <w:rPr>
          <w:rFonts w:ascii="Palatino Linotype" w:hAnsi="Palatino Linotype"/>
          <w:b/>
          <w:szCs w:val="26"/>
        </w:rPr>
      </w:pP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b/>
          <w:szCs w:val="26"/>
        </w:rPr>
        <w:t>AGENDA ID</w:t>
      </w:r>
      <w:r w:rsidR="00402FA9">
        <w:rPr>
          <w:rFonts w:ascii="Palatino Linotype" w:hAnsi="Palatino Linotype"/>
          <w:b/>
          <w:szCs w:val="26"/>
        </w:rPr>
        <w:t># 18213</w:t>
      </w:r>
    </w:p>
    <w:p w:rsidRPr="00827CD4" w:rsidR="00CF17DE" w:rsidRDefault="00593807" w14:paraId="7AE852C7" w14:textId="6815DEB6">
      <w:pPr>
        <w:rPr>
          <w:rFonts w:ascii="Palatino Linotype" w:hAnsi="Palatino Linotype"/>
          <w:b/>
          <w:szCs w:val="26"/>
        </w:rPr>
      </w:pPr>
      <w:r w:rsidRPr="00827CD4">
        <w:rPr>
          <w:rFonts w:ascii="Palatino Linotype" w:hAnsi="Palatino Linotype"/>
          <w:b/>
          <w:szCs w:val="26"/>
        </w:rPr>
        <w:t>ENERGY DIVISION</w:t>
      </w:r>
      <w:r w:rsidRPr="00827CD4">
        <w:rPr>
          <w:rFonts w:ascii="Palatino Linotype" w:hAnsi="Palatino Linotype"/>
          <w:b/>
          <w:szCs w:val="26"/>
        </w:rPr>
        <w:tab/>
      </w:r>
      <w:r w:rsidRPr="00827CD4">
        <w:rPr>
          <w:rFonts w:ascii="Palatino Linotype" w:hAnsi="Palatino Linotype"/>
          <w:b/>
          <w:szCs w:val="26"/>
        </w:rPr>
        <w:tab/>
      </w:r>
      <w:r w:rsidRPr="00827CD4">
        <w:rPr>
          <w:rFonts w:ascii="Palatino Linotype" w:hAnsi="Palatino Linotype"/>
          <w:b/>
          <w:szCs w:val="26"/>
        </w:rPr>
        <w:tab/>
      </w:r>
      <w:r w:rsidRPr="00827CD4">
        <w:rPr>
          <w:rFonts w:ascii="Palatino Linotype" w:hAnsi="Palatino Linotype"/>
          <w:b/>
          <w:szCs w:val="26"/>
        </w:rPr>
        <w:tab/>
      </w:r>
      <w:r w:rsidRPr="00827CD4">
        <w:rPr>
          <w:rFonts w:ascii="Palatino Linotype" w:hAnsi="Palatino Linotype"/>
          <w:b/>
          <w:szCs w:val="26"/>
        </w:rPr>
        <w:tab/>
      </w:r>
      <w:r w:rsidRPr="00827CD4" w:rsidR="00630D2C">
        <w:rPr>
          <w:rFonts w:ascii="Palatino Linotype" w:hAnsi="Palatino Linotype"/>
          <w:b/>
          <w:szCs w:val="26"/>
        </w:rPr>
        <w:tab/>
      </w:r>
      <w:r w:rsidRPr="00827CD4" w:rsidR="00CF17DE">
        <w:rPr>
          <w:rFonts w:ascii="Palatino Linotype" w:hAnsi="Palatino Linotype"/>
          <w:b/>
          <w:szCs w:val="26"/>
        </w:rPr>
        <w:t xml:space="preserve">RESOLUTION </w:t>
      </w:r>
      <w:r w:rsidRPr="00827CD4" w:rsidR="00630D2C">
        <w:rPr>
          <w:rFonts w:ascii="Palatino Linotype" w:hAnsi="Palatino Linotype"/>
          <w:b/>
          <w:szCs w:val="26"/>
        </w:rPr>
        <w:t>E-</w:t>
      </w:r>
      <w:r w:rsidRPr="00827CD4" w:rsidR="00B8587D">
        <w:rPr>
          <w:rFonts w:ascii="Palatino Linotype" w:hAnsi="Palatino Linotype"/>
          <w:b/>
          <w:szCs w:val="26"/>
        </w:rPr>
        <w:t>5011</w:t>
      </w:r>
    </w:p>
    <w:p w:rsidRPr="00827CD4" w:rsidR="00CF17DE" w:rsidRDefault="00BE3A84" w14:paraId="3DBC912E" w14:textId="270C8AE6">
      <w:pPr>
        <w:tabs>
          <w:tab w:val="right" w:pos="8910"/>
        </w:tabs>
        <w:ind w:left="1440" w:firstLine="720"/>
        <w:rPr>
          <w:rFonts w:ascii="Palatino Linotype" w:hAnsi="Palatino Linotype"/>
          <w:b/>
          <w:szCs w:val="26"/>
        </w:rPr>
      </w:pPr>
      <w:r w:rsidRPr="00827CD4">
        <w:rPr>
          <w:rFonts w:ascii="Palatino Linotype" w:hAnsi="Palatino Linotype"/>
          <w:b/>
          <w:szCs w:val="26"/>
        </w:rPr>
        <w:t xml:space="preserve">                                                                  </w:t>
      </w:r>
      <w:r w:rsidR="0046533B">
        <w:rPr>
          <w:rFonts w:ascii="Palatino Linotype" w:hAnsi="Palatino Linotype"/>
          <w:b/>
          <w:szCs w:val="26"/>
        </w:rPr>
        <w:t xml:space="preserve"> </w:t>
      </w:r>
      <w:r w:rsidR="009E2380">
        <w:rPr>
          <w:rFonts w:ascii="Palatino Linotype" w:hAnsi="Palatino Linotype"/>
          <w:b/>
          <w:szCs w:val="26"/>
        </w:rPr>
        <w:t>April 16</w:t>
      </w:r>
      <w:r w:rsidR="00333F6F">
        <w:rPr>
          <w:rFonts w:ascii="Palatino Linotype" w:hAnsi="Palatino Linotype"/>
          <w:b/>
          <w:szCs w:val="26"/>
        </w:rPr>
        <w:t>, 2020</w:t>
      </w:r>
    </w:p>
    <w:p w:rsidRPr="00827CD4" w:rsidR="00CF17DE" w:rsidRDefault="00CF17DE" w14:paraId="061A7957" w14:textId="77777777">
      <w:pPr>
        <w:tabs>
          <w:tab w:val="right" w:pos="8910"/>
        </w:tabs>
        <w:ind w:left="1440" w:firstLine="720"/>
        <w:rPr>
          <w:rFonts w:ascii="Palatino Linotype" w:hAnsi="Palatino Linotype"/>
          <w:b/>
          <w:szCs w:val="26"/>
        </w:rPr>
      </w:pPr>
    </w:p>
    <w:p w:rsidRPr="0046533B" w:rsidR="00CF17DE" w:rsidRDefault="00CF17DE" w14:paraId="40ADBA19" w14:textId="77777777">
      <w:pPr>
        <w:pStyle w:val="mainex"/>
        <w:rPr>
          <w:u w:val="single"/>
        </w:rPr>
      </w:pPr>
      <w:bookmarkStart w:name="_Ref404993683" w:id="0"/>
      <w:r w:rsidRPr="0046533B">
        <w:rPr>
          <w:u w:val="single"/>
        </w:rPr>
        <w:t>RESOLUTION</w:t>
      </w:r>
    </w:p>
    <w:p w:rsidRPr="00827CD4" w:rsidR="00CF17DE" w:rsidRDefault="00CF17DE" w14:paraId="63C93376" w14:textId="77777777">
      <w:pPr>
        <w:rPr>
          <w:rFonts w:ascii="Palatino Linotype" w:hAnsi="Palatino Linotype"/>
          <w:szCs w:val="26"/>
        </w:rPr>
      </w:pPr>
    </w:p>
    <w:p w:rsidRPr="00827CD4" w:rsidR="00B8587D" w:rsidP="00B927B5" w:rsidRDefault="00B927B5" w14:paraId="1B5B534B" w14:textId="046E7195">
      <w:pPr>
        <w:pStyle w:val="Res-Caption"/>
        <w:rPr>
          <w:rFonts w:ascii="Palatino Linotype" w:hAnsi="Palatino Linotype"/>
          <w:szCs w:val="26"/>
        </w:rPr>
      </w:pPr>
      <w:bookmarkStart w:name="_Hlk4140086" w:id="1"/>
      <w:bookmarkStart w:name="_Hlk4138645" w:id="2"/>
      <w:r w:rsidRPr="00827CD4">
        <w:rPr>
          <w:rFonts w:ascii="Palatino Linotype" w:hAnsi="Palatino Linotype"/>
          <w:szCs w:val="26"/>
        </w:rPr>
        <w:t xml:space="preserve">Resolution </w:t>
      </w:r>
      <w:r w:rsidRPr="00827CD4" w:rsidR="00630D2C">
        <w:rPr>
          <w:rFonts w:ascii="Palatino Linotype" w:hAnsi="Palatino Linotype"/>
          <w:szCs w:val="26"/>
        </w:rPr>
        <w:t>E-</w:t>
      </w:r>
      <w:r w:rsidRPr="00827CD4" w:rsidR="00B8587D">
        <w:rPr>
          <w:rFonts w:ascii="Palatino Linotype" w:hAnsi="Palatino Linotype"/>
          <w:szCs w:val="26"/>
        </w:rPr>
        <w:t>501</w:t>
      </w:r>
      <w:r w:rsidRPr="00827CD4" w:rsidR="00630D2C">
        <w:rPr>
          <w:rFonts w:ascii="Palatino Linotype" w:hAnsi="Palatino Linotype"/>
          <w:szCs w:val="26"/>
        </w:rPr>
        <w:t>1</w:t>
      </w:r>
      <w:r w:rsidRPr="00827CD4">
        <w:rPr>
          <w:rFonts w:ascii="Palatino Linotype" w:hAnsi="Palatino Linotype"/>
          <w:szCs w:val="26"/>
        </w:rPr>
        <w:t xml:space="preserve">.  </w:t>
      </w:r>
      <w:r w:rsidRPr="00827CD4" w:rsidR="00B8587D">
        <w:rPr>
          <w:rFonts w:ascii="Palatino Linotype" w:hAnsi="Palatino Linotype"/>
          <w:szCs w:val="26"/>
        </w:rPr>
        <w:t>Bloom Energy’s and National Fuel Cell Research Center’s Requests for Commission Review of Energy Division Disposition Letter Concerning Net Energy Metering Fuel Cell Tariffs.</w:t>
      </w:r>
    </w:p>
    <w:bookmarkEnd w:id="1"/>
    <w:p w:rsidRPr="00827CD4" w:rsidR="00801D70" w:rsidP="00B8587D" w:rsidRDefault="00801D70" w14:paraId="70E6A3B4" w14:textId="77777777">
      <w:pPr>
        <w:pStyle w:val="Res-Caption"/>
        <w:ind w:left="0"/>
        <w:rPr>
          <w:rFonts w:ascii="Palatino Linotype" w:hAnsi="Palatino Linotype"/>
          <w:szCs w:val="26"/>
        </w:rPr>
      </w:pPr>
    </w:p>
    <w:p w:rsidRPr="00827CD4" w:rsidR="00DF35CC" w:rsidP="00DF35CC" w:rsidRDefault="00801D70" w14:paraId="5B232953" w14:textId="77777777">
      <w:pPr>
        <w:pStyle w:val="Res-Caption"/>
        <w:rPr>
          <w:rFonts w:ascii="Palatino Linotype" w:hAnsi="Palatino Linotype"/>
          <w:szCs w:val="26"/>
        </w:rPr>
      </w:pPr>
      <w:r w:rsidRPr="00827CD4">
        <w:rPr>
          <w:rFonts w:ascii="Palatino Linotype" w:hAnsi="Palatino Linotype"/>
          <w:szCs w:val="26"/>
        </w:rPr>
        <w:t>PROPOSED OUTCOME:</w:t>
      </w:r>
      <w:r w:rsidRPr="00827CD4" w:rsidR="00142FB8">
        <w:rPr>
          <w:rFonts w:ascii="Palatino Linotype" w:hAnsi="Palatino Linotype"/>
          <w:szCs w:val="26"/>
        </w:rPr>
        <w:t xml:space="preserve"> </w:t>
      </w:r>
    </w:p>
    <w:p w:rsidRPr="00827CD4" w:rsidR="00B8587D" w:rsidP="0092546C" w:rsidRDefault="00B8587D" w14:paraId="7B8FE10C" w14:textId="508E0B88">
      <w:pPr>
        <w:pStyle w:val="Res-Caption"/>
        <w:numPr>
          <w:ilvl w:val="0"/>
          <w:numId w:val="7"/>
        </w:numPr>
        <w:rPr>
          <w:rFonts w:ascii="Palatino Linotype" w:hAnsi="Palatino Linotype"/>
          <w:szCs w:val="26"/>
        </w:rPr>
      </w:pPr>
      <w:r w:rsidRPr="00827CD4">
        <w:rPr>
          <w:rFonts w:ascii="Palatino Linotype" w:hAnsi="Palatino Linotype"/>
          <w:szCs w:val="26"/>
        </w:rPr>
        <w:t xml:space="preserve">This Resolution </w:t>
      </w:r>
      <w:r w:rsidRPr="00827CD4" w:rsidR="00367A7B">
        <w:rPr>
          <w:rFonts w:ascii="Palatino Linotype" w:hAnsi="Palatino Linotype"/>
          <w:szCs w:val="26"/>
        </w:rPr>
        <w:t>rejects</w:t>
      </w:r>
      <w:r w:rsidRPr="00827CD4" w:rsidR="00295DB3">
        <w:rPr>
          <w:rFonts w:ascii="Palatino Linotype" w:hAnsi="Palatino Linotype"/>
          <w:szCs w:val="26"/>
        </w:rPr>
        <w:t xml:space="preserve"> Bloom Energy’</w:t>
      </w:r>
      <w:r w:rsidRPr="00827CD4">
        <w:rPr>
          <w:rFonts w:ascii="Palatino Linotype" w:hAnsi="Palatino Linotype"/>
          <w:szCs w:val="26"/>
        </w:rPr>
        <w:t>s and Nat</w:t>
      </w:r>
      <w:r w:rsidRPr="00827CD4" w:rsidR="00295DB3">
        <w:rPr>
          <w:rFonts w:ascii="Palatino Linotype" w:hAnsi="Palatino Linotype"/>
          <w:szCs w:val="26"/>
        </w:rPr>
        <w:t>ional Fuel Cell Research Center’</w:t>
      </w:r>
      <w:r w:rsidRPr="00827CD4">
        <w:rPr>
          <w:rFonts w:ascii="Palatino Linotype" w:hAnsi="Palatino Linotype"/>
          <w:szCs w:val="26"/>
        </w:rPr>
        <w:t xml:space="preserve">s Requests for Commission Review of </w:t>
      </w:r>
      <w:r w:rsidRPr="00827CD4" w:rsidR="006D6860">
        <w:rPr>
          <w:rFonts w:ascii="Palatino Linotype" w:hAnsi="Palatino Linotype"/>
          <w:szCs w:val="26"/>
        </w:rPr>
        <w:t xml:space="preserve">the February 8, 2017 Disposition Letter by </w:t>
      </w:r>
      <w:r w:rsidR="00CF77D8">
        <w:rPr>
          <w:rFonts w:ascii="Palatino Linotype" w:hAnsi="Palatino Linotype"/>
          <w:szCs w:val="26"/>
        </w:rPr>
        <w:t>the</w:t>
      </w:r>
      <w:r w:rsidRPr="00827CD4" w:rsidR="006D6860">
        <w:rPr>
          <w:rFonts w:ascii="Palatino Linotype" w:hAnsi="Palatino Linotype"/>
          <w:szCs w:val="26"/>
        </w:rPr>
        <w:t xml:space="preserve"> Director of the California Public Utilities Commission’s Energy Division, concerning</w:t>
      </w:r>
      <w:r w:rsidRPr="00827CD4">
        <w:rPr>
          <w:rFonts w:ascii="Palatino Linotype" w:hAnsi="Palatino Linotype"/>
          <w:szCs w:val="26"/>
        </w:rPr>
        <w:t xml:space="preserve"> Pacific Gas and Electric Company (PG&amp;E) Advice Letter (AL) 4971-E</w:t>
      </w:r>
      <w:r w:rsidRPr="00827CD4" w:rsidR="00295DB3">
        <w:rPr>
          <w:rFonts w:ascii="Palatino Linotype" w:hAnsi="Palatino Linotype"/>
          <w:szCs w:val="26"/>
        </w:rPr>
        <w:t>/-E-A</w:t>
      </w:r>
      <w:r w:rsidRPr="00827CD4">
        <w:rPr>
          <w:rFonts w:ascii="Palatino Linotype" w:hAnsi="Palatino Linotype"/>
          <w:szCs w:val="26"/>
        </w:rPr>
        <w:t xml:space="preserve">, Southern California Edison Company (SCE) AL 3523-E/-E-A, and San Diego Gas &amp; Electric Company (SDG&amp;E) AL </w:t>
      </w:r>
      <w:r w:rsidRPr="00827CD4" w:rsidR="00295DB3">
        <w:rPr>
          <w:rFonts w:ascii="Palatino Linotype" w:hAnsi="Palatino Linotype"/>
          <w:szCs w:val="26"/>
        </w:rPr>
        <w:t>3017-E</w:t>
      </w:r>
      <w:r w:rsidRPr="00827CD4">
        <w:rPr>
          <w:rFonts w:ascii="Palatino Linotype" w:hAnsi="Palatino Linotype"/>
          <w:szCs w:val="26"/>
        </w:rPr>
        <w:t xml:space="preserve">, which proposed modifications to the Net Energy Metering Fuel Cell </w:t>
      </w:r>
      <w:r w:rsidRPr="00827CD4" w:rsidR="00BF7902">
        <w:rPr>
          <w:rFonts w:ascii="Palatino Linotype" w:hAnsi="Palatino Linotype"/>
          <w:szCs w:val="26"/>
        </w:rPr>
        <w:t>t</w:t>
      </w:r>
      <w:r w:rsidRPr="00827CD4">
        <w:rPr>
          <w:rFonts w:ascii="Palatino Linotype" w:hAnsi="Palatino Linotype"/>
          <w:szCs w:val="26"/>
        </w:rPr>
        <w:t>ariffs.</w:t>
      </w:r>
    </w:p>
    <w:p w:rsidRPr="00827CD4" w:rsidR="00C04FA8" w:rsidP="00C04FA8" w:rsidRDefault="00C04FA8" w14:paraId="3F859719" w14:textId="77777777">
      <w:pPr>
        <w:pStyle w:val="Res-Caption"/>
        <w:ind w:left="1440"/>
        <w:rPr>
          <w:rFonts w:ascii="Palatino Linotype" w:hAnsi="Palatino Linotype"/>
          <w:szCs w:val="26"/>
        </w:rPr>
      </w:pPr>
    </w:p>
    <w:p w:rsidRPr="00827CD4" w:rsidR="00F51F8B" w:rsidRDefault="00F51F8B" w14:paraId="5348E825" w14:textId="77777777">
      <w:pPr>
        <w:pStyle w:val="Res-Caption"/>
        <w:rPr>
          <w:rFonts w:ascii="Palatino Linotype" w:hAnsi="Palatino Linotype"/>
          <w:szCs w:val="26"/>
        </w:rPr>
      </w:pPr>
      <w:r w:rsidRPr="00827CD4">
        <w:rPr>
          <w:rFonts w:ascii="Palatino Linotype" w:hAnsi="Palatino Linotype"/>
          <w:szCs w:val="26"/>
        </w:rPr>
        <w:t>SAFETY CONSIDERATIONS:</w:t>
      </w:r>
    </w:p>
    <w:p w:rsidRPr="00827CD4" w:rsidR="00142FB8" w:rsidP="00C75209" w:rsidRDefault="003F6E5A" w14:paraId="7D3E9E52" w14:textId="09F8119C">
      <w:pPr>
        <w:pStyle w:val="Res-Caption"/>
        <w:numPr>
          <w:ilvl w:val="0"/>
          <w:numId w:val="6"/>
        </w:numPr>
        <w:rPr>
          <w:rFonts w:ascii="Palatino Linotype" w:hAnsi="Palatino Linotype"/>
          <w:szCs w:val="26"/>
        </w:rPr>
      </w:pPr>
      <w:r w:rsidRPr="00827CD4">
        <w:rPr>
          <w:rFonts w:ascii="Palatino Linotype" w:hAnsi="Palatino Linotype"/>
          <w:szCs w:val="26"/>
        </w:rPr>
        <w:t>There is no impact on safety</w:t>
      </w:r>
      <w:r w:rsidRPr="00827CD4" w:rsidR="00C75209">
        <w:rPr>
          <w:rFonts w:ascii="Palatino Linotype" w:hAnsi="Palatino Linotype"/>
          <w:szCs w:val="26"/>
        </w:rPr>
        <w:t>.</w:t>
      </w:r>
    </w:p>
    <w:p w:rsidRPr="00827CD4" w:rsidR="00801D70" w:rsidRDefault="00801D70" w14:paraId="664CBB61" w14:textId="77777777">
      <w:pPr>
        <w:pStyle w:val="Res-Caption"/>
        <w:rPr>
          <w:rFonts w:ascii="Palatino Linotype" w:hAnsi="Palatino Linotype"/>
          <w:szCs w:val="26"/>
        </w:rPr>
      </w:pPr>
    </w:p>
    <w:p w:rsidRPr="00827CD4" w:rsidR="00801D70" w:rsidRDefault="00801D70" w14:paraId="28BD615D" w14:textId="77777777">
      <w:pPr>
        <w:pStyle w:val="Res-Caption"/>
        <w:rPr>
          <w:rFonts w:ascii="Palatino Linotype" w:hAnsi="Palatino Linotype"/>
          <w:szCs w:val="26"/>
        </w:rPr>
      </w:pPr>
      <w:r w:rsidRPr="00827CD4">
        <w:rPr>
          <w:rFonts w:ascii="Palatino Linotype" w:hAnsi="Palatino Linotype"/>
          <w:szCs w:val="26"/>
        </w:rPr>
        <w:t xml:space="preserve">ESTIMATED COST:  </w:t>
      </w:r>
    </w:p>
    <w:p w:rsidRPr="00827CD4" w:rsidR="003F6E5A" w:rsidP="00C75209" w:rsidRDefault="003F6E5A" w14:paraId="191B2446" w14:textId="21A01405">
      <w:pPr>
        <w:pStyle w:val="Res-Caption"/>
        <w:numPr>
          <w:ilvl w:val="0"/>
          <w:numId w:val="6"/>
        </w:numPr>
        <w:rPr>
          <w:rFonts w:ascii="Palatino Linotype" w:hAnsi="Palatino Linotype"/>
          <w:szCs w:val="26"/>
        </w:rPr>
      </w:pPr>
      <w:r w:rsidRPr="00827CD4">
        <w:rPr>
          <w:rFonts w:ascii="Palatino Linotype" w:hAnsi="Palatino Linotype"/>
          <w:szCs w:val="26"/>
        </w:rPr>
        <w:t xml:space="preserve">There </w:t>
      </w:r>
      <w:r w:rsidRPr="00827CD4" w:rsidR="00B8587D">
        <w:rPr>
          <w:rFonts w:ascii="Palatino Linotype" w:hAnsi="Palatino Linotype"/>
          <w:szCs w:val="26"/>
        </w:rPr>
        <w:t xml:space="preserve">is no </w:t>
      </w:r>
      <w:r w:rsidRPr="00827CD4" w:rsidR="00406924">
        <w:rPr>
          <w:rFonts w:ascii="Palatino Linotype" w:hAnsi="Palatino Linotype"/>
          <w:szCs w:val="26"/>
        </w:rPr>
        <w:t xml:space="preserve">cost </w:t>
      </w:r>
      <w:r w:rsidRPr="00827CD4" w:rsidR="00B8587D">
        <w:rPr>
          <w:rFonts w:ascii="Palatino Linotype" w:hAnsi="Palatino Linotype"/>
          <w:szCs w:val="26"/>
        </w:rPr>
        <w:t>impact</w:t>
      </w:r>
      <w:r w:rsidRPr="00827CD4" w:rsidR="00406924">
        <w:rPr>
          <w:rFonts w:ascii="Palatino Linotype" w:hAnsi="Palatino Linotype"/>
          <w:szCs w:val="26"/>
        </w:rPr>
        <w:t>.</w:t>
      </w:r>
    </w:p>
    <w:p w:rsidRPr="00827CD4" w:rsidR="00CF17DE" w:rsidRDefault="00CF17DE" w14:paraId="414B5F5B" w14:textId="77777777">
      <w:pPr>
        <w:pStyle w:val="Res-Caption"/>
        <w:rPr>
          <w:rFonts w:ascii="Palatino Linotype" w:hAnsi="Palatino Linotype"/>
          <w:szCs w:val="26"/>
        </w:rPr>
      </w:pPr>
    </w:p>
    <w:p w:rsidRPr="00827CD4" w:rsidR="00295DB3" w:rsidRDefault="00CF17DE" w14:paraId="7343671C" w14:textId="3F559EDB">
      <w:pPr>
        <w:pStyle w:val="Res-Caption"/>
        <w:rPr>
          <w:rFonts w:ascii="Palatino Linotype" w:hAnsi="Palatino Linotype"/>
          <w:szCs w:val="26"/>
        </w:rPr>
      </w:pPr>
      <w:r w:rsidRPr="00827CD4">
        <w:rPr>
          <w:rFonts w:ascii="Palatino Linotype" w:hAnsi="Palatino Linotype"/>
          <w:szCs w:val="26"/>
        </w:rPr>
        <w:t xml:space="preserve">By </w:t>
      </w:r>
      <w:r w:rsidRPr="00827CD4" w:rsidR="00295DB3">
        <w:rPr>
          <w:rFonts w:ascii="Palatino Linotype" w:hAnsi="Palatino Linotype"/>
          <w:szCs w:val="26"/>
        </w:rPr>
        <w:t>Bloom Energy’s and National Fuel Cell Research Center’s Requests for Commission Review of Energy Division Disposition of Advice Letters 4971-E/-E-A (PG&amp;E), 3523-E/-E-A (SCE), and 3017-E (SDG&amp;E).</w:t>
      </w:r>
    </w:p>
    <w:bookmarkEnd w:id="2"/>
    <w:p w:rsidRPr="00827CD4" w:rsidR="00CF17DE" w:rsidRDefault="00CF17DE" w14:paraId="2BFCF270" w14:textId="77777777">
      <w:pPr>
        <w:jc w:val="center"/>
        <w:rPr>
          <w:rFonts w:ascii="Palatino Linotype" w:hAnsi="Palatino Linotype"/>
          <w:szCs w:val="26"/>
        </w:rPr>
      </w:pPr>
      <w:r w:rsidRPr="00827CD4">
        <w:rPr>
          <w:rFonts w:ascii="Palatino Linotype" w:hAnsi="Palatino Linotype"/>
          <w:szCs w:val="26"/>
        </w:rPr>
        <w:t>__________________________________________________________</w:t>
      </w:r>
    </w:p>
    <w:p w:rsidRPr="00827CD4" w:rsidR="00CF17DE" w:rsidRDefault="00CF17DE" w14:paraId="21ED6BB6" w14:textId="77777777">
      <w:pPr>
        <w:rPr>
          <w:rFonts w:ascii="Palatino Linotype" w:hAnsi="Palatino Linotype"/>
          <w:b/>
          <w:szCs w:val="26"/>
        </w:rPr>
      </w:pPr>
    </w:p>
    <w:p w:rsidRPr="00827CD4" w:rsidR="00CF17DE" w:rsidRDefault="00CF17DE" w14:paraId="2C49E15C" w14:textId="77777777">
      <w:pPr>
        <w:pStyle w:val="Heading1"/>
        <w:rPr>
          <w:rFonts w:ascii="Palatino Linotype" w:hAnsi="Palatino Linotype"/>
          <w:szCs w:val="26"/>
        </w:rPr>
      </w:pPr>
      <w:r w:rsidRPr="0046533B">
        <w:lastRenderedPageBreak/>
        <w:t>Summary</w:t>
      </w:r>
      <w:bookmarkEnd w:id="0"/>
    </w:p>
    <w:p w:rsidRPr="00827CD4" w:rsidR="005B16ED" w:rsidP="00FC0830" w:rsidRDefault="00CF17DE" w14:paraId="20324350" w14:textId="09B53B34">
      <w:pPr>
        <w:pStyle w:val="Res-Caption"/>
        <w:ind w:left="0"/>
        <w:rPr>
          <w:rFonts w:ascii="Palatino Linotype" w:hAnsi="Palatino Linotype"/>
          <w:szCs w:val="26"/>
        </w:rPr>
      </w:pPr>
      <w:r w:rsidRPr="00827CD4">
        <w:rPr>
          <w:rFonts w:ascii="Palatino Linotype" w:hAnsi="Palatino Linotype"/>
          <w:szCs w:val="26"/>
        </w:rPr>
        <w:t>This Resolutio</w:t>
      </w:r>
      <w:r w:rsidRPr="00827CD4" w:rsidR="00A22DD3">
        <w:rPr>
          <w:rFonts w:ascii="Palatino Linotype" w:hAnsi="Palatino Linotype"/>
          <w:szCs w:val="26"/>
        </w:rPr>
        <w:t xml:space="preserve">n </w:t>
      </w:r>
      <w:r w:rsidRPr="00827CD4" w:rsidR="00BF7902">
        <w:rPr>
          <w:rFonts w:ascii="Palatino Linotype" w:hAnsi="Palatino Linotype"/>
          <w:szCs w:val="26"/>
        </w:rPr>
        <w:t>rejects</w:t>
      </w:r>
      <w:r w:rsidRPr="00827CD4" w:rsidR="005B16ED">
        <w:rPr>
          <w:rFonts w:ascii="Palatino Linotype" w:hAnsi="Palatino Linotype"/>
          <w:szCs w:val="26"/>
        </w:rPr>
        <w:t xml:space="preserve"> Bloom Energy</w:t>
      </w:r>
      <w:r w:rsidRPr="00827CD4" w:rsidR="00FC0830">
        <w:rPr>
          <w:rFonts w:ascii="Palatino Linotype" w:hAnsi="Palatino Linotype"/>
          <w:szCs w:val="26"/>
        </w:rPr>
        <w:t xml:space="preserve"> Corporation</w:t>
      </w:r>
      <w:r w:rsidRPr="00827CD4" w:rsidR="00295DB3">
        <w:rPr>
          <w:rFonts w:ascii="Palatino Linotype" w:hAnsi="Palatino Linotype"/>
          <w:szCs w:val="26"/>
        </w:rPr>
        <w:t>’</w:t>
      </w:r>
      <w:r w:rsidRPr="00827CD4" w:rsidR="005B16ED">
        <w:rPr>
          <w:rFonts w:ascii="Palatino Linotype" w:hAnsi="Palatino Linotype"/>
          <w:szCs w:val="26"/>
        </w:rPr>
        <w:t>s and Nat</w:t>
      </w:r>
      <w:r w:rsidRPr="00827CD4" w:rsidR="00295DB3">
        <w:rPr>
          <w:rFonts w:ascii="Palatino Linotype" w:hAnsi="Palatino Linotype"/>
          <w:szCs w:val="26"/>
        </w:rPr>
        <w:t>ional Fuel Cell Research Center’</w:t>
      </w:r>
      <w:r w:rsidRPr="00827CD4" w:rsidR="005B16ED">
        <w:rPr>
          <w:rFonts w:ascii="Palatino Linotype" w:hAnsi="Palatino Linotype"/>
          <w:szCs w:val="26"/>
        </w:rPr>
        <w:t xml:space="preserve">s Requests for </w:t>
      </w:r>
      <w:r w:rsidRPr="00827CD4" w:rsidR="006D6860">
        <w:rPr>
          <w:rFonts w:ascii="Palatino Linotype" w:hAnsi="Palatino Linotype"/>
          <w:szCs w:val="26"/>
        </w:rPr>
        <w:t xml:space="preserve">Commission Review of the </w:t>
      </w:r>
      <w:r w:rsidR="00435FD0">
        <w:rPr>
          <w:rFonts w:ascii="Palatino Linotype" w:hAnsi="Palatino Linotype"/>
          <w:szCs w:val="26"/>
        </w:rPr>
        <w:br/>
      </w:r>
      <w:r w:rsidRPr="00827CD4" w:rsidR="006D6860">
        <w:rPr>
          <w:rFonts w:ascii="Palatino Linotype" w:hAnsi="Palatino Linotype"/>
          <w:szCs w:val="26"/>
        </w:rPr>
        <w:t>February 8, 2017 Disposition Letter by</w:t>
      </w:r>
      <w:r w:rsidR="00CF77D8">
        <w:rPr>
          <w:rFonts w:ascii="Palatino Linotype" w:hAnsi="Palatino Linotype"/>
          <w:szCs w:val="26"/>
        </w:rPr>
        <w:t xml:space="preserve"> the</w:t>
      </w:r>
      <w:r w:rsidRPr="00827CD4" w:rsidR="006D6860">
        <w:rPr>
          <w:rFonts w:ascii="Palatino Linotype" w:hAnsi="Palatino Linotype"/>
          <w:szCs w:val="26"/>
        </w:rPr>
        <w:t xml:space="preserve"> Director of the California Public Utilities Commission’s Energy Division, concerning Pacific Gas and Electric Company (PG&amp;E) Advice Letter (AL) 4971-E/-E-A, Southern California Edison Company (SCE) AL 3523-E/-E-A, and San Diego Gas &amp; Electric Company (SDG&amp;E) AL 3017-E, which proposed modifications to the Net Energy Metering Fuel Cell </w:t>
      </w:r>
      <w:r w:rsidRPr="00827CD4" w:rsidR="00BF7902">
        <w:rPr>
          <w:rFonts w:ascii="Palatino Linotype" w:hAnsi="Palatino Linotype"/>
          <w:szCs w:val="26"/>
        </w:rPr>
        <w:t>t</w:t>
      </w:r>
      <w:r w:rsidRPr="00827CD4" w:rsidR="006D6860">
        <w:rPr>
          <w:rFonts w:ascii="Palatino Linotype" w:hAnsi="Palatino Linotype"/>
          <w:szCs w:val="26"/>
        </w:rPr>
        <w:t>ariffs.</w:t>
      </w:r>
    </w:p>
    <w:p w:rsidRPr="00827CD4" w:rsidR="00CF17DE" w:rsidRDefault="00CF17DE" w14:paraId="184E396E" w14:textId="77777777">
      <w:pPr>
        <w:rPr>
          <w:rFonts w:ascii="Palatino Linotype" w:hAnsi="Palatino Linotype"/>
          <w:szCs w:val="26"/>
        </w:rPr>
      </w:pPr>
    </w:p>
    <w:p w:rsidRPr="0046533B" w:rsidR="00CF17DE" w:rsidRDefault="00CF17DE" w14:paraId="0BFDDE4C" w14:textId="77777777">
      <w:pPr>
        <w:pStyle w:val="Heading1"/>
        <w:rPr>
          <w:rFonts w:cs="Helvetica"/>
          <w:szCs w:val="26"/>
        </w:rPr>
      </w:pPr>
      <w:r w:rsidRPr="0046533B">
        <w:rPr>
          <w:rFonts w:cs="Helvetica"/>
          <w:szCs w:val="26"/>
        </w:rPr>
        <w:t>Background</w:t>
      </w:r>
    </w:p>
    <w:p w:rsidRPr="00827CD4" w:rsidR="00A313A6" w:rsidRDefault="007F7E04" w14:paraId="2757B7CB" w14:textId="6CD0442E">
      <w:pPr>
        <w:rPr>
          <w:rFonts w:ascii="Palatino Linotype" w:hAnsi="Palatino Linotype"/>
          <w:szCs w:val="26"/>
        </w:rPr>
      </w:pPr>
      <w:r w:rsidRPr="00827CD4">
        <w:rPr>
          <w:rFonts w:ascii="Palatino Linotype" w:hAnsi="Palatino Linotype"/>
          <w:szCs w:val="26"/>
        </w:rPr>
        <w:t>On December 2, 2016, Pacific Gas and Electric Company (PG&amp;E) filed Advice Letter (AL) 4971-E</w:t>
      </w:r>
      <w:r w:rsidRPr="00827CD4" w:rsidR="00751F14">
        <w:rPr>
          <w:rFonts w:ascii="Palatino Linotype" w:hAnsi="Palatino Linotype"/>
          <w:szCs w:val="26"/>
        </w:rPr>
        <w:t>,</w:t>
      </w:r>
      <w:r w:rsidRPr="00827CD4">
        <w:rPr>
          <w:rFonts w:ascii="Palatino Linotype" w:hAnsi="Palatino Linotype"/>
          <w:szCs w:val="26"/>
        </w:rPr>
        <w:t xml:space="preserve"> and Southern California Electric Company (SCE) filed </w:t>
      </w:r>
      <w:r w:rsidR="00435FD0">
        <w:rPr>
          <w:rFonts w:ascii="Palatino Linotype" w:hAnsi="Palatino Linotype"/>
          <w:szCs w:val="26"/>
        </w:rPr>
        <w:br/>
      </w:r>
      <w:r w:rsidRPr="00827CD4">
        <w:rPr>
          <w:rFonts w:ascii="Palatino Linotype" w:hAnsi="Palatino Linotype"/>
          <w:szCs w:val="26"/>
        </w:rPr>
        <w:t>AL 3523-E.</w:t>
      </w:r>
      <w:r w:rsidRPr="00827CD4" w:rsidR="00743201">
        <w:rPr>
          <w:rStyle w:val="FootnoteReference"/>
          <w:rFonts w:ascii="Palatino Linotype" w:hAnsi="Palatino Linotype"/>
          <w:szCs w:val="26"/>
        </w:rPr>
        <w:footnoteReference w:id="2"/>
      </w:r>
      <w:r w:rsidRPr="00827CD4">
        <w:rPr>
          <w:rFonts w:ascii="Palatino Linotype" w:hAnsi="Palatino Linotype"/>
          <w:szCs w:val="26"/>
        </w:rPr>
        <w:t xml:space="preserve"> On December 12, 2016, San Diego Gas &amp; Electric </w:t>
      </w:r>
      <w:r w:rsidRPr="00827CD4" w:rsidR="00295DB3">
        <w:rPr>
          <w:rFonts w:ascii="Palatino Linotype" w:hAnsi="Palatino Linotype"/>
          <w:szCs w:val="26"/>
        </w:rPr>
        <w:t>Company (SDG&amp;E) filed AL 3017-E</w:t>
      </w:r>
      <w:r w:rsidRPr="00827CD4">
        <w:rPr>
          <w:rFonts w:ascii="Palatino Linotype" w:hAnsi="Palatino Linotype"/>
          <w:szCs w:val="26"/>
        </w:rPr>
        <w:t>. On December 30, 2016, SCE filed supplemental AL 3523-E-A</w:t>
      </w:r>
      <w:r w:rsidRPr="00827CD4" w:rsidR="00CA36ED">
        <w:rPr>
          <w:rFonts w:ascii="Palatino Linotype" w:hAnsi="Palatino Linotype"/>
          <w:szCs w:val="26"/>
        </w:rPr>
        <w:t xml:space="preserve">. </w:t>
      </w:r>
      <w:r w:rsidR="00435FD0">
        <w:rPr>
          <w:rFonts w:ascii="Palatino Linotype" w:hAnsi="Palatino Linotype"/>
          <w:szCs w:val="26"/>
        </w:rPr>
        <w:br/>
      </w:r>
      <w:r w:rsidRPr="00827CD4" w:rsidR="00CA36ED">
        <w:rPr>
          <w:rFonts w:ascii="Palatino Linotype" w:hAnsi="Palatino Linotype"/>
          <w:szCs w:val="26"/>
        </w:rPr>
        <w:t>On January 19, 2017, PG&amp;E filed supplemental AL 4971-E-A. These ALs requested approval of modifications to PG&amp;E’s, SC</w:t>
      </w:r>
      <w:r w:rsidRPr="00827CD4" w:rsidR="00295DB3">
        <w:rPr>
          <w:rFonts w:ascii="Palatino Linotype" w:hAnsi="Palatino Linotype"/>
          <w:szCs w:val="26"/>
        </w:rPr>
        <w:t>E’s, and SDG&amp;E’s (collectively “</w:t>
      </w:r>
      <w:r w:rsidRPr="00827CD4" w:rsidR="00CA36ED">
        <w:rPr>
          <w:rFonts w:ascii="Palatino Linotype" w:hAnsi="Palatino Linotype"/>
          <w:szCs w:val="26"/>
        </w:rPr>
        <w:t>the utilities”) Net Energy Metering Fuel C</w:t>
      </w:r>
      <w:r w:rsidRPr="00827CD4" w:rsidR="006E5AE9">
        <w:rPr>
          <w:rFonts w:ascii="Palatino Linotype" w:hAnsi="Palatino Linotype"/>
          <w:szCs w:val="26"/>
        </w:rPr>
        <w:t>e</w:t>
      </w:r>
      <w:r w:rsidRPr="00827CD4" w:rsidR="00CA36ED">
        <w:rPr>
          <w:rFonts w:ascii="Palatino Linotype" w:hAnsi="Palatino Linotype"/>
          <w:szCs w:val="26"/>
        </w:rPr>
        <w:t xml:space="preserve">ll (NEMFC) </w:t>
      </w:r>
      <w:r w:rsidRPr="00827CD4" w:rsidR="00BF7902">
        <w:rPr>
          <w:rFonts w:ascii="Palatino Linotype" w:hAnsi="Palatino Linotype"/>
          <w:szCs w:val="26"/>
        </w:rPr>
        <w:t>t</w:t>
      </w:r>
      <w:r w:rsidRPr="00827CD4" w:rsidR="00CA36ED">
        <w:rPr>
          <w:rFonts w:ascii="Palatino Linotype" w:hAnsi="Palatino Linotype"/>
          <w:szCs w:val="26"/>
        </w:rPr>
        <w:t>ariffs in order to comply with the requirements of Assembly Bill (AB) 1637 (Low, 2016).</w:t>
      </w:r>
    </w:p>
    <w:p w:rsidRPr="00827CD4" w:rsidR="00A962A2" w:rsidRDefault="00A962A2" w14:paraId="7A6E93A6" w14:textId="77777777">
      <w:pPr>
        <w:rPr>
          <w:rFonts w:ascii="Palatino Linotype" w:hAnsi="Palatino Linotype"/>
          <w:szCs w:val="26"/>
        </w:rPr>
      </w:pPr>
    </w:p>
    <w:p w:rsidRPr="00827CD4" w:rsidR="00CA36ED" w:rsidRDefault="00CA36ED" w14:paraId="2333D2A7" w14:textId="2B8C5B5A">
      <w:pPr>
        <w:rPr>
          <w:rFonts w:ascii="Palatino Linotype" w:hAnsi="Palatino Linotype"/>
          <w:szCs w:val="26"/>
        </w:rPr>
      </w:pPr>
      <w:r w:rsidRPr="00827CD4">
        <w:rPr>
          <w:rFonts w:ascii="Palatino Linotype" w:hAnsi="Palatino Linotype"/>
          <w:szCs w:val="26"/>
        </w:rPr>
        <w:t xml:space="preserve">The </w:t>
      </w:r>
      <w:r w:rsidRPr="00827CD4" w:rsidR="006E5AE9">
        <w:rPr>
          <w:rFonts w:ascii="Palatino Linotype" w:hAnsi="Palatino Linotype"/>
          <w:szCs w:val="26"/>
        </w:rPr>
        <w:t>existing</w:t>
      </w:r>
      <w:r w:rsidRPr="00827CD4">
        <w:rPr>
          <w:rFonts w:ascii="Palatino Linotype" w:hAnsi="Palatino Linotype"/>
          <w:szCs w:val="26"/>
        </w:rPr>
        <w:t xml:space="preserve"> NEMFC tariff was legislatively scheduled to sunset on </w:t>
      </w:r>
      <w:r w:rsidR="00435FD0">
        <w:rPr>
          <w:rFonts w:ascii="Palatino Linotype" w:hAnsi="Palatino Linotype"/>
          <w:szCs w:val="26"/>
        </w:rPr>
        <w:br/>
      </w:r>
      <w:r w:rsidRPr="00827CD4">
        <w:rPr>
          <w:rFonts w:ascii="Palatino Linotype" w:hAnsi="Palatino Linotype"/>
          <w:szCs w:val="26"/>
        </w:rPr>
        <w:t xml:space="preserve">January 1, 2017. AB 1637 amended Public Utilities Code </w:t>
      </w:r>
      <w:r w:rsidRPr="00827CD4" w:rsidR="007742E1">
        <w:rPr>
          <w:rFonts w:ascii="Palatino Linotype" w:hAnsi="Palatino Linotype"/>
          <w:szCs w:val="26"/>
        </w:rPr>
        <w:t xml:space="preserve">Section </w:t>
      </w:r>
      <w:r w:rsidRPr="00827CD4">
        <w:rPr>
          <w:rFonts w:ascii="Palatino Linotype" w:hAnsi="Palatino Linotype"/>
          <w:szCs w:val="26"/>
        </w:rPr>
        <w:t>2827.10</w:t>
      </w:r>
      <w:r w:rsidRPr="00827CD4" w:rsidR="007D3B6A">
        <w:rPr>
          <w:rStyle w:val="FootnoteReference"/>
          <w:rFonts w:ascii="Palatino Linotype" w:hAnsi="Palatino Linotype"/>
          <w:szCs w:val="26"/>
        </w:rPr>
        <w:footnoteReference w:id="3"/>
      </w:r>
      <w:r w:rsidRPr="00827CD4">
        <w:rPr>
          <w:rFonts w:ascii="Palatino Linotype" w:hAnsi="Palatino Linotype"/>
          <w:szCs w:val="26"/>
        </w:rPr>
        <w:t xml:space="preserve"> to extend the sunset date of the NEMFC tariff to </w:t>
      </w:r>
      <w:r w:rsidRPr="00827CD4" w:rsidR="004713A6">
        <w:rPr>
          <w:rFonts w:ascii="Palatino Linotype" w:hAnsi="Palatino Linotype"/>
          <w:szCs w:val="26"/>
        </w:rPr>
        <w:t>December 31, 20</w:t>
      </w:r>
      <w:r w:rsidRPr="00827CD4">
        <w:rPr>
          <w:rFonts w:ascii="Palatino Linotype" w:hAnsi="Palatino Linotype"/>
          <w:szCs w:val="26"/>
        </w:rPr>
        <w:t>2</w:t>
      </w:r>
      <w:r w:rsidRPr="00827CD4" w:rsidR="004713A6">
        <w:rPr>
          <w:rFonts w:ascii="Palatino Linotype" w:hAnsi="Palatino Linotype"/>
          <w:szCs w:val="26"/>
        </w:rPr>
        <w:t>1</w:t>
      </w:r>
      <w:r w:rsidRPr="00827CD4">
        <w:rPr>
          <w:rFonts w:ascii="Palatino Linotype" w:hAnsi="Palatino Linotype"/>
          <w:szCs w:val="26"/>
        </w:rPr>
        <w:t xml:space="preserve">, increase the eligible system size for the tariff from </w:t>
      </w:r>
      <w:r w:rsidRPr="00827CD4" w:rsidR="006E5AE9">
        <w:rPr>
          <w:rFonts w:ascii="Palatino Linotype" w:hAnsi="Palatino Linotype"/>
          <w:szCs w:val="26"/>
        </w:rPr>
        <w:t>one</w:t>
      </w:r>
      <w:r w:rsidRPr="00827CD4">
        <w:rPr>
          <w:rFonts w:ascii="Palatino Linotype" w:hAnsi="Palatino Linotype"/>
          <w:szCs w:val="26"/>
        </w:rPr>
        <w:t xml:space="preserve"> megawatt (MW) to </w:t>
      </w:r>
      <w:r w:rsidRPr="00827CD4" w:rsidR="006E5AE9">
        <w:rPr>
          <w:rFonts w:ascii="Palatino Linotype" w:hAnsi="Palatino Linotype"/>
          <w:szCs w:val="26"/>
        </w:rPr>
        <w:t>five</w:t>
      </w:r>
      <w:r w:rsidRPr="00827CD4">
        <w:rPr>
          <w:rFonts w:ascii="Palatino Linotype" w:hAnsi="Palatino Linotype"/>
          <w:szCs w:val="26"/>
        </w:rPr>
        <w:t xml:space="preserve"> MW, increase the total capacity allowed to take service under the tariff by an additional </w:t>
      </w:r>
      <w:r w:rsidR="00435FD0">
        <w:rPr>
          <w:rFonts w:ascii="Palatino Linotype" w:hAnsi="Palatino Linotype"/>
          <w:szCs w:val="26"/>
        </w:rPr>
        <w:br/>
      </w:r>
      <w:r w:rsidRPr="00827CD4">
        <w:rPr>
          <w:rFonts w:ascii="Palatino Linotype" w:hAnsi="Palatino Linotype"/>
          <w:szCs w:val="26"/>
        </w:rPr>
        <w:t>500 MW bey</w:t>
      </w:r>
      <w:r w:rsidRPr="00827CD4" w:rsidR="004713A6">
        <w:rPr>
          <w:rFonts w:ascii="Palatino Linotype" w:hAnsi="Palatino Linotype"/>
          <w:szCs w:val="26"/>
        </w:rPr>
        <w:t>ond what was installed as of January 1, 2017</w:t>
      </w:r>
      <w:r w:rsidRPr="00827CD4">
        <w:rPr>
          <w:rFonts w:ascii="Palatino Linotype" w:hAnsi="Palatino Linotype"/>
          <w:szCs w:val="26"/>
        </w:rPr>
        <w:t xml:space="preserve">, </w:t>
      </w:r>
      <w:r w:rsidRPr="00827CD4" w:rsidR="00333456">
        <w:rPr>
          <w:rFonts w:ascii="Palatino Linotype" w:hAnsi="Palatino Linotype"/>
          <w:szCs w:val="26"/>
        </w:rPr>
        <w:t xml:space="preserve">require customer-generators taking service under the tariff to comply with emissions standards from the California Air Resources Board’s (ARB) distributed generation </w:t>
      </w:r>
      <w:r w:rsidRPr="00827CD4" w:rsidR="00333456">
        <w:rPr>
          <w:rFonts w:ascii="Palatino Linotype" w:hAnsi="Palatino Linotype"/>
          <w:szCs w:val="26"/>
        </w:rPr>
        <w:lastRenderedPageBreak/>
        <w:t xml:space="preserve">certification program, </w:t>
      </w:r>
      <w:r w:rsidRPr="00827CD4">
        <w:rPr>
          <w:rFonts w:ascii="Palatino Linotype" w:hAnsi="Palatino Linotype"/>
          <w:szCs w:val="26"/>
        </w:rPr>
        <w:t xml:space="preserve">and require generating </w:t>
      </w:r>
      <w:r w:rsidRPr="00827CD4" w:rsidR="000D619D">
        <w:rPr>
          <w:rFonts w:ascii="Palatino Linotype" w:hAnsi="Palatino Linotype"/>
          <w:szCs w:val="26"/>
        </w:rPr>
        <w:t xml:space="preserve">technologies to comply with </w:t>
      </w:r>
      <w:r w:rsidRPr="00827CD4">
        <w:rPr>
          <w:rFonts w:ascii="Palatino Linotype" w:hAnsi="Palatino Linotype"/>
          <w:szCs w:val="26"/>
        </w:rPr>
        <w:t>greenhouse ga</w:t>
      </w:r>
      <w:r w:rsidRPr="00827CD4" w:rsidR="00333456">
        <w:rPr>
          <w:rFonts w:ascii="Palatino Linotype" w:hAnsi="Palatino Linotype"/>
          <w:szCs w:val="26"/>
        </w:rPr>
        <w:t>s (GHG) emissions standard</w:t>
      </w:r>
      <w:r w:rsidRPr="00827CD4" w:rsidR="000D619D">
        <w:rPr>
          <w:rFonts w:ascii="Palatino Linotype" w:hAnsi="Palatino Linotype"/>
          <w:szCs w:val="26"/>
        </w:rPr>
        <w:t>s</w:t>
      </w:r>
      <w:r w:rsidRPr="00827CD4" w:rsidR="00333456">
        <w:rPr>
          <w:rFonts w:ascii="Palatino Linotype" w:hAnsi="Palatino Linotype"/>
          <w:szCs w:val="26"/>
        </w:rPr>
        <w:t xml:space="preserve"> to be</w:t>
      </w:r>
      <w:r w:rsidRPr="00827CD4">
        <w:rPr>
          <w:rFonts w:ascii="Palatino Linotype" w:hAnsi="Palatino Linotype"/>
          <w:szCs w:val="26"/>
        </w:rPr>
        <w:t xml:space="preserve"> adopted by </w:t>
      </w:r>
      <w:r w:rsidRPr="00827CD4" w:rsidR="00333456">
        <w:rPr>
          <w:rFonts w:ascii="Palatino Linotype" w:hAnsi="Palatino Linotype"/>
          <w:szCs w:val="26"/>
        </w:rPr>
        <w:t>ARB</w:t>
      </w:r>
      <w:r w:rsidRPr="00827CD4" w:rsidR="004713A6">
        <w:rPr>
          <w:rFonts w:ascii="Palatino Linotype" w:hAnsi="Palatino Linotype"/>
          <w:szCs w:val="26"/>
        </w:rPr>
        <w:t xml:space="preserve"> by </w:t>
      </w:r>
      <w:r w:rsidR="00435FD0">
        <w:rPr>
          <w:rFonts w:ascii="Palatino Linotype" w:hAnsi="Palatino Linotype"/>
          <w:szCs w:val="26"/>
        </w:rPr>
        <w:br/>
      </w:r>
      <w:r w:rsidRPr="00827CD4" w:rsidR="004713A6">
        <w:rPr>
          <w:rFonts w:ascii="Palatino Linotype" w:hAnsi="Palatino Linotype"/>
          <w:szCs w:val="26"/>
        </w:rPr>
        <w:t>March 31, 2017</w:t>
      </w:r>
      <w:r w:rsidRPr="00827CD4">
        <w:rPr>
          <w:rFonts w:ascii="Palatino Linotype" w:hAnsi="Palatino Linotype"/>
          <w:szCs w:val="26"/>
        </w:rPr>
        <w:t>.</w:t>
      </w:r>
      <w:r w:rsidR="00BE7690">
        <w:rPr>
          <w:rStyle w:val="FootnoteReference"/>
          <w:rFonts w:ascii="Palatino Linotype" w:hAnsi="Palatino Linotype"/>
          <w:szCs w:val="26"/>
        </w:rPr>
        <w:footnoteReference w:id="4"/>
      </w:r>
      <w:r w:rsidRPr="00827CD4" w:rsidR="00E558B4">
        <w:rPr>
          <w:rFonts w:ascii="Palatino Linotype" w:hAnsi="Palatino Linotype"/>
          <w:szCs w:val="26"/>
        </w:rPr>
        <w:t xml:space="preserve"> The last statutory requirement is the central issue in this Resolution. </w:t>
      </w:r>
    </w:p>
    <w:p w:rsidRPr="00827CD4" w:rsidR="00CA36ED" w:rsidRDefault="00CA36ED" w14:paraId="29AB68F9" w14:textId="77777777">
      <w:pPr>
        <w:rPr>
          <w:rFonts w:ascii="Palatino Linotype" w:hAnsi="Palatino Linotype"/>
          <w:szCs w:val="26"/>
        </w:rPr>
      </w:pPr>
    </w:p>
    <w:p w:rsidRPr="00827CD4" w:rsidR="00CA36ED" w:rsidRDefault="00CA36ED" w14:paraId="2FE6D79F" w14:textId="514ADB24">
      <w:pPr>
        <w:rPr>
          <w:rFonts w:ascii="Palatino Linotype" w:hAnsi="Palatino Linotype"/>
          <w:szCs w:val="26"/>
        </w:rPr>
      </w:pPr>
      <w:r w:rsidRPr="00827CD4">
        <w:rPr>
          <w:rFonts w:ascii="Palatino Linotype" w:hAnsi="Palatino Linotype"/>
          <w:szCs w:val="26"/>
        </w:rPr>
        <w:t>The utilities’ ALs interpreted the new GHG emissions standard</w:t>
      </w:r>
      <w:r w:rsidRPr="00827CD4" w:rsidR="000D619D">
        <w:rPr>
          <w:rFonts w:ascii="Palatino Linotype" w:hAnsi="Palatino Linotype"/>
          <w:szCs w:val="26"/>
        </w:rPr>
        <w:t>s</w:t>
      </w:r>
      <w:r w:rsidRPr="00827CD4">
        <w:rPr>
          <w:rFonts w:ascii="Palatino Linotype" w:hAnsi="Palatino Linotype"/>
          <w:szCs w:val="26"/>
        </w:rPr>
        <w:t xml:space="preserve"> requirement as only applying to fuel cells that commence operation on or after January 1, 2017</w:t>
      </w:r>
      <w:r w:rsidRPr="00827CD4" w:rsidR="00723F55">
        <w:rPr>
          <w:rFonts w:ascii="Palatino Linotype" w:hAnsi="Palatino Linotype"/>
          <w:szCs w:val="26"/>
        </w:rPr>
        <w:t xml:space="preserve">. The utilities reasoned that fuel cells commencing operation before this date </w:t>
      </w:r>
      <w:r w:rsidRPr="00827CD4" w:rsidR="00333456">
        <w:rPr>
          <w:rFonts w:ascii="Palatino Linotype" w:hAnsi="Palatino Linotype"/>
          <w:szCs w:val="26"/>
        </w:rPr>
        <w:t>should not be required</w:t>
      </w:r>
      <w:r w:rsidRPr="00827CD4" w:rsidR="00723F55">
        <w:rPr>
          <w:rFonts w:ascii="Palatino Linotype" w:hAnsi="Palatino Linotype"/>
          <w:szCs w:val="26"/>
        </w:rPr>
        <w:t xml:space="preserve"> to meet the GHG emissions standard because the requirement did not exist until the </w:t>
      </w:r>
      <w:r w:rsidRPr="00827CD4" w:rsidR="004713A6">
        <w:rPr>
          <w:rFonts w:ascii="Palatino Linotype" w:hAnsi="Palatino Linotype"/>
          <w:szCs w:val="26"/>
        </w:rPr>
        <w:t>Governor signed</w:t>
      </w:r>
      <w:r w:rsidRPr="00827CD4" w:rsidR="00723F55">
        <w:rPr>
          <w:rFonts w:ascii="Palatino Linotype" w:hAnsi="Palatino Linotype"/>
          <w:szCs w:val="26"/>
        </w:rPr>
        <w:t xml:space="preserve"> AB 1637</w:t>
      </w:r>
      <w:r w:rsidRPr="00827CD4" w:rsidR="004713A6">
        <w:rPr>
          <w:rFonts w:ascii="Palatino Linotype" w:hAnsi="Palatino Linotype"/>
          <w:szCs w:val="26"/>
        </w:rPr>
        <w:t xml:space="preserve"> into law</w:t>
      </w:r>
      <w:r w:rsidRPr="00827CD4" w:rsidR="00723F55">
        <w:rPr>
          <w:rFonts w:ascii="Palatino Linotype" w:hAnsi="Palatino Linotype"/>
          <w:szCs w:val="26"/>
        </w:rPr>
        <w:t>.</w:t>
      </w:r>
    </w:p>
    <w:p w:rsidRPr="00827CD4" w:rsidR="00723F55" w:rsidRDefault="00723F55" w14:paraId="4AAC2AD2" w14:textId="77777777">
      <w:pPr>
        <w:rPr>
          <w:rFonts w:ascii="Palatino Linotype" w:hAnsi="Palatino Linotype"/>
          <w:szCs w:val="26"/>
        </w:rPr>
      </w:pPr>
    </w:p>
    <w:p w:rsidRPr="00827CD4" w:rsidR="00723F55" w:rsidRDefault="00723F55" w14:paraId="49F39208" w14:textId="674AECE4">
      <w:pPr>
        <w:rPr>
          <w:rFonts w:ascii="Palatino Linotype" w:hAnsi="Palatino Linotype"/>
          <w:szCs w:val="26"/>
        </w:rPr>
      </w:pPr>
      <w:r w:rsidRPr="00827CD4">
        <w:rPr>
          <w:rFonts w:ascii="Palatino Linotype" w:hAnsi="Palatino Linotype"/>
          <w:szCs w:val="26"/>
        </w:rPr>
        <w:t>However, AB 1637 requires both fuel cells that commence operation on or after January 1, 2017, and fuel c</w:t>
      </w:r>
      <w:r w:rsidRPr="00827CD4" w:rsidR="006E5AE9">
        <w:rPr>
          <w:rFonts w:ascii="Palatino Linotype" w:hAnsi="Palatino Linotype"/>
          <w:szCs w:val="26"/>
        </w:rPr>
        <w:t>e</w:t>
      </w:r>
      <w:r w:rsidRPr="00827CD4">
        <w:rPr>
          <w:rFonts w:ascii="Palatino Linotype" w:hAnsi="Palatino Linotype"/>
          <w:szCs w:val="26"/>
        </w:rPr>
        <w:t>lls that were already taking service under the NEMFC tariff before January 1, 2017, to meet ARB’s GHG emissions standard. AB 1637 further requires that both new and existing fuel cells meet the GHG emissions standard on an ongoing basis—instead of a one-time basis before commencing operation—as AB 1637 requires ARB to establish annual GHG emissions standards and to update the annual standards every three years. Evidence of the legislative intent of AB 1637 supporting this position is contained in the August 31, 2016 Assembly Floor Analysis</w:t>
      </w:r>
      <w:r w:rsidRPr="00827CD4" w:rsidR="006E5AE9">
        <w:rPr>
          <w:rFonts w:ascii="Palatino Linotype" w:hAnsi="Palatino Linotype"/>
          <w:szCs w:val="26"/>
        </w:rPr>
        <w:t xml:space="preserve"> of AB 1637</w:t>
      </w:r>
      <w:r w:rsidRPr="00827CD4">
        <w:rPr>
          <w:rFonts w:ascii="Palatino Linotype" w:hAnsi="Palatino Linotype"/>
          <w:szCs w:val="26"/>
        </w:rPr>
        <w:t>, which states that “[t]he bill’s new GHG standard applies to existing installed fuel cells, as well as future installed fuel cells, requiring all NEMFC participants to meet annual GHG reduction standards, to be adopted by ARB, to remain eligible for NEMFC.”</w:t>
      </w:r>
      <w:r w:rsidRPr="00827CD4" w:rsidR="00BB67E4">
        <w:rPr>
          <w:rStyle w:val="FootnoteReference"/>
          <w:rFonts w:ascii="Palatino Linotype" w:hAnsi="Palatino Linotype"/>
          <w:szCs w:val="26"/>
        </w:rPr>
        <w:footnoteReference w:id="5"/>
      </w:r>
    </w:p>
    <w:p w:rsidRPr="00827CD4" w:rsidR="007F7E04" w:rsidRDefault="007F7E04" w14:paraId="1180A0A4" w14:textId="77777777">
      <w:pPr>
        <w:rPr>
          <w:rFonts w:ascii="Palatino Linotype" w:hAnsi="Palatino Linotype"/>
          <w:szCs w:val="26"/>
        </w:rPr>
      </w:pPr>
    </w:p>
    <w:p w:rsidRPr="00827CD4" w:rsidR="00BB67E4" w:rsidRDefault="00BB67E4" w14:paraId="6B10DB46" w14:textId="4299629D">
      <w:pPr>
        <w:rPr>
          <w:rFonts w:ascii="Palatino Linotype" w:hAnsi="Palatino Linotype"/>
          <w:szCs w:val="26"/>
        </w:rPr>
      </w:pPr>
      <w:r w:rsidRPr="00827CD4">
        <w:rPr>
          <w:rFonts w:ascii="Palatino Linotype" w:hAnsi="Palatino Linotype"/>
          <w:szCs w:val="26"/>
        </w:rPr>
        <w:t xml:space="preserve">On February 8, 2017, </w:t>
      </w:r>
      <w:r w:rsidR="00CF77D8">
        <w:rPr>
          <w:rFonts w:ascii="Palatino Linotype" w:hAnsi="Palatino Linotype"/>
          <w:szCs w:val="26"/>
        </w:rPr>
        <w:t>the</w:t>
      </w:r>
      <w:r w:rsidRPr="00827CD4">
        <w:rPr>
          <w:rFonts w:ascii="Palatino Linotype" w:hAnsi="Palatino Linotype"/>
          <w:szCs w:val="26"/>
        </w:rPr>
        <w:t xml:space="preserve"> Director of the Commission’s Energy Divisi</w:t>
      </w:r>
      <w:r w:rsidRPr="00827CD4" w:rsidR="006D6860">
        <w:rPr>
          <w:rFonts w:ascii="Palatino Linotype" w:hAnsi="Palatino Linotype"/>
          <w:szCs w:val="26"/>
        </w:rPr>
        <w:t xml:space="preserve">on, sent a Disposition Letter </w:t>
      </w:r>
      <w:r w:rsidRPr="00827CD4">
        <w:rPr>
          <w:rFonts w:ascii="Palatino Linotype" w:hAnsi="Palatino Linotype"/>
          <w:szCs w:val="26"/>
        </w:rPr>
        <w:t xml:space="preserve">that approved with modifications the utilities’ ALs. </w:t>
      </w:r>
      <w:r w:rsidR="00435FD0">
        <w:rPr>
          <w:rFonts w:ascii="Palatino Linotype" w:hAnsi="Palatino Linotype"/>
          <w:szCs w:val="26"/>
        </w:rPr>
        <w:br/>
      </w:r>
      <w:r w:rsidRPr="00827CD4">
        <w:rPr>
          <w:rFonts w:ascii="Palatino Linotype" w:hAnsi="Palatino Linotype"/>
          <w:szCs w:val="26"/>
        </w:rPr>
        <w:t>The Disposition Letter required the utilities to modify their NEMFC tariffs to apply the GHG emissions standard</w:t>
      </w:r>
      <w:r w:rsidRPr="00827CD4" w:rsidR="000D619D">
        <w:rPr>
          <w:rFonts w:ascii="Palatino Linotype" w:hAnsi="Palatino Linotype"/>
          <w:szCs w:val="26"/>
        </w:rPr>
        <w:t>s</w:t>
      </w:r>
      <w:r w:rsidRPr="00827CD4">
        <w:rPr>
          <w:rFonts w:ascii="Palatino Linotype" w:hAnsi="Palatino Linotype"/>
          <w:szCs w:val="26"/>
        </w:rPr>
        <w:t xml:space="preserve"> to all new and </w:t>
      </w:r>
      <w:r w:rsidRPr="00827CD4" w:rsidR="000D619D">
        <w:rPr>
          <w:rFonts w:ascii="Palatino Linotype" w:hAnsi="Palatino Linotype"/>
          <w:szCs w:val="26"/>
        </w:rPr>
        <w:t>existing</w:t>
      </w:r>
      <w:r w:rsidRPr="00827CD4">
        <w:rPr>
          <w:rFonts w:ascii="Palatino Linotype" w:hAnsi="Palatino Linotype"/>
          <w:szCs w:val="26"/>
        </w:rPr>
        <w:t xml:space="preserve"> fuel cells.</w:t>
      </w:r>
    </w:p>
    <w:p w:rsidRPr="00827CD4" w:rsidR="00595947" w:rsidRDefault="00595947" w14:paraId="1BD50C5C" w14:textId="77777777">
      <w:pPr>
        <w:rPr>
          <w:rFonts w:ascii="Palatino Linotype" w:hAnsi="Palatino Linotype"/>
          <w:szCs w:val="26"/>
        </w:rPr>
      </w:pPr>
    </w:p>
    <w:p w:rsidRPr="00827CD4" w:rsidR="00595947" w:rsidRDefault="00595947" w14:paraId="586BDF5E" w14:textId="1168EF7D">
      <w:pPr>
        <w:rPr>
          <w:rFonts w:ascii="Palatino Linotype" w:hAnsi="Palatino Linotype"/>
          <w:szCs w:val="26"/>
        </w:rPr>
      </w:pPr>
      <w:r w:rsidRPr="00827CD4">
        <w:rPr>
          <w:rFonts w:ascii="Palatino Linotype" w:hAnsi="Palatino Linotype"/>
          <w:szCs w:val="26"/>
        </w:rPr>
        <w:lastRenderedPageBreak/>
        <w:t>On February 13, 2017, PG&amp;E filed AL 5021-E</w:t>
      </w:r>
      <w:r w:rsidRPr="00827CD4" w:rsidR="00BA36E3">
        <w:rPr>
          <w:rFonts w:ascii="Palatino Linotype" w:hAnsi="Palatino Linotype"/>
          <w:szCs w:val="26"/>
        </w:rPr>
        <w:t xml:space="preserve">. </w:t>
      </w:r>
      <w:r w:rsidRPr="00827CD4">
        <w:rPr>
          <w:rFonts w:ascii="Palatino Linotype" w:hAnsi="Palatino Linotype"/>
          <w:szCs w:val="26"/>
        </w:rPr>
        <w:t xml:space="preserve">On February 14, 2017, SCE filed </w:t>
      </w:r>
      <w:r w:rsidR="00435FD0">
        <w:rPr>
          <w:rFonts w:ascii="Palatino Linotype" w:hAnsi="Palatino Linotype"/>
          <w:szCs w:val="26"/>
        </w:rPr>
        <w:br/>
      </w:r>
      <w:r w:rsidRPr="00827CD4">
        <w:rPr>
          <w:rFonts w:ascii="Palatino Linotype" w:hAnsi="Palatino Linotype"/>
          <w:szCs w:val="26"/>
        </w:rPr>
        <w:t>AL 3558-E</w:t>
      </w:r>
      <w:r w:rsidRPr="00827CD4" w:rsidR="00751F14">
        <w:rPr>
          <w:rFonts w:ascii="Palatino Linotype" w:hAnsi="Palatino Linotype"/>
          <w:szCs w:val="26"/>
        </w:rPr>
        <w:t>,</w:t>
      </w:r>
      <w:r w:rsidRPr="00827CD4">
        <w:rPr>
          <w:rFonts w:ascii="Palatino Linotype" w:hAnsi="Palatino Linotype"/>
          <w:szCs w:val="26"/>
        </w:rPr>
        <w:t xml:space="preserve"> and SDG&amp;E filed AL 3044-E</w:t>
      </w:r>
      <w:r w:rsidRPr="00827CD4" w:rsidR="00BA36E3">
        <w:rPr>
          <w:rFonts w:ascii="Palatino Linotype" w:hAnsi="Palatino Linotype"/>
          <w:szCs w:val="26"/>
        </w:rPr>
        <w:t xml:space="preserve">. </w:t>
      </w:r>
      <w:r w:rsidRPr="00827CD4">
        <w:rPr>
          <w:rFonts w:ascii="Palatino Linotype" w:hAnsi="Palatino Linotype"/>
          <w:szCs w:val="26"/>
        </w:rPr>
        <w:t>On July 28, 2017, SDG&amp;E fil</w:t>
      </w:r>
      <w:r w:rsidRPr="00827CD4" w:rsidR="00BA36E3">
        <w:rPr>
          <w:rFonts w:ascii="Palatino Linotype" w:hAnsi="Palatino Linotype"/>
          <w:szCs w:val="26"/>
        </w:rPr>
        <w:t>ed supplemental AL 3044-E-A. These ALs proposed modifications to the utilities’ NEMFC tariffs to comply with the Disposition Letter’s requirements.</w:t>
      </w:r>
    </w:p>
    <w:p w:rsidRPr="00827CD4" w:rsidR="00595947" w:rsidRDefault="00595947" w14:paraId="36999E01" w14:textId="77777777">
      <w:pPr>
        <w:rPr>
          <w:rFonts w:ascii="Palatino Linotype" w:hAnsi="Palatino Linotype"/>
          <w:szCs w:val="26"/>
        </w:rPr>
      </w:pPr>
    </w:p>
    <w:p w:rsidR="00595947" w:rsidP="00815290" w:rsidRDefault="00595947" w14:paraId="3E4F5B6A" w14:textId="01B848B5">
      <w:pPr>
        <w:rPr>
          <w:rFonts w:ascii="Palatino Linotype" w:hAnsi="Palatino Linotype"/>
          <w:szCs w:val="26"/>
        </w:rPr>
      </w:pPr>
      <w:r w:rsidRPr="00827CD4">
        <w:rPr>
          <w:rFonts w:ascii="Palatino Linotype" w:hAnsi="Palatino Linotype"/>
          <w:szCs w:val="26"/>
        </w:rPr>
        <w:t xml:space="preserve">On February 21, 2017, </w:t>
      </w:r>
      <w:r w:rsidRPr="00827CD4" w:rsidR="00BA36E3">
        <w:rPr>
          <w:rFonts w:ascii="Palatino Linotype" w:hAnsi="Palatino Linotype"/>
          <w:szCs w:val="26"/>
        </w:rPr>
        <w:t>Bloom Energy Corporation (Bloom) and the National Fuel Cell Research Center (NFCRC) filed Requests for Commission Review of the Disposition Letter pursuant to General Order (GO) 96-B Section 7.7.1.</w:t>
      </w:r>
      <w:r w:rsidRPr="00827CD4" w:rsidR="000D68D6">
        <w:rPr>
          <w:rStyle w:val="FootnoteReference"/>
          <w:rFonts w:ascii="Palatino Linotype" w:hAnsi="Palatino Linotype"/>
          <w:szCs w:val="26"/>
        </w:rPr>
        <w:footnoteReference w:id="6"/>
      </w:r>
      <w:r w:rsidRPr="00827CD4" w:rsidR="00BA36E3">
        <w:rPr>
          <w:rFonts w:ascii="Palatino Linotype" w:hAnsi="Palatino Linotype"/>
          <w:szCs w:val="26"/>
        </w:rPr>
        <w:t xml:space="preserve"> </w:t>
      </w:r>
      <w:r w:rsidR="00435FD0">
        <w:rPr>
          <w:rFonts w:ascii="Palatino Linotype" w:hAnsi="Palatino Linotype"/>
          <w:szCs w:val="26"/>
        </w:rPr>
        <w:br/>
      </w:r>
      <w:r w:rsidRPr="00827CD4" w:rsidR="00BA36E3">
        <w:rPr>
          <w:rFonts w:ascii="Palatino Linotype" w:hAnsi="Palatino Linotype"/>
          <w:szCs w:val="26"/>
        </w:rPr>
        <w:t>The Requests for Commission Review claim that the Disposition Letter incorrectly requires the utilities to apply the GHG emissions standard</w:t>
      </w:r>
      <w:r w:rsidRPr="00827CD4" w:rsidR="001C38A0">
        <w:rPr>
          <w:rFonts w:ascii="Palatino Linotype" w:hAnsi="Palatino Linotype"/>
          <w:szCs w:val="26"/>
        </w:rPr>
        <w:t>s</w:t>
      </w:r>
      <w:r w:rsidRPr="00827CD4" w:rsidR="00BA36E3">
        <w:rPr>
          <w:rFonts w:ascii="Palatino Linotype" w:hAnsi="Palatino Linotype"/>
          <w:szCs w:val="26"/>
        </w:rPr>
        <w:t xml:space="preserve"> to existing fuel cells that took service under the NEMFC </w:t>
      </w:r>
      <w:r w:rsidRPr="00827CD4" w:rsidR="00BF7902">
        <w:rPr>
          <w:rFonts w:ascii="Palatino Linotype" w:hAnsi="Palatino Linotype"/>
          <w:szCs w:val="26"/>
        </w:rPr>
        <w:t>t</w:t>
      </w:r>
      <w:r w:rsidRPr="00827CD4" w:rsidR="00BA36E3">
        <w:rPr>
          <w:rFonts w:ascii="Palatino Linotype" w:hAnsi="Palatino Linotype"/>
          <w:szCs w:val="26"/>
        </w:rPr>
        <w:t>ariffs existing prior to January 1, 201</w:t>
      </w:r>
      <w:r w:rsidRPr="00827CD4" w:rsidR="000D619D">
        <w:rPr>
          <w:rFonts w:ascii="Palatino Linotype" w:hAnsi="Palatino Linotype"/>
          <w:szCs w:val="26"/>
        </w:rPr>
        <w:t>7. The Requests for Commission R</w:t>
      </w:r>
      <w:r w:rsidRPr="00827CD4" w:rsidR="00BA36E3">
        <w:rPr>
          <w:rFonts w:ascii="Palatino Linotype" w:hAnsi="Palatino Linotype"/>
          <w:szCs w:val="26"/>
        </w:rPr>
        <w:t>eview argue that application of the GHG emissions standard</w:t>
      </w:r>
      <w:r w:rsidRPr="00827CD4" w:rsidR="001C38A0">
        <w:rPr>
          <w:rFonts w:ascii="Palatino Linotype" w:hAnsi="Palatino Linotype"/>
          <w:szCs w:val="26"/>
        </w:rPr>
        <w:t>s</w:t>
      </w:r>
      <w:r w:rsidRPr="00827CD4" w:rsidR="00BA36E3">
        <w:rPr>
          <w:rFonts w:ascii="Palatino Linotype" w:hAnsi="Palatino Linotype"/>
          <w:szCs w:val="26"/>
        </w:rPr>
        <w:t xml:space="preserve"> to fuel cells taking service under the prior versions of the NEMFC </w:t>
      </w:r>
      <w:r w:rsidRPr="00827CD4" w:rsidR="00BF7902">
        <w:rPr>
          <w:rFonts w:ascii="Palatino Linotype" w:hAnsi="Palatino Linotype"/>
          <w:szCs w:val="26"/>
        </w:rPr>
        <w:t>t</w:t>
      </w:r>
      <w:r w:rsidRPr="00827CD4" w:rsidR="00BA36E3">
        <w:rPr>
          <w:rFonts w:ascii="Palatino Linotype" w:hAnsi="Palatino Linotype"/>
          <w:szCs w:val="26"/>
        </w:rPr>
        <w:t>ariffs is improper, contrary to the intent of the Legislature, and would represent a dramatic and inequitable departure from prior Commission policy.</w:t>
      </w:r>
    </w:p>
    <w:p w:rsidR="006B76BF" w:rsidRDefault="006B76BF" w14:paraId="3614D931" w14:textId="3A9AD60F">
      <w:pPr>
        <w:rPr>
          <w:rFonts w:ascii="Palatino Linotype" w:hAnsi="Palatino Linotype"/>
          <w:szCs w:val="26"/>
        </w:rPr>
      </w:pPr>
    </w:p>
    <w:p w:rsidRPr="0046533B" w:rsidR="00CF17DE" w:rsidRDefault="00394B3A" w14:paraId="66788129" w14:textId="77777777">
      <w:pPr>
        <w:pStyle w:val="Heading1"/>
        <w:rPr>
          <w:rFonts w:cs="Helvetica"/>
          <w:szCs w:val="26"/>
        </w:rPr>
      </w:pPr>
      <w:r w:rsidRPr="0046533B">
        <w:rPr>
          <w:rFonts w:cs="Helvetica"/>
          <w:szCs w:val="26"/>
        </w:rPr>
        <w:t>Notice</w:t>
      </w:r>
    </w:p>
    <w:p w:rsidRPr="00827CD4" w:rsidR="005B0FB5" w:rsidRDefault="007742E1" w14:paraId="2A797642" w14:textId="4A7A81F3">
      <w:pPr>
        <w:rPr>
          <w:rFonts w:ascii="Palatino Linotype" w:hAnsi="Palatino Linotype"/>
          <w:szCs w:val="26"/>
        </w:rPr>
      </w:pPr>
      <w:r w:rsidRPr="00827CD4">
        <w:rPr>
          <w:rFonts w:ascii="Palatino Linotype" w:hAnsi="Palatino Linotype"/>
          <w:szCs w:val="26"/>
        </w:rPr>
        <w:t xml:space="preserve">Bloom </w:t>
      </w:r>
      <w:r w:rsidRPr="00827CD4" w:rsidR="00C64593">
        <w:rPr>
          <w:rFonts w:ascii="Palatino Linotype" w:hAnsi="Palatino Linotype"/>
          <w:szCs w:val="26"/>
        </w:rPr>
        <w:t xml:space="preserve">states that it </w:t>
      </w:r>
      <w:r w:rsidRPr="00827CD4">
        <w:rPr>
          <w:rFonts w:ascii="Palatino Linotype" w:hAnsi="Palatino Linotype"/>
          <w:szCs w:val="26"/>
        </w:rPr>
        <w:t xml:space="preserve">served </w:t>
      </w:r>
      <w:r w:rsidRPr="00827CD4" w:rsidR="00C64593">
        <w:rPr>
          <w:rFonts w:ascii="Palatino Linotype" w:hAnsi="Palatino Linotype"/>
          <w:szCs w:val="26"/>
        </w:rPr>
        <w:t>copies of its</w:t>
      </w:r>
      <w:r w:rsidRPr="00827CD4" w:rsidR="005B0FB5">
        <w:rPr>
          <w:rFonts w:ascii="Palatino Linotype" w:hAnsi="Palatino Linotype"/>
          <w:szCs w:val="26"/>
        </w:rPr>
        <w:t xml:space="preserve"> Request for Commission Review on the </w:t>
      </w:r>
      <w:r w:rsidRPr="00827CD4">
        <w:rPr>
          <w:rFonts w:ascii="Palatino Linotype" w:hAnsi="Palatino Linotype"/>
          <w:szCs w:val="26"/>
        </w:rPr>
        <w:t xml:space="preserve">Commission, the </w:t>
      </w:r>
      <w:r w:rsidRPr="00827CD4" w:rsidR="005B0FB5">
        <w:rPr>
          <w:rFonts w:ascii="Palatino Linotype" w:hAnsi="Palatino Linotype"/>
          <w:szCs w:val="26"/>
        </w:rPr>
        <w:t xml:space="preserve">utilities, </w:t>
      </w:r>
      <w:r w:rsidRPr="00827CD4">
        <w:rPr>
          <w:rFonts w:ascii="Palatino Linotype" w:hAnsi="Palatino Linotype"/>
          <w:szCs w:val="26"/>
        </w:rPr>
        <w:t xml:space="preserve">and Applied Medical Resource Corporation, protestant to </w:t>
      </w:r>
      <w:r w:rsidRPr="00827CD4" w:rsidR="00751F14">
        <w:rPr>
          <w:rFonts w:ascii="Palatino Linotype" w:hAnsi="Palatino Linotype"/>
          <w:szCs w:val="26"/>
        </w:rPr>
        <w:t xml:space="preserve">SCE </w:t>
      </w:r>
      <w:r w:rsidRPr="00827CD4">
        <w:rPr>
          <w:rFonts w:ascii="Palatino Linotype" w:hAnsi="Palatino Linotype"/>
          <w:szCs w:val="26"/>
        </w:rPr>
        <w:t>AL 3523-E</w:t>
      </w:r>
      <w:r w:rsidRPr="00827CD4" w:rsidR="000D619D">
        <w:rPr>
          <w:rFonts w:ascii="Palatino Linotype" w:hAnsi="Palatino Linotype"/>
          <w:szCs w:val="26"/>
        </w:rPr>
        <w:t xml:space="preserve">. </w:t>
      </w:r>
      <w:r w:rsidRPr="00827CD4">
        <w:rPr>
          <w:rFonts w:ascii="Palatino Linotype" w:hAnsi="Palatino Linotype"/>
          <w:szCs w:val="26"/>
        </w:rPr>
        <w:t xml:space="preserve">NFCRC </w:t>
      </w:r>
      <w:r w:rsidRPr="00827CD4" w:rsidR="00C64593">
        <w:rPr>
          <w:rFonts w:ascii="Palatino Linotype" w:hAnsi="Palatino Linotype"/>
          <w:szCs w:val="26"/>
        </w:rPr>
        <w:t xml:space="preserve">states that it </w:t>
      </w:r>
      <w:r w:rsidRPr="00827CD4">
        <w:rPr>
          <w:rFonts w:ascii="Palatino Linotype" w:hAnsi="Palatino Linotype"/>
          <w:szCs w:val="26"/>
        </w:rPr>
        <w:t>served</w:t>
      </w:r>
      <w:r w:rsidRPr="00827CD4" w:rsidR="00C64593">
        <w:rPr>
          <w:rFonts w:ascii="Palatino Linotype" w:hAnsi="Palatino Linotype"/>
          <w:szCs w:val="26"/>
        </w:rPr>
        <w:t xml:space="preserve"> copies of its</w:t>
      </w:r>
      <w:r w:rsidRPr="00827CD4">
        <w:rPr>
          <w:rFonts w:ascii="Palatino Linotype" w:hAnsi="Palatino Linotype"/>
          <w:szCs w:val="26"/>
        </w:rPr>
        <w:t xml:space="preserve"> Request for Commission Review on the Commission, the utilities, and Applied Medical Resource Corporation.</w:t>
      </w:r>
    </w:p>
    <w:p w:rsidRPr="00827CD4" w:rsidR="005B0FB5" w:rsidRDefault="005B0FB5" w14:paraId="13AE884C" w14:textId="77777777">
      <w:pPr>
        <w:rPr>
          <w:rFonts w:ascii="Palatino Linotype" w:hAnsi="Palatino Linotype"/>
          <w:szCs w:val="26"/>
        </w:rPr>
      </w:pPr>
    </w:p>
    <w:p w:rsidRPr="00827CD4" w:rsidR="005B0FB5" w:rsidRDefault="005B0FB5" w14:paraId="29AF7725" w14:textId="6F007EC9">
      <w:pPr>
        <w:rPr>
          <w:rFonts w:ascii="Palatino Linotype" w:hAnsi="Palatino Linotype"/>
          <w:szCs w:val="26"/>
        </w:rPr>
      </w:pPr>
      <w:r w:rsidRPr="00827CD4">
        <w:rPr>
          <w:rFonts w:ascii="Palatino Linotype" w:hAnsi="Palatino Linotype"/>
          <w:szCs w:val="26"/>
        </w:rPr>
        <w:t xml:space="preserve">Energy Division served Draft </w:t>
      </w:r>
      <w:r w:rsidRPr="00827CD4" w:rsidR="007742E1">
        <w:rPr>
          <w:rFonts w:ascii="Palatino Linotype" w:hAnsi="Palatino Linotype"/>
          <w:szCs w:val="26"/>
        </w:rPr>
        <w:t xml:space="preserve">Resolution E-5011 on Bloom, </w:t>
      </w:r>
      <w:r w:rsidRPr="00827CD4">
        <w:rPr>
          <w:rFonts w:ascii="Palatino Linotype" w:hAnsi="Palatino Linotype"/>
          <w:szCs w:val="26"/>
        </w:rPr>
        <w:t xml:space="preserve">NFCRC, </w:t>
      </w:r>
      <w:r w:rsidRPr="00827CD4" w:rsidR="007742E1">
        <w:rPr>
          <w:rFonts w:ascii="Palatino Linotype" w:hAnsi="Palatino Linotype"/>
          <w:szCs w:val="26"/>
        </w:rPr>
        <w:t>the utilities, and Applied Medical Resource Corporation</w:t>
      </w:r>
      <w:r w:rsidRPr="00827CD4">
        <w:rPr>
          <w:rFonts w:ascii="Palatino Linotype" w:hAnsi="Palatino Linotype"/>
          <w:szCs w:val="26"/>
        </w:rPr>
        <w:t>.</w:t>
      </w:r>
    </w:p>
    <w:p w:rsidRPr="00827CD4" w:rsidR="00CF17DE" w:rsidRDefault="00CF17DE" w14:paraId="6E8F021A" w14:textId="77777777">
      <w:pPr>
        <w:rPr>
          <w:rFonts w:ascii="Palatino Linotype" w:hAnsi="Palatino Linotype"/>
          <w:szCs w:val="26"/>
        </w:rPr>
      </w:pPr>
    </w:p>
    <w:p w:rsidRPr="00435FD0" w:rsidR="00815290" w:rsidP="00333456" w:rsidRDefault="00CF17DE" w14:paraId="322F4F32" w14:textId="0CC8971D">
      <w:pPr>
        <w:pStyle w:val="Heading1"/>
        <w:rPr>
          <w:rFonts w:cs="Helvetica"/>
          <w:szCs w:val="26"/>
        </w:rPr>
      </w:pPr>
      <w:r w:rsidRPr="00435FD0">
        <w:rPr>
          <w:rFonts w:cs="Helvetica"/>
          <w:szCs w:val="26"/>
        </w:rPr>
        <w:t>Protests</w:t>
      </w:r>
    </w:p>
    <w:p w:rsidRPr="00827CD4" w:rsidR="00CF17DE" w:rsidRDefault="00815290" w14:paraId="52D5B761" w14:textId="107EF865">
      <w:pPr>
        <w:rPr>
          <w:rFonts w:ascii="Palatino Linotype" w:hAnsi="Palatino Linotype"/>
          <w:szCs w:val="26"/>
        </w:rPr>
      </w:pPr>
      <w:r w:rsidRPr="00827CD4">
        <w:rPr>
          <w:rFonts w:ascii="Palatino Linotype" w:hAnsi="Palatino Linotype"/>
          <w:szCs w:val="26"/>
        </w:rPr>
        <w:t>No parti</w:t>
      </w:r>
      <w:r w:rsidRPr="00827CD4" w:rsidR="007742E1">
        <w:rPr>
          <w:rFonts w:ascii="Palatino Linotype" w:hAnsi="Palatino Linotype"/>
          <w:szCs w:val="26"/>
        </w:rPr>
        <w:t>es filed comments on</w:t>
      </w:r>
      <w:r w:rsidRPr="00827CD4" w:rsidR="00333456">
        <w:rPr>
          <w:rFonts w:ascii="Palatino Linotype" w:hAnsi="Palatino Linotype"/>
          <w:szCs w:val="26"/>
        </w:rPr>
        <w:t xml:space="preserve"> Bloom’s or</w:t>
      </w:r>
      <w:r w:rsidRPr="00827CD4" w:rsidR="00FC49AA">
        <w:rPr>
          <w:rFonts w:ascii="Palatino Linotype" w:hAnsi="Palatino Linotype"/>
          <w:szCs w:val="26"/>
        </w:rPr>
        <w:t xml:space="preserve"> NFCRC’s Requests</w:t>
      </w:r>
      <w:r w:rsidRPr="00827CD4">
        <w:rPr>
          <w:rFonts w:ascii="Palatino Linotype" w:hAnsi="Palatino Linotype"/>
          <w:szCs w:val="26"/>
        </w:rPr>
        <w:t xml:space="preserve"> for Commission Review.</w:t>
      </w:r>
    </w:p>
    <w:p w:rsidRPr="00827CD4" w:rsidR="00CF17DE" w:rsidRDefault="00CF17DE" w14:paraId="30C5808A" w14:textId="77777777">
      <w:pPr>
        <w:rPr>
          <w:rFonts w:ascii="Palatino Linotype" w:hAnsi="Palatino Linotype"/>
          <w:szCs w:val="26"/>
        </w:rPr>
      </w:pPr>
    </w:p>
    <w:p w:rsidRPr="00435FD0" w:rsidR="006F37EE" w:rsidP="007742E1" w:rsidRDefault="00CF17DE" w14:paraId="345F3DB3" w14:textId="6579AD84">
      <w:pPr>
        <w:pStyle w:val="Heading1"/>
        <w:rPr>
          <w:rFonts w:cs="Helvetica"/>
          <w:szCs w:val="26"/>
        </w:rPr>
      </w:pPr>
      <w:r w:rsidRPr="00435FD0">
        <w:rPr>
          <w:rFonts w:cs="Helvetica"/>
          <w:szCs w:val="26"/>
        </w:rPr>
        <w:lastRenderedPageBreak/>
        <w:t>Discussion</w:t>
      </w:r>
    </w:p>
    <w:p w:rsidRPr="00827CD4" w:rsidR="006F37EE" w:rsidP="006F37EE" w:rsidRDefault="00FC49AA" w14:paraId="030D3203" w14:textId="57173A8C">
      <w:pPr>
        <w:pStyle w:val="BodyText"/>
        <w:rPr>
          <w:rFonts w:ascii="Palatino Linotype" w:hAnsi="Palatino Linotype" w:cs="Arial"/>
          <w:i w:val="0"/>
          <w:sz w:val="26"/>
          <w:szCs w:val="26"/>
        </w:rPr>
      </w:pPr>
      <w:r w:rsidRPr="00827CD4">
        <w:rPr>
          <w:rFonts w:ascii="Palatino Linotype" w:hAnsi="Palatino Linotype" w:cs="Arial"/>
          <w:i w:val="0"/>
          <w:sz w:val="26"/>
          <w:szCs w:val="26"/>
        </w:rPr>
        <w:t>Bloom’s and NFCRC’s</w:t>
      </w:r>
      <w:r w:rsidRPr="00827CD4" w:rsidR="006F37EE">
        <w:rPr>
          <w:rFonts w:ascii="Palatino Linotype" w:hAnsi="Palatino Linotype" w:cs="Arial"/>
          <w:i w:val="0"/>
          <w:sz w:val="26"/>
          <w:szCs w:val="26"/>
        </w:rPr>
        <w:t xml:space="preserve"> Requests for Commission Review present the following arguments: (1) the plain language of Section 2827.10 and axiomatic principles of statutory construction prohibit retroactive application of new GHG emissions standards; (2) prior versions of Section 2827.10 also incorporated emissions standards as eligibility criteria, and the Commission did not apply these emission standards retroactively; (3) the Commission has not retroactively applied emissions standards to fuel cells under </w:t>
      </w:r>
      <w:r w:rsidRPr="00827CD4" w:rsidR="00751F14">
        <w:rPr>
          <w:rFonts w:ascii="Palatino Linotype" w:hAnsi="Palatino Linotype" w:cs="Arial"/>
          <w:i w:val="0"/>
          <w:sz w:val="26"/>
          <w:szCs w:val="26"/>
        </w:rPr>
        <w:t>the Self-Generation Incentive Program</w:t>
      </w:r>
      <w:r w:rsidRPr="00827CD4" w:rsidR="006F37EE">
        <w:rPr>
          <w:rFonts w:ascii="Palatino Linotype" w:hAnsi="Palatino Linotype" w:cs="Arial"/>
          <w:i w:val="0"/>
          <w:sz w:val="26"/>
          <w:szCs w:val="26"/>
        </w:rPr>
        <w:t xml:space="preserve">; (4) evidence of legislative intent is unpersuasive; (5) severe policy implications of retroactive application militate against retroactivity; and (6) retroactive application would constitute an uncompensated regulatory taking, and is otherwise unlawful. </w:t>
      </w:r>
      <w:r w:rsidRPr="00827CD4" w:rsidR="007742E1">
        <w:rPr>
          <w:rFonts w:ascii="Palatino Linotype" w:hAnsi="Palatino Linotype" w:cs="Arial"/>
          <w:i w:val="0"/>
          <w:sz w:val="26"/>
          <w:szCs w:val="26"/>
        </w:rPr>
        <w:t>Below the Commission analyzes the claims presented in the Requests for Commission Review and upholds the determination found within the February 8, 2017 Disposition Letter.</w:t>
      </w:r>
    </w:p>
    <w:p w:rsidRPr="00827CD4" w:rsidR="00181785" w:rsidP="006F37EE" w:rsidRDefault="00181785" w14:paraId="56355A7D" w14:textId="77777777">
      <w:pPr>
        <w:pStyle w:val="BodyText"/>
        <w:rPr>
          <w:rFonts w:ascii="Palatino Linotype" w:hAnsi="Palatino Linotype" w:cs="Arial"/>
          <w:i w:val="0"/>
          <w:sz w:val="26"/>
          <w:szCs w:val="26"/>
        </w:rPr>
      </w:pPr>
    </w:p>
    <w:p w:rsidRPr="00827CD4" w:rsidR="00181785" w:rsidP="00181785" w:rsidRDefault="00181785" w14:paraId="5FC6AB20" w14:textId="25BF54AB">
      <w:pPr>
        <w:rPr>
          <w:rFonts w:ascii="Palatino Linotype" w:hAnsi="Palatino Linotype"/>
          <w:b/>
          <w:bCs/>
          <w:szCs w:val="26"/>
        </w:rPr>
      </w:pPr>
      <w:bookmarkStart w:name="_Hlk14699440" w:id="3"/>
      <w:r w:rsidRPr="00827CD4">
        <w:rPr>
          <w:rFonts w:ascii="Palatino Linotype" w:hAnsi="Palatino Linotype"/>
          <w:b/>
          <w:bCs/>
          <w:szCs w:val="26"/>
        </w:rPr>
        <w:t>The Disposition</w:t>
      </w:r>
      <w:r w:rsidRPr="00827CD4" w:rsidR="007742E1">
        <w:rPr>
          <w:rFonts w:ascii="Palatino Linotype" w:hAnsi="Palatino Linotype"/>
          <w:b/>
          <w:bCs/>
          <w:szCs w:val="26"/>
        </w:rPr>
        <w:t xml:space="preserve"> Letter</w:t>
      </w:r>
      <w:r w:rsidRPr="00827CD4">
        <w:rPr>
          <w:rFonts w:ascii="Palatino Linotype" w:hAnsi="Palatino Linotype"/>
          <w:b/>
          <w:bCs/>
          <w:szCs w:val="26"/>
        </w:rPr>
        <w:t xml:space="preserve"> Correctly Applies the New GHG Emissions Standards t</w:t>
      </w:r>
      <w:r w:rsidRPr="00827CD4" w:rsidR="007742E1">
        <w:rPr>
          <w:rFonts w:ascii="Palatino Linotype" w:hAnsi="Palatino Linotype"/>
          <w:b/>
          <w:bCs/>
          <w:szCs w:val="26"/>
        </w:rPr>
        <w:t xml:space="preserve">o Existing </w:t>
      </w:r>
      <w:r w:rsidRPr="00827CD4">
        <w:rPr>
          <w:rFonts w:ascii="Palatino Linotype" w:hAnsi="Palatino Linotype"/>
          <w:b/>
          <w:bCs/>
          <w:szCs w:val="26"/>
        </w:rPr>
        <w:t>as Well a</w:t>
      </w:r>
      <w:r w:rsidRPr="00827CD4" w:rsidR="007D3B6A">
        <w:rPr>
          <w:rFonts w:ascii="Palatino Linotype" w:hAnsi="Palatino Linotype"/>
          <w:b/>
          <w:bCs/>
          <w:szCs w:val="26"/>
        </w:rPr>
        <w:t>s Newly Installed</w:t>
      </w:r>
      <w:r w:rsidRPr="00827CD4" w:rsidR="007742E1">
        <w:rPr>
          <w:rFonts w:ascii="Palatino Linotype" w:hAnsi="Palatino Linotype"/>
          <w:b/>
          <w:bCs/>
          <w:szCs w:val="26"/>
        </w:rPr>
        <w:t xml:space="preserve"> </w:t>
      </w:r>
      <w:r w:rsidRPr="00827CD4">
        <w:rPr>
          <w:rFonts w:ascii="Palatino Linotype" w:hAnsi="Palatino Linotype"/>
          <w:b/>
          <w:bCs/>
          <w:szCs w:val="26"/>
        </w:rPr>
        <w:t xml:space="preserve">Fuel Cells </w:t>
      </w:r>
    </w:p>
    <w:p w:rsidRPr="00827CD4" w:rsidR="00181785" w:rsidP="00181785" w:rsidRDefault="00181785" w14:paraId="58AE742A" w14:textId="77777777">
      <w:pPr>
        <w:rPr>
          <w:rFonts w:ascii="Palatino Linotype" w:hAnsi="Palatino Linotype"/>
          <w:szCs w:val="26"/>
        </w:rPr>
      </w:pPr>
    </w:p>
    <w:p w:rsidRPr="00827CD4" w:rsidR="00181785" w:rsidP="00181785" w:rsidRDefault="00181785" w14:paraId="639FDEB0" w14:textId="3EF19AD8">
      <w:pPr>
        <w:rPr>
          <w:rFonts w:ascii="Palatino Linotype" w:hAnsi="Palatino Linotype"/>
          <w:szCs w:val="26"/>
        </w:rPr>
      </w:pPr>
      <w:r w:rsidRPr="00827CD4">
        <w:rPr>
          <w:rFonts w:ascii="Palatino Linotype" w:hAnsi="Palatino Linotype"/>
          <w:szCs w:val="26"/>
        </w:rPr>
        <w:t>Bloom argues that the Commission’s interpretation</w:t>
      </w:r>
      <w:r w:rsidRPr="00827CD4" w:rsidR="007742E1">
        <w:rPr>
          <w:rFonts w:ascii="Palatino Linotype" w:hAnsi="Palatino Linotype"/>
          <w:szCs w:val="26"/>
        </w:rPr>
        <w:t xml:space="preserve"> of Section 2827.10 as</w:t>
      </w:r>
      <w:r w:rsidRPr="00827CD4">
        <w:rPr>
          <w:rFonts w:ascii="Palatino Linotype" w:hAnsi="Palatino Linotype"/>
          <w:szCs w:val="26"/>
        </w:rPr>
        <w:t xml:space="preserve"> apply</w:t>
      </w:r>
      <w:r w:rsidRPr="00827CD4" w:rsidR="007742E1">
        <w:rPr>
          <w:rFonts w:ascii="Palatino Linotype" w:hAnsi="Palatino Linotype"/>
          <w:szCs w:val="26"/>
        </w:rPr>
        <w:t>ing</w:t>
      </w:r>
      <w:r w:rsidRPr="00827CD4">
        <w:rPr>
          <w:rFonts w:ascii="Palatino Linotype" w:hAnsi="Palatino Linotype"/>
          <w:szCs w:val="26"/>
        </w:rPr>
        <w:t xml:space="preserve"> to existing fuel cells </w:t>
      </w:r>
      <w:r w:rsidRPr="00827CD4" w:rsidR="007D3B6A">
        <w:rPr>
          <w:rFonts w:ascii="Palatino Linotype" w:hAnsi="Palatino Linotype"/>
          <w:szCs w:val="26"/>
        </w:rPr>
        <w:t xml:space="preserve">improperly </w:t>
      </w:r>
      <w:r w:rsidRPr="00827CD4">
        <w:rPr>
          <w:rFonts w:ascii="Palatino Linotype" w:hAnsi="Palatino Linotype"/>
          <w:szCs w:val="26"/>
        </w:rPr>
        <w:t>results in retroac</w:t>
      </w:r>
      <w:r w:rsidRPr="00827CD4" w:rsidR="007D3B6A">
        <w:rPr>
          <w:rFonts w:ascii="Palatino Linotype" w:hAnsi="Palatino Linotype"/>
          <w:szCs w:val="26"/>
        </w:rPr>
        <w:t>tive application of the statute</w:t>
      </w:r>
      <w:r w:rsidRPr="00827CD4">
        <w:rPr>
          <w:rFonts w:ascii="Palatino Linotype" w:hAnsi="Palatino Linotype"/>
          <w:szCs w:val="26"/>
        </w:rPr>
        <w:t xml:space="preserve">. </w:t>
      </w:r>
      <w:bookmarkStart w:name="_Hlk14772506" w:id="4"/>
      <w:r w:rsidRPr="00827CD4" w:rsidR="007D3B6A">
        <w:rPr>
          <w:rFonts w:ascii="Palatino Linotype" w:hAnsi="Palatino Linotype"/>
          <w:szCs w:val="26"/>
        </w:rPr>
        <w:t xml:space="preserve">However, legislation routinely </w:t>
      </w:r>
      <w:r w:rsidRPr="00827CD4">
        <w:rPr>
          <w:rFonts w:ascii="Palatino Linotype" w:hAnsi="Palatino Linotype"/>
          <w:szCs w:val="26"/>
        </w:rPr>
        <w:t>impacts exi</w:t>
      </w:r>
      <w:r w:rsidRPr="00827CD4" w:rsidR="007D3B6A">
        <w:rPr>
          <w:rFonts w:ascii="Palatino Linotype" w:hAnsi="Palatino Linotype"/>
          <w:szCs w:val="26"/>
        </w:rPr>
        <w:t>sting state programs and applies updated</w:t>
      </w:r>
      <w:r w:rsidRPr="00827CD4">
        <w:rPr>
          <w:rFonts w:ascii="Palatino Linotype" w:hAnsi="Palatino Linotype"/>
          <w:szCs w:val="26"/>
        </w:rPr>
        <w:t xml:space="preserve"> standards to industry</w:t>
      </w:r>
      <w:bookmarkEnd w:id="4"/>
      <w:r w:rsidRPr="00827CD4">
        <w:rPr>
          <w:rFonts w:ascii="Palatino Linotype" w:hAnsi="Palatino Linotype"/>
          <w:szCs w:val="26"/>
        </w:rPr>
        <w:t xml:space="preserve">. As the United States Supreme Court has noted, “legislation readjusting rights and burdens is not unlawful solely because it upsets otherwise settled expectations. This is true even though the effect of the legislation is to impose a new duty or liability based on past acts.” </w:t>
      </w:r>
      <w:r w:rsidRPr="00827CD4">
        <w:rPr>
          <w:rFonts w:ascii="Palatino Linotype" w:hAnsi="Palatino Linotype"/>
          <w:i/>
          <w:iCs/>
          <w:szCs w:val="26"/>
        </w:rPr>
        <w:t>Usery v. Turner Elkhorn Mining Co.</w:t>
      </w:r>
      <w:r w:rsidRPr="00827CD4">
        <w:rPr>
          <w:rFonts w:ascii="Palatino Linotype" w:hAnsi="Palatino Linotype"/>
          <w:szCs w:val="26"/>
        </w:rPr>
        <w:t>, 428 U.S. 1, 16 (1976) (citations omitted).</w:t>
      </w:r>
    </w:p>
    <w:p w:rsidRPr="00827CD4" w:rsidR="00181785" w:rsidP="00181785" w:rsidRDefault="00181785" w14:paraId="37AB5649" w14:textId="77777777">
      <w:pPr>
        <w:rPr>
          <w:rFonts w:ascii="Palatino Linotype" w:hAnsi="Palatino Linotype"/>
          <w:szCs w:val="26"/>
        </w:rPr>
      </w:pPr>
    </w:p>
    <w:p w:rsidRPr="00827CD4" w:rsidR="00181785" w:rsidP="00181785" w:rsidRDefault="00181785" w14:paraId="072EEDA4" w14:textId="014C86EC">
      <w:pPr>
        <w:rPr>
          <w:rFonts w:ascii="Palatino Linotype" w:hAnsi="Palatino Linotype"/>
          <w:szCs w:val="26"/>
        </w:rPr>
      </w:pPr>
      <w:r w:rsidRPr="00827CD4">
        <w:rPr>
          <w:rFonts w:ascii="Palatino Linotype" w:hAnsi="Palatino Linotype"/>
          <w:szCs w:val="26"/>
        </w:rPr>
        <w:t xml:space="preserve">Nevertheless, the basic rule in California is that “a statute may be applied retroactively only if it contains express language of retroactivity or if other sources provide a clear and unavoidable implication that the Legislature intended retroactive application.” </w:t>
      </w:r>
      <w:r w:rsidRPr="00827CD4" w:rsidR="001470D8">
        <w:rPr>
          <w:rFonts w:ascii="Palatino Linotype" w:hAnsi="Palatino Linotype"/>
          <w:i/>
          <w:iCs/>
          <w:szCs w:val="26"/>
        </w:rPr>
        <w:t>Myers v. Phillip Morris Co</w:t>
      </w:r>
      <w:r w:rsidRPr="00827CD4">
        <w:rPr>
          <w:rFonts w:ascii="Palatino Linotype" w:hAnsi="Palatino Linotype"/>
          <w:i/>
          <w:iCs/>
          <w:szCs w:val="26"/>
        </w:rPr>
        <w:t>s</w:t>
      </w:r>
      <w:r w:rsidRPr="00827CD4" w:rsidR="001470D8">
        <w:rPr>
          <w:rFonts w:ascii="Palatino Linotype" w:hAnsi="Palatino Linotype"/>
          <w:i/>
          <w:iCs/>
          <w:szCs w:val="26"/>
        </w:rPr>
        <w:t>.</w:t>
      </w:r>
      <w:r w:rsidRPr="00827CD4">
        <w:rPr>
          <w:rFonts w:ascii="Palatino Linotype" w:hAnsi="Palatino Linotype"/>
          <w:i/>
          <w:iCs/>
          <w:szCs w:val="26"/>
        </w:rPr>
        <w:t>, Inc.</w:t>
      </w:r>
      <w:r w:rsidRPr="00827CD4">
        <w:rPr>
          <w:rFonts w:ascii="Palatino Linotype" w:hAnsi="Palatino Linotype"/>
          <w:szCs w:val="26"/>
        </w:rPr>
        <w:t>,</w:t>
      </w:r>
      <w:r w:rsidRPr="00827CD4">
        <w:rPr>
          <w:rFonts w:ascii="Palatino Linotype" w:hAnsi="Palatino Linotype"/>
          <w:i/>
          <w:iCs/>
          <w:szCs w:val="26"/>
        </w:rPr>
        <w:t xml:space="preserve"> </w:t>
      </w:r>
      <w:r w:rsidRPr="00827CD4">
        <w:rPr>
          <w:rFonts w:ascii="Palatino Linotype" w:hAnsi="Palatino Linotype"/>
          <w:szCs w:val="26"/>
        </w:rPr>
        <w:t xml:space="preserve">28 Cal. 4th 828, 844 (2001). The U.S. Supreme Court has found that the approach to determine if retroactive application is appropriate is to “weigh the merits and demerits in each case by looking to the prior history of the rule in question, its </w:t>
      </w:r>
      <w:r w:rsidRPr="00827CD4">
        <w:rPr>
          <w:rFonts w:ascii="Palatino Linotype" w:hAnsi="Palatino Linotype"/>
          <w:szCs w:val="26"/>
        </w:rPr>
        <w:lastRenderedPageBreak/>
        <w:t xml:space="preserve">purpose and effect, and whether retrospective operation will further or [slow] its operation.” </w:t>
      </w:r>
      <w:r w:rsidRPr="00827CD4">
        <w:rPr>
          <w:rFonts w:ascii="Palatino Linotype" w:hAnsi="Palatino Linotype"/>
          <w:i/>
          <w:iCs/>
          <w:szCs w:val="26"/>
        </w:rPr>
        <w:t>Linkletter v. Walker</w:t>
      </w:r>
      <w:r w:rsidRPr="00827CD4">
        <w:rPr>
          <w:rFonts w:ascii="Palatino Linotype" w:hAnsi="Palatino Linotype"/>
          <w:szCs w:val="26"/>
        </w:rPr>
        <w:t xml:space="preserve">, 381 U.S. 618, 629 (1965). </w:t>
      </w:r>
    </w:p>
    <w:p w:rsidRPr="00827CD4" w:rsidR="00181785" w:rsidP="00181785" w:rsidRDefault="00181785" w14:paraId="57583342" w14:textId="77777777">
      <w:pPr>
        <w:rPr>
          <w:rFonts w:ascii="Palatino Linotype" w:hAnsi="Palatino Linotype"/>
          <w:szCs w:val="26"/>
        </w:rPr>
      </w:pPr>
    </w:p>
    <w:p w:rsidRPr="00827CD4" w:rsidR="0014030E" w:rsidP="00181785" w:rsidRDefault="00181785" w14:paraId="2BCCCF00" w14:textId="50BB81C0">
      <w:pPr>
        <w:rPr>
          <w:rFonts w:ascii="Palatino Linotype" w:hAnsi="Palatino Linotype"/>
          <w:szCs w:val="26"/>
        </w:rPr>
      </w:pPr>
      <w:r w:rsidRPr="00827CD4">
        <w:rPr>
          <w:rFonts w:ascii="Palatino Linotype" w:hAnsi="Palatino Linotype"/>
          <w:szCs w:val="26"/>
        </w:rPr>
        <w:t xml:space="preserve">The plain language of Section 2827.10 </w:t>
      </w:r>
      <w:r w:rsidRPr="00827CD4" w:rsidR="00FC49AA">
        <w:rPr>
          <w:rFonts w:ascii="Palatino Linotype" w:hAnsi="Palatino Linotype"/>
          <w:szCs w:val="26"/>
        </w:rPr>
        <w:t>does not</w:t>
      </w:r>
      <w:r w:rsidRPr="00827CD4">
        <w:rPr>
          <w:rFonts w:ascii="Palatino Linotype" w:hAnsi="Palatino Linotype"/>
          <w:szCs w:val="26"/>
        </w:rPr>
        <w:t xml:space="preserve"> differentia</w:t>
      </w:r>
      <w:r w:rsidRPr="00827CD4" w:rsidR="00FC49AA">
        <w:rPr>
          <w:rFonts w:ascii="Palatino Linotype" w:hAnsi="Palatino Linotype"/>
          <w:szCs w:val="26"/>
        </w:rPr>
        <w:t>te</w:t>
      </w:r>
      <w:r w:rsidRPr="00827CD4" w:rsidR="007D3B6A">
        <w:rPr>
          <w:rFonts w:ascii="Palatino Linotype" w:hAnsi="Palatino Linotype"/>
          <w:szCs w:val="26"/>
        </w:rPr>
        <w:t xml:space="preserve"> between existing and newly</w:t>
      </w:r>
      <w:r w:rsidRPr="00827CD4">
        <w:rPr>
          <w:rFonts w:ascii="Palatino Linotype" w:hAnsi="Palatino Linotype"/>
          <w:szCs w:val="26"/>
        </w:rPr>
        <w:t xml:space="preserve"> installed fuel cells</w:t>
      </w:r>
      <w:r w:rsidRPr="00827CD4" w:rsidR="0014030E">
        <w:rPr>
          <w:rFonts w:ascii="Palatino Linotype" w:hAnsi="Palatino Linotype"/>
          <w:szCs w:val="26"/>
        </w:rPr>
        <w:t>, and it does not provide different requirements for newly installed and existing fuel cells</w:t>
      </w:r>
      <w:r w:rsidRPr="00827CD4">
        <w:rPr>
          <w:rFonts w:ascii="Palatino Linotype" w:hAnsi="Palatino Linotype"/>
          <w:szCs w:val="26"/>
        </w:rPr>
        <w:t>. I</w:t>
      </w:r>
      <w:r w:rsidRPr="00827CD4" w:rsidR="0014030E">
        <w:rPr>
          <w:rFonts w:ascii="Palatino Linotype" w:hAnsi="Palatino Linotype"/>
          <w:szCs w:val="26"/>
        </w:rPr>
        <w:t>nstead, the statute requires</w:t>
      </w:r>
      <w:r w:rsidRPr="00827CD4">
        <w:rPr>
          <w:rFonts w:ascii="Palatino Linotype" w:hAnsi="Palatino Linotype"/>
          <w:szCs w:val="26"/>
        </w:rPr>
        <w:t xml:space="preserve"> </w:t>
      </w:r>
      <w:r w:rsidR="00827CD4">
        <w:rPr>
          <w:rFonts w:ascii="Palatino Linotype" w:hAnsi="Palatino Linotype"/>
          <w:szCs w:val="26"/>
        </w:rPr>
        <w:t xml:space="preserve">an </w:t>
      </w:r>
      <w:r w:rsidRPr="00827CD4">
        <w:rPr>
          <w:rFonts w:ascii="Palatino Linotype" w:hAnsi="Palatino Linotype"/>
          <w:szCs w:val="26"/>
        </w:rPr>
        <w:t>“[e]ligible f</w:t>
      </w:r>
      <w:r w:rsidRPr="00827CD4" w:rsidR="0014030E">
        <w:rPr>
          <w:rFonts w:ascii="Palatino Linotype" w:hAnsi="Palatino Linotype"/>
          <w:szCs w:val="26"/>
        </w:rPr>
        <w:t>uel cell customer-generator” to meet</w:t>
      </w:r>
      <w:r w:rsidRPr="00827CD4">
        <w:rPr>
          <w:rFonts w:ascii="Palatino Linotype" w:hAnsi="Palatino Linotype"/>
          <w:szCs w:val="26"/>
        </w:rPr>
        <w:t xml:space="preserve"> </w:t>
      </w:r>
      <w:r w:rsidRPr="00827CD4" w:rsidR="00FC49AA">
        <w:rPr>
          <w:rFonts w:ascii="Palatino Linotype" w:hAnsi="Palatino Linotype"/>
          <w:szCs w:val="26"/>
        </w:rPr>
        <w:t xml:space="preserve">only </w:t>
      </w:r>
      <w:r w:rsidRPr="00827CD4">
        <w:rPr>
          <w:rFonts w:ascii="Palatino Linotype" w:hAnsi="Palatino Linotype"/>
          <w:szCs w:val="26"/>
        </w:rPr>
        <w:t>one set of requirement</w:t>
      </w:r>
      <w:r w:rsidRPr="00827CD4" w:rsidR="00FC49AA">
        <w:rPr>
          <w:rFonts w:ascii="Palatino Linotype" w:hAnsi="Palatino Linotype"/>
          <w:szCs w:val="26"/>
        </w:rPr>
        <w:t xml:space="preserve">s. </w:t>
      </w:r>
    </w:p>
    <w:p w:rsidRPr="00827CD4" w:rsidR="00181785" w:rsidP="00181785" w:rsidRDefault="00181785" w14:paraId="13C81C0E" w14:textId="77777777">
      <w:pPr>
        <w:rPr>
          <w:rFonts w:ascii="Palatino Linotype" w:hAnsi="Palatino Linotype"/>
          <w:szCs w:val="26"/>
        </w:rPr>
      </w:pPr>
    </w:p>
    <w:p w:rsidR="00181785" w:rsidP="00181785" w:rsidRDefault="00181785" w14:paraId="1E33B0E5" w14:textId="0EC8921C">
      <w:pPr>
        <w:rPr>
          <w:rFonts w:ascii="Palatino Linotype" w:hAnsi="Palatino Linotype"/>
          <w:szCs w:val="26"/>
        </w:rPr>
      </w:pPr>
      <w:r w:rsidRPr="00827CD4">
        <w:rPr>
          <w:rFonts w:ascii="Palatino Linotype" w:hAnsi="Palatino Linotype"/>
          <w:szCs w:val="26"/>
        </w:rPr>
        <w:t>Various other subsections support interpret</w:t>
      </w:r>
      <w:r w:rsidR="00827CD4">
        <w:rPr>
          <w:rFonts w:ascii="Palatino Linotype" w:hAnsi="Palatino Linotype"/>
          <w:szCs w:val="26"/>
        </w:rPr>
        <w:t>ing</w:t>
      </w:r>
      <w:r w:rsidRPr="00827CD4">
        <w:rPr>
          <w:rFonts w:ascii="Palatino Linotype" w:hAnsi="Palatino Linotype"/>
          <w:szCs w:val="26"/>
        </w:rPr>
        <w:t xml:space="preserve"> </w:t>
      </w:r>
      <w:r w:rsidR="00827CD4">
        <w:rPr>
          <w:rFonts w:ascii="Palatino Linotype" w:hAnsi="Palatino Linotype"/>
          <w:szCs w:val="26"/>
        </w:rPr>
        <w:t>S</w:t>
      </w:r>
      <w:r w:rsidRPr="00827CD4">
        <w:rPr>
          <w:rFonts w:ascii="Palatino Linotype" w:hAnsi="Palatino Linotype"/>
          <w:szCs w:val="26"/>
        </w:rPr>
        <w:t xml:space="preserve">ection 2827.10 </w:t>
      </w:r>
      <w:r w:rsidR="00827CD4">
        <w:rPr>
          <w:rFonts w:ascii="Palatino Linotype" w:hAnsi="Palatino Linotype"/>
          <w:szCs w:val="26"/>
        </w:rPr>
        <w:t xml:space="preserve">to </w:t>
      </w:r>
      <w:r w:rsidRPr="00827CD4">
        <w:rPr>
          <w:rFonts w:ascii="Palatino Linotype" w:hAnsi="Palatino Linotype"/>
          <w:szCs w:val="26"/>
        </w:rPr>
        <w:t>appl</w:t>
      </w:r>
      <w:r w:rsidR="00827CD4">
        <w:rPr>
          <w:rFonts w:ascii="Palatino Linotype" w:hAnsi="Palatino Linotype"/>
          <w:szCs w:val="26"/>
        </w:rPr>
        <w:t>y</w:t>
      </w:r>
      <w:r w:rsidRPr="00827CD4">
        <w:rPr>
          <w:rFonts w:ascii="Palatino Linotype" w:hAnsi="Palatino Linotype"/>
          <w:szCs w:val="26"/>
        </w:rPr>
        <w:t xml:space="preserve"> to all fuel cells. Section 2827.10(c)(1) provides that “[e]very electrical corporation . . . shall file with the commission a standard tariff providing for net energy metering for eligible fuel cell customer-generators . . . [and] every electrical corporation shall make this tariff available to eligible fuel cell customer</w:t>
      </w:r>
      <w:r w:rsidRPr="00827CD4" w:rsidR="0014030E">
        <w:rPr>
          <w:rFonts w:ascii="Palatino Linotype" w:hAnsi="Palatino Linotype"/>
          <w:szCs w:val="26"/>
        </w:rPr>
        <w:t>-generators . . . ” This</w:t>
      </w:r>
      <w:r w:rsidRPr="00827CD4">
        <w:rPr>
          <w:rFonts w:ascii="Palatino Linotype" w:hAnsi="Palatino Linotype"/>
          <w:szCs w:val="26"/>
        </w:rPr>
        <w:t xml:space="preserve"> language does not provide that eligible fuel cells only include </w:t>
      </w:r>
      <w:r w:rsidRPr="00827CD4" w:rsidR="0014030E">
        <w:rPr>
          <w:rFonts w:ascii="Palatino Linotype" w:hAnsi="Palatino Linotype"/>
          <w:szCs w:val="26"/>
        </w:rPr>
        <w:t>either existing</w:t>
      </w:r>
      <w:r w:rsidRPr="00827CD4" w:rsidR="007D3B6A">
        <w:rPr>
          <w:rFonts w:ascii="Palatino Linotype" w:hAnsi="Palatino Linotype"/>
          <w:szCs w:val="26"/>
        </w:rPr>
        <w:t xml:space="preserve"> or newly</w:t>
      </w:r>
      <w:r w:rsidRPr="00827CD4" w:rsidR="0014030E">
        <w:rPr>
          <w:rFonts w:ascii="Palatino Linotype" w:hAnsi="Palatino Linotype"/>
          <w:szCs w:val="26"/>
        </w:rPr>
        <w:t xml:space="preserve"> installed</w:t>
      </w:r>
      <w:r w:rsidRPr="00827CD4">
        <w:rPr>
          <w:rFonts w:ascii="Palatino Linotype" w:hAnsi="Palatino Linotype"/>
          <w:szCs w:val="26"/>
        </w:rPr>
        <w:t xml:space="preserve"> fuel cells. Additionally, </w:t>
      </w:r>
      <w:r w:rsidR="00827CD4">
        <w:rPr>
          <w:rFonts w:ascii="Palatino Linotype" w:hAnsi="Palatino Linotype"/>
          <w:szCs w:val="26"/>
        </w:rPr>
        <w:t>S</w:t>
      </w:r>
      <w:r w:rsidRPr="00827CD4" w:rsidR="00827CD4">
        <w:rPr>
          <w:rFonts w:ascii="Palatino Linotype" w:hAnsi="Palatino Linotype"/>
          <w:szCs w:val="26"/>
        </w:rPr>
        <w:t>ection 2827.10</w:t>
      </w:r>
      <w:r w:rsidR="00827CD4">
        <w:rPr>
          <w:rFonts w:ascii="Palatino Linotype" w:hAnsi="Palatino Linotype"/>
          <w:szCs w:val="26"/>
        </w:rPr>
        <w:t>(</w:t>
      </w:r>
      <w:r w:rsidRPr="00827CD4">
        <w:rPr>
          <w:rFonts w:ascii="Palatino Linotype" w:hAnsi="Palatino Linotype"/>
          <w:szCs w:val="26"/>
        </w:rPr>
        <w:t xml:space="preserve">g), as modified by AB 1637, provides that “[a] fuel cell electrical generating facility shall not be eligible for the tariff unless it commences operation on or before December 31, 2021 </w:t>
      </w:r>
      <w:r w:rsidRPr="00827CD4" w:rsidR="008C039B">
        <w:rPr>
          <w:rFonts w:ascii="Palatino Linotype" w:hAnsi="Palatino Linotype"/>
          <w:szCs w:val="26"/>
        </w:rPr>
        <w:t>. . .”</w:t>
      </w:r>
      <w:r w:rsidRPr="00827CD4">
        <w:rPr>
          <w:rFonts w:ascii="Palatino Linotype" w:hAnsi="Palatino Linotype"/>
          <w:szCs w:val="26"/>
        </w:rPr>
        <w:t xml:space="preserve"> The plain language in this subsection does not establish a cut-off start date. If the Legislature had intended to establish two sepa</w:t>
      </w:r>
      <w:r w:rsidRPr="00827CD4" w:rsidR="0014030E">
        <w:rPr>
          <w:rFonts w:ascii="Palatino Linotype" w:hAnsi="Palatino Linotype"/>
          <w:szCs w:val="26"/>
        </w:rPr>
        <w:t>rate standards based on the date</w:t>
      </w:r>
      <w:r w:rsidRPr="00827CD4">
        <w:rPr>
          <w:rFonts w:ascii="Palatino Linotype" w:hAnsi="Palatino Linotype"/>
          <w:szCs w:val="26"/>
        </w:rPr>
        <w:t xml:space="preserve"> a fuel cell </w:t>
      </w:r>
      <w:r w:rsidRPr="00827CD4" w:rsidR="0014030E">
        <w:rPr>
          <w:rFonts w:ascii="Palatino Linotype" w:hAnsi="Palatino Linotype"/>
          <w:szCs w:val="26"/>
        </w:rPr>
        <w:t>commenced operation</w:t>
      </w:r>
      <w:r w:rsidRPr="00827CD4">
        <w:rPr>
          <w:rFonts w:ascii="Palatino Linotype" w:hAnsi="Palatino Linotype"/>
          <w:szCs w:val="26"/>
        </w:rPr>
        <w:t>, this</w:t>
      </w:r>
      <w:r w:rsidRPr="00827CD4" w:rsidR="0014030E">
        <w:rPr>
          <w:rFonts w:ascii="Palatino Linotype" w:hAnsi="Palatino Linotype"/>
          <w:szCs w:val="26"/>
        </w:rPr>
        <w:t xml:space="preserve"> section of the statute should have made a distinction between existing and newly installed fuel cells. However, the Legislature did not make any such distinction</w:t>
      </w:r>
      <w:r w:rsidRPr="00827CD4">
        <w:rPr>
          <w:rFonts w:ascii="Palatino Linotype" w:hAnsi="Palatino Linotype"/>
          <w:szCs w:val="26"/>
        </w:rPr>
        <w:t>.</w:t>
      </w:r>
    </w:p>
    <w:p w:rsidR="00C47C30" w:rsidP="00181785" w:rsidRDefault="00C47C30" w14:paraId="1ACE9F90" w14:textId="03CC05B2">
      <w:pPr>
        <w:rPr>
          <w:rFonts w:ascii="Palatino Linotype" w:hAnsi="Palatino Linotype"/>
          <w:szCs w:val="26"/>
        </w:rPr>
      </w:pPr>
    </w:p>
    <w:p w:rsidRPr="00827CD4" w:rsidR="00C47C30" w:rsidP="00181785" w:rsidRDefault="00C47C30" w14:paraId="450341D9" w14:textId="7738B5FC">
      <w:pPr>
        <w:rPr>
          <w:rFonts w:ascii="Palatino Linotype" w:hAnsi="Palatino Linotype"/>
          <w:szCs w:val="26"/>
        </w:rPr>
      </w:pPr>
      <w:r>
        <w:rPr>
          <w:rFonts w:ascii="Palatino Linotype" w:hAnsi="Palatino Linotype"/>
          <w:szCs w:val="26"/>
        </w:rPr>
        <w:t>AB 1637 additionally did not create a new and distinct NEMFC tariff for newly installed fuels cells. Instead, it modified the existing NEMFC tariff to apply to all fuel cells that commence operation on or before December 31, 2021.</w:t>
      </w:r>
    </w:p>
    <w:p w:rsidRPr="00827CD4" w:rsidR="00181785" w:rsidP="00181785" w:rsidRDefault="00181785" w14:paraId="4B3576BE" w14:textId="77777777">
      <w:pPr>
        <w:rPr>
          <w:rFonts w:ascii="Palatino Linotype" w:hAnsi="Palatino Linotype"/>
          <w:szCs w:val="26"/>
        </w:rPr>
      </w:pPr>
    </w:p>
    <w:p w:rsidRPr="00827CD4" w:rsidR="00181785" w:rsidP="00181785" w:rsidRDefault="00743201" w14:paraId="40160800" w14:textId="7D4FCC90">
      <w:pPr>
        <w:rPr>
          <w:rFonts w:ascii="Palatino Linotype" w:hAnsi="Palatino Linotype"/>
          <w:szCs w:val="26"/>
        </w:rPr>
      </w:pPr>
      <w:r w:rsidRPr="00827CD4">
        <w:rPr>
          <w:rFonts w:ascii="Palatino Linotype" w:hAnsi="Palatino Linotype"/>
          <w:szCs w:val="26"/>
        </w:rPr>
        <w:t>Further</w:t>
      </w:r>
      <w:r w:rsidRPr="00827CD4" w:rsidR="00181785">
        <w:rPr>
          <w:rFonts w:ascii="Palatino Linotype" w:hAnsi="Palatino Linotype"/>
          <w:szCs w:val="26"/>
        </w:rPr>
        <w:t xml:space="preserve">, </w:t>
      </w:r>
      <w:r w:rsidRPr="00827CD4" w:rsidR="0014030E">
        <w:rPr>
          <w:rFonts w:ascii="Palatino Linotype" w:hAnsi="Palatino Linotype"/>
          <w:szCs w:val="26"/>
        </w:rPr>
        <w:t xml:space="preserve">Bloom </w:t>
      </w:r>
      <w:r w:rsidRPr="00827CD4" w:rsidR="00181785">
        <w:rPr>
          <w:rFonts w:ascii="Palatino Linotype" w:hAnsi="Palatino Linotype"/>
          <w:szCs w:val="26"/>
        </w:rPr>
        <w:t xml:space="preserve">asserts that </w:t>
      </w:r>
      <w:r w:rsidRPr="00827CD4" w:rsidR="0014030E">
        <w:rPr>
          <w:rFonts w:ascii="Palatino Linotype" w:hAnsi="Palatino Linotype"/>
          <w:szCs w:val="26"/>
        </w:rPr>
        <w:t>the statute</w:t>
      </w:r>
      <w:r w:rsidRPr="00827CD4" w:rsidR="00181785">
        <w:rPr>
          <w:rFonts w:ascii="Palatino Linotype" w:hAnsi="Palatino Linotype"/>
          <w:szCs w:val="26"/>
        </w:rPr>
        <w:t xml:space="preserve"> led previously eligible fuel cell customer generators to reasonably expect that they would remain eligible for their lifespan. This interpretation is contradicted by the August 31, 2016 Assembly Floor Analysis of AB 1637, which states that “[f]uel cells must continue to meet the applicable annual standard during operation to maintain eligibility for NEMFC.”</w:t>
      </w:r>
      <w:r w:rsidR="00827CD4">
        <w:rPr>
          <w:rFonts w:ascii="Palatino Linotype" w:hAnsi="Palatino Linotype"/>
          <w:szCs w:val="26"/>
        </w:rPr>
        <w:t xml:space="preserve"> </w:t>
      </w:r>
    </w:p>
    <w:p w:rsidRPr="00827CD4" w:rsidR="00743201" w:rsidP="00181785" w:rsidRDefault="00743201" w14:paraId="62AB19A2" w14:textId="77777777">
      <w:pPr>
        <w:rPr>
          <w:rFonts w:ascii="Palatino Linotype" w:hAnsi="Palatino Linotype"/>
          <w:szCs w:val="26"/>
        </w:rPr>
      </w:pPr>
    </w:p>
    <w:p w:rsidRPr="00827CD4" w:rsidR="00181785" w:rsidP="00181785" w:rsidRDefault="00743201" w14:paraId="2A51E183" w14:textId="5D063B56">
      <w:pPr>
        <w:rPr>
          <w:rFonts w:ascii="Palatino Linotype" w:hAnsi="Palatino Linotype"/>
          <w:szCs w:val="26"/>
        </w:rPr>
      </w:pPr>
      <w:r w:rsidRPr="00827CD4">
        <w:rPr>
          <w:rFonts w:ascii="Palatino Linotype" w:hAnsi="Palatino Linotype"/>
          <w:szCs w:val="26"/>
        </w:rPr>
        <w:t xml:space="preserve">Finally, section 2827.10(a)(3)(A)(iii) requires that “eligible fuel cell customer-generators” use “technology the commission has determined will achieve </w:t>
      </w:r>
      <w:r w:rsidRPr="00827CD4">
        <w:rPr>
          <w:rFonts w:ascii="Palatino Linotype" w:hAnsi="Palatino Linotype"/>
          <w:szCs w:val="26"/>
        </w:rPr>
        <w:lastRenderedPageBreak/>
        <w:t>reductions in emissions of greenhouse gases” pursuant to “a schedule of annual greenhouse gas emissions reduction standards for a fuel cell electrical generation resource” to be developed by ARB. Section 2827.10(b) requires ARB to “establish a schedule of annual greenhouse gas emissions reduction standards for a fuel cell electrical g</w:t>
      </w:r>
      <w:r w:rsidRPr="00827CD4" w:rsidR="0014030E">
        <w:rPr>
          <w:rFonts w:ascii="Palatino Linotype" w:hAnsi="Palatino Linotype"/>
          <w:szCs w:val="26"/>
        </w:rPr>
        <w:t>eneration resource.” Notably, the</w:t>
      </w:r>
      <w:r w:rsidRPr="00827CD4">
        <w:rPr>
          <w:rFonts w:ascii="Palatino Linotype" w:hAnsi="Palatino Linotype"/>
          <w:szCs w:val="26"/>
        </w:rPr>
        <w:t xml:space="preserve"> statute does not differentiate between existing and newly installed fuels cells. Instead, it requires ARB to establish one schedule of annual GHG emissions reduction standards.</w:t>
      </w:r>
    </w:p>
    <w:p w:rsidRPr="00827CD4" w:rsidR="00743201" w:rsidP="00181785" w:rsidRDefault="00743201" w14:paraId="10A5C701" w14:textId="77777777">
      <w:pPr>
        <w:rPr>
          <w:rFonts w:ascii="Palatino Linotype" w:hAnsi="Palatino Linotype"/>
          <w:szCs w:val="26"/>
          <w:u w:val="single"/>
        </w:rPr>
      </w:pPr>
    </w:p>
    <w:p w:rsidRPr="00827CD4" w:rsidR="00181785" w:rsidP="00181785" w:rsidRDefault="00181785" w14:paraId="283DB46E" w14:textId="7F07DF9F">
      <w:pPr>
        <w:rPr>
          <w:rFonts w:ascii="Palatino Linotype" w:hAnsi="Palatino Linotype"/>
          <w:szCs w:val="26"/>
        </w:rPr>
      </w:pPr>
      <w:r w:rsidRPr="00827CD4">
        <w:rPr>
          <w:rFonts w:ascii="Palatino Linotype" w:hAnsi="Palatino Linotype"/>
          <w:szCs w:val="26"/>
        </w:rPr>
        <w:t>In sum, the plain language in Section 2827.10, as amended by AB 1637, indicates a leg</w:t>
      </w:r>
      <w:r w:rsidRPr="00827CD4" w:rsidR="0014030E">
        <w:rPr>
          <w:rFonts w:ascii="Palatino Linotype" w:hAnsi="Palatino Linotype"/>
          <w:szCs w:val="26"/>
        </w:rPr>
        <w:t>islative intent to apply ARB’s GHG</w:t>
      </w:r>
      <w:r w:rsidRPr="00827CD4">
        <w:rPr>
          <w:rFonts w:ascii="Palatino Linotype" w:hAnsi="Palatino Linotype"/>
          <w:szCs w:val="26"/>
        </w:rPr>
        <w:t xml:space="preserve"> standards to existing and new</w:t>
      </w:r>
      <w:r w:rsidRPr="00827CD4" w:rsidR="0014030E">
        <w:rPr>
          <w:rFonts w:ascii="Palatino Linotype" w:hAnsi="Palatino Linotype"/>
          <w:szCs w:val="26"/>
        </w:rPr>
        <w:t>ly installed</w:t>
      </w:r>
      <w:r w:rsidRPr="00827CD4">
        <w:rPr>
          <w:rFonts w:ascii="Palatino Linotype" w:hAnsi="Palatino Linotype"/>
          <w:szCs w:val="26"/>
        </w:rPr>
        <w:t xml:space="preserve"> fuel cells. </w:t>
      </w:r>
      <w:r w:rsidRPr="00827CD4">
        <w:rPr>
          <w:rFonts w:ascii="Palatino Linotype" w:hAnsi="Palatino Linotype"/>
          <w:szCs w:val="26"/>
        </w:rPr>
        <w:tab/>
      </w:r>
    </w:p>
    <w:p w:rsidRPr="00827CD4" w:rsidR="00181785" w:rsidP="00181785" w:rsidRDefault="00181785" w14:paraId="22451CB5" w14:textId="77777777">
      <w:pPr>
        <w:rPr>
          <w:rFonts w:ascii="Palatino Linotype" w:hAnsi="Palatino Linotype"/>
          <w:b/>
          <w:bCs/>
          <w:szCs w:val="26"/>
        </w:rPr>
      </w:pPr>
    </w:p>
    <w:p w:rsidRPr="00827CD4" w:rsidR="00181785" w:rsidP="00181785" w:rsidRDefault="00181785" w14:paraId="623F9DED" w14:textId="45F2F19B">
      <w:pPr>
        <w:rPr>
          <w:rFonts w:ascii="Palatino Linotype" w:hAnsi="Palatino Linotype"/>
          <w:b/>
          <w:bCs/>
          <w:szCs w:val="26"/>
        </w:rPr>
      </w:pPr>
      <w:r w:rsidRPr="00827CD4">
        <w:rPr>
          <w:rFonts w:ascii="Palatino Linotype" w:hAnsi="Palatino Linotype"/>
          <w:b/>
          <w:bCs/>
          <w:szCs w:val="26"/>
        </w:rPr>
        <w:t xml:space="preserve">Even if the Plain Language of the Statute Were Ambiguous, </w:t>
      </w:r>
      <w:r w:rsidRPr="00827CD4" w:rsidR="00743201">
        <w:rPr>
          <w:rFonts w:ascii="Palatino Linotype" w:hAnsi="Palatino Linotype"/>
          <w:b/>
          <w:bCs/>
          <w:szCs w:val="26"/>
        </w:rPr>
        <w:t>Legislative History Support</w:t>
      </w:r>
      <w:r w:rsidRPr="00827CD4" w:rsidR="00DD3C27">
        <w:rPr>
          <w:rFonts w:ascii="Palatino Linotype" w:hAnsi="Palatino Linotype"/>
          <w:b/>
          <w:bCs/>
          <w:szCs w:val="26"/>
        </w:rPr>
        <w:t>s Application of ARB’s</w:t>
      </w:r>
      <w:r w:rsidRPr="00827CD4" w:rsidR="00743201">
        <w:rPr>
          <w:rFonts w:ascii="Palatino Linotype" w:hAnsi="Palatino Linotype"/>
          <w:b/>
          <w:bCs/>
          <w:szCs w:val="26"/>
        </w:rPr>
        <w:t xml:space="preserve"> Standard</w:t>
      </w:r>
      <w:r w:rsidRPr="00827CD4" w:rsidR="00DD3C27">
        <w:rPr>
          <w:rFonts w:ascii="Palatino Linotype" w:hAnsi="Palatino Linotype"/>
          <w:b/>
          <w:bCs/>
          <w:szCs w:val="26"/>
        </w:rPr>
        <w:t>s</w:t>
      </w:r>
      <w:r w:rsidRPr="00827CD4">
        <w:rPr>
          <w:rFonts w:ascii="Palatino Linotype" w:hAnsi="Palatino Linotype"/>
          <w:b/>
          <w:bCs/>
          <w:szCs w:val="26"/>
        </w:rPr>
        <w:t xml:space="preserve"> to Existing Fuel Cells</w:t>
      </w:r>
    </w:p>
    <w:p w:rsidRPr="00827CD4" w:rsidR="00181785" w:rsidP="00181785" w:rsidRDefault="00181785" w14:paraId="506B157C" w14:textId="77777777">
      <w:pPr>
        <w:rPr>
          <w:rFonts w:ascii="Palatino Linotype" w:hAnsi="Palatino Linotype"/>
          <w:szCs w:val="26"/>
        </w:rPr>
      </w:pPr>
    </w:p>
    <w:p w:rsidR="00C47C30" w:rsidP="00181785" w:rsidRDefault="00181785" w14:paraId="08A277B6" w14:textId="77777777">
      <w:pPr>
        <w:rPr>
          <w:rFonts w:ascii="Palatino Linotype" w:hAnsi="Palatino Linotype"/>
          <w:szCs w:val="26"/>
        </w:rPr>
      </w:pPr>
      <w:r w:rsidRPr="00827CD4">
        <w:rPr>
          <w:rFonts w:ascii="Palatino Linotype" w:hAnsi="Palatino Linotype"/>
          <w:szCs w:val="26"/>
        </w:rPr>
        <w:t>The California Supreme Court has said, in regards to interpreting a statute,</w:t>
      </w:r>
      <w:r w:rsidRPr="00827CD4" w:rsidR="00DD3C27">
        <w:rPr>
          <w:rFonts w:ascii="Palatino Linotype" w:hAnsi="Palatino Linotype"/>
          <w:szCs w:val="26"/>
        </w:rPr>
        <w:t xml:space="preserve"> </w:t>
      </w:r>
      <w:r w:rsidRPr="00827CD4">
        <w:rPr>
          <w:rFonts w:ascii="Palatino Linotype" w:hAnsi="Palatino Linotype"/>
          <w:szCs w:val="26"/>
        </w:rPr>
        <w:t xml:space="preserve">that “. . . if the language allows more than one reasonable construction, [courts] may look to such aids as the legislative history of the measure and maxims of statutory construction. In cases of uncertain meaning, we may also consider the consequences of a particular interpretation, including its impact on public policy.” </w:t>
      </w:r>
      <w:r w:rsidRPr="00827CD4">
        <w:rPr>
          <w:rFonts w:ascii="Palatino Linotype" w:hAnsi="Palatino Linotype"/>
          <w:i/>
          <w:iCs/>
          <w:szCs w:val="26"/>
        </w:rPr>
        <w:t>Wells v. One2One Lear</w:t>
      </w:r>
      <w:r w:rsidRPr="00827CD4" w:rsidR="001470D8">
        <w:rPr>
          <w:rFonts w:ascii="Palatino Linotype" w:hAnsi="Palatino Linotype"/>
          <w:i/>
          <w:iCs/>
          <w:szCs w:val="26"/>
        </w:rPr>
        <w:t>ning Found.</w:t>
      </w:r>
      <w:r w:rsidRPr="003130CD">
        <w:rPr>
          <w:rFonts w:ascii="Palatino Linotype" w:hAnsi="Palatino Linotype"/>
          <w:szCs w:val="26"/>
        </w:rPr>
        <w:t>,</w:t>
      </w:r>
      <w:r w:rsidRPr="00827CD4">
        <w:rPr>
          <w:rFonts w:ascii="Palatino Linotype" w:hAnsi="Palatino Linotype"/>
          <w:i/>
          <w:iCs/>
          <w:szCs w:val="26"/>
        </w:rPr>
        <w:t xml:space="preserve"> </w:t>
      </w:r>
      <w:r w:rsidRPr="00827CD4">
        <w:rPr>
          <w:rFonts w:ascii="Palatino Linotype" w:hAnsi="Palatino Linotype"/>
          <w:szCs w:val="26"/>
        </w:rPr>
        <w:t xml:space="preserve">39 Cal. 4th 1164, 1190 (2006). </w:t>
      </w:r>
    </w:p>
    <w:p w:rsidR="00C47C30" w:rsidP="00181785" w:rsidRDefault="00C47C30" w14:paraId="6B261016" w14:textId="77777777">
      <w:pPr>
        <w:rPr>
          <w:rFonts w:ascii="Palatino Linotype" w:hAnsi="Palatino Linotype"/>
          <w:szCs w:val="26"/>
        </w:rPr>
      </w:pPr>
    </w:p>
    <w:p w:rsidRPr="00827CD4" w:rsidR="00181785" w:rsidP="00181785" w:rsidRDefault="00181785" w14:paraId="68AAE881" w14:textId="024306A6">
      <w:pPr>
        <w:rPr>
          <w:rFonts w:ascii="Palatino Linotype" w:hAnsi="Palatino Linotype"/>
          <w:szCs w:val="26"/>
        </w:rPr>
      </w:pPr>
      <w:r w:rsidRPr="00827CD4">
        <w:rPr>
          <w:rFonts w:ascii="Palatino Linotype" w:hAnsi="Palatino Linotype"/>
          <w:szCs w:val="26"/>
        </w:rPr>
        <w:t>The legislative history in this case supports the Commission’s construction.</w:t>
      </w:r>
      <w:r w:rsidR="00C47C30">
        <w:rPr>
          <w:rFonts w:ascii="Palatino Linotype" w:hAnsi="Palatino Linotype"/>
          <w:szCs w:val="26"/>
        </w:rPr>
        <w:t xml:space="preserve"> </w:t>
      </w:r>
      <w:r w:rsidRPr="00827CD4">
        <w:rPr>
          <w:rFonts w:ascii="Palatino Linotype" w:hAnsi="Palatino Linotype"/>
          <w:szCs w:val="26"/>
        </w:rPr>
        <w:t>The August 31, 2016 Assembly F</w:t>
      </w:r>
      <w:r w:rsidRPr="00827CD4" w:rsidR="00195C78">
        <w:rPr>
          <w:rFonts w:ascii="Palatino Linotype" w:hAnsi="Palatino Linotype"/>
          <w:szCs w:val="26"/>
        </w:rPr>
        <w:t>loor Analysis of AB 1637 states</w:t>
      </w:r>
      <w:r w:rsidRPr="00827CD4">
        <w:rPr>
          <w:rFonts w:ascii="Palatino Linotype" w:hAnsi="Palatino Linotype"/>
          <w:szCs w:val="26"/>
        </w:rPr>
        <w:t xml:space="preserve"> “[t]he bill’s new GHG standard applies to existing installed fuel cells, as well as future installed fuel cells, requiring all NEMFC participants to meet annual GHG reduction standards, to be adopted by ARB, to remain eligible for NEMFC</w:t>
      </w:r>
      <w:r w:rsidRPr="00827CD4">
        <w:rPr>
          <w:rFonts w:ascii="Palatino Linotype" w:hAnsi="Palatino Linotype"/>
          <w:i/>
          <w:iCs/>
          <w:szCs w:val="26"/>
        </w:rPr>
        <w:t>.</w:t>
      </w:r>
      <w:r w:rsidRPr="00827CD4">
        <w:rPr>
          <w:rFonts w:ascii="Palatino Linotype" w:hAnsi="Palatino Linotype"/>
          <w:szCs w:val="26"/>
        </w:rPr>
        <w:t>”</w:t>
      </w:r>
      <w:r w:rsidRPr="00827CD4">
        <w:rPr>
          <w:rFonts w:ascii="Palatino Linotype" w:hAnsi="Palatino Linotype"/>
          <w:i/>
          <w:iCs/>
          <w:szCs w:val="26"/>
        </w:rPr>
        <w:t xml:space="preserve"> </w:t>
      </w:r>
      <w:r w:rsidRPr="00827CD4">
        <w:rPr>
          <w:rFonts w:ascii="Palatino Linotype" w:hAnsi="Palatino Linotype"/>
          <w:szCs w:val="26"/>
        </w:rPr>
        <w:t>This language is clear and unmistakably evidence</w:t>
      </w:r>
      <w:r w:rsidRPr="00827CD4" w:rsidR="00DD3C27">
        <w:rPr>
          <w:rFonts w:ascii="Palatino Linotype" w:hAnsi="Palatino Linotype"/>
          <w:szCs w:val="26"/>
        </w:rPr>
        <w:t xml:space="preserve">s </w:t>
      </w:r>
      <w:r w:rsidRPr="00827CD4" w:rsidR="00195C78">
        <w:rPr>
          <w:rFonts w:ascii="Palatino Linotype" w:hAnsi="Palatino Linotype"/>
          <w:szCs w:val="26"/>
        </w:rPr>
        <w:t>legislative intent</w:t>
      </w:r>
      <w:r w:rsidRPr="00827CD4" w:rsidR="00DD3C27">
        <w:rPr>
          <w:rFonts w:ascii="Palatino Linotype" w:hAnsi="Palatino Linotype"/>
          <w:szCs w:val="26"/>
        </w:rPr>
        <w:t xml:space="preserve"> to apply the GHG</w:t>
      </w:r>
      <w:r w:rsidRPr="00827CD4">
        <w:rPr>
          <w:rFonts w:ascii="Palatino Linotype" w:hAnsi="Palatino Linotype"/>
          <w:szCs w:val="26"/>
        </w:rPr>
        <w:t xml:space="preserve"> standard</w:t>
      </w:r>
      <w:r w:rsidRPr="00827CD4" w:rsidR="00DD3C27">
        <w:rPr>
          <w:rFonts w:ascii="Palatino Linotype" w:hAnsi="Palatino Linotype"/>
          <w:szCs w:val="26"/>
        </w:rPr>
        <w:t>s</w:t>
      </w:r>
      <w:r w:rsidRPr="00827CD4">
        <w:rPr>
          <w:rFonts w:ascii="Palatino Linotype" w:hAnsi="Palatino Linotype"/>
          <w:szCs w:val="26"/>
        </w:rPr>
        <w:t xml:space="preserve"> to existing fuel cells.</w:t>
      </w:r>
      <w:r w:rsidRPr="00827CD4" w:rsidR="00195C78">
        <w:rPr>
          <w:rFonts w:ascii="Palatino Linotype" w:hAnsi="Palatino Linotype"/>
          <w:szCs w:val="26"/>
        </w:rPr>
        <w:t xml:space="preserve"> Further, this is a persuasive source of legislative intent as t</w:t>
      </w:r>
      <w:r w:rsidRPr="00827CD4">
        <w:rPr>
          <w:rFonts w:ascii="Palatino Linotype" w:hAnsi="Palatino Linotype"/>
          <w:szCs w:val="26"/>
        </w:rPr>
        <w:t xml:space="preserve">he California Supreme Court has used Assembly Floor Analyses </w:t>
      </w:r>
      <w:r w:rsidRPr="00827CD4" w:rsidR="00195C78">
        <w:rPr>
          <w:rFonts w:ascii="Palatino Linotype" w:hAnsi="Palatino Linotype"/>
          <w:szCs w:val="26"/>
        </w:rPr>
        <w:t>to discern</w:t>
      </w:r>
      <w:r w:rsidRPr="00827CD4">
        <w:rPr>
          <w:rFonts w:ascii="Palatino Linotype" w:hAnsi="Palatino Linotype"/>
          <w:szCs w:val="26"/>
        </w:rPr>
        <w:t xml:space="preserve"> legislative intent. </w:t>
      </w:r>
      <w:r w:rsidRPr="00827CD4">
        <w:rPr>
          <w:rFonts w:ascii="Palatino Linotype" w:hAnsi="Palatino Linotype"/>
          <w:i/>
          <w:iCs/>
          <w:szCs w:val="26"/>
        </w:rPr>
        <w:t>See</w:t>
      </w:r>
      <w:r w:rsidRPr="00827CD4" w:rsidR="00DD3C27">
        <w:rPr>
          <w:rFonts w:ascii="Palatino Linotype" w:hAnsi="Palatino Linotype"/>
          <w:i/>
          <w:iCs/>
          <w:szCs w:val="26"/>
        </w:rPr>
        <w:t>, e.g.</w:t>
      </w:r>
      <w:r w:rsidRPr="00827CD4" w:rsidR="00DD3C27">
        <w:rPr>
          <w:rFonts w:ascii="Palatino Linotype" w:hAnsi="Palatino Linotype"/>
          <w:iCs/>
          <w:szCs w:val="26"/>
        </w:rPr>
        <w:t>,</w:t>
      </w:r>
      <w:r w:rsidRPr="00827CD4">
        <w:rPr>
          <w:rFonts w:ascii="Palatino Linotype" w:hAnsi="Palatino Linotype"/>
          <w:i/>
          <w:iCs/>
          <w:szCs w:val="26"/>
        </w:rPr>
        <w:t xml:space="preserve"> People v. Cornett</w:t>
      </w:r>
      <w:r w:rsidRPr="00827CD4">
        <w:rPr>
          <w:rFonts w:ascii="Palatino Linotype" w:hAnsi="Palatino Linotype"/>
          <w:szCs w:val="26"/>
        </w:rPr>
        <w:t>, 53 Cal. 4th 1261, 1269-70 (2012)</w:t>
      </w:r>
      <w:r w:rsidRPr="00827CD4" w:rsidR="00195C78">
        <w:rPr>
          <w:rFonts w:ascii="Palatino Linotype" w:hAnsi="Palatino Linotype"/>
          <w:szCs w:val="26"/>
        </w:rPr>
        <w:t>.</w:t>
      </w:r>
    </w:p>
    <w:p w:rsidRPr="00827CD4" w:rsidR="00181785" w:rsidP="00181785" w:rsidRDefault="00181785" w14:paraId="74D45BF9" w14:textId="77777777">
      <w:pPr>
        <w:rPr>
          <w:rFonts w:ascii="Palatino Linotype" w:hAnsi="Palatino Linotype"/>
          <w:szCs w:val="26"/>
        </w:rPr>
      </w:pPr>
    </w:p>
    <w:p w:rsidRPr="00827CD4" w:rsidR="00181785" w:rsidP="00181785" w:rsidRDefault="00181785" w14:paraId="7FA6792C" w14:textId="3E570AF9">
      <w:pPr>
        <w:rPr>
          <w:rFonts w:ascii="Palatino Linotype" w:hAnsi="Palatino Linotype"/>
          <w:szCs w:val="26"/>
        </w:rPr>
      </w:pPr>
      <w:r w:rsidRPr="00827CD4">
        <w:rPr>
          <w:rFonts w:ascii="Palatino Linotype" w:hAnsi="Palatino Linotype"/>
          <w:szCs w:val="26"/>
        </w:rPr>
        <w:t xml:space="preserve">When considering the “consequences of a particular interpretation, including its impact on public policy,” the Commission’s interpretation of the statute gains </w:t>
      </w:r>
      <w:r w:rsidRPr="00827CD4">
        <w:rPr>
          <w:rFonts w:ascii="Palatino Linotype" w:hAnsi="Palatino Linotype"/>
          <w:szCs w:val="26"/>
        </w:rPr>
        <w:lastRenderedPageBreak/>
        <w:t>further support.</w:t>
      </w:r>
      <w:r w:rsidRPr="00827CD4">
        <w:rPr>
          <w:rStyle w:val="FootnoteReference"/>
          <w:rFonts w:ascii="Palatino Linotype" w:hAnsi="Palatino Linotype"/>
          <w:szCs w:val="26"/>
        </w:rPr>
        <w:footnoteReference w:id="7"/>
      </w:r>
      <w:r w:rsidRPr="00827CD4">
        <w:rPr>
          <w:rFonts w:ascii="Palatino Linotype" w:hAnsi="Palatino Linotype"/>
          <w:szCs w:val="26"/>
        </w:rPr>
        <w:t xml:space="preserve"> </w:t>
      </w:r>
      <w:r w:rsidRPr="00827CD4" w:rsidR="00C47C30">
        <w:rPr>
          <w:rFonts w:ascii="Palatino Linotype" w:hAnsi="Palatino Linotype"/>
          <w:i/>
          <w:iCs/>
          <w:szCs w:val="26"/>
        </w:rPr>
        <w:t>Wells</w:t>
      </w:r>
      <w:r w:rsidRPr="003130CD" w:rsidR="00C47C30">
        <w:rPr>
          <w:rFonts w:ascii="Palatino Linotype" w:hAnsi="Palatino Linotype"/>
          <w:szCs w:val="26"/>
        </w:rPr>
        <w:t>,</w:t>
      </w:r>
      <w:r w:rsidRPr="00827CD4" w:rsidR="00C47C30">
        <w:rPr>
          <w:rFonts w:ascii="Palatino Linotype" w:hAnsi="Palatino Linotype"/>
          <w:i/>
          <w:iCs/>
          <w:szCs w:val="26"/>
        </w:rPr>
        <w:t xml:space="preserve"> </w:t>
      </w:r>
      <w:r w:rsidRPr="00827CD4" w:rsidR="00C47C30">
        <w:rPr>
          <w:rFonts w:ascii="Palatino Linotype" w:hAnsi="Palatino Linotype"/>
          <w:szCs w:val="26"/>
        </w:rPr>
        <w:t>39 Cal. 4th 1164, 1190.</w:t>
      </w:r>
      <w:r w:rsidR="00C47C30">
        <w:rPr>
          <w:rFonts w:ascii="Palatino Linotype" w:hAnsi="Palatino Linotype"/>
          <w:szCs w:val="26"/>
        </w:rPr>
        <w:t xml:space="preserve"> </w:t>
      </w:r>
      <w:r w:rsidRPr="00827CD4">
        <w:rPr>
          <w:rFonts w:ascii="Palatino Linotype" w:hAnsi="Palatino Linotype"/>
          <w:szCs w:val="26"/>
        </w:rPr>
        <w:t>The purpose and effect of this piece of legisla</w:t>
      </w:r>
      <w:r w:rsidRPr="00827CD4" w:rsidR="001470D8">
        <w:rPr>
          <w:rFonts w:ascii="Palatino Linotype" w:hAnsi="Palatino Linotype"/>
          <w:szCs w:val="26"/>
        </w:rPr>
        <w:t xml:space="preserve">tion is essentially </w:t>
      </w:r>
      <w:r w:rsidR="00C47C30">
        <w:rPr>
          <w:rFonts w:ascii="Palatino Linotype" w:hAnsi="Palatino Linotype"/>
          <w:szCs w:val="26"/>
        </w:rPr>
        <w:t xml:space="preserve">to achieve </w:t>
      </w:r>
      <w:r w:rsidRPr="00827CD4" w:rsidR="001470D8">
        <w:rPr>
          <w:rFonts w:ascii="Palatino Linotype" w:hAnsi="Palatino Linotype"/>
          <w:szCs w:val="26"/>
        </w:rPr>
        <w:t xml:space="preserve">GHG </w:t>
      </w:r>
      <w:r w:rsidR="00C47C30">
        <w:rPr>
          <w:rFonts w:ascii="Palatino Linotype" w:hAnsi="Palatino Linotype"/>
          <w:szCs w:val="26"/>
        </w:rPr>
        <w:t xml:space="preserve">emissions </w:t>
      </w:r>
      <w:r w:rsidRPr="00827CD4">
        <w:rPr>
          <w:rFonts w:ascii="Palatino Linotype" w:hAnsi="Palatino Linotype"/>
          <w:szCs w:val="26"/>
        </w:rPr>
        <w:t>reduction</w:t>
      </w:r>
      <w:r w:rsidRPr="00827CD4" w:rsidR="001470D8">
        <w:rPr>
          <w:rFonts w:ascii="Palatino Linotype" w:hAnsi="Palatino Linotype"/>
          <w:szCs w:val="26"/>
        </w:rPr>
        <w:t>s</w:t>
      </w:r>
      <w:r w:rsidRPr="00827CD4">
        <w:rPr>
          <w:rFonts w:ascii="Palatino Linotype" w:hAnsi="Palatino Linotype"/>
          <w:szCs w:val="26"/>
        </w:rPr>
        <w:t xml:space="preserve">. </w:t>
      </w:r>
      <w:r w:rsidR="00F42C61">
        <w:rPr>
          <w:rFonts w:ascii="Palatino Linotype" w:hAnsi="Palatino Linotype"/>
          <w:szCs w:val="26"/>
        </w:rPr>
        <w:t>R</w:t>
      </w:r>
      <w:r w:rsidRPr="00827CD4">
        <w:rPr>
          <w:rFonts w:ascii="Palatino Linotype" w:hAnsi="Palatino Linotype"/>
          <w:szCs w:val="26"/>
        </w:rPr>
        <w:t xml:space="preserve">equiring all </w:t>
      </w:r>
      <w:r w:rsidRPr="00827CD4" w:rsidR="00DD3C27">
        <w:rPr>
          <w:rFonts w:ascii="Palatino Linotype" w:hAnsi="Palatino Linotype"/>
          <w:szCs w:val="26"/>
        </w:rPr>
        <w:t>fuel cells</w:t>
      </w:r>
      <w:r w:rsidRPr="00827CD4">
        <w:rPr>
          <w:rFonts w:ascii="Palatino Linotype" w:hAnsi="Palatino Linotype"/>
          <w:szCs w:val="26"/>
        </w:rPr>
        <w:t xml:space="preserve"> to meet the new GHG standards</w:t>
      </w:r>
      <w:r w:rsidR="00F42C61">
        <w:rPr>
          <w:rFonts w:ascii="Palatino Linotype" w:hAnsi="Palatino Linotype"/>
          <w:szCs w:val="26"/>
        </w:rPr>
        <w:t xml:space="preserve"> retroactively</w:t>
      </w:r>
      <w:r w:rsidRPr="00827CD4" w:rsidR="001470D8">
        <w:rPr>
          <w:rFonts w:ascii="Palatino Linotype" w:hAnsi="Palatino Linotype"/>
          <w:szCs w:val="26"/>
        </w:rPr>
        <w:t xml:space="preserve"> would further this</w:t>
      </w:r>
      <w:r w:rsidRPr="00827CD4">
        <w:rPr>
          <w:rFonts w:ascii="Palatino Linotype" w:hAnsi="Palatino Linotype"/>
          <w:szCs w:val="26"/>
        </w:rPr>
        <w:t xml:space="preserve"> purpose. If </w:t>
      </w:r>
      <w:r w:rsidR="00F42C61">
        <w:rPr>
          <w:rFonts w:ascii="Palatino Linotype" w:hAnsi="Palatino Linotype"/>
          <w:szCs w:val="26"/>
        </w:rPr>
        <w:t>the statute</w:t>
      </w:r>
      <w:r w:rsidRPr="00827CD4">
        <w:rPr>
          <w:rFonts w:ascii="Palatino Linotype" w:hAnsi="Palatino Linotype"/>
          <w:szCs w:val="26"/>
        </w:rPr>
        <w:t xml:space="preserve"> only applie</w:t>
      </w:r>
      <w:r w:rsidR="00F42C61">
        <w:rPr>
          <w:rFonts w:ascii="Palatino Linotype" w:hAnsi="Palatino Linotype"/>
          <w:szCs w:val="26"/>
        </w:rPr>
        <w:t>s</w:t>
      </w:r>
      <w:r w:rsidRPr="00827CD4">
        <w:rPr>
          <w:rFonts w:ascii="Palatino Linotype" w:hAnsi="Palatino Linotype"/>
          <w:szCs w:val="26"/>
        </w:rPr>
        <w:t xml:space="preserve"> to</w:t>
      </w:r>
      <w:r w:rsidRPr="00827CD4" w:rsidR="00DD3C27">
        <w:rPr>
          <w:rFonts w:ascii="Palatino Linotype" w:hAnsi="Palatino Linotype"/>
          <w:szCs w:val="26"/>
        </w:rPr>
        <w:t xml:space="preserve"> fuel cells</w:t>
      </w:r>
      <w:r w:rsidRPr="00827CD4">
        <w:rPr>
          <w:rFonts w:ascii="Palatino Linotype" w:hAnsi="Palatino Linotype"/>
          <w:szCs w:val="26"/>
        </w:rPr>
        <w:t xml:space="preserve"> </w:t>
      </w:r>
      <w:r w:rsidRPr="00827CD4" w:rsidR="00DD3C27">
        <w:rPr>
          <w:rFonts w:ascii="Palatino Linotype" w:hAnsi="Palatino Linotype"/>
          <w:szCs w:val="26"/>
        </w:rPr>
        <w:t>that commence operation on or after January 1, 2017</w:t>
      </w:r>
      <w:r w:rsidRPr="00827CD4">
        <w:rPr>
          <w:rFonts w:ascii="Palatino Linotype" w:hAnsi="Palatino Linotype"/>
          <w:szCs w:val="26"/>
        </w:rPr>
        <w:t xml:space="preserve">, previously eligible fuel cells </w:t>
      </w:r>
      <w:r w:rsidR="00F42C61">
        <w:rPr>
          <w:rFonts w:ascii="Palatino Linotype" w:hAnsi="Palatino Linotype"/>
          <w:szCs w:val="26"/>
        </w:rPr>
        <w:t>would</w:t>
      </w:r>
      <w:r w:rsidRPr="00827CD4">
        <w:rPr>
          <w:rFonts w:ascii="Palatino Linotype" w:hAnsi="Palatino Linotype"/>
          <w:szCs w:val="26"/>
        </w:rPr>
        <w:t xml:space="preserve"> </w:t>
      </w:r>
      <w:r w:rsidR="00F42C61">
        <w:rPr>
          <w:rFonts w:ascii="Palatino Linotype" w:hAnsi="Palatino Linotype"/>
          <w:szCs w:val="26"/>
        </w:rPr>
        <w:t xml:space="preserve">be allowed to </w:t>
      </w:r>
      <w:r w:rsidRPr="00827CD4" w:rsidR="00DD3C27">
        <w:rPr>
          <w:rFonts w:ascii="Palatino Linotype" w:hAnsi="Palatino Linotype"/>
          <w:szCs w:val="26"/>
        </w:rPr>
        <w:t>emit higher concentrations of</w:t>
      </w:r>
      <w:r w:rsidRPr="00827CD4">
        <w:rPr>
          <w:rFonts w:ascii="Palatino Linotype" w:hAnsi="Palatino Linotype"/>
          <w:szCs w:val="26"/>
        </w:rPr>
        <w:t xml:space="preserve"> GHG</w:t>
      </w:r>
      <w:r w:rsidRPr="00827CD4" w:rsidR="00DD3C27">
        <w:rPr>
          <w:rFonts w:ascii="Palatino Linotype" w:hAnsi="Palatino Linotype"/>
          <w:szCs w:val="26"/>
        </w:rPr>
        <w:t>s</w:t>
      </w:r>
      <w:r w:rsidR="00F42C61">
        <w:rPr>
          <w:rFonts w:ascii="Palatino Linotype" w:hAnsi="Palatino Linotype"/>
          <w:szCs w:val="26"/>
        </w:rPr>
        <w:t>, which</w:t>
      </w:r>
      <w:r w:rsidRPr="00827CD4" w:rsidR="00DD3C27">
        <w:rPr>
          <w:rFonts w:ascii="Palatino Linotype" w:hAnsi="Palatino Linotype"/>
          <w:szCs w:val="26"/>
        </w:rPr>
        <w:t xml:space="preserve"> would hinder the purpose of the</w:t>
      </w:r>
      <w:r w:rsidRPr="00827CD4">
        <w:rPr>
          <w:rFonts w:ascii="Palatino Linotype" w:hAnsi="Palatino Linotype"/>
          <w:szCs w:val="26"/>
        </w:rPr>
        <w:t xml:space="preserve"> legislation.</w:t>
      </w:r>
    </w:p>
    <w:p w:rsidRPr="00827CD4" w:rsidR="00181785" w:rsidP="00181785" w:rsidRDefault="00181785" w14:paraId="11D94789" w14:textId="77777777">
      <w:pPr>
        <w:rPr>
          <w:rFonts w:ascii="Palatino Linotype" w:hAnsi="Palatino Linotype"/>
          <w:szCs w:val="26"/>
        </w:rPr>
      </w:pPr>
    </w:p>
    <w:p w:rsidRPr="00827CD4" w:rsidR="00181785" w:rsidP="00181785" w:rsidRDefault="00181785" w14:paraId="308384CC" w14:textId="0113D3E6">
      <w:pPr>
        <w:rPr>
          <w:rFonts w:ascii="Palatino Linotype" w:hAnsi="Palatino Linotype"/>
          <w:szCs w:val="26"/>
        </w:rPr>
      </w:pPr>
      <w:r w:rsidRPr="00827CD4">
        <w:rPr>
          <w:rFonts w:ascii="Palatino Linotype" w:hAnsi="Palatino Linotype"/>
          <w:szCs w:val="26"/>
        </w:rPr>
        <w:t>Bloom argues that a letter written by the author of AB 1637</w:t>
      </w:r>
      <w:r w:rsidRPr="00827CD4" w:rsidR="00DD3C27">
        <w:rPr>
          <w:rFonts w:ascii="Palatino Linotype" w:hAnsi="Palatino Linotype"/>
          <w:szCs w:val="26"/>
        </w:rPr>
        <w:t>,</w:t>
      </w:r>
      <w:r w:rsidRPr="00827CD4">
        <w:rPr>
          <w:rFonts w:ascii="Palatino Linotype" w:hAnsi="Palatino Linotype"/>
          <w:szCs w:val="26"/>
        </w:rPr>
        <w:t xml:space="preserve"> </w:t>
      </w:r>
      <w:r w:rsidRPr="00827CD4" w:rsidR="00DD3C27">
        <w:rPr>
          <w:rFonts w:ascii="Palatino Linotype" w:hAnsi="Palatino Linotype"/>
          <w:szCs w:val="26"/>
        </w:rPr>
        <w:t xml:space="preserve">Assemblymember Evan Low, </w:t>
      </w:r>
      <w:r w:rsidRPr="00827CD4" w:rsidR="000031AF">
        <w:rPr>
          <w:rFonts w:ascii="Palatino Linotype" w:hAnsi="Palatino Linotype"/>
          <w:szCs w:val="26"/>
        </w:rPr>
        <w:t xml:space="preserve">after the bill’s passage </w:t>
      </w:r>
      <w:r w:rsidRPr="00827CD4">
        <w:rPr>
          <w:rFonts w:ascii="Palatino Linotype" w:hAnsi="Palatino Linotype"/>
          <w:szCs w:val="26"/>
        </w:rPr>
        <w:t>to Pre</w:t>
      </w:r>
      <w:r w:rsidRPr="00827CD4" w:rsidR="00DD3C27">
        <w:rPr>
          <w:rFonts w:ascii="Palatino Linotype" w:hAnsi="Palatino Linotype"/>
          <w:szCs w:val="26"/>
        </w:rPr>
        <w:t>sident Picker expressing the author’s</w:t>
      </w:r>
      <w:r w:rsidRPr="00827CD4">
        <w:rPr>
          <w:rFonts w:ascii="Palatino Linotype" w:hAnsi="Palatino Linotype"/>
          <w:szCs w:val="26"/>
        </w:rPr>
        <w:t xml:space="preserve"> </w:t>
      </w:r>
      <w:r w:rsidRPr="00827CD4" w:rsidR="00DD3C27">
        <w:rPr>
          <w:rFonts w:ascii="Palatino Linotype" w:hAnsi="Palatino Linotype"/>
          <w:szCs w:val="26"/>
        </w:rPr>
        <w:t xml:space="preserve">intent not to </w:t>
      </w:r>
      <w:r w:rsidRPr="00827CD4">
        <w:rPr>
          <w:rFonts w:ascii="Palatino Linotype" w:hAnsi="Palatino Linotype"/>
          <w:szCs w:val="26"/>
        </w:rPr>
        <w:t xml:space="preserve">retroactively apply </w:t>
      </w:r>
      <w:r w:rsidRPr="00827CD4" w:rsidR="00DD3C27">
        <w:rPr>
          <w:rFonts w:ascii="Palatino Linotype" w:hAnsi="Palatino Linotype"/>
          <w:szCs w:val="26"/>
        </w:rPr>
        <w:t>the GHG standards can be considered</w:t>
      </w:r>
      <w:r w:rsidRPr="00827CD4">
        <w:rPr>
          <w:rFonts w:ascii="Palatino Linotype" w:hAnsi="Palatino Linotype"/>
          <w:szCs w:val="26"/>
        </w:rPr>
        <w:t xml:space="preserve"> evidence of legislative intent. However, in </w:t>
      </w:r>
      <w:r w:rsidRPr="00827CD4" w:rsidR="001470D8">
        <w:rPr>
          <w:rFonts w:ascii="Palatino Linotype" w:hAnsi="Palatino Linotype"/>
          <w:i/>
          <w:iCs/>
          <w:szCs w:val="26"/>
        </w:rPr>
        <w:t>Cal. Building In</w:t>
      </w:r>
      <w:r w:rsidRPr="00827CD4" w:rsidR="00EB50BF">
        <w:rPr>
          <w:rFonts w:ascii="Palatino Linotype" w:hAnsi="Palatino Linotype"/>
          <w:i/>
          <w:iCs/>
          <w:szCs w:val="26"/>
        </w:rPr>
        <w:t>dustry Ass’n v. State Water Resources</w:t>
      </w:r>
      <w:r w:rsidRPr="00827CD4">
        <w:rPr>
          <w:rFonts w:ascii="Palatino Linotype" w:hAnsi="Palatino Linotype"/>
          <w:i/>
          <w:iCs/>
          <w:szCs w:val="26"/>
        </w:rPr>
        <w:t xml:space="preserve"> Control, </w:t>
      </w:r>
      <w:r w:rsidRPr="00827CD4">
        <w:rPr>
          <w:rFonts w:ascii="Palatino Linotype" w:hAnsi="Palatino Linotype"/>
          <w:szCs w:val="26"/>
        </w:rPr>
        <w:t xml:space="preserve">the </w:t>
      </w:r>
      <w:r w:rsidRPr="00827CD4" w:rsidR="001470D8">
        <w:rPr>
          <w:rFonts w:ascii="Palatino Linotype" w:hAnsi="Palatino Linotype"/>
          <w:szCs w:val="26"/>
        </w:rPr>
        <w:t xml:space="preserve">California </w:t>
      </w:r>
      <w:r w:rsidRPr="00827CD4">
        <w:rPr>
          <w:rFonts w:ascii="Palatino Linotype" w:hAnsi="Palatino Linotype"/>
          <w:szCs w:val="26"/>
        </w:rPr>
        <w:t>Supre</w:t>
      </w:r>
      <w:r w:rsidRPr="00827CD4" w:rsidR="001470D8">
        <w:rPr>
          <w:rFonts w:ascii="Palatino Linotype" w:hAnsi="Palatino Linotype"/>
          <w:szCs w:val="26"/>
        </w:rPr>
        <w:t>me Court questioned</w:t>
      </w:r>
      <w:r w:rsidRPr="00827CD4">
        <w:rPr>
          <w:rFonts w:ascii="Palatino Linotype" w:hAnsi="Palatino Linotype"/>
          <w:szCs w:val="26"/>
        </w:rPr>
        <w:t xml:space="preserve"> whether a Senator’s letter should be relied </w:t>
      </w:r>
      <w:r w:rsidRPr="00827CD4" w:rsidR="00DD3C27">
        <w:rPr>
          <w:rFonts w:ascii="Palatino Linotype" w:hAnsi="Palatino Linotype"/>
          <w:szCs w:val="26"/>
        </w:rPr>
        <w:t>up</w:t>
      </w:r>
      <w:r w:rsidRPr="00827CD4">
        <w:rPr>
          <w:rFonts w:ascii="Palatino Linotype" w:hAnsi="Palatino Linotype"/>
          <w:szCs w:val="26"/>
        </w:rPr>
        <w:t>on</w:t>
      </w:r>
      <w:r w:rsidR="00F42C61">
        <w:rPr>
          <w:rFonts w:ascii="Palatino Linotype" w:hAnsi="Palatino Linotype"/>
          <w:szCs w:val="26"/>
        </w:rPr>
        <w:t xml:space="preserve"> to discern </w:t>
      </w:r>
      <w:r w:rsidRPr="00827CD4">
        <w:rPr>
          <w:rFonts w:ascii="Palatino Linotype" w:hAnsi="Palatino Linotype"/>
          <w:szCs w:val="26"/>
        </w:rPr>
        <w:t>legislative intent. 4 Cal. 5th 1032, 1042 (2018). The C</w:t>
      </w:r>
      <w:r w:rsidRPr="00827CD4" w:rsidR="00DD3C27">
        <w:rPr>
          <w:rFonts w:ascii="Palatino Linotype" w:hAnsi="Palatino Linotype"/>
          <w:szCs w:val="26"/>
        </w:rPr>
        <w:t>ourt asserted</w:t>
      </w:r>
      <w:r w:rsidRPr="00827CD4">
        <w:rPr>
          <w:rFonts w:ascii="Palatino Linotype" w:hAnsi="Palatino Linotype"/>
          <w:szCs w:val="26"/>
        </w:rPr>
        <w:t xml:space="preserve"> “we do not consider the motives or understanding of individual legislators who voted for a statute when attempting to construe it. This is true even when the legislator who authored the bill purports to offer an opinion.” </w:t>
      </w:r>
      <w:r w:rsidRPr="00827CD4">
        <w:rPr>
          <w:rFonts w:ascii="Palatino Linotype" w:hAnsi="Palatino Linotype"/>
          <w:i/>
          <w:iCs/>
          <w:szCs w:val="26"/>
        </w:rPr>
        <w:t xml:space="preserve">Id. </w:t>
      </w:r>
      <w:r w:rsidRPr="00827CD4">
        <w:rPr>
          <w:rFonts w:ascii="Palatino Linotype" w:hAnsi="Palatino Linotype"/>
          <w:szCs w:val="26"/>
        </w:rPr>
        <w:t>at 1042-</w:t>
      </w:r>
      <w:r w:rsidR="00F42C61">
        <w:rPr>
          <w:rFonts w:ascii="Palatino Linotype" w:hAnsi="Palatino Linotype"/>
          <w:szCs w:val="26"/>
        </w:rPr>
        <w:t>4</w:t>
      </w:r>
      <w:r w:rsidRPr="00827CD4">
        <w:rPr>
          <w:rFonts w:ascii="Palatino Linotype" w:hAnsi="Palatino Linotype"/>
          <w:szCs w:val="26"/>
        </w:rPr>
        <w:t xml:space="preserve">3. The Court explained that there is “‘no guarantee . . . that those who supported the proposal shared the author’s view of its compass.’” </w:t>
      </w:r>
      <w:r w:rsidRPr="00827CD4">
        <w:rPr>
          <w:rFonts w:ascii="Palatino Linotype" w:hAnsi="Palatino Linotype"/>
          <w:i/>
          <w:iCs/>
          <w:szCs w:val="26"/>
        </w:rPr>
        <w:t xml:space="preserve">Id. </w:t>
      </w:r>
      <w:r w:rsidRPr="00827CD4">
        <w:rPr>
          <w:rFonts w:ascii="Palatino Linotype" w:hAnsi="Palatino Linotype"/>
          <w:szCs w:val="26"/>
        </w:rPr>
        <w:t xml:space="preserve">at 1043. </w:t>
      </w:r>
      <w:r w:rsidRPr="00827CD4" w:rsidR="001470D8">
        <w:rPr>
          <w:rFonts w:ascii="Palatino Linotype" w:hAnsi="Palatino Linotype"/>
          <w:szCs w:val="26"/>
        </w:rPr>
        <w:t>Therefore, the bill author’s letter is not persuasive.</w:t>
      </w:r>
    </w:p>
    <w:p w:rsidRPr="00827CD4" w:rsidR="00181785" w:rsidP="00181785" w:rsidRDefault="00181785" w14:paraId="408A4AAB" w14:textId="77777777">
      <w:pPr>
        <w:rPr>
          <w:rFonts w:ascii="Palatino Linotype" w:hAnsi="Palatino Linotype"/>
          <w:szCs w:val="26"/>
          <w:u w:val="single"/>
        </w:rPr>
      </w:pPr>
      <w:r w:rsidRPr="00827CD4">
        <w:rPr>
          <w:rFonts w:ascii="Palatino Linotype" w:hAnsi="Palatino Linotype"/>
          <w:szCs w:val="26"/>
          <w:u w:val="single"/>
        </w:rPr>
        <w:t xml:space="preserve"> </w:t>
      </w:r>
    </w:p>
    <w:p w:rsidRPr="00827CD4" w:rsidR="00181785" w:rsidP="00181785" w:rsidRDefault="00181785" w14:paraId="145F63AE" w14:textId="38EEAEA9">
      <w:pPr>
        <w:rPr>
          <w:rFonts w:ascii="Palatino Linotype" w:hAnsi="Palatino Linotype"/>
          <w:szCs w:val="26"/>
        </w:rPr>
      </w:pPr>
      <w:r w:rsidRPr="00827CD4">
        <w:rPr>
          <w:rFonts w:ascii="Palatino Linotype" w:hAnsi="Palatino Linotype"/>
          <w:b/>
          <w:bCs/>
          <w:szCs w:val="26"/>
        </w:rPr>
        <w:t xml:space="preserve">The Commission’s Interpretation of Section 2827.10 Does Not </w:t>
      </w:r>
      <w:r w:rsidRPr="00827CD4" w:rsidR="001470D8">
        <w:rPr>
          <w:rFonts w:ascii="Palatino Linotype" w:hAnsi="Palatino Linotype"/>
          <w:b/>
          <w:bCs/>
          <w:szCs w:val="26"/>
        </w:rPr>
        <w:t>Constitute a Taking Under the United States</w:t>
      </w:r>
      <w:r w:rsidRPr="00827CD4">
        <w:rPr>
          <w:rFonts w:ascii="Palatino Linotype" w:hAnsi="Palatino Linotype"/>
          <w:b/>
          <w:bCs/>
          <w:szCs w:val="26"/>
        </w:rPr>
        <w:t xml:space="preserve"> or California Constitutions</w:t>
      </w:r>
    </w:p>
    <w:p w:rsidRPr="00827CD4" w:rsidR="00181785" w:rsidP="00181785" w:rsidRDefault="00181785" w14:paraId="579A11C8" w14:textId="77777777">
      <w:pPr>
        <w:rPr>
          <w:rFonts w:ascii="Palatino Linotype" w:hAnsi="Palatino Linotype"/>
          <w:szCs w:val="26"/>
        </w:rPr>
      </w:pPr>
    </w:p>
    <w:p w:rsidRPr="00827CD4" w:rsidR="00181785" w:rsidP="00181785" w:rsidRDefault="00181785" w14:paraId="2A7FD0B8" w14:textId="649FB6EE">
      <w:pPr>
        <w:rPr>
          <w:rFonts w:ascii="Palatino Linotype" w:hAnsi="Palatino Linotype"/>
          <w:szCs w:val="26"/>
        </w:rPr>
      </w:pPr>
      <w:r w:rsidRPr="00827CD4">
        <w:rPr>
          <w:rFonts w:ascii="Palatino Linotype" w:hAnsi="Palatino Linotype"/>
          <w:szCs w:val="26"/>
        </w:rPr>
        <w:t xml:space="preserve">The United States Supreme Court has yet to develop a “set formula to determine where regulation ends and taking begins.” </w:t>
      </w:r>
      <w:r w:rsidRPr="00827CD4" w:rsidR="001470D8">
        <w:rPr>
          <w:rFonts w:ascii="Palatino Linotype" w:hAnsi="Palatino Linotype"/>
          <w:i/>
          <w:iCs/>
          <w:szCs w:val="26"/>
        </w:rPr>
        <w:t>Penn Cent.</w:t>
      </w:r>
      <w:r w:rsidRPr="00827CD4" w:rsidR="00EB50BF">
        <w:rPr>
          <w:rFonts w:ascii="Palatino Linotype" w:hAnsi="Palatino Linotype"/>
          <w:i/>
          <w:iCs/>
          <w:szCs w:val="26"/>
        </w:rPr>
        <w:t xml:space="preserve"> Transp. Co. v. City of N.Y.</w:t>
      </w:r>
      <w:r w:rsidRPr="00827CD4">
        <w:rPr>
          <w:rFonts w:ascii="Palatino Linotype" w:hAnsi="Palatino Linotype"/>
          <w:i/>
          <w:iCs/>
          <w:szCs w:val="26"/>
        </w:rPr>
        <w:t xml:space="preserve">, </w:t>
      </w:r>
      <w:r w:rsidRPr="00827CD4">
        <w:rPr>
          <w:rFonts w:ascii="Palatino Linotype" w:hAnsi="Palatino Linotype"/>
          <w:szCs w:val="26"/>
        </w:rPr>
        <w:t xml:space="preserve">438 U.S. 104, 124 (1978). In </w:t>
      </w:r>
      <w:r w:rsidRPr="00827CD4">
        <w:rPr>
          <w:rFonts w:ascii="Palatino Linotype" w:hAnsi="Palatino Linotype"/>
          <w:i/>
          <w:iCs/>
          <w:szCs w:val="26"/>
        </w:rPr>
        <w:t>Keystone Bituminous Coal Ass’n v. DeBenedictis</w:t>
      </w:r>
      <w:r w:rsidRPr="00827CD4">
        <w:rPr>
          <w:rFonts w:ascii="Palatino Linotype" w:hAnsi="Palatino Linotype"/>
          <w:szCs w:val="26"/>
        </w:rPr>
        <w:t xml:space="preserve">, the Court stated that a “land use regulation can effect a taking if it ‘does not substantially advance legitimate state interests, . . . or denies an owner economically viable use of his land.’” 480 U.S. 470, 485 (1987). The Court ultimately held </w:t>
      </w:r>
      <w:r w:rsidRPr="00827CD4" w:rsidR="000031AF">
        <w:rPr>
          <w:rFonts w:ascii="Palatino Linotype" w:hAnsi="Palatino Linotype"/>
          <w:szCs w:val="26"/>
        </w:rPr>
        <w:t xml:space="preserve">that a restriction or </w:t>
      </w:r>
      <w:r w:rsidRPr="00827CD4">
        <w:rPr>
          <w:rFonts w:ascii="Palatino Linotype" w:hAnsi="Palatino Linotype"/>
          <w:szCs w:val="26"/>
        </w:rPr>
        <w:t xml:space="preserve">regulation on coal mining </w:t>
      </w:r>
      <w:r w:rsidRPr="00827CD4" w:rsidR="00EB50BF">
        <w:rPr>
          <w:rFonts w:ascii="Palatino Linotype" w:hAnsi="Palatino Linotype"/>
          <w:szCs w:val="26"/>
        </w:rPr>
        <w:t>was not a taking</w:t>
      </w:r>
      <w:r w:rsidRPr="00827CD4">
        <w:rPr>
          <w:rFonts w:ascii="Palatino Linotype" w:hAnsi="Palatino Linotype"/>
          <w:szCs w:val="26"/>
        </w:rPr>
        <w:t xml:space="preserve"> because of the law’s identification of important public interests</w:t>
      </w:r>
      <w:r w:rsidRPr="00827CD4" w:rsidR="00EB50BF">
        <w:rPr>
          <w:rFonts w:ascii="Palatino Linotype" w:hAnsi="Palatino Linotype"/>
          <w:szCs w:val="26"/>
        </w:rPr>
        <w:t xml:space="preserve">, and because the </w:t>
      </w:r>
      <w:r w:rsidRPr="00827CD4" w:rsidR="00EB50BF">
        <w:rPr>
          <w:rFonts w:ascii="Palatino Linotype" w:hAnsi="Palatino Linotype"/>
          <w:szCs w:val="26"/>
        </w:rPr>
        <w:lastRenderedPageBreak/>
        <w:t>plaintiff</w:t>
      </w:r>
      <w:r w:rsidRPr="00827CD4">
        <w:rPr>
          <w:rFonts w:ascii="Palatino Linotype" w:hAnsi="Palatino Linotype"/>
          <w:szCs w:val="26"/>
        </w:rPr>
        <w:t xml:space="preserve"> could not show an economic deprivation “significant enough to satisfy the heavy burden placed upon one alleging a regulatory taking.” </w:t>
      </w:r>
      <w:r w:rsidRPr="00827CD4">
        <w:rPr>
          <w:rFonts w:ascii="Palatino Linotype" w:hAnsi="Palatino Linotype"/>
          <w:i/>
          <w:iCs/>
          <w:szCs w:val="26"/>
        </w:rPr>
        <w:t>Id.</w:t>
      </w:r>
      <w:r w:rsidRPr="00827CD4">
        <w:rPr>
          <w:rFonts w:ascii="Palatino Linotype" w:hAnsi="Palatino Linotype"/>
          <w:szCs w:val="26"/>
        </w:rPr>
        <w:t xml:space="preserve"> at 493-97. The Court acknowledged that takings are more likely to be found when interference is a physical invasion by government than when interference “arises from some public program adjusting the benefits and burdens of economic life to promote the common good.” </w:t>
      </w:r>
      <w:r w:rsidRPr="00827CD4">
        <w:rPr>
          <w:rFonts w:ascii="Palatino Linotype" w:hAnsi="Palatino Linotype"/>
          <w:i/>
          <w:iCs/>
          <w:szCs w:val="26"/>
        </w:rPr>
        <w:t xml:space="preserve">Id. </w:t>
      </w:r>
      <w:r w:rsidRPr="00827CD4">
        <w:rPr>
          <w:rFonts w:ascii="Palatino Linotype" w:hAnsi="Palatino Linotype"/>
          <w:szCs w:val="26"/>
        </w:rPr>
        <w:t>at 488, n.18.</w:t>
      </w:r>
    </w:p>
    <w:p w:rsidRPr="00827CD4" w:rsidR="00181785" w:rsidP="00181785" w:rsidRDefault="00181785" w14:paraId="4CA91CA4" w14:textId="77777777">
      <w:pPr>
        <w:rPr>
          <w:rFonts w:ascii="Palatino Linotype" w:hAnsi="Palatino Linotype"/>
          <w:szCs w:val="26"/>
        </w:rPr>
      </w:pPr>
    </w:p>
    <w:p w:rsidRPr="00827CD4" w:rsidR="00181785" w:rsidP="00181785" w:rsidRDefault="00EB50BF" w14:paraId="0476F9C4" w14:textId="7C6BB4CE">
      <w:pPr>
        <w:rPr>
          <w:rFonts w:ascii="Palatino Linotype" w:hAnsi="Palatino Linotype"/>
          <w:szCs w:val="26"/>
        </w:rPr>
      </w:pPr>
      <w:r w:rsidRPr="00827CD4">
        <w:rPr>
          <w:rFonts w:ascii="Palatino Linotype" w:hAnsi="Palatino Linotype"/>
          <w:szCs w:val="26"/>
        </w:rPr>
        <w:t>In</w:t>
      </w:r>
      <w:r w:rsidRPr="00827CD4" w:rsidR="00181785">
        <w:rPr>
          <w:rFonts w:ascii="Palatino Linotype" w:hAnsi="Palatino Linotype"/>
          <w:szCs w:val="26"/>
        </w:rPr>
        <w:t xml:space="preserve"> </w:t>
      </w:r>
      <w:r w:rsidRPr="00827CD4" w:rsidR="00181785">
        <w:rPr>
          <w:rFonts w:ascii="Palatino Linotype" w:hAnsi="Palatino Linotype"/>
          <w:i/>
          <w:iCs/>
          <w:szCs w:val="26"/>
        </w:rPr>
        <w:t xml:space="preserve">Connolly v. Pension Benefit Guaranty Corp., </w:t>
      </w:r>
      <w:r w:rsidRPr="00827CD4" w:rsidR="00181785">
        <w:rPr>
          <w:rFonts w:ascii="Palatino Linotype" w:hAnsi="Palatino Linotype"/>
          <w:szCs w:val="26"/>
        </w:rPr>
        <w:t xml:space="preserve">the Court held that retroactive liability for an employer’s pension plan withdrawal was not a taking because employers knew of Congress’ goal that employees receive their promised benefits. 475 U.S. 211, 227 (1986). </w:t>
      </w:r>
      <w:r w:rsidRPr="00827CD4">
        <w:rPr>
          <w:rFonts w:ascii="Palatino Linotype" w:hAnsi="Palatino Linotype"/>
          <w:szCs w:val="26"/>
        </w:rPr>
        <w:t>The Court stated</w:t>
      </w:r>
      <w:r w:rsidRPr="00827CD4" w:rsidR="00181785">
        <w:rPr>
          <w:rFonts w:ascii="Palatino Linotype" w:hAnsi="Palatino Linotype"/>
          <w:szCs w:val="26"/>
        </w:rPr>
        <w:t xml:space="preserve"> </w:t>
      </w:r>
      <w:bookmarkStart w:name="_Hlk14776790" w:id="5"/>
      <w:r w:rsidRPr="00827CD4" w:rsidR="00181785">
        <w:rPr>
          <w:rFonts w:ascii="Palatino Linotype" w:hAnsi="Palatino Linotype"/>
          <w:szCs w:val="26"/>
        </w:rPr>
        <w:t>“</w:t>
      </w:r>
      <w:r w:rsidRPr="00827CD4">
        <w:rPr>
          <w:rFonts w:ascii="Palatino Linotype" w:hAnsi="Palatino Linotype"/>
          <w:szCs w:val="26"/>
        </w:rPr>
        <w:t>[t]</w:t>
      </w:r>
      <w:r w:rsidRPr="00827CD4" w:rsidR="00181785">
        <w:rPr>
          <w:rFonts w:ascii="Palatino Linotype" w:hAnsi="Palatino Linotype"/>
          <w:szCs w:val="26"/>
        </w:rPr>
        <w:t xml:space="preserve">hose who do business in the regulated field cannot object if the legislative scheme is buttressed by subsequent amendments to achieve the legislative end.” </w:t>
      </w:r>
      <w:r w:rsidRPr="00827CD4" w:rsidR="00181785">
        <w:rPr>
          <w:rFonts w:ascii="Palatino Linotype" w:hAnsi="Palatino Linotype"/>
          <w:i/>
          <w:iCs/>
          <w:szCs w:val="26"/>
        </w:rPr>
        <w:t>Id.</w:t>
      </w:r>
      <w:r w:rsidRPr="00827CD4" w:rsidR="00181785">
        <w:rPr>
          <w:rFonts w:ascii="Palatino Linotype" w:hAnsi="Palatino Linotype"/>
          <w:szCs w:val="26"/>
        </w:rPr>
        <w:t xml:space="preserve"> (quoting </w:t>
      </w:r>
      <w:r w:rsidRPr="00827CD4" w:rsidR="00181785">
        <w:rPr>
          <w:rFonts w:ascii="Palatino Linotype" w:hAnsi="Palatino Linotype"/>
          <w:i/>
          <w:iCs/>
          <w:szCs w:val="26"/>
        </w:rPr>
        <w:t>FHA v. The Darlington, Inc.</w:t>
      </w:r>
      <w:r w:rsidRPr="00827CD4" w:rsidR="00181785">
        <w:rPr>
          <w:rFonts w:ascii="Palatino Linotype" w:hAnsi="Palatino Linotype"/>
          <w:szCs w:val="26"/>
        </w:rPr>
        <w:t>, 358 U.S. 84, 91 (1958))</w:t>
      </w:r>
      <w:bookmarkEnd w:id="5"/>
      <w:r w:rsidRPr="00827CD4" w:rsidR="00181785">
        <w:rPr>
          <w:rFonts w:ascii="Palatino Linotype" w:hAnsi="Palatino Linotype"/>
          <w:szCs w:val="26"/>
        </w:rPr>
        <w:t>.</w:t>
      </w:r>
    </w:p>
    <w:p w:rsidRPr="00827CD4" w:rsidR="00181785" w:rsidP="00181785" w:rsidRDefault="00181785" w14:paraId="5EE040FE" w14:textId="77777777">
      <w:pPr>
        <w:rPr>
          <w:rFonts w:ascii="Palatino Linotype" w:hAnsi="Palatino Linotype"/>
          <w:szCs w:val="26"/>
        </w:rPr>
      </w:pPr>
    </w:p>
    <w:p w:rsidRPr="00827CD4" w:rsidR="000031AF" w:rsidP="00181785" w:rsidRDefault="00181785" w14:paraId="40DF5DD0" w14:textId="6C15EEF6">
      <w:pPr>
        <w:rPr>
          <w:rFonts w:ascii="Palatino Linotype" w:hAnsi="Palatino Linotype"/>
          <w:szCs w:val="26"/>
        </w:rPr>
      </w:pPr>
      <w:r w:rsidRPr="00827CD4">
        <w:rPr>
          <w:rFonts w:ascii="Palatino Linotype" w:hAnsi="Palatino Linotype"/>
          <w:szCs w:val="26"/>
        </w:rPr>
        <w:t xml:space="preserve">Similarly, in </w:t>
      </w:r>
      <w:r w:rsidRPr="00827CD4">
        <w:rPr>
          <w:rFonts w:ascii="Palatino Linotype" w:hAnsi="Palatino Linotype"/>
          <w:i/>
          <w:iCs/>
          <w:szCs w:val="26"/>
        </w:rPr>
        <w:t xml:space="preserve">Andrus v. Allard, </w:t>
      </w:r>
      <w:r w:rsidRPr="00827CD4">
        <w:rPr>
          <w:rFonts w:ascii="Palatino Linotype" w:hAnsi="Palatino Linotype"/>
          <w:szCs w:val="26"/>
        </w:rPr>
        <w:t>444 U.S. 51 (1979), the Court upheld a statute’s retroactive application prohibiting the sale of artifacts created from eagle feathers because the ban serve</w:t>
      </w:r>
      <w:r w:rsidRPr="00827CD4" w:rsidR="00EB50BF">
        <w:rPr>
          <w:rFonts w:ascii="Palatino Linotype" w:hAnsi="Palatino Linotype"/>
          <w:szCs w:val="26"/>
        </w:rPr>
        <w:t>d a substantial public purpose—</w:t>
      </w:r>
      <w:r w:rsidRPr="00827CD4">
        <w:rPr>
          <w:rFonts w:ascii="Palatino Linotype" w:hAnsi="Palatino Linotype"/>
          <w:szCs w:val="26"/>
        </w:rPr>
        <w:t xml:space="preserve">protecting the eagle from extinction. </w:t>
      </w:r>
    </w:p>
    <w:p w:rsidRPr="00827CD4" w:rsidR="000031AF" w:rsidP="00181785" w:rsidRDefault="000031AF" w14:paraId="3DF50AAD" w14:textId="77777777">
      <w:pPr>
        <w:rPr>
          <w:rFonts w:ascii="Palatino Linotype" w:hAnsi="Palatino Linotype"/>
          <w:szCs w:val="26"/>
        </w:rPr>
      </w:pPr>
    </w:p>
    <w:p w:rsidRPr="00F42C61" w:rsidR="006F37EE" w:rsidRDefault="00EB50BF" w14:paraId="05490B7E" w14:textId="5D3CBB52">
      <w:pPr>
        <w:rPr>
          <w:rFonts w:ascii="Palatino Linotype" w:hAnsi="Palatino Linotype"/>
          <w:szCs w:val="26"/>
        </w:rPr>
      </w:pPr>
      <w:r w:rsidRPr="00827CD4">
        <w:rPr>
          <w:rFonts w:ascii="Palatino Linotype" w:hAnsi="Palatino Linotype"/>
          <w:szCs w:val="26"/>
        </w:rPr>
        <w:t>A taking does not exist here</w:t>
      </w:r>
      <w:r w:rsidRPr="00827CD4" w:rsidR="00181785">
        <w:rPr>
          <w:rFonts w:ascii="Palatino Linotype" w:hAnsi="Palatino Linotype"/>
          <w:szCs w:val="26"/>
        </w:rPr>
        <w:t xml:space="preserve"> because any retroactive application of </w:t>
      </w:r>
      <w:r w:rsidRPr="00827CD4">
        <w:rPr>
          <w:rFonts w:ascii="Palatino Linotype" w:hAnsi="Palatino Linotype"/>
          <w:szCs w:val="26"/>
        </w:rPr>
        <w:t>S</w:t>
      </w:r>
      <w:r w:rsidRPr="00827CD4" w:rsidR="00181785">
        <w:rPr>
          <w:rFonts w:ascii="Palatino Linotype" w:hAnsi="Palatino Linotype"/>
          <w:szCs w:val="26"/>
        </w:rPr>
        <w:t xml:space="preserve">ection 2827.10, as amended, serves a substantial public interest: </w:t>
      </w:r>
      <w:r w:rsidR="00C47C30">
        <w:rPr>
          <w:rFonts w:ascii="Palatino Linotype" w:hAnsi="Palatino Linotype"/>
          <w:szCs w:val="26"/>
        </w:rPr>
        <w:t>GHG</w:t>
      </w:r>
      <w:r w:rsidRPr="00827CD4" w:rsidR="00181785">
        <w:rPr>
          <w:rFonts w:ascii="Palatino Linotype" w:hAnsi="Palatino Linotype"/>
          <w:szCs w:val="26"/>
        </w:rPr>
        <w:t xml:space="preserve"> </w:t>
      </w:r>
      <w:r w:rsidRPr="00827CD4" w:rsidR="00F03316">
        <w:rPr>
          <w:rFonts w:ascii="Palatino Linotype" w:hAnsi="Palatino Linotype"/>
          <w:szCs w:val="26"/>
        </w:rPr>
        <w:t xml:space="preserve">emissions </w:t>
      </w:r>
      <w:r w:rsidRPr="00827CD4" w:rsidR="00181785">
        <w:rPr>
          <w:rFonts w:ascii="Palatino Linotype" w:hAnsi="Palatino Linotype"/>
          <w:szCs w:val="26"/>
        </w:rPr>
        <w:t xml:space="preserve">reduction. In 2009, the EPA determined that </w:t>
      </w:r>
      <w:r w:rsidR="00C47C30">
        <w:rPr>
          <w:rFonts w:ascii="Palatino Linotype" w:hAnsi="Palatino Linotype"/>
          <w:szCs w:val="26"/>
        </w:rPr>
        <w:t>GHG</w:t>
      </w:r>
      <w:r w:rsidRPr="00827CD4" w:rsidR="00181785">
        <w:rPr>
          <w:rFonts w:ascii="Palatino Linotype" w:hAnsi="Palatino Linotype"/>
          <w:szCs w:val="26"/>
        </w:rPr>
        <w:t xml:space="preserve"> emissions “endanger public health and welfare by fostering global ‘climate change.’” </w:t>
      </w:r>
      <w:r w:rsidRPr="00827CD4" w:rsidR="00181785">
        <w:rPr>
          <w:rFonts w:ascii="Palatino Linotype" w:hAnsi="Palatino Linotype"/>
          <w:i/>
          <w:iCs/>
          <w:szCs w:val="26"/>
        </w:rPr>
        <w:t>Ut</w:t>
      </w:r>
      <w:r w:rsidRPr="00827CD4">
        <w:rPr>
          <w:rFonts w:ascii="Palatino Linotype" w:hAnsi="Palatino Linotype"/>
          <w:i/>
          <w:iCs/>
          <w:szCs w:val="26"/>
        </w:rPr>
        <w:t>ility Air Regulatory Group v. Envtl. Prot. Agency</w:t>
      </w:r>
      <w:r w:rsidRPr="00827CD4" w:rsidR="00181785">
        <w:rPr>
          <w:rFonts w:ascii="Palatino Linotype" w:hAnsi="Palatino Linotype"/>
          <w:i/>
          <w:iCs/>
          <w:szCs w:val="26"/>
        </w:rPr>
        <w:t xml:space="preserve">, </w:t>
      </w:r>
      <w:r w:rsidRPr="00827CD4" w:rsidR="00181785">
        <w:rPr>
          <w:rFonts w:ascii="Palatino Linotype" w:hAnsi="Palatino Linotype"/>
          <w:szCs w:val="26"/>
        </w:rPr>
        <w:t xml:space="preserve">573 U.S. 302, 311 (2014). Therefore, the reduction of GHG </w:t>
      </w:r>
      <w:r w:rsidRPr="00827CD4" w:rsidR="00F03316">
        <w:rPr>
          <w:rFonts w:ascii="Palatino Linotype" w:hAnsi="Palatino Linotype"/>
          <w:szCs w:val="26"/>
        </w:rPr>
        <w:t xml:space="preserve">emissions </w:t>
      </w:r>
      <w:r w:rsidRPr="00827CD4" w:rsidR="00181785">
        <w:rPr>
          <w:rFonts w:ascii="Palatino Linotype" w:hAnsi="Palatino Linotype"/>
          <w:szCs w:val="26"/>
        </w:rPr>
        <w:t>is a substantial public interest and regulation of such should not be construed as a taking. Nor has Bloom demonstrated an economic deprivation “significant enough to satisfy the heavy burden placed upon one alleging a regulatory taking.”</w:t>
      </w:r>
      <w:bookmarkEnd w:id="3"/>
      <w:r w:rsidR="00F42C61">
        <w:rPr>
          <w:rFonts w:ascii="Palatino Linotype" w:hAnsi="Palatino Linotype"/>
          <w:szCs w:val="26"/>
        </w:rPr>
        <w:t xml:space="preserve"> </w:t>
      </w:r>
      <w:r w:rsidRPr="00827CD4" w:rsidR="00F42C61">
        <w:rPr>
          <w:rFonts w:ascii="Palatino Linotype" w:hAnsi="Palatino Linotype"/>
          <w:i/>
          <w:iCs/>
          <w:szCs w:val="26"/>
        </w:rPr>
        <w:t>Keystone Bituminous Coal Ass’n</w:t>
      </w:r>
      <w:r w:rsidR="00F42C61">
        <w:rPr>
          <w:rFonts w:ascii="Palatino Linotype" w:hAnsi="Palatino Linotype"/>
          <w:szCs w:val="26"/>
        </w:rPr>
        <w:t xml:space="preserve">, </w:t>
      </w:r>
      <w:r w:rsidRPr="00827CD4" w:rsidR="00F42C61">
        <w:rPr>
          <w:rFonts w:ascii="Palatino Linotype" w:hAnsi="Palatino Linotype"/>
          <w:szCs w:val="26"/>
        </w:rPr>
        <w:t>480 U.S. 470, 4</w:t>
      </w:r>
      <w:r w:rsidR="003130CD">
        <w:rPr>
          <w:rFonts w:ascii="Palatino Linotype" w:hAnsi="Palatino Linotype"/>
          <w:szCs w:val="26"/>
        </w:rPr>
        <w:t>93-97.</w:t>
      </w:r>
    </w:p>
    <w:p w:rsidRPr="00827CD4" w:rsidR="00EB50BF" w:rsidRDefault="00EB50BF" w14:paraId="50BC762B" w14:textId="77777777">
      <w:pPr>
        <w:rPr>
          <w:rFonts w:ascii="Palatino Linotype" w:hAnsi="Palatino Linotype"/>
          <w:szCs w:val="26"/>
        </w:rPr>
      </w:pPr>
    </w:p>
    <w:p w:rsidRPr="00827CD4" w:rsidR="00EB50BF" w:rsidRDefault="00EB50BF" w14:paraId="690E31B3" w14:textId="22405F94">
      <w:pPr>
        <w:rPr>
          <w:rFonts w:ascii="Palatino Linotype" w:hAnsi="Palatino Linotype"/>
          <w:szCs w:val="26"/>
        </w:rPr>
      </w:pPr>
      <w:r w:rsidRPr="00827CD4">
        <w:rPr>
          <w:rFonts w:ascii="Palatino Linotype" w:hAnsi="Palatino Linotype"/>
          <w:szCs w:val="26"/>
        </w:rPr>
        <w:t>For the reasons described abov</w:t>
      </w:r>
      <w:r w:rsidRPr="00827CD4" w:rsidR="00590A83">
        <w:rPr>
          <w:rFonts w:ascii="Palatino Linotype" w:hAnsi="Palatino Linotype"/>
          <w:szCs w:val="26"/>
        </w:rPr>
        <w:t xml:space="preserve">e, Bloom’s and NFCRC’s </w:t>
      </w:r>
      <w:r w:rsidRPr="00827CD4" w:rsidR="00590A83">
        <w:rPr>
          <w:rFonts w:ascii="Palatino Linotype" w:hAnsi="Palatino Linotype"/>
          <w:snapToGrid w:val="0"/>
          <w:szCs w:val="26"/>
        </w:rPr>
        <w:t>Requests for</w:t>
      </w:r>
      <w:r w:rsidRPr="00827CD4" w:rsidR="0080183E">
        <w:rPr>
          <w:rFonts w:ascii="Palatino Linotype" w:hAnsi="Palatino Linotype"/>
          <w:snapToGrid w:val="0"/>
          <w:szCs w:val="26"/>
        </w:rPr>
        <w:t xml:space="preserve"> </w:t>
      </w:r>
      <w:r w:rsidRPr="00827CD4" w:rsidR="00590A83">
        <w:rPr>
          <w:rFonts w:ascii="Palatino Linotype" w:hAnsi="Palatino Linotype"/>
          <w:snapToGrid w:val="0"/>
          <w:szCs w:val="26"/>
        </w:rPr>
        <w:t xml:space="preserve">Commission Review are </w:t>
      </w:r>
      <w:r w:rsidRPr="00827CD4" w:rsidR="0080183E">
        <w:rPr>
          <w:rFonts w:ascii="Palatino Linotype" w:hAnsi="Palatino Linotype"/>
          <w:snapToGrid w:val="0"/>
          <w:szCs w:val="26"/>
        </w:rPr>
        <w:t>rejected</w:t>
      </w:r>
      <w:r w:rsidRPr="00827CD4" w:rsidR="00590A83">
        <w:rPr>
          <w:rFonts w:ascii="Palatino Linotype" w:hAnsi="Palatino Linotype"/>
          <w:snapToGrid w:val="0"/>
          <w:szCs w:val="26"/>
        </w:rPr>
        <w:t>.</w:t>
      </w:r>
    </w:p>
    <w:p w:rsidRPr="00827CD4" w:rsidR="00CF17DE" w:rsidRDefault="00B734CA" w14:paraId="40E7C61D" w14:textId="16A94AF5">
      <w:pPr>
        <w:rPr>
          <w:rFonts w:ascii="Palatino Linotype" w:hAnsi="Palatino Linotype"/>
          <w:szCs w:val="26"/>
        </w:rPr>
      </w:pPr>
      <w:r w:rsidRPr="00827CD4">
        <w:rPr>
          <w:rFonts w:ascii="Palatino Linotype" w:hAnsi="Palatino Linotype"/>
          <w:szCs w:val="26"/>
        </w:rPr>
        <w:t xml:space="preserve"> </w:t>
      </w:r>
    </w:p>
    <w:p w:rsidRPr="0046533B" w:rsidR="00CF17DE" w:rsidRDefault="00CF17DE" w14:paraId="16A82360" w14:textId="77777777">
      <w:pPr>
        <w:pStyle w:val="Heading1"/>
        <w:rPr>
          <w:rFonts w:cs="Helvetica"/>
          <w:szCs w:val="26"/>
        </w:rPr>
      </w:pPr>
      <w:r w:rsidRPr="0046533B">
        <w:rPr>
          <w:rFonts w:cs="Helvetica"/>
          <w:szCs w:val="26"/>
        </w:rPr>
        <w:lastRenderedPageBreak/>
        <w:t>Comments</w:t>
      </w:r>
    </w:p>
    <w:p w:rsidRPr="00827CD4" w:rsidR="00CF17DE" w:rsidRDefault="00CF17DE" w14:paraId="57F34BC8" w14:textId="559406BE">
      <w:pPr>
        <w:rPr>
          <w:rFonts w:ascii="Palatino Linotype" w:hAnsi="Palatino Linotype"/>
          <w:szCs w:val="26"/>
        </w:rPr>
      </w:pPr>
      <w:r w:rsidRPr="00827CD4">
        <w:rPr>
          <w:rFonts w:ascii="Palatino Linotype" w:hAnsi="Palatino Linotype"/>
          <w:szCs w:val="26"/>
        </w:rPr>
        <w:t xml:space="preserve">Public Utilities Code section 311(g)(1) provides that this resolution must be served on all parties and subject to at least 30 days public </w:t>
      </w:r>
      <w:r w:rsidRPr="00827CD4" w:rsidR="00024C89">
        <w:rPr>
          <w:rFonts w:ascii="Palatino Linotype" w:hAnsi="Palatino Linotype"/>
          <w:szCs w:val="26"/>
        </w:rPr>
        <w:t>review</w:t>
      </w:r>
      <w:r w:rsidRPr="00827CD4">
        <w:rPr>
          <w:rFonts w:ascii="Palatino Linotype" w:hAnsi="Palatino Linotype"/>
          <w:szCs w:val="26"/>
        </w:rPr>
        <w:t xml:space="preserve">.  </w:t>
      </w:r>
      <w:r w:rsidRPr="00827CD4" w:rsidR="00055467">
        <w:rPr>
          <w:rFonts w:ascii="Palatino Linotype" w:hAnsi="Palatino Linotype"/>
          <w:szCs w:val="26"/>
        </w:rPr>
        <w:t xml:space="preserve">Please note that comments are due 20 days from the mailing date of this resolution. </w:t>
      </w:r>
      <w:r w:rsidRPr="00827CD4">
        <w:rPr>
          <w:rFonts w:ascii="Palatino Linotype" w:hAnsi="Palatino Linotype"/>
          <w:szCs w:val="26"/>
        </w:rPr>
        <w:t xml:space="preserve">Section 311(g)(2) provides that this 30-day </w:t>
      </w:r>
      <w:r w:rsidRPr="00827CD4" w:rsidR="00024C89">
        <w:rPr>
          <w:rFonts w:ascii="Palatino Linotype" w:hAnsi="Palatino Linotype"/>
          <w:szCs w:val="26"/>
        </w:rPr>
        <w:t xml:space="preserve">review </w:t>
      </w:r>
      <w:r w:rsidRPr="00827CD4">
        <w:rPr>
          <w:rFonts w:ascii="Palatino Linotype" w:hAnsi="Palatino Linotype"/>
          <w:szCs w:val="26"/>
        </w:rPr>
        <w:t>period</w:t>
      </w:r>
      <w:r w:rsidRPr="00827CD4" w:rsidR="00055467">
        <w:rPr>
          <w:rFonts w:ascii="Palatino Linotype" w:hAnsi="Palatino Linotype"/>
          <w:szCs w:val="26"/>
        </w:rPr>
        <w:t xml:space="preserve"> </w:t>
      </w:r>
      <w:r w:rsidRPr="00827CD4" w:rsidR="00024C89">
        <w:rPr>
          <w:rFonts w:ascii="Palatino Linotype" w:hAnsi="Palatino Linotype"/>
          <w:szCs w:val="26"/>
        </w:rPr>
        <w:t xml:space="preserve">and 20-day comment period </w:t>
      </w:r>
      <w:r w:rsidRPr="00827CD4">
        <w:rPr>
          <w:rFonts w:ascii="Palatino Linotype" w:hAnsi="Palatino Linotype"/>
          <w:szCs w:val="26"/>
        </w:rPr>
        <w:t xml:space="preserve">may be reduced or waived upon the stipulation of </w:t>
      </w:r>
      <w:r w:rsidRPr="00827CD4" w:rsidR="003F6E5A">
        <w:rPr>
          <w:rFonts w:ascii="Palatino Linotype" w:hAnsi="Palatino Linotype"/>
          <w:szCs w:val="26"/>
        </w:rPr>
        <w:t>all parties in the proceeding.</w:t>
      </w:r>
      <w:r w:rsidRPr="00827CD4" w:rsidR="00055467">
        <w:rPr>
          <w:rFonts w:ascii="Palatino Linotype" w:hAnsi="Palatino Linotype"/>
          <w:szCs w:val="26"/>
        </w:rPr>
        <w:t xml:space="preserve"> </w:t>
      </w:r>
    </w:p>
    <w:p w:rsidRPr="00827CD4" w:rsidR="00CF17DE" w:rsidRDefault="00CF17DE" w14:paraId="2BAF0E93" w14:textId="77777777">
      <w:pPr>
        <w:rPr>
          <w:rFonts w:ascii="Palatino Linotype" w:hAnsi="Palatino Linotype"/>
          <w:szCs w:val="26"/>
        </w:rPr>
      </w:pPr>
    </w:p>
    <w:p w:rsidRPr="00827CD4" w:rsidR="00CF17DE" w:rsidRDefault="00CF17DE" w14:paraId="75CEEBD9" w14:textId="1AD1BE66">
      <w:pPr>
        <w:rPr>
          <w:rFonts w:ascii="Palatino Linotype" w:hAnsi="Palatino Linotype"/>
          <w:szCs w:val="26"/>
          <w:u w:val="single"/>
        </w:rPr>
      </w:pPr>
      <w:r w:rsidRPr="00827CD4">
        <w:rPr>
          <w:rFonts w:ascii="Palatino Linotype" w:hAnsi="Palatino Linotype"/>
          <w:szCs w:val="26"/>
        </w:rPr>
        <w:t xml:space="preserve">The 30-day </w:t>
      </w:r>
      <w:r w:rsidRPr="00827CD4" w:rsidR="00024C89">
        <w:rPr>
          <w:rFonts w:ascii="Palatino Linotype" w:hAnsi="Palatino Linotype"/>
          <w:szCs w:val="26"/>
        </w:rPr>
        <w:t xml:space="preserve">review and 20-day </w:t>
      </w:r>
      <w:r w:rsidRPr="00827CD4">
        <w:rPr>
          <w:rFonts w:ascii="Palatino Linotype" w:hAnsi="Palatino Linotype"/>
          <w:szCs w:val="26"/>
        </w:rPr>
        <w:t>comment period for the draft of thi</w:t>
      </w:r>
      <w:r w:rsidRPr="00827CD4" w:rsidR="009D7160">
        <w:rPr>
          <w:rFonts w:ascii="Palatino Linotype" w:hAnsi="Palatino Linotype"/>
          <w:szCs w:val="26"/>
        </w:rPr>
        <w:t xml:space="preserve">s resolution was </w:t>
      </w:r>
      <w:r w:rsidRPr="00827CD4" w:rsidR="003F6E5A">
        <w:rPr>
          <w:rFonts w:ascii="Palatino Linotype" w:hAnsi="Palatino Linotype"/>
          <w:szCs w:val="26"/>
        </w:rPr>
        <w:t>neither waived nor</w:t>
      </w:r>
      <w:r w:rsidRPr="00827CD4">
        <w:rPr>
          <w:rFonts w:ascii="Palatino Linotype" w:hAnsi="Palatino Linotype"/>
          <w:szCs w:val="26"/>
        </w:rPr>
        <w:t xml:space="preserve"> reduced.  Accordingly, this draft resolution was mailed to parties for comments</w:t>
      </w:r>
      <w:r w:rsidRPr="00827CD4" w:rsidR="00090C4C">
        <w:rPr>
          <w:rFonts w:ascii="Palatino Linotype" w:hAnsi="Palatino Linotype"/>
          <w:szCs w:val="26"/>
        </w:rPr>
        <w:t xml:space="preserve"> on </w:t>
      </w:r>
      <w:r w:rsidR="009E2380">
        <w:rPr>
          <w:rFonts w:ascii="Palatino Linotype" w:hAnsi="Palatino Linotype"/>
          <w:szCs w:val="26"/>
        </w:rPr>
        <w:t>March 13, 2020</w:t>
      </w:r>
      <w:r w:rsidRPr="00827CD4" w:rsidR="00E72ED6">
        <w:rPr>
          <w:rFonts w:ascii="Palatino Linotype" w:hAnsi="Palatino Linotype"/>
          <w:szCs w:val="26"/>
        </w:rPr>
        <w:t>.</w:t>
      </w:r>
      <w:r w:rsidRPr="00827CD4" w:rsidR="00343330">
        <w:rPr>
          <w:rFonts w:ascii="Palatino Linotype" w:hAnsi="Palatino Linotype"/>
          <w:szCs w:val="26"/>
        </w:rPr>
        <w:t xml:space="preserve"> </w:t>
      </w:r>
    </w:p>
    <w:p w:rsidRPr="00827CD4" w:rsidR="00C47C67" w:rsidRDefault="00C47C67" w14:paraId="491C77F0" w14:textId="77777777">
      <w:pPr>
        <w:rPr>
          <w:rFonts w:ascii="Palatino Linotype" w:hAnsi="Palatino Linotype"/>
          <w:szCs w:val="26"/>
        </w:rPr>
      </w:pPr>
    </w:p>
    <w:p w:rsidRPr="0046533B" w:rsidR="00CF17DE" w:rsidRDefault="00CF17DE" w14:paraId="07618DBE" w14:textId="77777777">
      <w:pPr>
        <w:pStyle w:val="Heading1"/>
        <w:rPr>
          <w:rFonts w:cs="Helvetica"/>
          <w:szCs w:val="26"/>
        </w:rPr>
      </w:pPr>
      <w:r w:rsidRPr="0046533B">
        <w:rPr>
          <w:rFonts w:cs="Helvetica"/>
          <w:szCs w:val="26"/>
        </w:rPr>
        <w:t>Findings</w:t>
      </w:r>
    </w:p>
    <w:p w:rsidRPr="00827CD4" w:rsidR="001C38A0" w:rsidRDefault="00C16151" w14:paraId="5FD98F43" w14:textId="653B6877">
      <w:pPr>
        <w:numPr>
          <w:ilvl w:val="0"/>
          <w:numId w:val="4"/>
        </w:numPr>
        <w:rPr>
          <w:rFonts w:ascii="Palatino Linotype" w:hAnsi="Palatino Linotype"/>
          <w:szCs w:val="26"/>
        </w:rPr>
      </w:pPr>
      <w:r w:rsidRPr="00827CD4">
        <w:rPr>
          <w:rFonts w:ascii="Palatino Linotype" w:hAnsi="Palatino Linotype"/>
          <w:szCs w:val="26"/>
        </w:rPr>
        <w:t>Assembly Bill 1637 (Low, 2016)</w:t>
      </w:r>
      <w:r w:rsidRPr="00827CD4" w:rsidR="001C38A0">
        <w:rPr>
          <w:rFonts w:ascii="Palatino Linotype" w:hAnsi="Palatino Linotype"/>
          <w:szCs w:val="26"/>
        </w:rPr>
        <w:t xml:space="preserve"> requires both fuel cells that commence operation on or after January 1, 2017, and fuel c</w:t>
      </w:r>
      <w:r w:rsidRPr="00827CD4" w:rsidR="00F03316">
        <w:rPr>
          <w:rFonts w:ascii="Palatino Linotype" w:hAnsi="Palatino Linotype"/>
          <w:szCs w:val="26"/>
        </w:rPr>
        <w:t>e</w:t>
      </w:r>
      <w:r w:rsidRPr="00827CD4" w:rsidR="001C38A0">
        <w:rPr>
          <w:rFonts w:ascii="Palatino Linotype" w:hAnsi="Palatino Linotype"/>
          <w:szCs w:val="26"/>
        </w:rPr>
        <w:t xml:space="preserve">lls that were already taking service under the </w:t>
      </w:r>
      <w:r w:rsidRPr="00827CD4">
        <w:rPr>
          <w:rFonts w:ascii="Palatino Linotype" w:hAnsi="Palatino Linotype"/>
          <w:szCs w:val="26"/>
        </w:rPr>
        <w:t>Net Energy Metering Fuel Cell</w:t>
      </w:r>
      <w:r w:rsidRPr="00827CD4" w:rsidR="001C38A0">
        <w:rPr>
          <w:rFonts w:ascii="Palatino Linotype" w:hAnsi="Palatino Linotype"/>
          <w:szCs w:val="26"/>
        </w:rPr>
        <w:t xml:space="preserve"> tariff befor</w:t>
      </w:r>
      <w:r w:rsidRPr="00827CD4">
        <w:rPr>
          <w:rFonts w:ascii="Palatino Linotype" w:hAnsi="Palatino Linotype"/>
          <w:szCs w:val="26"/>
        </w:rPr>
        <w:t>e January 1, 2017, to meet the California Air Resources Board’s greenhouse gas</w:t>
      </w:r>
      <w:r w:rsidRPr="00827CD4" w:rsidR="001C38A0">
        <w:rPr>
          <w:rFonts w:ascii="Palatino Linotype" w:hAnsi="Palatino Linotype"/>
          <w:szCs w:val="26"/>
        </w:rPr>
        <w:t xml:space="preserve"> emissions standard</w:t>
      </w:r>
      <w:r w:rsidRPr="00827CD4">
        <w:rPr>
          <w:rFonts w:ascii="Palatino Linotype" w:hAnsi="Palatino Linotype"/>
          <w:szCs w:val="26"/>
        </w:rPr>
        <w:t>s.</w:t>
      </w:r>
    </w:p>
    <w:p w:rsidRPr="00827CD4" w:rsidR="000D68D6" w:rsidP="000D68D6" w:rsidRDefault="000D68D6" w14:paraId="77317501" w14:textId="638A08EB">
      <w:pPr>
        <w:numPr>
          <w:ilvl w:val="0"/>
          <w:numId w:val="4"/>
        </w:numPr>
        <w:rPr>
          <w:rFonts w:ascii="Palatino Linotype" w:hAnsi="Palatino Linotype"/>
          <w:szCs w:val="26"/>
        </w:rPr>
      </w:pPr>
      <w:r w:rsidRPr="00827CD4">
        <w:rPr>
          <w:rFonts w:ascii="Palatino Linotype" w:hAnsi="Palatino Linotype"/>
          <w:szCs w:val="26"/>
        </w:rPr>
        <w:t xml:space="preserve">To be eligible for the Net Energy Metering Fuel Cell tariff, generating technologies </w:t>
      </w:r>
      <w:r w:rsidRPr="00827CD4" w:rsidR="0080183E">
        <w:rPr>
          <w:rFonts w:ascii="Palatino Linotype" w:hAnsi="Palatino Linotype"/>
          <w:szCs w:val="26"/>
        </w:rPr>
        <w:t xml:space="preserve">must </w:t>
      </w:r>
      <w:r w:rsidRPr="00827CD4">
        <w:rPr>
          <w:rFonts w:ascii="Palatino Linotype" w:hAnsi="Palatino Linotype"/>
          <w:szCs w:val="26"/>
        </w:rPr>
        <w:t>c</w:t>
      </w:r>
      <w:r w:rsidRPr="00827CD4" w:rsidR="00C16151">
        <w:rPr>
          <w:rFonts w:ascii="Palatino Linotype" w:hAnsi="Palatino Linotype"/>
          <w:szCs w:val="26"/>
        </w:rPr>
        <w:t xml:space="preserve">omply with greenhouse gas </w:t>
      </w:r>
      <w:r w:rsidRPr="00827CD4">
        <w:rPr>
          <w:rFonts w:ascii="Palatino Linotype" w:hAnsi="Palatino Linotype"/>
          <w:szCs w:val="26"/>
        </w:rPr>
        <w:t>emission</w:t>
      </w:r>
      <w:r w:rsidRPr="00827CD4" w:rsidR="00C16151">
        <w:rPr>
          <w:rFonts w:ascii="Palatino Linotype" w:hAnsi="Palatino Linotype"/>
          <w:szCs w:val="26"/>
        </w:rPr>
        <w:t xml:space="preserve">s standards </w:t>
      </w:r>
      <w:r w:rsidRPr="00827CD4" w:rsidR="00F03316">
        <w:rPr>
          <w:rFonts w:ascii="Palatino Linotype" w:hAnsi="Palatino Linotype"/>
          <w:szCs w:val="26"/>
        </w:rPr>
        <w:t xml:space="preserve">that </w:t>
      </w:r>
      <w:r w:rsidRPr="00827CD4" w:rsidR="00C16151">
        <w:rPr>
          <w:rFonts w:ascii="Palatino Linotype" w:hAnsi="Palatino Linotype"/>
          <w:szCs w:val="26"/>
        </w:rPr>
        <w:t>the California Air Resources Board</w:t>
      </w:r>
      <w:r w:rsidR="003D1D68">
        <w:rPr>
          <w:rFonts w:ascii="Palatino Linotype" w:hAnsi="Palatino Linotype"/>
          <w:szCs w:val="26"/>
        </w:rPr>
        <w:t xml:space="preserve"> adopted</w:t>
      </w:r>
      <w:r w:rsidRPr="00827CD4" w:rsidR="00C16151">
        <w:rPr>
          <w:rFonts w:ascii="Palatino Linotype" w:hAnsi="Palatino Linotype"/>
          <w:szCs w:val="26"/>
        </w:rPr>
        <w:t>.</w:t>
      </w:r>
    </w:p>
    <w:p w:rsidRPr="00827CD4" w:rsidR="003959B1" w:rsidP="003959B1" w:rsidRDefault="003959B1" w14:paraId="3262C4BE" w14:textId="77777777">
      <w:pPr>
        <w:ind w:left="420"/>
        <w:rPr>
          <w:rFonts w:ascii="Palatino Linotype" w:hAnsi="Palatino Linotype"/>
          <w:szCs w:val="26"/>
        </w:rPr>
      </w:pPr>
    </w:p>
    <w:p w:rsidRPr="0046533B" w:rsidR="00CF17DE" w:rsidRDefault="00CF17DE" w14:paraId="03EBB768" w14:textId="77777777">
      <w:pPr>
        <w:pStyle w:val="Heading1"/>
        <w:rPr>
          <w:rFonts w:cs="Helvetica"/>
          <w:szCs w:val="26"/>
        </w:rPr>
      </w:pPr>
      <w:r w:rsidRPr="0046533B">
        <w:rPr>
          <w:rFonts w:cs="Helvetica"/>
          <w:szCs w:val="26"/>
        </w:rPr>
        <w:t>Therefore it is ordered that:</w:t>
      </w:r>
    </w:p>
    <w:p w:rsidRPr="00827CD4" w:rsidR="006F37EE" w:rsidP="00B10C89" w:rsidRDefault="006F37EE" w14:paraId="604F859D" w14:textId="12B54B78">
      <w:pPr>
        <w:numPr>
          <w:ilvl w:val="0"/>
          <w:numId w:val="5"/>
        </w:numPr>
        <w:rPr>
          <w:rFonts w:ascii="Palatino Linotype" w:hAnsi="Palatino Linotype"/>
          <w:snapToGrid w:val="0"/>
          <w:szCs w:val="26"/>
        </w:rPr>
      </w:pPr>
      <w:r w:rsidRPr="00827CD4">
        <w:rPr>
          <w:rFonts w:ascii="Palatino Linotype" w:hAnsi="Palatino Linotype"/>
          <w:snapToGrid w:val="0"/>
          <w:szCs w:val="26"/>
        </w:rPr>
        <w:t>The Requests for Commission Review filed by Bloom Energy Corporation and the National Fuel Cell Research Center</w:t>
      </w:r>
      <w:r w:rsidRPr="00827CD4" w:rsidR="00C73121">
        <w:rPr>
          <w:rFonts w:ascii="Palatino Linotype" w:hAnsi="Palatino Linotype"/>
          <w:snapToGrid w:val="0"/>
          <w:szCs w:val="26"/>
        </w:rPr>
        <w:t xml:space="preserve"> on February 21, 2017, </w:t>
      </w:r>
      <w:r w:rsidRPr="00827CD4">
        <w:rPr>
          <w:rFonts w:ascii="Palatino Linotype" w:hAnsi="Palatino Linotype"/>
          <w:snapToGrid w:val="0"/>
          <w:szCs w:val="26"/>
        </w:rPr>
        <w:t xml:space="preserve">are </w:t>
      </w:r>
      <w:r w:rsidRPr="00827CD4" w:rsidR="0080183E">
        <w:rPr>
          <w:rFonts w:ascii="Palatino Linotype" w:hAnsi="Palatino Linotype"/>
          <w:snapToGrid w:val="0"/>
          <w:szCs w:val="26"/>
        </w:rPr>
        <w:t>rejected</w:t>
      </w:r>
      <w:r w:rsidRPr="00827CD4">
        <w:rPr>
          <w:rFonts w:ascii="Palatino Linotype" w:hAnsi="Palatino Linotype"/>
          <w:snapToGrid w:val="0"/>
          <w:szCs w:val="26"/>
        </w:rPr>
        <w:t>.</w:t>
      </w:r>
    </w:p>
    <w:p w:rsidR="00E034E2" w:rsidP="006F37EE" w:rsidRDefault="00C73121" w14:paraId="1B2CBC8B" w14:textId="3D761314">
      <w:pPr>
        <w:numPr>
          <w:ilvl w:val="0"/>
          <w:numId w:val="5"/>
        </w:numPr>
        <w:rPr>
          <w:rFonts w:ascii="Palatino Linotype" w:hAnsi="Palatino Linotype"/>
          <w:snapToGrid w:val="0"/>
          <w:szCs w:val="26"/>
        </w:rPr>
      </w:pPr>
      <w:r w:rsidRPr="00827CD4">
        <w:rPr>
          <w:rFonts w:ascii="Palatino Linotype" w:hAnsi="Palatino Linotype"/>
          <w:snapToGrid w:val="0"/>
          <w:szCs w:val="26"/>
        </w:rPr>
        <w:t>The modifications to</w:t>
      </w:r>
      <w:r w:rsidRPr="00827CD4" w:rsidR="006F37EE">
        <w:rPr>
          <w:rFonts w:ascii="Palatino Linotype" w:hAnsi="Palatino Linotype"/>
          <w:snapToGrid w:val="0"/>
          <w:szCs w:val="26"/>
        </w:rPr>
        <w:t xml:space="preserve"> Pacific Gas and Electric Company</w:t>
      </w:r>
      <w:r w:rsidRPr="00827CD4">
        <w:rPr>
          <w:rFonts w:ascii="Palatino Linotype" w:hAnsi="Palatino Linotype"/>
          <w:snapToGrid w:val="0"/>
          <w:szCs w:val="26"/>
        </w:rPr>
        <w:t>’s</w:t>
      </w:r>
      <w:r w:rsidRPr="00827CD4" w:rsidR="006F37EE">
        <w:rPr>
          <w:rFonts w:ascii="Palatino Linotype" w:hAnsi="Palatino Linotype"/>
          <w:snapToGrid w:val="0"/>
          <w:szCs w:val="26"/>
        </w:rPr>
        <w:t xml:space="preserve"> (PG&amp;E) </w:t>
      </w:r>
      <w:r w:rsidRPr="00E034E2" w:rsidR="00E034E2">
        <w:rPr>
          <w:rFonts w:ascii="Palatino Linotype" w:hAnsi="Palatino Linotype"/>
          <w:snapToGrid w:val="0"/>
          <w:szCs w:val="26"/>
        </w:rPr>
        <w:t>Net Energy Metering Fuel Cell tariff</w:t>
      </w:r>
      <w:r w:rsidR="00E034E2">
        <w:rPr>
          <w:rFonts w:ascii="Palatino Linotype" w:hAnsi="Palatino Linotype"/>
          <w:snapToGrid w:val="0"/>
          <w:szCs w:val="26"/>
        </w:rPr>
        <w:t xml:space="preserve"> contained in </w:t>
      </w:r>
      <w:r w:rsidRPr="00E034E2" w:rsidR="00E034E2">
        <w:rPr>
          <w:rFonts w:ascii="Palatino Linotype" w:hAnsi="Palatino Linotype"/>
          <w:snapToGrid w:val="0"/>
          <w:szCs w:val="26"/>
        </w:rPr>
        <w:t xml:space="preserve">PG&amp;E Advice Letter </w:t>
      </w:r>
      <w:r w:rsidRPr="00E034E2" w:rsidR="00E034E2">
        <w:rPr>
          <w:rFonts w:ascii="Palatino Linotype" w:hAnsi="Palatino Linotype"/>
          <w:szCs w:val="26"/>
        </w:rPr>
        <w:t>5021-E</w:t>
      </w:r>
      <w:r w:rsidR="00E034E2">
        <w:rPr>
          <w:rFonts w:ascii="Palatino Linotype" w:hAnsi="Palatino Linotype"/>
          <w:szCs w:val="26"/>
        </w:rPr>
        <w:t xml:space="preserve"> are approved with an effective date of February 13, 2017.</w:t>
      </w:r>
    </w:p>
    <w:p w:rsidRPr="00E034E2" w:rsidR="00E034E2" w:rsidP="00E034E2" w:rsidRDefault="00E034E2" w14:paraId="12194056" w14:textId="7F5FE743">
      <w:pPr>
        <w:numPr>
          <w:ilvl w:val="0"/>
          <w:numId w:val="5"/>
        </w:numPr>
        <w:rPr>
          <w:rFonts w:ascii="Palatino Linotype" w:hAnsi="Palatino Linotype"/>
          <w:snapToGrid w:val="0"/>
          <w:szCs w:val="26"/>
        </w:rPr>
      </w:pPr>
      <w:r w:rsidRPr="00827CD4">
        <w:rPr>
          <w:rFonts w:ascii="Palatino Linotype" w:hAnsi="Palatino Linotype"/>
          <w:snapToGrid w:val="0"/>
          <w:szCs w:val="26"/>
        </w:rPr>
        <w:t xml:space="preserve">The modifications to </w:t>
      </w:r>
      <w:r w:rsidRPr="00827CD4" w:rsidR="006F37EE">
        <w:rPr>
          <w:rFonts w:ascii="Palatino Linotype" w:hAnsi="Palatino Linotype"/>
          <w:snapToGrid w:val="0"/>
          <w:szCs w:val="26"/>
        </w:rPr>
        <w:t>Southern California Electric Company</w:t>
      </w:r>
      <w:r w:rsidRPr="00827CD4" w:rsidR="00C73121">
        <w:rPr>
          <w:rFonts w:ascii="Palatino Linotype" w:hAnsi="Palatino Linotype"/>
          <w:snapToGrid w:val="0"/>
          <w:szCs w:val="26"/>
        </w:rPr>
        <w:t>’s</w:t>
      </w:r>
      <w:r w:rsidRPr="00827CD4" w:rsidR="006F37EE">
        <w:rPr>
          <w:rFonts w:ascii="Palatino Linotype" w:hAnsi="Palatino Linotype"/>
          <w:snapToGrid w:val="0"/>
          <w:szCs w:val="26"/>
        </w:rPr>
        <w:t xml:space="preserve"> (SCE)</w:t>
      </w:r>
      <w:r w:rsidRPr="00E034E2">
        <w:rPr>
          <w:rFonts w:ascii="Palatino Linotype" w:hAnsi="Palatino Linotype"/>
          <w:snapToGrid w:val="0"/>
          <w:szCs w:val="26"/>
        </w:rPr>
        <w:t xml:space="preserve"> Net Energy Metering Fuel Cell tariff</w:t>
      </w:r>
      <w:r>
        <w:rPr>
          <w:rFonts w:ascii="Palatino Linotype" w:hAnsi="Palatino Linotype"/>
          <w:snapToGrid w:val="0"/>
          <w:szCs w:val="26"/>
        </w:rPr>
        <w:t xml:space="preserve"> contained in </w:t>
      </w:r>
      <w:r w:rsidRPr="00827CD4">
        <w:rPr>
          <w:rFonts w:ascii="Palatino Linotype" w:hAnsi="Palatino Linotype"/>
          <w:szCs w:val="26"/>
        </w:rPr>
        <w:t>SCE A</w:t>
      </w:r>
      <w:r>
        <w:rPr>
          <w:rFonts w:ascii="Palatino Linotype" w:hAnsi="Palatino Linotype"/>
          <w:szCs w:val="26"/>
        </w:rPr>
        <w:t xml:space="preserve">dvice </w:t>
      </w:r>
      <w:r w:rsidRPr="00827CD4">
        <w:rPr>
          <w:rFonts w:ascii="Palatino Linotype" w:hAnsi="Palatino Linotype"/>
          <w:szCs w:val="26"/>
        </w:rPr>
        <w:t>L</w:t>
      </w:r>
      <w:r>
        <w:rPr>
          <w:rFonts w:ascii="Palatino Linotype" w:hAnsi="Palatino Linotype"/>
          <w:szCs w:val="26"/>
        </w:rPr>
        <w:t>etter</w:t>
      </w:r>
      <w:r w:rsidRPr="00827CD4">
        <w:rPr>
          <w:rFonts w:ascii="Palatino Linotype" w:hAnsi="Palatino Linotype"/>
          <w:szCs w:val="26"/>
        </w:rPr>
        <w:t xml:space="preserve"> 3558-E</w:t>
      </w:r>
      <w:r>
        <w:rPr>
          <w:rFonts w:ascii="Palatino Linotype" w:hAnsi="Palatino Linotype"/>
          <w:szCs w:val="26"/>
        </w:rPr>
        <w:t xml:space="preserve"> are approved with an effective date of February 14, 2017.</w:t>
      </w:r>
    </w:p>
    <w:p w:rsidRPr="00E034E2" w:rsidR="00CF17DE" w:rsidP="00E44E58" w:rsidRDefault="00E034E2" w14:paraId="4BCDF939" w14:textId="75C6C5F2">
      <w:pPr>
        <w:numPr>
          <w:ilvl w:val="0"/>
          <w:numId w:val="5"/>
        </w:numPr>
        <w:rPr>
          <w:rFonts w:ascii="Palatino Linotype" w:hAnsi="Palatino Linotype"/>
          <w:szCs w:val="26"/>
        </w:rPr>
      </w:pPr>
      <w:r w:rsidRPr="00E034E2">
        <w:rPr>
          <w:rFonts w:ascii="Palatino Linotype" w:hAnsi="Palatino Linotype"/>
          <w:snapToGrid w:val="0"/>
          <w:szCs w:val="26"/>
        </w:rPr>
        <w:t xml:space="preserve">The modifications to </w:t>
      </w:r>
      <w:r w:rsidRPr="00E034E2" w:rsidR="006F37EE">
        <w:rPr>
          <w:rFonts w:ascii="Palatino Linotype" w:hAnsi="Palatino Linotype"/>
          <w:snapToGrid w:val="0"/>
          <w:szCs w:val="26"/>
        </w:rPr>
        <w:t>San Diego Gas &amp; Electric Company</w:t>
      </w:r>
      <w:r w:rsidRPr="00E034E2" w:rsidR="00C73121">
        <w:rPr>
          <w:rFonts w:ascii="Palatino Linotype" w:hAnsi="Palatino Linotype"/>
          <w:snapToGrid w:val="0"/>
          <w:szCs w:val="26"/>
        </w:rPr>
        <w:t>’s</w:t>
      </w:r>
      <w:r w:rsidRPr="00E034E2" w:rsidR="006F37EE">
        <w:rPr>
          <w:rFonts w:ascii="Palatino Linotype" w:hAnsi="Palatino Linotype"/>
          <w:snapToGrid w:val="0"/>
          <w:szCs w:val="26"/>
        </w:rPr>
        <w:t xml:space="preserve"> (SDG&amp;E)</w:t>
      </w:r>
      <w:r w:rsidRPr="00E034E2" w:rsidR="00C16151">
        <w:rPr>
          <w:rFonts w:ascii="Palatino Linotype" w:hAnsi="Palatino Linotype"/>
          <w:snapToGrid w:val="0"/>
          <w:szCs w:val="26"/>
        </w:rPr>
        <w:t xml:space="preserve"> Net Energy Metering Fuel Cell t</w:t>
      </w:r>
      <w:r w:rsidRPr="00E034E2" w:rsidR="006F37EE">
        <w:rPr>
          <w:rFonts w:ascii="Palatino Linotype" w:hAnsi="Palatino Linotype"/>
          <w:snapToGrid w:val="0"/>
          <w:szCs w:val="26"/>
        </w:rPr>
        <w:t>ariff</w:t>
      </w:r>
      <w:r>
        <w:rPr>
          <w:rFonts w:ascii="Palatino Linotype" w:hAnsi="Palatino Linotype"/>
          <w:snapToGrid w:val="0"/>
          <w:szCs w:val="26"/>
        </w:rPr>
        <w:t xml:space="preserve"> contained in </w:t>
      </w:r>
      <w:r w:rsidRPr="00827CD4">
        <w:rPr>
          <w:rFonts w:ascii="Palatino Linotype" w:hAnsi="Palatino Linotype"/>
          <w:szCs w:val="26"/>
        </w:rPr>
        <w:t>SDG&amp;E A</w:t>
      </w:r>
      <w:r>
        <w:rPr>
          <w:rFonts w:ascii="Palatino Linotype" w:hAnsi="Palatino Linotype"/>
          <w:szCs w:val="26"/>
        </w:rPr>
        <w:t xml:space="preserve">dvice </w:t>
      </w:r>
      <w:r w:rsidRPr="00827CD4">
        <w:rPr>
          <w:rFonts w:ascii="Palatino Linotype" w:hAnsi="Palatino Linotype"/>
          <w:szCs w:val="26"/>
        </w:rPr>
        <w:t>L</w:t>
      </w:r>
      <w:r>
        <w:rPr>
          <w:rFonts w:ascii="Palatino Linotype" w:hAnsi="Palatino Linotype"/>
          <w:szCs w:val="26"/>
        </w:rPr>
        <w:t>etter</w:t>
      </w:r>
      <w:r w:rsidRPr="00827CD4">
        <w:rPr>
          <w:rFonts w:ascii="Palatino Linotype" w:hAnsi="Palatino Linotype"/>
          <w:szCs w:val="26"/>
        </w:rPr>
        <w:t xml:space="preserve"> 3044-E </w:t>
      </w:r>
      <w:r w:rsidRPr="00827CD4">
        <w:rPr>
          <w:rFonts w:ascii="Palatino Linotype" w:hAnsi="Palatino Linotype"/>
          <w:szCs w:val="26"/>
        </w:rPr>
        <w:lastRenderedPageBreak/>
        <w:t>and SDG&amp;E A</w:t>
      </w:r>
      <w:r>
        <w:rPr>
          <w:rFonts w:ascii="Palatino Linotype" w:hAnsi="Palatino Linotype"/>
          <w:szCs w:val="26"/>
        </w:rPr>
        <w:t xml:space="preserve">dvice </w:t>
      </w:r>
      <w:r w:rsidRPr="00827CD4">
        <w:rPr>
          <w:rFonts w:ascii="Palatino Linotype" w:hAnsi="Palatino Linotype"/>
          <w:szCs w:val="26"/>
        </w:rPr>
        <w:t>L</w:t>
      </w:r>
      <w:r>
        <w:rPr>
          <w:rFonts w:ascii="Palatino Linotype" w:hAnsi="Palatino Linotype"/>
          <w:szCs w:val="26"/>
        </w:rPr>
        <w:t>etter</w:t>
      </w:r>
      <w:r w:rsidRPr="00827CD4">
        <w:rPr>
          <w:rFonts w:ascii="Palatino Linotype" w:hAnsi="Palatino Linotype"/>
          <w:szCs w:val="26"/>
        </w:rPr>
        <w:t xml:space="preserve"> 3044-E-A</w:t>
      </w:r>
      <w:r>
        <w:rPr>
          <w:rFonts w:ascii="Palatino Linotype" w:hAnsi="Palatino Linotype"/>
          <w:szCs w:val="26"/>
        </w:rPr>
        <w:t xml:space="preserve"> are approved with effective dates of February 14, 2017, and July 28, 2017, respectively.</w:t>
      </w:r>
    </w:p>
    <w:p w:rsidR="00E034E2" w:rsidRDefault="00E034E2" w14:paraId="244CAD1A" w14:textId="77777777">
      <w:pPr>
        <w:tabs>
          <w:tab w:val="left" w:pos="720"/>
          <w:tab w:val="left" w:pos="1296"/>
          <w:tab w:val="left" w:pos="2016"/>
          <w:tab w:val="left" w:pos="2736"/>
          <w:tab w:val="left" w:pos="3456"/>
          <w:tab w:val="left" w:pos="4176"/>
          <w:tab w:val="left" w:pos="5760"/>
        </w:tabs>
        <w:rPr>
          <w:rFonts w:ascii="Palatino Linotype" w:hAnsi="Palatino Linotype"/>
          <w:szCs w:val="26"/>
        </w:rPr>
      </w:pPr>
    </w:p>
    <w:p w:rsidR="0046533B" w:rsidRDefault="0046533B" w14:paraId="095284A7" w14:textId="77777777">
      <w:pPr>
        <w:tabs>
          <w:tab w:val="left" w:pos="720"/>
          <w:tab w:val="left" w:pos="1296"/>
          <w:tab w:val="left" w:pos="2016"/>
          <w:tab w:val="left" w:pos="2736"/>
          <w:tab w:val="left" w:pos="3456"/>
          <w:tab w:val="left" w:pos="4176"/>
          <w:tab w:val="left" w:pos="5760"/>
        </w:tabs>
        <w:rPr>
          <w:rFonts w:ascii="Palatino Linotype" w:hAnsi="Palatino Linotype"/>
          <w:szCs w:val="26"/>
        </w:rPr>
      </w:pPr>
    </w:p>
    <w:p w:rsidRPr="00827CD4" w:rsidR="00CF17DE" w:rsidRDefault="00CF17DE" w14:paraId="37DEE6CF" w14:textId="1B0E2949">
      <w:pPr>
        <w:tabs>
          <w:tab w:val="left" w:pos="720"/>
          <w:tab w:val="left" w:pos="1296"/>
          <w:tab w:val="left" w:pos="2016"/>
          <w:tab w:val="left" w:pos="2736"/>
          <w:tab w:val="left" w:pos="3456"/>
          <w:tab w:val="left" w:pos="4176"/>
          <w:tab w:val="left" w:pos="5760"/>
        </w:tabs>
        <w:rPr>
          <w:rFonts w:ascii="Palatino Linotype" w:hAnsi="Palatino Linotype"/>
          <w:szCs w:val="26"/>
        </w:rPr>
      </w:pPr>
      <w:r w:rsidRPr="00827CD4">
        <w:rPr>
          <w:rFonts w:ascii="Palatino Linotype" w:hAnsi="Palatino Linotype"/>
          <w:szCs w:val="26"/>
        </w:rPr>
        <w:t>This Resolution is effective today.</w:t>
      </w:r>
    </w:p>
    <w:p w:rsidRPr="00827CD4" w:rsidR="00CB42C3" w:rsidRDefault="00CB42C3" w14:paraId="7D496AA3" w14:textId="77777777">
      <w:pPr>
        <w:tabs>
          <w:tab w:val="left" w:pos="720"/>
          <w:tab w:val="left" w:pos="1296"/>
          <w:tab w:val="left" w:pos="2016"/>
          <w:tab w:val="left" w:pos="2736"/>
          <w:tab w:val="left" w:pos="3456"/>
          <w:tab w:val="left" w:pos="4176"/>
          <w:tab w:val="left" w:pos="5760"/>
        </w:tabs>
        <w:rPr>
          <w:rFonts w:ascii="Palatino Linotype" w:hAnsi="Palatino Linotype"/>
          <w:szCs w:val="26"/>
        </w:rPr>
      </w:pPr>
    </w:p>
    <w:p w:rsidRPr="00827CD4" w:rsidR="00CF17DE" w:rsidRDefault="00CF17DE" w14:paraId="048CEE72" w14:textId="56263315">
      <w:pPr>
        <w:rPr>
          <w:rFonts w:ascii="Palatino Linotype" w:hAnsi="Palatino Linotype"/>
          <w:snapToGrid w:val="0"/>
          <w:szCs w:val="26"/>
        </w:rPr>
      </w:pPr>
      <w:r w:rsidRPr="00827CD4">
        <w:rPr>
          <w:rFonts w:ascii="Palatino Linotype" w:hAnsi="Palatino Linotype"/>
          <w:snapToGrid w:val="0"/>
          <w:szCs w:val="26"/>
        </w:rPr>
        <w:t xml:space="preserve">I certify that the foregoing resolution was duly introduced, passed and adopted at a conference of the Public Utilities Commission of the State of California held on </w:t>
      </w:r>
      <w:r w:rsidR="009E2380">
        <w:rPr>
          <w:rFonts w:ascii="Palatino Linotype" w:hAnsi="Palatino Linotype"/>
          <w:snapToGrid w:val="0"/>
          <w:szCs w:val="26"/>
        </w:rPr>
        <w:t>April 16, 2020</w:t>
      </w:r>
      <w:r w:rsidRPr="00827CD4">
        <w:rPr>
          <w:rFonts w:ascii="Palatino Linotype" w:hAnsi="Palatino Linotype"/>
          <w:snapToGrid w:val="0"/>
          <w:szCs w:val="26"/>
        </w:rPr>
        <w:t>; the following Commissioners voting favorably thereon:</w:t>
      </w:r>
    </w:p>
    <w:p w:rsidRPr="00827CD4" w:rsidR="00CF17DE" w:rsidRDefault="00CF17DE" w14:paraId="12D741D7" w14:textId="77777777">
      <w:pPr>
        <w:tabs>
          <w:tab w:val="left" w:pos="720"/>
          <w:tab w:val="left" w:pos="1152"/>
          <w:tab w:val="left" w:pos="1728"/>
          <w:tab w:val="left" w:pos="3168"/>
          <w:tab w:val="left" w:pos="5040"/>
        </w:tabs>
        <w:ind w:right="144"/>
        <w:rPr>
          <w:rFonts w:ascii="Palatino Linotype" w:hAnsi="Palatino Linotype"/>
          <w:szCs w:val="26"/>
        </w:rPr>
      </w:pPr>
    </w:p>
    <w:p w:rsidRPr="00827CD4" w:rsidR="00CF17DE" w:rsidRDefault="00CF17DE" w14:paraId="670582A9" w14:textId="77777777">
      <w:pPr>
        <w:tabs>
          <w:tab w:val="left" w:pos="720"/>
          <w:tab w:val="left" w:pos="1152"/>
          <w:tab w:val="left" w:pos="1728"/>
          <w:tab w:val="left" w:pos="3168"/>
          <w:tab w:val="left" w:pos="5040"/>
        </w:tabs>
        <w:ind w:right="144"/>
        <w:rPr>
          <w:rFonts w:ascii="Palatino Linotype" w:hAnsi="Palatino Linotype"/>
          <w:szCs w:val="26"/>
        </w:rPr>
      </w:pPr>
    </w:p>
    <w:p w:rsidRPr="00827CD4" w:rsidR="00CF17DE" w:rsidRDefault="00CF17DE" w14:paraId="59727804" w14:textId="0854664D">
      <w:pPr>
        <w:tabs>
          <w:tab w:val="left" w:pos="720"/>
          <w:tab w:val="left" w:pos="1152"/>
          <w:tab w:val="left" w:pos="1728"/>
          <w:tab w:val="left" w:pos="3168"/>
          <w:tab w:val="left" w:pos="5040"/>
        </w:tabs>
        <w:ind w:right="144"/>
        <w:rPr>
          <w:rFonts w:ascii="Palatino Linotype" w:hAnsi="Palatino Linotype"/>
          <w:szCs w:val="26"/>
        </w:rPr>
      </w:pP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t>_______________</w:t>
      </w:r>
      <w:r w:rsidRPr="00827CD4" w:rsidR="008E6797">
        <w:rPr>
          <w:rFonts w:ascii="Palatino Linotype" w:hAnsi="Palatino Linotype"/>
          <w:szCs w:val="26"/>
        </w:rPr>
        <w:t>______</w:t>
      </w:r>
    </w:p>
    <w:p w:rsidRPr="00827CD4" w:rsidR="00CF17DE" w:rsidRDefault="00CF17DE" w14:paraId="17731D81" w14:textId="28E55C16">
      <w:pPr>
        <w:rPr>
          <w:rFonts w:ascii="Palatino Linotype" w:hAnsi="Palatino Linotype"/>
          <w:szCs w:val="26"/>
        </w:rPr>
      </w:pP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sidR="00946E2C">
        <w:rPr>
          <w:rFonts w:ascii="Palatino Linotype" w:hAnsi="Palatino Linotype"/>
          <w:szCs w:val="26"/>
        </w:rPr>
        <w:t>ALICE STEBBINS</w:t>
      </w:r>
    </w:p>
    <w:p w:rsidRPr="00827CD4" w:rsidR="00CF17DE" w:rsidRDefault="00CF17DE" w14:paraId="363F8E7E" w14:textId="102B191D">
      <w:pPr>
        <w:rPr>
          <w:rFonts w:ascii="Palatino Linotype" w:hAnsi="Palatino Linotype"/>
          <w:szCs w:val="26"/>
        </w:rPr>
      </w:pP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r>
      <w:r w:rsidRPr="00827CD4">
        <w:rPr>
          <w:rFonts w:ascii="Palatino Linotype" w:hAnsi="Palatino Linotype"/>
          <w:szCs w:val="26"/>
        </w:rPr>
        <w:tab/>
        <w:t>Executive Director</w:t>
      </w:r>
    </w:p>
    <w:p w:rsidRPr="00827CD4" w:rsidR="00C04FA8" w:rsidP="00C16151" w:rsidRDefault="00C04FA8" w14:paraId="4F951053" w14:textId="205FA434">
      <w:pPr>
        <w:rPr>
          <w:rFonts w:ascii="Palatino Linotype" w:hAnsi="Palatino Linotype"/>
          <w:szCs w:val="26"/>
        </w:rPr>
      </w:pPr>
    </w:p>
    <w:sectPr w:rsidRPr="00827CD4" w:rsidR="00C04F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A56A" w14:textId="77777777" w:rsidR="00CB158A" w:rsidRDefault="00CB158A">
      <w:r>
        <w:separator/>
      </w:r>
    </w:p>
  </w:endnote>
  <w:endnote w:type="continuationSeparator" w:id="0">
    <w:p w14:paraId="11418389" w14:textId="77777777" w:rsidR="00CB158A" w:rsidRDefault="00CB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20205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E6D7" w14:textId="77777777" w:rsidR="0008299F" w:rsidRDefault="0008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D11B" w14:textId="77777777" w:rsidR="00602626" w:rsidRDefault="00602626">
    <w:pPr>
      <w:pStyle w:val="Footer"/>
    </w:pPr>
    <w:r>
      <w:rPr>
        <w:rStyle w:val="PageNumber"/>
      </w:rPr>
      <w:fldChar w:fldCharType="begin"/>
    </w:r>
    <w:r>
      <w:rPr>
        <w:rStyle w:val="PageNumber"/>
      </w:rPr>
      <w:instrText xml:space="preserve"> PAGE </w:instrText>
    </w:r>
    <w:r>
      <w:rPr>
        <w:rStyle w:val="PageNumber"/>
      </w:rPr>
      <w:fldChar w:fldCharType="separate"/>
    </w:r>
    <w:r w:rsidR="000A04EB">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3D63" w14:textId="31142968" w:rsidR="00602626" w:rsidRDefault="003A202C" w:rsidP="00C31CCD">
    <w:pPr>
      <w:pStyle w:val="Footer"/>
      <w:tabs>
        <w:tab w:val="clear" w:pos="4320"/>
        <w:tab w:val="center" w:pos="4680"/>
      </w:tabs>
      <w:jc w:val="left"/>
    </w:pPr>
    <w:r w:rsidRPr="003A202C">
      <w:rPr>
        <w:rFonts w:ascii="Palatino Linotype" w:hAnsi="Palatino Linotype" w:cs="Tahoma"/>
        <w:sz w:val="24"/>
        <w:szCs w:val="24"/>
      </w:rPr>
      <w:t>328612840</w:t>
    </w:r>
    <w:r w:rsidR="00602626" w:rsidRPr="003A202C">
      <w:rPr>
        <w:rStyle w:val="PageNumber"/>
      </w:rPr>
      <w:t xml:space="preserve">     </w:t>
    </w:r>
    <w:r w:rsidR="00602626">
      <w:rPr>
        <w:rStyle w:val="PageNumber"/>
      </w:rPr>
      <w:t xml:space="preserve">                                                  </w:t>
    </w:r>
    <w:r w:rsidR="00602626">
      <w:rPr>
        <w:rStyle w:val="PageNumber"/>
      </w:rPr>
      <w:fldChar w:fldCharType="begin"/>
    </w:r>
    <w:r w:rsidR="00602626">
      <w:rPr>
        <w:rStyle w:val="PageNumber"/>
      </w:rPr>
      <w:instrText xml:space="preserve"> PAGE </w:instrText>
    </w:r>
    <w:r w:rsidR="00602626">
      <w:rPr>
        <w:rStyle w:val="PageNumber"/>
      </w:rPr>
      <w:fldChar w:fldCharType="separate"/>
    </w:r>
    <w:r w:rsidR="000A04EB">
      <w:rPr>
        <w:rStyle w:val="PageNumber"/>
        <w:noProof/>
      </w:rPr>
      <w:t>1</w:t>
    </w:r>
    <w:r w:rsidR="0060262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414B" w14:textId="77777777" w:rsidR="00CB158A" w:rsidRDefault="00CB158A">
      <w:r>
        <w:separator/>
      </w:r>
    </w:p>
  </w:footnote>
  <w:footnote w:type="continuationSeparator" w:id="0">
    <w:p w14:paraId="6B43F805" w14:textId="77777777" w:rsidR="00CB158A" w:rsidRDefault="00CB158A">
      <w:r>
        <w:continuationSeparator/>
      </w:r>
    </w:p>
  </w:footnote>
  <w:footnote w:type="continuationNotice" w:id="1">
    <w:p w14:paraId="67A8ED7F" w14:textId="77777777" w:rsidR="00CB158A" w:rsidRPr="00B66FDF" w:rsidRDefault="00CB158A" w:rsidP="00B66FDF">
      <w:pPr>
        <w:pStyle w:val="Footer"/>
        <w:jc w:val="left"/>
      </w:pPr>
    </w:p>
  </w:footnote>
  <w:footnote w:id="2">
    <w:p w14:paraId="66EB5243" w14:textId="476FEAB7" w:rsidR="00602626" w:rsidRPr="00BE7690" w:rsidRDefault="00602626" w:rsidP="003D1D68">
      <w:pPr>
        <w:pStyle w:val="FootnoteText"/>
        <w:numPr>
          <w:ilvl w:val="0"/>
          <w:numId w:val="0"/>
        </w:numPr>
        <w:spacing w:after="0"/>
        <w:ind w:left="360" w:hanging="360"/>
        <w:rPr>
          <w:rFonts w:ascii="Palatino Linotype" w:hAnsi="Palatino Linotype"/>
          <w:szCs w:val="24"/>
        </w:rPr>
      </w:pPr>
      <w:r w:rsidRPr="00BE7690">
        <w:rPr>
          <w:rStyle w:val="FootnoteReference"/>
          <w:rFonts w:ascii="Palatino Linotype" w:hAnsi="Palatino Linotype"/>
          <w:szCs w:val="24"/>
        </w:rPr>
        <w:footnoteRef/>
      </w:r>
      <w:r w:rsidRPr="00BE7690">
        <w:rPr>
          <w:rFonts w:ascii="Palatino Linotype" w:hAnsi="Palatino Linotype"/>
          <w:szCs w:val="24"/>
          <w:vertAlign w:val="superscript"/>
        </w:rPr>
        <w:t xml:space="preserve"> </w:t>
      </w:r>
      <w:r w:rsidRPr="00BE7690">
        <w:rPr>
          <w:rFonts w:ascii="Palatino Linotype" w:hAnsi="Palatino Linotype"/>
          <w:szCs w:val="24"/>
          <w:vertAlign w:val="superscript"/>
        </w:rPr>
        <w:tab/>
      </w:r>
      <w:r w:rsidRPr="00BE7690">
        <w:rPr>
          <w:rFonts w:ascii="Palatino Linotype" w:hAnsi="Palatino Linotype"/>
          <w:szCs w:val="24"/>
        </w:rPr>
        <w:t xml:space="preserve">On December 22, 2016, Applied Medical Resource Corporation protested SCE’s </w:t>
      </w:r>
      <w:r w:rsidR="00435FD0">
        <w:rPr>
          <w:rFonts w:ascii="Palatino Linotype" w:hAnsi="Palatino Linotype"/>
          <w:szCs w:val="24"/>
        </w:rPr>
        <w:br/>
      </w:r>
      <w:r w:rsidRPr="00BE7690">
        <w:rPr>
          <w:rFonts w:ascii="Palatino Linotype" w:hAnsi="Palatino Linotype"/>
          <w:szCs w:val="24"/>
        </w:rPr>
        <w:t xml:space="preserve">AL </w:t>
      </w:r>
      <w:r w:rsidR="00751F14" w:rsidRPr="00BE7690">
        <w:rPr>
          <w:rFonts w:ascii="Palatino Linotype" w:hAnsi="Palatino Linotype"/>
          <w:szCs w:val="24"/>
        </w:rPr>
        <w:t>3523-E due to</w:t>
      </w:r>
      <w:r w:rsidRPr="00BE7690">
        <w:rPr>
          <w:rFonts w:ascii="Palatino Linotype" w:hAnsi="Palatino Linotype"/>
          <w:szCs w:val="24"/>
        </w:rPr>
        <w:t xml:space="preserve"> a concern related to terms in the Rates section of the tariff, which SCE had included as a “clean-up” item. In supplemental AL 3523-E-A, SCE subsequently removed the language that was the subject of the protest. Therefore, Applied Medical Resource Corporation’s protest is moot.</w:t>
      </w:r>
    </w:p>
  </w:footnote>
  <w:footnote w:id="3">
    <w:p w14:paraId="391CC7F9" w14:textId="77DCB170" w:rsidR="00602626" w:rsidRPr="00BE7690" w:rsidRDefault="00602626" w:rsidP="003D1D68">
      <w:pPr>
        <w:pStyle w:val="FootnoteText"/>
        <w:numPr>
          <w:ilvl w:val="0"/>
          <w:numId w:val="0"/>
        </w:numPr>
        <w:spacing w:after="0"/>
        <w:ind w:left="360" w:hanging="360"/>
        <w:rPr>
          <w:rFonts w:ascii="Palatino Linotype" w:hAnsi="Palatino Linotype"/>
          <w:szCs w:val="24"/>
        </w:rPr>
      </w:pPr>
      <w:r w:rsidRPr="00BE7690">
        <w:rPr>
          <w:rStyle w:val="FootnoteReference"/>
          <w:rFonts w:ascii="Palatino Linotype" w:hAnsi="Palatino Linotype"/>
          <w:szCs w:val="24"/>
        </w:rPr>
        <w:footnoteRef/>
      </w:r>
      <w:r w:rsidRPr="00BE7690">
        <w:rPr>
          <w:rFonts w:ascii="Palatino Linotype" w:hAnsi="Palatino Linotype"/>
          <w:szCs w:val="24"/>
        </w:rPr>
        <w:t xml:space="preserve"> </w:t>
      </w:r>
      <w:r w:rsidRPr="00BE7690">
        <w:rPr>
          <w:rFonts w:ascii="Palatino Linotype" w:hAnsi="Palatino Linotype"/>
          <w:szCs w:val="24"/>
        </w:rPr>
        <w:tab/>
        <w:t>All subsequent citations are to the Public Utilities Code unless otherwise noted.</w:t>
      </w:r>
    </w:p>
  </w:footnote>
  <w:footnote w:id="4">
    <w:p w14:paraId="5BB8010D" w14:textId="306C9ACE" w:rsidR="00BE7690" w:rsidRPr="00BE7690" w:rsidRDefault="00BE7690" w:rsidP="00BE7690">
      <w:pPr>
        <w:pStyle w:val="FootnoteText"/>
        <w:numPr>
          <w:ilvl w:val="0"/>
          <w:numId w:val="0"/>
        </w:numPr>
        <w:ind w:left="360" w:hanging="360"/>
        <w:rPr>
          <w:rFonts w:ascii="Palatino Linotype" w:hAnsi="Palatino Linotype"/>
          <w:szCs w:val="24"/>
        </w:rPr>
      </w:pPr>
      <w:r w:rsidRPr="00BE7690">
        <w:rPr>
          <w:rStyle w:val="FootnoteReference"/>
          <w:rFonts w:ascii="Palatino Linotype" w:hAnsi="Palatino Linotype"/>
          <w:szCs w:val="24"/>
        </w:rPr>
        <w:footnoteRef/>
      </w:r>
      <w:r>
        <w:rPr>
          <w:rFonts w:ascii="Palatino Linotype" w:hAnsi="Palatino Linotype"/>
          <w:szCs w:val="24"/>
        </w:rPr>
        <w:t xml:space="preserve">    </w:t>
      </w:r>
      <w:r w:rsidRPr="00BE7690">
        <w:rPr>
          <w:rFonts w:ascii="Palatino Linotype" w:hAnsi="Palatino Linotype"/>
          <w:szCs w:val="24"/>
        </w:rPr>
        <w:t xml:space="preserve"> On December 12, 2019, CARB adopted the NEMFC GHG emission standards</w:t>
      </w:r>
      <w:r w:rsidR="008C039B">
        <w:rPr>
          <w:rFonts w:ascii="Palatino Linotype" w:hAnsi="Palatino Linotype"/>
          <w:szCs w:val="24"/>
        </w:rPr>
        <w:t>, subject to finalization</w:t>
      </w:r>
      <w:r w:rsidRPr="00BE7690">
        <w:rPr>
          <w:rFonts w:ascii="Palatino Linotype" w:hAnsi="Palatino Linotype"/>
          <w:szCs w:val="24"/>
        </w:rPr>
        <w:t>.</w:t>
      </w:r>
      <w:r w:rsidR="008C039B">
        <w:rPr>
          <w:rFonts w:ascii="Palatino Linotype" w:hAnsi="Palatino Linotype"/>
          <w:szCs w:val="24"/>
        </w:rPr>
        <w:t xml:space="preserve"> The standards are retrievable here: </w:t>
      </w:r>
      <w:r w:rsidRPr="00BE7690">
        <w:rPr>
          <w:rFonts w:ascii="Palatino Linotype" w:hAnsi="Palatino Linotype"/>
          <w:szCs w:val="24"/>
        </w:rPr>
        <w:t>https://ww3.arb.ca.gov/regact/2019/fcnem19/finalres1936.pdf</w:t>
      </w:r>
      <w:r>
        <w:rPr>
          <w:rFonts w:ascii="Palatino Linotype" w:hAnsi="Palatino Linotype"/>
          <w:szCs w:val="24"/>
        </w:rPr>
        <w:t>.</w:t>
      </w:r>
    </w:p>
  </w:footnote>
  <w:footnote w:id="5">
    <w:p w14:paraId="2A52EE16" w14:textId="66C2E4A5" w:rsidR="00602626" w:rsidRPr="00BE7690" w:rsidRDefault="00602626" w:rsidP="003D1D68">
      <w:pPr>
        <w:pStyle w:val="FootnoteText"/>
        <w:numPr>
          <w:ilvl w:val="0"/>
          <w:numId w:val="0"/>
        </w:numPr>
        <w:spacing w:after="0"/>
        <w:ind w:left="360" w:hanging="360"/>
        <w:rPr>
          <w:rFonts w:ascii="Palatino Linotype" w:hAnsi="Palatino Linotype"/>
          <w:szCs w:val="24"/>
        </w:rPr>
      </w:pPr>
      <w:r w:rsidRPr="00BE7690">
        <w:rPr>
          <w:rStyle w:val="FootnoteReference"/>
          <w:rFonts w:ascii="Palatino Linotype" w:hAnsi="Palatino Linotype"/>
          <w:szCs w:val="24"/>
        </w:rPr>
        <w:footnoteRef/>
      </w:r>
      <w:r w:rsidRPr="00BE7690">
        <w:rPr>
          <w:rFonts w:ascii="Palatino Linotype" w:hAnsi="Palatino Linotype"/>
          <w:szCs w:val="24"/>
        </w:rPr>
        <w:t xml:space="preserve">    </w:t>
      </w:r>
      <w:r w:rsidR="00BE7690">
        <w:rPr>
          <w:rFonts w:ascii="Palatino Linotype" w:hAnsi="Palatino Linotype"/>
          <w:szCs w:val="24"/>
        </w:rPr>
        <w:t xml:space="preserve"> </w:t>
      </w:r>
      <w:r w:rsidRPr="00BE7690">
        <w:rPr>
          <w:rFonts w:ascii="Palatino Linotype" w:hAnsi="Palatino Linotype"/>
          <w:szCs w:val="24"/>
        </w:rPr>
        <w:t>http://leginfo.legislature.ca.gov/faces/billAnalysisClient.xhtml?bill_id=201520160</w:t>
      </w:r>
      <w:r w:rsidR="00BE7690">
        <w:rPr>
          <w:rFonts w:ascii="Palatino Linotype" w:hAnsi="Palatino Linotype"/>
          <w:szCs w:val="24"/>
        </w:rPr>
        <w:t xml:space="preserve"> </w:t>
      </w:r>
      <w:r w:rsidRPr="00BE7690">
        <w:rPr>
          <w:rFonts w:ascii="Palatino Linotype" w:hAnsi="Palatino Linotype"/>
          <w:szCs w:val="24"/>
        </w:rPr>
        <w:t xml:space="preserve">AB1637#.   </w:t>
      </w:r>
    </w:p>
  </w:footnote>
  <w:footnote w:id="6">
    <w:p w14:paraId="7EECBA59" w14:textId="1C34EE7B" w:rsidR="00602626" w:rsidRPr="00BE7690" w:rsidRDefault="00602626" w:rsidP="003D1D68">
      <w:pPr>
        <w:pStyle w:val="FootnoteText"/>
        <w:numPr>
          <w:ilvl w:val="0"/>
          <w:numId w:val="0"/>
        </w:numPr>
        <w:spacing w:after="0"/>
        <w:ind w:left="360" w:hanging="360"/>
        <w:rPr>
          <w:rFonts w:ascii="Palatino Linotype" w:hAnsi="Palatino Linotype"/>
          <w:szCs w:val="24"/>
        </w:rPr>
      </w:pPr>
      <w:r w:rsidRPr="00BE7690">
        <w:rPr>
          <w:rStyle w:val="FootnoteReference"/>
          <w:rFonts w:ascii="Palatino Linotype" w:hAnsi="Palatino Linotype"/>
          <w:szCs w:val="24"/>
        </w:rPr>
        <w:footnoteRef/>
      </w:r>
      <w:r w:rsidRPr="00BE7690">
        <w:rPr>
          <w:rFonts w:ascii="Palatino Linotype" w:hAnsi="Palatino Linotype"/>
          <w:szCs w:val="24"/>
        </w:rPr>
        <w:t xml:space="preserve"> </w:t>
      </w:r>
      <w:r w:rsidRPr="00BE7690">
        <w:rPr>
          <w:rFonts w:ascii="Palatino Linotype" w:hAnsi="Palatino Linotype"/>
          <w:szCs w:val="24"/>
        </w:rPr>
        <w:tab/>
        <w:t>Section 7.6.3 in the current version of GO 96-B published on May 10, 2018.</w:t>
      </w:r>
    </w:p>
  </w:footnote>
  <w:footnote w:id="7">
    <w:p w14:paraId="54A5038A" w14:textId="4789F28B" w:rsidR="00602626" w:rsidRPr="00BE7690" w:rsidRDefault="00602626" w:rsidP="003D1D68">
      <w:pPr>
        <w:pStyle w:val="FootnoteText"/>
        <w:numPr>
          <w:ilvl w:val="0"/>
          <w:numId w:val="0"/>
        </w:numPr>
        <w:spacing w:after="0"/>
        <w:ind w:left="360" w:hanging="360"/>
        <w:rPr>
          <w:rFonts w:ascii="Palatino Linotype" w:hAnsi="Palatino Linotype"/>
          <w:szCs w:val="24"/>
        </w:rPr>
      </w:pPr>
      <w:r w:rsidRPr="00BE7690">
        <w:rPr>
          <w:rStyle w:val="FootnoteReference"/>
          <w:rFonts w:ascii="Palatino Linotype" w:hAnsi="Palatino Linotype"/>
          <w:szCs w:val="24"/>
        </w:rPr>
        <w:footnoteRef/>
      </w:r>
      <w:r w:rsidRPr="00BE7690">
        <w:rPr>
          <w:rFonts w:ascii="Palatino Linotype" w:hAnsi="Palatino Linotype"/>
          <w:szCs w:val="24"/>
        </w:rPr>
        <w:t xml:space="preserve"> </w:t>
      </w:r>
      <w:r w:rsidRPr="00BE7690">
        <w:rPr>
          <w:rFonts w:ascii="Palatino Linotype" w:hAnsi="Palatino Linotype"/>
          <w:szCs w:val="24"/>
        </w:rPr>
        <w:tab/>
      </w:r>
      <w:r w:rsidR="00C47C30" w:rsidRPr="00BE7690">
        <w:rPr>
          <w:rFonts w:ascii="Palatino Linotype" w:hAnsi="Palatino Linotype"/>
          <w:szCs w:val="24"/>
        </w:rPr>
        <w:t>Because t</w:t>
      </w:r>
      <w:r w:rsidRPr="00BE7690">
        <w:rPr>
          <w:rFonts w:ascii="Palatino Linotype" w:hAnsi="Palatino Linotype"/>
          <w:szCs w:val="24"/>
        </w:rPr>
        <w:t>he Commission</w:t>
      </w:r>
      <w:r w:rsidR="00C47C30" w:rsidRPr="00BE7690">
        <w:rPr>
          <w:rFonts w:ascii="Palatino Linotype" w:hAnsi="Palatino Linotype"/>
          <w:szCs w:val="24"/>
        </w:rPr>
        <w:t xml:space="preserve"> has jurisdiction over the NEMFC tariff, it</w:t>
      </w:r>
      <w:r w:rsidRPr="00BE7690">
        <w:rPr>
          <w:rFonts w:ascii="Palatino Linotype" w:hAnsi="Palatino Linotype"/>
          <w:szCs w:val="24"/>
        </w:rPr>
        <w:t xml:space="preserve">s interpretation of AB 1637 and </w:t>
      </w:r>
      <w:r w:rsidR="00C47C30" w:rsidRPr="00BE7690">
        <w:rPr>
          <w:rFonts w:ascii="Palatino Linotype" w:hAnsi="Palatino Linotype"/>
          <w:szCs w:val="24"/>
        </w:rPr>
        <w:t>S</w:t>
      </w:r>
      <w:r w:rsidRPr="00BE7690">
        <w:rPr>
          <w:rFonts w:ascii="Palatino Linotype" w:hAnsi="Palatino Linotype"/>
          <w:szCs w:val="24"/>
        </w:rPr>
        <w:t>ection 2827.10</w:t>
      </w:r>
      <w:r w:rsidR="00C47C30" w:rsidRPr="00BE7690">
        <w:rPr>
          <w:rFonts w:ascii="Palatino Linotype" w:hAnsi="Palatino Linotype"/>
          <w:szCs w:val="24"/>
        </w:rPr>
        <w:t xml:space="preserve"> </w:t>
      </w:r>
      <w:r w:rsidRPr="00BE7690">
        <w:rPr>
          <w:rFonts w:ascii="Palatino Linotype" w:hAnsi="Palatino Linotype"/>
          <w:szCs w:val="24"/>
        </w:rPr>
        <w:t xml:space="preserve">is entitled to judicial deference. </w:t>
      </w:r>
      <w:r w:rsidRPr="00BE7690">
        <w:rPr>
          <w:rFonts w:ascii="Palatino Linotype" w:hAnsi="Palatino Linotype"/>
          <w:i/>
          <w:iCs/>
          <w:szCs w:val="24"/>
        </w:rPr>
        <w:t>See New Cingular Wireless PCS, LLC v. Pub. Util. Comm’n</w:t>
      </w:r>
      <w:r w:rsidRPr="00BE7690">
        <w:rPr>
          <w:rFonts w:ascii="Palatino Linotype" w:hAnsi="Palatino Linotype"/>
          <w:szCs w:val="24"/>
        </w:rPr>
        <w:t>, 246 Cal. App. 4th 784 (1st Dist.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8DA9" w14:textId="77777777" w:rsidR="0008299F" w:rsidRDefault="00082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5C15" w14:textId="16301017" w:rsidR="00602626" w:rsidRDefault="00602626">
    <w:pPr>
      <w:pStyle w:val="Header"/>
      <w:tabs>
        <w:tab w:val="clear" w:pos="4320"/>
        <w:tab w:val="clear" w:pos="8640"/>
        <w:tab w:val="center" w:pos="4680"/>
        <w:tab w:val="right" w:pos="9180"/>
      </w:tabs>
      <w:rPr>
        <w:rFonts w:ascii="Palatino Linotype" w:hAnsi="Palatino Linotype"/>
      </w:rPr>
    </w:pPr>
    <w:r w:rsidRPr="00C04FA8">
      <w:rPr>
        <w:rFonts w:ascii="Palatino Linotype" w:hAnsi="Palatino Linotype"/>
      </w:rPr>
      <w:t>Resolution E-</w:t>
    </w:r>
    <w:r>
      <w:rPr>
        <w:rFonts w:ascii="Palatino Linotype" w:hAnsi="Palatino Linotype"/>
      </w:rPr>
      <w:t>5011</w:t>
    </w:r>
    <w:r w:rsidR="0046533B">
      <w:rPr>
        <w:rFonts w:ascii="Palatino Linotype" w:hAnsi="Palatino Linotype"/>
      </w:rPr>
      <w:tab/>
    </w:r>
    <w:r w:rsidRPr="00C04FA8">
      <w:rPr>
        <w:rFonts w:ascii="Palatino Linotype" w:hAnsi="Palatino Linotype"/>
      </w:rPr>
      <w:t>DRAFT</w:t>
    </w:r>
    <w:r w:rsidRPr="00C04FA8">
      <w:rPr>
        <w:rFonts w:ascii="Palatino Linotype" w:hAnsi="Palatino Linotype"/>
      </w:rPr>
      <w:tab/>
    </w:r>
    <w:r w:rsidR="009E2380">
      <w:rPr>
        <w:rFonts w:ascii="Palatino Linotype" w:hAnsi="Palatino Linotype"/>
      </w:rPr>
      <w:t>April 16</w:t>
    </w:r>
    <w:r w:rsidR="00333F6F">
      <w:rPr>
        <w:rFonts w:ascii="Palatino Linotype" w:hAnsi="Palatino Linotype"/>
      </w:rPr>
      <w:t>, 2020</w:t>
    </w:r>
  </w:p>
  <w:p w14:paraId="19DF84A3" w14:textId="57388CC7" w:rsidR="0046533B" w:rsidRPr="00827CD4" w:rsidRDefault="0046533B" w:rsidP="0046533B">
    <w:pPr>
      <w:pStyle w:val="Res-Caption"/>
      <w:ind w:left="0"/>
      <w:rPr>
        <w:rFonts w:ascii="Palatino Linotype" w:hAnsi="Palatino Linotype"/>
        <w:szCs w:val="26"/>
      </w:rPr>
    </w:pPr>
    <w:r>
      <w:rPr>
        <w:rFonts w:ascii="Palatino Linotype" w:hAnsi="Palatino Linotype"/>
        <w:szCs w:val="26"/>
      </w:rPr>
      <w:t>PG&amp;E AL 4</w:t>
    </w:r>
    <w:r w:rsidRPr="00827CD4">
      <w:rPr>
        <w:rFonts w:ascii="Palatino Linotype" w:hAnsi="Palatino Linotype"/>
        <w:szCs w:val="26"/>
      </w:rPr>
      <w:t xml:space="preserve">971-E/-E-A, </w:t>
    </w:r>
    <w:r>
      <w:rPr>
        <w:rFonts w:ascii="Palatino Linotype" w:hAnsi="Palatino Linotype"/>
        <w:szCs w:val="26"/>
      </w:rPr>
      <w:t xml:space="preserve">SCE AL </w:t>
    </w:r>
    <w:r w:rsidRPr="00827CD4">
      <w:rPr>
        <w:rFonts w:ascii="Palatino Linotype" w:hAnsi="Palatino Linotype"/>
        <w:szCs w:val="26"/>
      </w:rPr>
      <w:t>3523-E/-E-A,</w:t>
    </w:r>
    <w:bookmarkStart w:id="6" w:name="_GoBack"/>
    <w:bookmarkEnd w:id="6"/>
    <w:r w:rsidRPr="00827CD4">
      <w:rPr>
        <w:rFonts w:ascii="Palatino Linotype" w:hAnsi="Palatino Linotype"/>
        <w:szCs w:val="26"/>
      </w:rPr>
      <w:t xml:space="preserve"> SDG&amp;E </w:t>
    </w:r>
    <w:r>
      <w:rPr>
        <w:rFonts w:ascii="Palatino Linotype" w:hAnsi="Palatino Linotype"/>
        <w:szCs w:val="26"/>
      </w:rPr>
      <w:t xml:space="preserve">AL </w:t>
    </w:r>
    <w:r w:rsidRPr="00827CD4">
      <w:rPr>
        <w:rFonts w:ascii="Palatino Linotype" w:hAnsi="Palatino Linotype"/>
        <w:szCs w:val="26"/>
      </w:rPr>
      <w:t>3017-</w:t>
    </w:r>
    <w:r>
      <w:rPr>
        <w:rFonts w:ascii="Palatino Linotype" w:hAnsi="Palatino Linotype"/>
        <w:szCs w:val="26"/>
      </w:rPr>
      <w:t>E/ BK4</w:t>
    </w:r>
  </w:p>
  <w:p w14:paraId="013F4CD4" w14:textId="77777777" w:rsidR="00602626" w:rsidRPr="00C04FA8" w:rsidRDefault="00602626">
    <w:pPr>
      <w:pStyle w:val="Header"/>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806" w14:textId="77777777" w:rsidR="00602626" w:rsidRPr="008E6797" w:rsidRDefault="00602626"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3429"/>
    <w:multiLevelType w:val="hybridMultilevel"/>
    <w:tmpl w:val="5CB65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66E2A9F"/>
    <w:multiLevelType w:val="multilevel"/>
    <w:tmpl w:val="884439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2"/>
  </w:num>
  <w:num w:numId="6">
    <w:abstractNumId w:val="6"/>
  </w:num>
  <w:num w:numId="7">
    <w:abstractNumId w:val="9"/>
  </w:num>
  <w:num w:numId="8">
    <w:abstractNumId w:val="10"/>
  </w:num>
  <w:num w:numId="9">
    <w:abstractNumId w:val="4"/>
  </w:num>
  <w:num w:numId="10">
    <w:abstractNumId w:val="0"/>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31AF"/>
    <w:rsid w:val="000108EB"/>
    <w:rsid w:val="00012D45"/>
    <w:rsid w:val="000237AE"/>
    <w:rsid w:val="00024C89"/>
    <w:rsid w:val="00025975"/>
    <w:rsid w:val="00055467"/>
    <w:rsid w:val="00061ECF"/>
    <w:rsid w:val="0008299F"/>
    <w:rsid w:val="00090C4C"/>
    <w:rsid w:val="00097ADC"/>
    <w:rsid w:val="000A04EB"/>
    <w:rsid w:val="000B5D11"/>
    <w:rsid w:val="000D3A75"/>
    <w:rsid w:val="000D619D"/>
    <w:rsid w:val="000D68D6"/>
    <w:rsid w:val="000E14B8"/>
    <w:rsid w:val="000E1C4C"/>
    <w:rsid w:val="000F24DC"/>
    <w:rsid w:val="000F26DF"/>
    <w:rsid w:val="001300E5"/>
    <w:rsid w:val="00132154"/>
    <w:rsid w:val="00134150"/>
    <w:rsid w:val="0014030E"/>
    <w:rsid w:val="00142FB8"/>
    <w:rsid w:val="00146131"/>
    <w:rsid w:val="001470D8"/>
    <w:rsid w:val="00165280"/>
    <w:rsid w:val="00172F01"/>
    <w:rsid w:val="00181785"/>
    <w:rsid w:val="00192669"/>
    <w:rsid w:val="00195C78"/>
    <w:rsid w:val="001B1C4B"/>
    <w:rsid w:val="001C38A0"/>
    <w:rsid w:val="001C463E"/>
    <w:rsid w:val="001F54CB"/>
    <w:rsid w:val="002005B2"/>
    <w:rsid w:val="00225461"/>
    <w:rsid w:val="00231736"/>
    <w:rsid w:val="002520AD"/>
    <w:rsid w:val="0025455C"/>
    <w:rsid w:val="002821EB"/>
    <w:rsid w:val="00282D87"/>
    <w:rsid w:val="00286120"/>
    <w:rsid w:val="00295DB3"/>
    <w:rsid w:val="002C5163"/>
    <w:rsid w:val="002D4C39"/>
    <w:rsid w:val="002E49B2"/>
    <w:rsid w:val="003074FB"/>
    <w:rsid w:val="003130CD"/>
    <w:rsid w:val="00333456"/>
    <w:rsid w:val="00333F6F"/>
    <w:rsid w:val="00343330"/>
    <w:rsid w:val="0035035F"/>
    <w:rsid w:val="00351634"/>
    <w:rsid w:val="00367A7B"/>
    <w:rsid w:val="00375A58"/>
    <w:rsid w:val="00390716"/>
    <w:rsid w:val="00394B3A"/>
    <w:rsid w:val="003959B1"/>
    <w:rsid w:val="003A1C90"/>
    <w:rsid w:val="003A202C"/>
    <w:rsid w:val="003B1839"/>
    <w:rsid w:val="003D1D68"/>
    <w:rsid w:val="003E72E8"/>
    <w:rsid w:val="003F0F65"/>
    <w:rsid w:val="003F6E5A"/>
    <w:rsid w:val="00400F6B"/>
    <w:rsid w:val="00402FA9"/>
    <w:rsid w:val="00406924"/>
    <w:rsid w:val="004115A4"/>
    <w:rsid w:val="00411D6C"/>
    <w:rsid w:val="00435FD0"/>
    <w:rsid w:val="00440AB7"/>
    <w:rsid w:val="00440BD3"/>
    <w:rsid w:val="00441EB3"/>
    <w:rsid w:val="00461707"/>
    <w:rsid w:val="0046533B"/>
    <w:rsid w:val="00467956"/>
    <w:rsid w:val="00470B9B"/>
    <w:rsid w:val="004713A6"/>
    <w:rsid w:val="004905D3"/>
    <w:rsid w:val="004B48DC"/>
    <w:rsid w:val="004C137A"/>
    <w:rsid w:val="004C2967"/>
    <w:rsid w:val="004D00E6"/>
    <w:rsid w:val="004D3212"/>
    <w:rsid w:val="004D637D"/>
    <w:rsid w:val="0052601A"/>
    <w:rsid w:val="00566424"/>
    <w:rsid w:val="005833BC"/>
    <w:rsid w:val="005858AD"/>
    <w:rsid w:val="00590A83"/>
    <w:rsid w:val="00593807"/>
    <w:rsid w:val="00595947"/>
    <w:rsid w:val="005B0FB5"/>
    <w:rsid w:val="005B16ED"/>
    <w:rsid w:val="005C1C80"/>
    <w:rsid w:val="005C6433"/>
    <w:rsid w:val="005D7130"/>
    <w:rsid w:val="005F1942"/>
    <w:rsid w:val="00602626"/>
    <w:rsid w:val="00607CFD"/>
    <w:rsid w:val="00613C9A"/>
    <w:rsid w:val="00630D2C"/>
    <w:rsid w:val="00637CCB"/>
    <w:rsid w:val="006474E6"/>
    <w:rsid w:val="00663B21"/>
    <w:rsid w:val="00681F94"/>
    <w:rsid w:val="006827D8"/>
    <w:rsid w:val="006929CE"/>
    <w:rsid w:val="0069631C"/>
    <w:rsid w:val="006B05EE"/>
    <w:rsid w:val="006B76BF"/>
    <w:rsid w:val="006C1EB2"/>
    <w:rsid w:val="006C34DC"/>
    <w:rsid w:val="006C500C"/>
    <w:rsid w:val="006D0218"/>
    <w:rsid w:val="006D6860"/>
    <w:rsid w:val="006E5AE9"/>
    <w:rsid w:val="006F21BB"/>
    <w:rsid w:val="006F37EE"/>
    <w:rsid w:val="006F442B"/>
    <w:rsid w:val="00723F55"/>
    <w:rsid w:val="00743201"/>
    <w:rsid w:val="00751F14"/>
    <w:rsid w:val="00766D11"/>
    <w:rsid w:val="007742E1"/>
    <w:rsid w:val="00785D63"/>
    <w:rsid w:val="007A281A"/>
    <w:rsid w:val="007A6EE6"/>
    <w:rsid w:val="007D2E6C"/>
    <w:rsid w:val="007D3B6A"/>
    <w:rsid w:val="007D5675"/>
    <w:rsid w:val="007D578F"/>
    <w:rsid w:val="007D67CA"/>
    <w:rsid w:val="007D7C6E"/>
    <w:rsid w:val="007F7E04"/>
    <w:rsid w:val="0080183E"/>
    <w:rsid w:val="00801D70"/>
    <w:rsid w:val="0080453A"/>
    <w:rsid w:val="00807834"/>
    <w:rsid w:val="00815290"/>
    <w:rsid w:val="00827CD4"/>
    <w:rsid w:val="0083498E"/>
    <w:rsid w:val="00847F1F"/>
    <w:rsid w:val="00857A0C"/>
    <w:rsid w:val="00862125"/>
    <w:rsid w:val="00886CF4"/>
    <w:rsid w:val="008C039B"/>
    <w:rsid w:val="008D1D21"/>
    <w:rsid w:val="008E095A"/>
    <w:rsid w:val="008E6797"/>
    <w:rsid w:val="008F48CD"/>
    <w:rsid w:val="0090457B"/>
    <w:rsid w:val="00911541"/>
    <w:rsid w:val="0092546C"/>
    <w:rsid w:val="00935181"/>
    <w:rsid w:val="0093737B"/>
    <w:rsid w:val="00946E2C"/>
    <w:rsid w:val="00964A3E"/>
    <w:rsid w:val="00966821"/>
    <w:rsid w:val="0097400E"/>
    <w:rsid w:val="009809B1"/>
    <w:rsid w:val="00987B2F"/>
    <w:rsid w:val="00991128"/>
    <w:rsid w:val="009A24A8"/>
    <w:rsid w:val="009A50E0"/>
    <w:rsid w:val="009B5CA7"/>
    <w:rsid w:val="009C6388"/>
    <w:rsid w:val="009D3D53"/>
    <w:rsid w:val="009D7160"/>
    <w:rsid w:val="009E2380"/>
    <w:rsid w:val="00A10A46"/>
    <w:rsid w:val="00A1526C"/>
    <w:rsid w:val="00A218B6"/>
    <w:rsid w:val="00A22DD3"/>
    <w:rsid w:val="00A27F08"/>
    <w:rsid w:val="00A313A6"/>
    <w:rsid w:val="00A45E2A"/>
    <w:rsid w:val="00A60201"/>
    <w:rsid w:val="00A84742"/>
    <w:rsid w:val="00A962A2"/>
    <w:rsid w:val="00AB2CD0"/>
    <w:rsid w:val="00AD62B7"/>
    <w:rsid w:val="00AD7D8A"/>
    <w:rsid w:val="00AE664C"/>
    <w:rsid w:val="00AE7C55"/>
    <w:rsid w:val="00AF1DF6"/>
    <w:rsid w:val="00B10C89"/>
    <w:rsid w:val="00B202A1"/>
    <w:rsid w:val="00B20AB3"/>
    <w:rsid w:val="00B53268"/>
    <w:rsid w:val="00B66FDF"/>
    <w:rsid w:val="00B71A46"/>
    <w:rsid w:val="00B734CA"/>
    <w:rsid w:val="00B8587D"/>
    <w:rsid w:val="00B927B5"/>
    <w:rsid w:val="00BA36E3"/>
    <w:rsid w:val="00BB34BF"/>
    <w:rsid w:val="00BB67E4"/>
    <w:rsid w:val="00BD09CC"/>
    <w:rsid w:val="00BD6FF5"/>
    <w:rsid w:val="00BE3A84"/>
    <w:rsid w:val="00BE7690"/>
    <w:rsid w:val="00BF5FA3"/>
    <w:rsid w:val="00BF7902"/>
    <w:rsid w:val="00C034B7"/>
    <w:rsid w:val="00C04FA8"/>
    <w:rsid w:val="00C12901"/>
    <w:rsid w:val="00C16151"/>
    <w:rsid w:val="00C27082"/>
    <w:rsid w:val="00C31CCD"/>
    <w:rsid w:val="00C366CF"/>
    <w:rsid w:val="00C47C30"/>
    <w:rsid w:val="00C47C67"/>
    <w:rsid w:val="00C64593"/>
    <w:rsid w:val="00C73121"/>
    <w:rsid w:val="00C75209"/>
    <w:rsid w:val="00CA28A1"/>
    <w:rsid w:val="00CA36ED"/>
    <w:rsid w:val="00CB158A"/>
    <w:rsid w:val="00CB42C3"/>
    <w:rsid w:val="00CF17DE"/>
    <w:rsid w:val="00CF62F4"/>
    <w:rsid w:val="00CF77D8"/>
    <w:rsid w:val="00D0484A"/>
    <w:rsid w:val="00D137B9"/>
    <w:rsid w:val="00D20F6C"/>
    <w:rsid w:val="00D52F2C"/>
    <w:rsid w:val="00D800DD"/>
    <w:rsid w:val="00D90496"/>
    <w:rsid w:val="00DB08CE"/>
    <w:rsid w:val="00DB619F"/>
    <w:rsid w:val="00DB6F2C"/>
    <w:rsid w:val="00DC13FC"/>
    <w:rsid w:val="00DC75B9"/>
    <w:rsid w:val="00DD0C5D"/>
    <w:rsid w:val="00DD3C27"/>
    <w:rsid w:val="00DD4795"/>
    <w:rsid w:val="00DD7F2C"/>
    <w:rsid w:val="00DE038C"/>
    <w:rsid w:val="00DE17A9"/>
    <w:rsid w:val="00DE1904"/>
    <w:rsid w:val="00DF35CC"/>
    <w:rsid w:val="00E02127"/>
    <w:rsid w:val="00E034E2"/>
    <w:rsid w:val="00E070FA"/>
    <w:rsid w:val="00E106E5"/>
    <w:rsid w:val="00E46169"/>
    <w:rsid w:val="00E558B4"/>
    <w:rsid w:val="00E56EE2"/>
    <w:rsid w:val="00E60E7E"/>
    <w:rsid w:val="00E72ED6"/>
    <w:rsid w:val="00E75ABE"/>
    <w:rsid w:val="00E928CF"/>
    <w:rsid w:val="00E9667B"/>
    <w:rsid w:val="00EB3C15"/>
    <w:rsid w:val="00EB50BF"/>
    <w:rsid w:val="00EB6F45"/>
    <w:rsid w:val="00EC4C21"/>
    <w:rsid w:val="00EE64FE"/>
    <w:rsid w:val="00EF4A31"/>
    <w:rsid w:val="00F03316"/>
    <w:rsid w:val="00F15E2F"/>
    <w:rsid w:val="00F204E9"/>
    <w:rsid w:val="00F24996"/>
    <w:rsid w:val="00F42C61"/>
    <w:rsid w:val="00F51F8B"/>
    <w:rsid w:val="00FA0F8F"/>
    <w:rsid w:val="00FA13C8"/>
    <w:rsid w:val="00FC0830"/>
    <w:rsid w:val="00FC11B1"/>
    <w:rsid w:val="00FC49AA"/>
    <w:rsid w:val="00FC520F"/>
    <w:rsid w:val="00FD436F"/>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0C7BF"/>
  <w15:docId w15:val="{784D2E79-FE79-42CE-A38B-61DF2A7C3D3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Default">
    <w:name w:val="Default"/>
    <w:rsid w:val="00461707"/>
    <w:pPr>
      <w:autoSpaceDE w:val="0"/>
      <w:autoSpaceDN w:val="0"/>
      <w:adjustRightInd w:val="0"/>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F15E2F"/>
    <w:rPr>
      <w:sz w:val="16"/>
      <w:szCs w:val="16"/>
    </w:rPr>
  </w:style>
  <w:style w:type="paragraph" w:styleId="CommentText">
    <w:name w:val="annotation text"/>
    <w:basedOn w:val="Normal"/>
    <w:link w:val="CommentTextChar"/>
    <w:uiPriority w:val="99"/>
    <w:semiHidden/>
    <w:unhideWhenUsed/>
    <w:rsid w:val="00F15E2F"/>
    <w:rPr>
      <w:sz w:val="20"/>
    </w:rPr>
  </w:style>
  <w:style w:type="character" w:customStyle="1" w:styleId="CommentTextChar">
    <w:name w:val="Comment Text Char"/>
    <w:basedOn w:val="DefaultParagraphFont"/>
    <w:link w:val="CommentText"/>
    <w:uiPriority w:val="99"/>
    <w:semiHidden/>
    <w:rsid w:val="00F15E2F"/>
    <w:rPr>
      <w:rFonts w:ascii="Palatino" w:hAnsi="Palatino"/>
    </w:rPr>
  </w:style>
  <w:style w:type="paragraph" w:styleId="CommentSubject">
    <w:name w:val="annotation subject"/>
    <w:basedOn w:val="CommentText"/>
    <w:next w:val="CommentText"/>
    <w:link w:val="CommentSubjectChar"/>
    <w:semiHidden/>
    <w:unhideWhenUsed/>
    <w:rsid w:val="00F15E2F"/>
    <w:rPr>
      <w:b/>
      <w:bCs/>
    </w:rPr>
  </w:style>
  <w:style w:type="character" w:customStyle="1" w:styleId="CommentSubjectChar">
    <w:name w:val="Comment Subject Char"/>
    <w:basedOn w:val="CommentTextChar"/>
    <w:link w:val="CommentSubject"/>
    <w:semiHidden/>
    <w:rsid w:val="00F15E2F"/>
    <w:rPr>
      <w:rFonts w:ascii="Palatino" w:hAnsi="Palatino"/>
      <w:b/>
      <w:bCs/>
    </w:rPr>
  </w:style>
  <w:style w:type="paragraph" w:styleId="BalloonText">
    <w:name w:val="Balloon Text"/>
    <w:basedOn w:val="Normal"/>
    <w:link w:val="BalloonTextChar"/>
    <w:rsid w:val="00F15E2F"/>
    <w:rPr>
      <w:rFonts w:ascii="Segoe UI" w:hAnsi="Segoe UI" w:cs="Segoe UI"/>
      <w:sz w:val="18"/>
      <w:szCs w:val="18"/>
    </w:rPr>
  </w:style>
  <w:style w:type="character" w:customStyle="1" w:styleId="BalloonTextChar">
    <w:name w:val="Balloon Text Char"/>
    <w:basedOn w:val="DefaultParagraphFont"/>
    <w:link w:val="BalloonText"/>
    <w:rsid w:val="00F15E2F"/>
    <w:rPr>
      <w:rFonts w:ascii="Segoe UI" w:hAnsi="Segoe UI" w:cs="Segoe UI"/>
      <w:sz w:val="18"/>
      <w:szCs w:val="18"/>
    </w:rPr>
  </w:style>
  <w:style w:type="paragraph" w:styleId="BodyText">
    <w:name w:val="Body Text"/>
    <w:basedOn w:val="Normal"/>
    <w:link w:val="BodyTextChar"/>
    <w:rsid w:val="00595947"/>
    <w:rPr>
      <w:rFonts w:ascii="Times New Roman" w:hAnsi="Times New Roman"/>
      <w:i/>
      <w:sz w:val="24"/>
      <w:szCs w:val="24"/>
    </w:rPr>
  </w:style>
  <w:style w:type="character" w:customStyle="1" w:styleId="BodyTextChar">
    <w:name w:val="Body Text Char"/>
    <w:basedOn w:val="DefaultParagraphFont"/>
    <w:link w:val="BodyText"/>
    <w:rsid w:val="00595947"/>
    <w:rPr>
      <w:i/>
      <w:sz w:val="24"/>
      <w:szCs w:val="24"/>
    </w:rPr>
  </w:style>
  <w:style w:type="character" w:customStyle="1" w:styleId="FootnoteTextChar">
    <w:name w:val="Footnote Text Char"/>
    <w:basedOn w:val="DefaultParagraphFont"/>
    <w:link w:val="FootnoteText"/>
    <w:uiPriority w:val="99"/>
    <w:semiHidden/>
    <w:rsid w:val="00181785"/>
    <w:rPr>
      <w:rFonts w:ascii="Palatino" w:hAnsi="Palatino"/>
      <w:sz w:val="24"/>
    </w:rPr>
  </w:style>
  <w:style w:type="character" w:styleId="Hyperlink">
    <w:name w:val="Hyperlink"/>
    <w:basedOn w:val="DefaultParagraphFont"/>
    <w:unhideWhenUsed/>
    <w:rsid w:val="007742E1"/>
    <w:rPr>
      <w:color w:val="0000FF" w:themeColor="hyperlink"/>
      <w:u w:val="single"/>
    </w:rPr>
  </w:style>
  <w:style w:type="character" w:styleId="UnresolvedMention">
    <w:name w:val="Unresolved Mention"/>
    <w:basedOn w:val="DefaultParagraphFont"/>
    <w:uiPriority w:val="99"/>
    <w:semiHidden/>
    <w:unhideWhenUsed/>
    <w:rsid w:val="00BE7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2788-DCF0-49F8-B074-8FF66916E0A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2959</ap:Words>
  <ap:Characters>16870</ap:Characters>
  <ap:Application>Microsoft Office Word</ap:Application>
  <ap:DocSecurity>0</ap:DocSecurity>
  <ap:Lines>140</ap:Lines>
  <ap:Paragraphs>39</ap:Paragraphs>
  <ap:ScaleCrop>false</ap:ScaleCrop>
  <ap:HeadingPairs>
    <vt:vector baseType="variant" size="2">
      <vt:variant>
        <vt:lpstr>Title</vt:lpstr>
      </vt:variant>
      <vt:variant>
        <vt:i4>1</vt:i4>
      </vt:variant>
    </vt:vector>
  </ap:HeadingPairs>
  <ap:TitlesOfParts>
    <vt:vector baseType="lpstr" size="1">
      <vt:lpstr>Resolution Template</vt:lpstr>
    </vt:vector>
  </ap:TitlesOfParts>
  <ap:Company/>
  <ap:LinksUpToDate>false</ap:LinksUpToDate>
  <ap:CharactersWithSpaces>19790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2019-08-09T18:42:00Z</cp:lastPrinted>
  <dcterms:created xsi:type="dcterms:W3CDTF">2020-03-03T11:33:15Z</dcterms:created>
  <dcterms:modified xsi:type="dcterms:W3CDTF">2020-03-03T11:33:15Z</dcterms:modified>
</cp:coreProperties>
</file>