
<file path=[Content_Types].xml><?xml version="1.0" encoding="utf-8"?>
<Types xmlns="http://schemas.openxmlformats.org/package/2006/content-types">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40954" w:rsidR="003B1DBD" w:rsidP="003B1DBD" w:rsidRDefault="003B1DBD" w14:paraId="25A22857" w14:textId="77777777">
      <w:pPr>
        <w:pStyle w:val="Title"/>
        <w:tabs>
          <w:tab w:val="right" w:pos="10080"/>
        </w:tabs>
        <w:rPr>
          <w:rFonts w:ascii="Book Antiqua" w:hAnsi="Book Antiqua"/>
        </w:rPr>
      </w:pPr>
    </w:p>
    <w:p w:rsidRPr="00840954" w:rsidR="003B1DBD" w:rsidP="003B1DBD" w:rsidRDefault="003B1DBD" w14:paraId="58F26466" w14:textId="77777777">
      <w:pPr>
        <w:pStyle w:val="Title"/>
        <w:tabs>
          <w:tab w:val="right" w:pos="10080"/>
        </w:tabs>
        <w:rPr>
          <w:rFonts w:ascii="Book Antiqua" w:hAnsi="Book Antiqua"/>
        </w:rPr>
      </w:pPr>
    </w:p>
    <w:p w:rsidRPr="00840954" w:rsidR="003B1DBD" w:rsidP="003B1DBD" w:rsidRDefault="003B1DBD" w14:paraId="6602923E" w14:textId="77777777">
      <w:pPr>
        <w:pStyle w:val="Title"/>
        <w:tabs>
          <w:tab w:val="right" w:pos="10080"/>
        </w:tabs>
        <w:rPr>
          <w:rFonts w:ascii="Book Antiqua" w:hAnsi="Book Antiqua"/>
        </w:rPr>
      </w:pPr>
      <w:r w:rsidRPr="00840954">
        <w:rPr>
          <w:rFonts w:ascii="Book Antiqua" w:hAnsi="Book Antiqua"/>
        </w:rPr>
        <w:t>PUBLIC UTILITIES COMMISSION OF THE STATE OF CALIFORNIA</w:t>
      </w:r>
    </w:p>
    <w:p w:rsidRPr="00840954" w:rsidR="003B1DBD" w:rsidP="003B1DBD" w:rsidRDefault="003B1DBD" w14:paraId="0BB131AA" w14:textId="77777777">
      <w:pPr>
        <w:tabs>
          <w:tab w:val="right" w:pos="10080"/>
        </w:tabs>
        <w:rPr>
          <w:rFonts w:ascii="Book Antiqua" w:hAnsi="Book Antiqua"/>
        </w:rPr>
      </w:pPr>
    </w:p>
    <w:p w:rsidRPr="00840954" w:rsidR="003B1DBD" w:rsidP="003B1DBD" w:rsidRDefault="003B1DBD" w14:paraId="27CAF1C5" w14:textId="77777777">
      <w:pPr>
        <w:tabs>
          <w:tab w:val="right" w:pos="10080"/>
        </w:tabs>
        <w:rPr>
          <w:rFonts w:ascii="Book Antiqua" w:hAnsi="Book Antiqua"/>
        </w:rPr>
      </w:pPr>
    </w:p>
    <w:p w:rsidRPr="00840954" w:rsidR="003B1DBD" w:rsidP="003B1DBD" w:rsidRDefault="003B1DBD" w14:paraId="2FA9D015" w14:textId="4BE90E1E">
      <w:pPr>
        <w:tabs>
          <w:tab w:val="right" w:pos="9360"/>
        </w:tabs>
        <w:rPr>
          <w:rFonts w:ascii="Book Antiqua" w:hAnsi="Book Antiqua"/>
          <w:b/>
        </w:rPr>
      </w:pPr>
      <w:r w:rsidRPr="00840954">
        <w:rPr>
          <w:rFonts w:ascii="Book Antiqua" w:hAnsi="Book Antiqua"/>
          <w:b/>
        </w:rPr>
        <w:t xml:space="preserve">    Communic</w:t>
      </w:r>
      <w:r w:rsidRPr="00840954" w:rsidR="00104074">
        <w:rPr>
          <w:rFonts w:ascii="Book Antiqua" w:hAnsi="Book Antiqua"/>
          <w:b/>
        </w:rPr>
        <w:t>ations Division</w:t>
      </w:r>
      <w:r w:rsidRPr="00840954" w:rsidR="00104074">
        <w:rPr>
          <w:rFonts w:ascii="Book Antiqua" w:hAnsi="Book Antiqua"/>
          <w:b/>
        </w:rPr>
        <w:tab/>
        <w:t>RESOLUTION T-</w:t>
      </w:r>
      <w:r w:rsidRPr="00840954" w:rsidR="00EE4938">
        <w:rPr>
          <w:rFonts w:ascii="Book Antiqua" w:hAnsi="Book Antiqua"/>
          <w:b/>
        </w:rPr>
        <w:t>17685</w:t>
      </w:r>
    </w:p>
    <w:p w:rsidRPr="00840954" w:rsidR="003B1DBD" w:rsidP="003B1DBD" w:rsidRDefault="00104074" w14:paraId="20A09457" w14:textId="3DF1FDA7">
      <w:pPr>
        <w:tabs>
          <w:tab w:val="right" w:pos="9360"/>
        </w:tabs>
        <w:rPr>
          <w:rFonts w:ascii="Book Antiqua" w:hAnsi="Book Antiqua"/>
          <w:b/>
        </w:rPr>
      </w:pPr>
      <w:r w:rsidRPr="00840954">
        <w:rPr>
          <w:rFonts w:ascii="Book Antiqua" w:hAnsi="Book Antiqua"/>
          <w:b/>
        </w:rPr>
        <w:t xml:space="preserve">    Carrier Oversight &amp; Programs Branch</w:t>
      </w:r>
      <w:r w:rsidRPr="00840954" w:rsidR="003B1DBD">
        <w:rPr>
          <w:rFonts w:ascii="Book Antiqua" w:hAnsi="Book Antiqua"/>
          <w:b/>
        </w:rPr>
        <w:tab/>
      </w:r>
      <w:r w:rsidR="007D1833">
        <w:rPr>
          <w:rFonts w:ascii="Book Antiqua" w:hAnsi="Book Antiqua"/>
          <w:b/>
        </w:rPr>
        <w:t>May 7</w:t>
      </w:r>
      <w:r w:rsidRPr="00840954">
        <w:rPr>
          <w:rFonts w:ascii="Book Antiqua" w:hAnsi="Book Antiqua"/>
          <w:b/>
        </w:rPr>
        <w:t>, 20</w:t>
      </w:r>
      <w:r w:rsidRPr="00840954" w:rsidR="00DC6BAB">
        <w:rPr>
          <w:rFonts w:ascii="Book Antiqua" w:hAnsi="Book Antiqua"/>
          <w:b/>
        </w:rPr>
        <w:t>20</w:t>
      </w:r>
    </w:p>
    <w:p w:rsidRPr="00840954" w:rsidR="003B1DBD" w:rsidP="003B1DBD" w:rsidRDefault="003B1DBD" w14:paraId="4B6797DC" w14:textId="77777777">
      <w:pPr>
        <w:tabs>
          <w:tab w:val="left" w:pos="6120"/>
          <w:tab w:val="right" w:pos="9480"/>
        </w:tabs>
        <w:rPr>
          <w:rFonts w:ascii="Book Antiqua" w:hAnsi="Book Antiqua"/>
          <w:i/>
          <w:sz w:val="20"/>
        </w:rPr>
      </w:pPr>
      <w:r w:rsidRPr="00840954">
        <w:rPr>
          <w:rFonts w:ascii="Book Antiqua" w:hAnsi="Book Antiqua"/>
          <w:b/>
        </w:rPr>
        <w:tab/>
      </w:r>
      <w:r w:rsidRPr="00840954">
        <w:rPr>
          <w:rFonts w:ascii="Book Antiqua" w:hAnsi="Book Antiqua"/>
        </w:rPr>
        <w:tab/>
      </w:r>
      <w:r w:rsidRPr="00840954">
        <w:rPr>
          <w:rFonts w:ascii="Book Antiqua" w:hAnsi="Book Antiqua"/>
        </w:rPr>
        <w:tab/>
      </w:r>
    </w:p>
    <w:p w:rsidRPr="00840954" w:rsidR="003B1DBD" w:rsidP="003B1DBD" w:rsidRDefault="003B1DBD" w14:paraId="6039ACFC" w14:textId="77777777">
      <w:pPr>
        <w:tabs>
          <w:tab w:val="right" w:pos="10080"/>
        </w:tabs>
        <w:rPr>
          <w:rFonts w:ascii="Book Antiqua" w:hAnsi="Book Antiqua"/>
        </w:rPr>
      </w:pPr>
    </w:p>
    <w:p w:rsidRPr="00840954" w:rsidR="003B1DBD" w:rsidP="003B1DBD" w:rsidRDefault="003B1DBD" w14:paraId="1FAE2620" w14:textId="77777777">
      <w:pPr>
        <w:tabs>
          <w:tab w:val="right" w:pos="10080"/>
        </w:tabs>
        <w:jc w:val="center"/>
        <w:rPr>
          <w:rFonts w:ascii="Book Antiqua" w:hAnsi="Book Antiqua"/>
          <w:b/>
          <w:u w:val="single"/>
        </w:rPr>
      </w:pPr>
      <w:r w:rsidRPr="00840954">
        <w:rPr>
          <w:rFonts w:ascii="Book Antiqua" w:hAnsi="Book Antiqua"/>
          <w:b/>
          <w:u w:val="single"/>
        </w:rPr>
        <w:t>R</w:t>
      </w:r>
      <w:r w:rsidRPr="00840954">
        <w:rPr>
          <w:rFonts w:ascii="Book Antiqua" w:hAnsi="Book Antiqua"/>
          <w:b/>
        </w:rPr>
        <w:t xml:space="preserve"> </w:t>
      </w:r>
      <w:r w:rsidRPr="00840954">
        <w:rPr>
          <w:rFonts w:ascii="Book Antiqua" w:hAnsi="Book Antiqua"/>
          <w:b/>
          <w:u w:val="single"/>
        </w:rPr>
        <w:t>E</w:t>
      </w:r>
      <w:r w:rsidRPr="00840954">
        <w:rPr>
          <w:rFonts w:ascii="Book Antiqua" w:hAnsi="Book Antiqua"/>
          <w:b/>
        </w:rPr>
        <w:t xml:space="preserve"> </w:t>
      </w:r>
      <w:r w:rsidRPr="00840954">
        <w:rPr>
          <w:rFonts w:ascii="Book Antiqua" w:hAnsi="Book Antiqua"/>
          <w:b/>
          <w:u w:val="single"/>
        </w:rPr>
        <w:t>S</w:t>
      </w:r>
      <w:r w:rsidRPr="00840954">
        <w:rPr>
          <w:rFonts w:ascii="Book Antiqua" w:hAnsi="Book Antiqua"/>
          <w:b/>
        </w:rPr>
        <w:t xml:space="preserve"> </w:t>
      </w:r>
      <w:r w:rsidRPr="00840954">
        <w:rPr>
          <w:rFonts w:ascii="Book Antiqua" w:hAnsi="Book Antiqua"/>
          <w:b/>
          <w:u w:val="single"/>
        </w:rPr>
        <w:t>O</w:t>
      </w:r>
      <w:r w:rsidRPr="00840954">
        <w:rPr>
          <w:rFonts w:ascii="Book Antiqua" w:hAnsi="Book Antiqua"/>
          <w:b/>
        </w:rPr>
        <w:t xml:space="preserve"> </w:t>
      </w:r>
      <w:r w:rsidRPr="00840954">
        <w:rPr>
          <w:rFonts w:ascii="Book Antiqua" w:hAnsi="Book Antiqua"/>
          <w:b/>
          <w:u w:val="single"/>
        </w:rPr>
        <w:t>L</w:t>
      </w:r>
      <w:r w:rsidRPr="00840954">
        <w:rPr>
          <w:rFonts w:ascii="Book Antiqua" w:hAnsi="Book Antiqua"/>
          <w:b/>
        </w:rPr>
        <w:t xml:space="preserve"> </w:t>
      </w:r>
      <w:r w:rsidRPr="00840954">
        <w:rPr>
          <w:rFonts w:ascii="Book Antiqua" w:hAnsi="Book Antiqua"/>
          <w:b/>
          <w:u w:val="single"/>
        </w:rPr>
        <w:t>U</w:t>
      </w:r>
      <w:r w:rsidRPr="00840954">
        <w:rPr>
          <w:rFonts w:ascii="Book Antiqua" w:hAnsi="Book Antiqua"/>
          <w:b/>
        </w:rPr>
        <w:t xml:space="preserve"> </w:t>
      </w:r>
      <w:r w:rsidRPr="00840954">
        <w:rPr>
          <w:rFonts w:ascii="Book Antiqua" w:hAnsi="Book Antiqua"/>
          <w:b/>
          <w:u w:val="single"/>
        </w:rPr>
        <w:t>T</w:t>
      </w:r>
      <w:r w:rsidRPr="00840954">
        <w:rPr>
          <w:rFonts w:ascii="Book Antiqua" w:hAnsi="Book Antiqua"/>
          <w:b/>
        </w:rPr>
        <w:t xml:space="preserve"> </w:t>
      </w:r>
      <w:r w:rsidRPr="00840954">
        <w:rPr>
          <w:rFonts w:ascii="Book Antiqua" w:hAnsi="Book Antiqua"/>
          <w:b/>
          <w:u w:val="single"/>
        </w:rPr>
        <w:t>I</w:t>
      </w:r>
      <w:r w:rsidRPr="00840954">
        <w:rPr>
          <w:rFonts w:ascii="Book Antiqua" w:hAnsi="Book Antiqua"/>
          <w:b/>
        </w:rPr>
        <w:t xml:space="preserve"> </w:t>
      </w:r>
      <w:r w:rsidRPr="00840954">
        <w:rPr>
          <w:rFonts w:ascii="Book Antiqua" w:hAnsi="Book Antiqua"/>
          <w:b/>
          <w:u w:val="single"/>
        </w:rPr>
        <w:t>O</w:t>
      </w:r>
      <w:r w:rsidRPr="00840954">
        <w:rPr>
          <w:rFonts w:ascii="Book Antiqua" w:hAnsi="Book Antiqua"/>
          <w:b/>
        </w:rPr>
        <w:t xml:space="preserve"> </w:t>
      </w:r>
      <w:r w:rsidRPr="00840954">
        <w:rPr>
          <w:rFonts w:ascii="Book Antiqua" w:hAnsi="Book Antiqua"/>
          <w:b/>
          <w:u w:val="single"/>
        </w:rPr>
        <w:t>N</w:t>
      </w:r>
    </w:p>
    <w:p w:rsidRPr="00840954" w:rsidR="003B1DBD" w:rsidP="00F156BA" w:rsidRDefault="00F156BA" w14:paraId="76F966A6" w14:textId="6114A150">
      <w:pPr>
        <w:tabs>
          <w:tab w:val="left" w:pos="8545"/>
          <w:tab w:val="right" w:pos="10080"/>
        </w:tabs>
        <w:rPr>
          <w:rFonts w:ascii="Book Antiqua" w:hAnsi="Book Antiqua"/>
          <w:b/>
        </w:rPr>
      </w:pPr>
      <w:r>
        <w:rPr>
          <w:rFonts w:ascii="Book Antiqua" w:hAnsi="Book Antiqua"/>
          <w:b/>
        </w:rPr>
        <w:tab/>
      </w:r>
    </w:p>
    <w:p w:rsidRPr="00840954" w:rsidR="003B1DBD" w:rsidP="003B1DBD" w:rsidRDefault="003B1DBD" w14:paraId="58E3E404" w14:textId="77777777">
      <w:pPr>
        <w:tabs>
          <w:tab w:val="right" w:pos="10080"/>
        </w:tabs>
        <w:rPr>
          <w:rFonts w:ascii="Book Antiqua" w:hAnsi="Book Antiqua"/>
        </w:rPr>
      </w:pPr>
    </w:p>
    <w:p w:rsidRPr="00840954" w:rsidR="00081197" w:rsidP="00922507" w:rsidRDefault="003B1DBD" w14:paraId="3685DE56" w14:textId="5B61CB32">
      <w:pPr>
        <w:tabs>
          <w:tab w:val="right" w:pos="10080"/>
        </w:tabs>
        <w:ind w:left="720"/>
        <w:rPr>
          <w:rFonts w:ascii="Book Antiqua" w:hAnsi="Book Antiqua"/>
          <w:strike/>
        </w:rPr>
      </w:pPr>
      <w:r w:rsidRPr="00840954">
        <w:rPr>
          <w:rFonts w:ascii="Book Antiqua" w:hAnsi="Book Antiqua"/>
          <w:b/>
        </w:rPr>
        <w:t>RESOLUTI</w:t>
      </w:r>
      <w:r w:rsidRPr="00840954" w:rsidR="002E2DFF">
        <w:rPr>
          <w:rFonts w:ascii="Book Antiqua" w:hAnsi="Book Antiqua"/>
          <w:b/>
        </w:rPr>
        <w:t>ON T-</w:t>
      </w:r>
      <w:r w:rsidRPr="00840954" w:rsidR="00C95F67">
        <w:rPr>
          <w:rFonts w:ascii="Book Antiqua" w:hAnsi="Book Antiqua"/>
          <w:b/>
        </w:rPr>
        <w:t>17685</w:t>
      </w:r>
      <w:r w:rsidRPr="00840954" w:rsidR="00104074">
        <w:rPr>
          <w:rFonts w:ascii="Book Antiqua" w:hAnsi="Book Antiqua"/>
          <w:b/>
        </w:rPr>
        <w:t>.</w:t>
      </w:r>
      <w:r w:rsidRPr="00840954">
        <w:rPr>
          <w:rFonts w:ascii="Book Antiqua" w:hAnsi="Book Antiqua"/>
          <w:b/>
        </w:rPr>
        <w:t xml:space="preserve"> </w:t>
      </w:r>
      <w:r w:rsidRPr="00840954" w:rsidR="000E4E55">
        <w:rPr>
          <w:rFonts w:ascii="Book Antiqua" w:hAnsi="Book Antiqua"/>
          <w:b/>
        </w:rPr>
        <w:t xml:space="preserve"> Affirms</w:t>
      </w:r>
      <w:r w:rsidRPr="00840954" w:rsidR="00AE541C">
        <w:rPr>
          <w:rFonts w:ascii="Book Antiqua" w:hAnsi="Book Antiqua"/>
          <w:b/>
        </w:rPr>
        <w:t xml:space="preserve"> Cox Communications LLC’s </w:t>
      </w:r>
      <w:r w:rsidR="005B0D06">
        <w:rPr>
          <w:rFonts w:ascii="Book Antiqua" w:hAnsi="Book Antiqua"/>
          <w:b/>
        </w:rPr>
        <w:t>Obligation</w:t>
      </w:r>
      <w:r w:rsidRPr="00840954" w:rsidR="00AE541C">
        <w:rPr>
          <w:rFonts w:ascii="Book Antiqua" w:hAnsi="Book Antiqua"/>
          <w:b/>
        </w:rPr>
        <w:t xml:space="preserve"> to Remit Public Purpose Program Surcharges and </w:t>
      </w:r>
      <w:r w:rsidR="007E7A20">
        <w:rPr>
          <w:rFonts w:ascii="Book Antiqua" w:hAnsi="Book Antiqua"/>
          <w:b/>
        </w:rPr>
        <w:t xml:space="preserve">CPUC </w:t>
      </w:r>
      <w:r w:rsidRPr="00840954" w:rsidR="00AE541C">
        <w:rPr>
          <w:rFonts w:ascii="Book Antiqua" w:hAnsi="Book Antiqua"/>
          <w:b/>
        </w:rPr>
        <w:t xml:space="preserve">User Fees </w:t>
      </w:r>
      <w:r w:rsidR="007F5FFD">
        <w:rPr>
          <w:rFonts w:ascii="Book Antiqua" w:hAnsi="Book Antiqua"/>
          <w:b/>
        </w:rPr>
        <w:t>f</w:t>
      </w:r>
      <w:r w:rsidRPr="00840954" w:rsidR="00AE541C">
        <w:rPr>
          <w:rFonts w:ascii="Book Antiqua" w:hAnsi="Book Antiqua"/>
          <w:b/>
        </w:rPr>
        <w:t xml:space="preserve">or Directory Listings Service Intrastate Revenue Pursuant to </w:t>
      </w:r>
      <w:r w:rsidRPr="00840954" w:rsidR="00765EB0">
        <w:rPr>
          <w:rFonts w:ascii="Book Antiqua" w:hAnsi="Book Antiqua"/>
          <w:b/>
        </w:rPr>
        <w:t xml:space="preserve">Audit </w:t>
      </w:r>
      <w:r w:rsidRPr="00840954" w:rsidR="00AE541C">
        <w:rPr>
          <w:rFonts w:ascii="Book Antiqua" w:hAnsi="Book Antiqua"/>
          <w:b/>
        </w:rPr>
        <w:t>Findings for Fiscal Years 2012-2015.</w:t>
      </w:r>
      <w:r w:rsidRPr="00840954" w:rsidR="00081197">
        <w:rPr>
          <w:rFonts w:ascii="Book Antiqua" w:hAnsi="Book Antiqua"/>
          <w:strike/>
        </w:rPr>
        <w:t xml:space="preserve"> </w:t>
      </w:r>
    </w:p>
    <w:p w:rsidRPr="00840954" w:rsidR="00081197" w:rsidP="00922507" w:rsidRDefault="00081197" w14:paraId="07BE993E" w14:textId="77777777">
      <w:pPr>
        <w:tabs>
          <w:tab w:val="right" w:pos="10080"/>
        </w:tabs>
        <w:ind w:left="720"/>
        <w:rPr>
          <w:rFonts w:ascii="Book Antiqua" w:hAnsi="Book Antiqua"/>
        </w:rPr>
      </w:pPr>
    </w:p>
    <w:p w:rsidRPr="00840954" w:rsidR="00081197" w:rsidP="00922507" w:rsidRDefault="00081197" w14:paraId="26598FB2" w14:textId="77777777">
      <w:pPr>
        <w:tabs>
          <w:tab w:val="right" w:pos="10080"/>
        </w:tabs>
        <w:ind w:left="720"/>
        <w:rPr>
          <w:rFonts w:ascii="Book Antiqua" w:hAnsi="Book Antiqua"/>
        </w:rPr>
      </w:pPr>
    </w:p>
    <w:p w:rsidRPr="00840954" w:rsidR="003B1DBD" w:rsidP="003B1DBD" w:rsidRDefault="003B1DBD" w14:paraId="72A701A4" w14:textId="77777777">
      <w:pPr>
        <w:tabs>
          <w:tab w:val="right" w:pos="10080"/>
        </w:tabs>
        <w:rPr>
          <w:rFonts w:ascii="Book Antiqua" w:hAnsi="Book Antiqua"/>
          <w:b/>
          <w:u w:val="single"/>
        </w:rPr>
      </w:pPr>
      <w:r w:rsidRPr="00840954">
        <w:rPr>
          <w:rFonts w:ascii="Book Antiqua" w:hAnsi="Book Antiqua"/>
          <w:b/>
          <w:u w:val="single"/>
        </w:rPr>
        <w:t>SUMMARY</w:t>
      </w:r>
    </w:p>
    <w:p w:rsidRPr="00840954" w:rsidR="003B1DBD" w:rsidP="003B1DBD" w:rsidRDefault="003B1DBD" w14:paraId="0BF6DD61" w14:textId="77777777">
      <w:pPr>
        <w:tabs>
          <w:tab w:val="right" w:pos="10080"/>
        </w:tabs>
        <w:rPr>
          <w:rFonts w:ascii="Book Antiqua" w:hAnsi="Book Antiqua"/>
          <w:u w:val="single"/>
        </w:rPr>
      </w:pPr>
    </w:p>
    <w:p w:rsidRPr="00840954" w:rsidR="008D1887" w:rsidP="003B1DBD" w:rsidRDefault="00823755" w14:paraId="18977BD4" w14:textId="56066518">
      <w:pPr>
        <w:tabs>
          <w:tab w:val="right" w:pos="10080"/>
        </w:tabs>
        <w:rPr>
          <w:rFonts w:ascii="Book Antiqua" w:hAnsi="Book Antiqua"/>
        </w:rPr>
      </w:pPr>
      <w:r w:rsidRPr="00840954">
        <w:rPr>
          <w:rFonts w:ascii="Book Antiqua" w:hAnsi="Book Antiqua"/>
        </w:rPr>
        <w:t>By this Resolution,</w:t>
      </w:r>
      <w:r w:rsidRPr="00840954" w:rsidR="00F3764A">
        <w:rPr>
          <w:rFonts w:ascii="Book Antiqua" w:hAnsi="Book Antiqua"/>
        </w:rPr>
        <w:t xml:space="preserve"> the Commission</w:t>
      </w:r>
      <w:r w:rsidRPr="00840954" w:rsidR="008D1887">
        <w:rPr>
          <w:rFonts w:ascii="Book Antiqua" w:hAnsi="Book Antiqua"/>
        </w:rPr>
        <w:t xml:space="preserve"> </w:t>
      </w:r>
      <w:r w:rsidRPr="00840954" w:rsidR="00CE4C3C">
        <w:rPr>
          <w:rFonts w:ascii="Book Antiqua" w:hAnsi="Book Antiqua"/>
        </w:rPr>
        <w:t>affirms</w:t>
      </w:r>
      <w:r w:rsidR="008B3AF1">
        <w:rPr>
          <w:rFonts w:ascii="Book Antiqua" w:hAnsi="Book Antiqua"/>
        </w:rPr>
        <w:t xml:space="preserve"> </w:t>
      </w:r>
      <w:r w:rsidRPr="00840954" w:rsidR="00CF220F">
        <w:rPr>
          <w:rFonts w:ascii="Book Antiqua" w:hAnsi="Book Antiqua"/>
        </w:rPr>
        <w:t xml:space="preserve">Cox Communications LLC’s </w:t>
      </w:r>
      <w:r w:rsidR="00550965">
        <w:rPr>
          <w:rFonts w:ascii="Book Antiqua" w:hAnsi="Book Antiqua"/>
        </w:rPr>
        <w:t>obligation</w:t>
      </w:r>
      <w:r w:rsidRPr="00840954" w:rsidR="001A3033">
        <w:rPr>
          <w:rFonts w:ascii="Book Antiqua" w:hAnsi="Book Antiqua"/>
        </w:rPr>
        <w:t xml:space="preserve"> to remit </w:t>
      </w:r>
      <w:r w:rsidR="0018690A">
        <w:rPr>
          <w:rFonts w:ascii="Book Antiqua" w:hAnsi="Book Antiqua"/>
        </w:rPr>
        <w:t>P</w:t>
      </w:r>
      <w:r w:rsidRPr="00840954" w:rsidR="001A3033">
        <w:rPr>
          <w:rFonts w:ascii="Book Antiqua" w:hAnsi="Book Antiqua"/>
        </w:rPr>
        <w:t xml:space="preserve">ublic </w:t>
      </w:r>
      <w:r w:rsidR="0018690A">
        <w:rPr>
          <w:rFonts w:ascii="Book Antiqua" w:hAnsi="Book Antiqua"/>
        </w:rPr>
        <w:t>P</w:t>
      </w:r>
      <w:r w:rsidRPr="00840954" w:rsidR="001A3033">
        <w:rPr>
          <w:rFonts w:ascii="Book Antiqua" w:hAnsi="Book Antiqua"/>
        </w:rPr>
        <w:t xml:space="preserve">urpose </w:t>
      </w:r>
      <w:r w:rsidR="0018690A">
        <w:rPr>
          <w:rFonts w:ascii="Book Antiqua" w:hAnsi="Book Antiqua"/>
        </w:rPr>
        <w:t>P</w:t>
      </w:r>
      <w:r w:rsidRPr="00840954" w:rsidR="001A3033">
        <w:rPr>
          <w:rFonts w:ascii="Book Antiqua" w:hAnsi="Book Antiqua"/>
        </w:rPr>
        <w:t xml:space="preserve">rogram </w:t>
      </w:r>
      <w:r w:rsidRPr="00840954" w:rsidR="00CF220F">
        <w:rPr>
          <w:rFonts w:ascii="Book Antiqua" w:hAnsi="Book Antiqua"/>
        </w:rPr>
        <w:t>surcharges and</w:t>
      </w:r>
      <w:r w:rsidRPr="00840954" w:rsidR="001A3033">
        <w:rPr>
          <w:rFonts w:ascii="Book Antiqua" w:hAnsi="Book Antiqua"/>
        </w:rPr>
        <w:t xml:space="preserve"> </w:t>
      </w:r>
      <w:r w:rsidR="0018690A">
        <w:rPr>
          <w:rFonts w:ascii="Book Antiqua" w:hAnsi="Book Antiqua"/>
        </w:rPr>
        <w:t xml:space="preserve">CPUC </w:t>
      </w:r>
      <w:r w:rsidR="0031463D">
        <w:rPr>
          <w:rFonts w:ascii="Book Antiqua" w:hAnsi="Book Antiqua"/>
        </w:rPr>
        <w:t>U</w:t>
      </w:r>
      <w:r w:rsidRPr="00840954" w:rsidR="001A3033">
        <w:rPr>
          <w:rFonts w:ascii="Book Antiqua" w:hAnsi="Book Antiqua"/>
        </w:rPr>
        <w:t xml:space="preserve">ser </w:t>
      </w:r>
      <w:r w:rsidR="0031463D">
        <w:rPr>
          <w:rFonts w:ascii="Book Antiqua" w:hAnsi="Book Antiqua"/>
        </w:rPr>
        <w:t>F</w:t>
      </w:r>
      <w:r w:rsidRPr="00840954" w:rsidR="001A3033">
        <w:rPr>
          <w:rFonts w:ascii="Book Antiqua" w:hAnsi="Book Antiqua"/>
        </w:rPr>
        <w:t>ee</w:t>
      </w:r>
      <w:r w:rsidR="00F0082E">
        <w:rPr>
          <w:rFonts w:ascii="Book Antiqua" w:hAnsi="Book Antiqua"/>
        </w:rPr>
        <w:t>s</w:t>
      </w:r>
      <w:r w:rsidRPr="00840954" w:rsidR="001A3033">
        <w:rPr>
          <w:rFonts w:ascii="Book Antiqua" w:hAnsi="Book Antiqua"/>
        </w:rPr>
        <w:t xml:space="preserve"> </w:t>
      </w:r>
      <w:r w:rsidR="00883764">
        <w:rPr>
          <w:rFonts w:ascii="Book Antiqua" w:hAnsi="Book Antiqua"/>
        </w:rPr>
        <w:t xml:space="preserve">associated with </w:t>
      </w:r>
      <w:r w:rsidR="00134546">
        <w:rPr>
          <w:rFonts w:ascii="Book Antiqua" w:hAnsi="Book Antiqua"/>
        </w:rPr>
        <w:t>its</w:t>
      </w:r>
      <w:r w:rsidRPr="00840954" w:rsidR="00CF220F">
        <w:rPr>
          <w:rFonts w:ascii="Book Antiqua" w:hAnsi="Book Antiqua"/>
        </w:rPr>
        <w:t xml:space="preserve"> directory listings service </w:t>
      </w:r>
      <w:r w:rsidR="00883764">
        <w:rPr>
          <w:rFonts w:ascii="Book Antiqua" w:hAnsi="Book Antiqua"/>
        </w:rPr>
        <w:t xml:space="preserve">intrastate </w:t>
      </w:r>
      <w:r w:rsidRPr="00840954" w:rsidR="00CF220F">
        <w:rPr>
          <w:rFonts w:ascii="Book Antiqua" w:hAnsi="Book Antiqua"/>
        </w:rPr>
        <w:t>revenue, as set forth in the</w:t>
      </w:r>
      <w:r w:rsidRPr="00840954" w:rsidR="00A14283">
        <w:rPr>
          <w:rFonts w:ascii="Book Antiqua" w:hAnsi="Book Antiqua"/>
          <w:i/>
          <w:iCs/>
        </w:rPr>
        <w:t xml:space="preserve"> </w:t>
      </w:r>
      <w:r w:rsidR="00AC3FBE">
        <w:rPr>
          <w:rFonts w:ascii="Book Antiqua" w:hAnsi="Book Antiqua"/>
        </w:rPr>
        <w:t>Commission’s audits of Cox’s</w:t>
      </w:r>
      <w:r w:rsidR="00C01E03">
        <w:rPr>
          <w:rFonts w:ascii="Book Antiqua" w:hAnsi="Book Antiqua"/>
        </w:rPr>
        <w:t xml:space="preserve"> Public Purpose Programs and User Fee</w:t>
      </w:r>
      <w:r w:rsidR="00AC3FBE">
        <w:rPr>
          <w:rFonts w:ascii="Book Antiqua" w:hAnsi="Book Antiqua"/>
        </w:rPr>
        <w:t xml:space="preserve"> compliance for fiscal years 2012</w:t>
      </w:r>
      <w:r w:rsidR="00201D47">
        <w:rPr>
          <w:rFonts w:ascii="Book Antiqua" w:hAnsi="Book Antiqua"/>
        </w:rPr>
        <w:t>-</w:t>
      </w:r>
      <w:r w:rsidR="00AC3FBE">
        <w:rPr>
          <w:rFonts w:ascii="Book Antiqua" w:hAnsi="Book Antiqua"/>
        </w:rPr>
        <w:t>2015.</w:t>
      </w:r>
    </w:p>
    <w:p w:rsidRPr="00840954" w:rsidR="00922507" w:rsidP="003B1DBD" w:rsidRDefault="00922507" w14:paraId="0676203A" w14:textId="77777777">
      <w:pPr>
        <w:tabs>
          <w:tab w:val="right" w:pos="10080"/>
        </w:tabs>
        <w:rPr>
          <w:rFonts w:ascii="Book Antiqua" w:hAnsi="Book Antiqua"/>
        </w:rPr>
      </w:pPr>
    </w:p>
    <w:p w:rsidRPr="00840954" w:rsidR="003B1DBD" w:rsidP="003B1DBD" w:rsidRDefault="003B1DBD" w14:paraId="7CBF0AFD" w14:textId="57005756">
      <w:pPr>
        <w:tabs>
          <w:tab w:val="right" w:pos="10080"/>
        </w:tabs>
        <w:rPr>
          <w:rFonts w:ascii="Book Antiqua" w:hAnsi="Book Antiqua"/>
          <w:b/>
          <w:u w:val="single"/>
        </w:rPr>
      </w:pPr>
      <w:r w:rsidRPr="00840954">
        <w:rPr>
          <w:rFonts w:ascii="Book Antiqua" w:hAnsi="Book Antiqua"/>
          <w:b/>
          <w:u w:val="single"/>
        </w:rPr>
        <w:t>BACKGROUND</w:t>
      </w:r>
    </w:p>
    <w:p w:rsidRPr="00840954" w:rsidR="000D2EF7" w:rsidP="00E32AE8" w:rsidRDefault="000D2EF7" w14:paraId="48157569" w14:textId="77777777">
      <w:pPr>
        <w:tabs>
          <w:tab w:val="right" w:pos="10080"/>
        </w:tabs>
        <w:jc w:val="both"/>
        <w:rPr>
          <w:rFonts w:ascii="Book Antiqua" w:hAnsi="Book Antiqua"/>
        </w:rPr>
      </w:pPr>
    </w:p>
    <w:p w:rsidRPr="00840954" w:rsidR="002636AD" w:rsidP="00FC4E58" w:rsidRDefault="000D2EF7" w14:paraId="7A460D64" w14:textId="38C6060B">
      <w:pPr>
        <w:tabs>
          <w:tab w:val="right" w:pos="10080"/>
        </w:tabs>
        <w:rPr>
          <w:rFonts w:ascii="Book Antiqua" w:hAnsi="Book Antiqua"/>
        </w:rPr>
      </w:pPr>
      <w:r w:rsidRPr="00840954">
        <w:rPr>
          <w:rFonts w:ascii="Book Antiqua" w:hAnsi="Book Antiqua"/>
        </w:rPr>
        <w:t xml:space="preserve">The </w:t>
      </w:r>
      <w:r w:rsidR="00D40DBB">
        <w:rPr>
          <w:rFonts w:ascii="Book Antiqua" w:hAnsi="Book Antiqua"/>
        </w:rPr>
        <w:t>California Public Utilities Commission (“</w:t>
      </w:r>
      <w:r w:rsidRPr="00840954">
        <w:rPr>
          <w:rFonts w:ascii="Book Antiqua" w:hAnsi="Book Antiqua"/>
        </w:rPr>
        <w:t>Commission</w:t>
      </w:r>
      <w:r w:rsidR="00D40DBB">
        <w:rPr>
          <w:rFonts w:ascii="Book Antiqua" w:hAnsi="Book Antiqua"/>
        </w:rPr>
        <w:t>” or “CPUC”)</w:t>
      </w:r>
      <w:r w:rsidRPr="00840954">
        <w:rPr>
          <w:rFonts w:ascii="Book Antiqua" w:hAnsi="Book Antiqua"/>
        </w:rPr>
        <w:t xml:space="preserve"> collects and distributes funds to support</w:t>
      </w:r>
      <w:r w:rsidR="000A1F81">
        <w:rPr>
          <w:rFonts w:ascii="Book Antiqua" w:hAnsi="Book Antiqua"/>
        </w:rPr>
        <w:t xml:space="preserve"> universal service through</w:t>
      </w:r>
      <w:r w:rsidRPr="00840954">
        <w:rPr>
          <w:rFonts w:ascii="Book Antiqua" w:hAnsi="Book Antiqua"/>
        </w:rPr>
        <w:t xml:space="preserve"> six </w:t>
      </w:r>
      <w:r w:rsidR="00B6633D">
        <w:rPr>
          <w:rFonts w:ascii="Book Antiqua" w:hAnsi="Book Antiqua"/>
        </w:rPr>
        <w:t>P</w:t>
      </w:r>
      <w:r w:rsidRPr="00840954">
        <w:rPr>
          <w:rFonts w:ascii="Book Antiqua" w:hAnsi="Book Antiqua"/>
        </w:rPr>
        <w:t xml:space="preserve">ublic </w:t>
      </w:r>
      <w:r w:rsidR="00B6633D">
        <w:rPr>
          <w:rFonts w:ascii="Book Antiqua" w:hAnsi="Book Antiqua"/>
        </w:rPr>
        <w:t>P</w:t>
      </w:r>
      <w:r w:rsidRPr="00840954">
        <w:rPr>
          <w:rFonts w:ascii="Book Antiqua" w:hAnsi="Book Antiqua"/>
        </w:rPr>
        <w:t xml:space="preserve">urpose </w:t>
      </w:r>
      <w:r w:rsidR="00B6633D">
        <w:rPr>
          <w:rFonts w:ascii="Book Antiqua" w:hAnsi="Book Antiqua"/>
        </w:rPr>
        <w:t>P</w:t>
      </w:r>
      <w:r w:rsidRPr="00840954">
        <w:rPr>
          <w:rFonts w:ascii="Book Antiqua" w:hAnsi="Book Antiqua"/>
        </w:rPr>
        <w:t xml:space="preserve">rograms </w:t>
      </w:r>
      <w:r w:rsidR="00D92BF9">
        <w:rPr>
          <w:rFonts w:ascii="Book Antiqua" w:hAnsi="Book Antiqua"/>
        </w:rPr>
        <w:t>(</w:t>
      </w:r>
      <w:r w:rsidR="00133A1C">
        <w:rPr>
          <w:rFonts w:ascii="Book Antiqua" w:hAnsi="Book Antiqua"/>
        </w:rPr>
        <w:t>“</w:t>
      </w:r>
      <w:r w:rsidR="00D92BF9">
        <w:rPr>
          <w:rFonts w:ascii="Book Antiqua" w:hAnsi="Book Antiqua"/>
        </w:rPr>
        <w:t>PPP</w:t>
      </w:r>
      <w:r w:rsidR="00133A1C">
        <w:rPr>
          <w:rFonts w:ascii="Book Antiqua" w:hAnsi="Book Antiqua"/>
        </w:rPr>
        <w:t>”</w:t>
      </w:r>
      <w:r w:rsidR="00D92BF9">
        <w:rPr>
          <w:rFonts w:ascii="Book Antiqua" w:hAnsi="Book Antiqua"/>
        </w:rPr>
        <w:t xml:space="preserve">) </w:t>
      </w:r>
      <w:r w:rsidRPr="00840954">
        <w:rPr>
          <w:rFonts w:ascii="Book Antiqua" w:hAnsi="Book Antiqua"/>
        </w:rPr>
        <w:t>for the benefit of California ratepayers</w:t>
      </w:r>
      <w:r w:rsidR="009901D0">
        <w:rPr>
          <w:rFonts w:ascii="Book Antiqua" w:hAnsi="Book Antiqua"/>
        </w:rPr>
        <w:t>:</w:t>
      </w:r>
      <w:r w:rsidR="002D1203">
        <w:rPr>
          <w:rStyle w:val="FootnoteReference"/>
          <w:rFonts w:ascii="Book Antiqua" w:hAnsi="Book Antiqua"/>
        </w:rPr>
        <w:footnoteReference w:id="1"/>
      </w:r>
      <w:r w:rsidR="002D1203">
        <w:rPr>
          <w:rFonts w:ascii="Book Antiqua" w:hAnsi="Book Antiqua"/>
        </w:rPr>
        <w:t xml:space="preserve">  </w:t>
      </w:r>
    </w:p>
    <w:p w:rsidRPr="00840954" w:rsidR="002E4D58" w:rsidP="002636AD" w:rsidRDefault="002E4D58" w14:paraId="6C7CA3C5" w14:textId="77777777">
      <w:pPr>
        <w:tabs>
          <w:tab w:val="right" w:pos="10080"/>
        </w:tabs>
        <w:jc w:val="both"/>
        <w:rPr>
          <w:rFonts w:ascii="Book Antiqua" w:hAnsi="Book Antiqua"/>
        </w:rPr>
      </w:pPr>
    </w:p>
    <w:p w:rsidR="00B238C5" w:rsidP="00312F58" w:rsidRDefault="00B238C5" w14:paraId="17123463" w14:textId="5CCD9009">
      <w:pPr>
        <w:numPr>
          <w:ilvl w:val="0"/>
          <w:numId w:val="9"/>
        </w:numPr>
        <w:rPr>
          <w:rFonts w:ascii="Book Antiqua" w:hAnsi="Book Antiqua"/>
        </w:rPr>
      </w:pPr>
      <w:r w:rsidRPr="00840954">
        <w:rPr>
          <w:rFonts w:ascii="Book Antiqua" w:hAnsi="Book Antiqua"/>
        </w:rPr>
        <w:t>California High-Cost Fund A (</w:t>
      </w:r>
      <w:r w:rsidR="006C7CB7">
        <w:rPr>
          <w:rFonts w:ascii="Book Antiqua" w:hAnsi="Book Antiqua"/>
        </w:rPr>
        <w:t>“</w:t>
      </w:r>
      <w:r w:rsidRPr="00840954">
        <w:rPr>
          <w:rFonts w:ascii="Book Antiqua" w:hAnsi="Book Antiqua"/>
        </w:rPr>
        <w:t>CHCF-A</w:t>
      </w:r>
      <w:r w:rsidR="006C7CB7">
        <w:rPr>
          <w:rFonts w:ascii="Book Antiqua" w:hAnsi="Book Antiqua"/>
        </w:rPr>
        <w:t>”</w:t>
      </w:r>
      <w:r w:rsidRPr="00840954">
        <w:rPr>
          <w:rFonts w:ascii="Book Antiqua" w:hAnsi="Book Antiqua"/>
        </w:rPr>
        <w:t>)</w:t>
      </w:r>
      <w:r w:rsidRPr="00840954" w:rsidR="00BF47CE">
        <w:rPr>
          <w:rFonts w:ascii="Book Antiqua" w:hAnsi="Book Antiqua"/>
        </w:rPr>
        <w:t xml:space="preserve">: This program </w:t>
      </w:r>
      <w:r w:rsidRPr="00840954">
        <w:rPr>
          <w:rFonts w:ascii="Book Antiqua" w:hAnsi="Book Antiqua"/>
        </w:rPr>
        <w:t>provides a source of supplemental revenue to small local exchange carriers (LECs) for the purpose of minimizing any basic telephone service rate disparity between rural and metropolitan areas</w:t>
      </w:r>
      <w:r w:rsidRPr="00840954" w:rsidR="002E51FD">
        <w:rPr>
          <w:rStyle w:val="FootnoteReference"/>
          <w:rFonts w:ascii="Book Antiqua" w:hAnsi="Book Antiqua"/>
        </w:rPr>
        <w:footnoteReference w:id="2"/>
      </w:r>
      <w:r w:rsidRPr="00840954">
        <w:rPr>
          <w:rFonts w:ascii="Book Antiqua" w:hAnsi="Book Antiqua"/>
        </w:rPr>
        <w:t>;</w:t>
      </w:r>
    </w:p>
    <w:p w:rsidR="008A2EC4" w:rsidP="008A2EC4" w:rsidRDefault="008A2EC4" w14:paraId="551BA427" w14:textId="77777777">
      <w:pPr>
        <w:ind w:left="720"/>
        <w:rPr>
          <w:rFonts w:ascii="Book Antiqua" w:hAnsi="Book Antiqua"/>
        </w:rPr>
      </w:pPr>
    </w:p>
    <w:p w:rsidRPr="003C6FFA" w:rsidR="00B238C5" w:rsidP="003C6FFA" w:rsidRDefault="00B238C5" w14:paraId="6625E292" w14:textId="4B6ADAAD">
      <w:pPr>
        <w:numPr>
          <w:ilvl w:val="0"/>
          <w:numId w:val="9"/>
        </w:numPr>
        <w:rPr>
          <w:rFonts w:ascii="Book Antiqua" w:hAnsi="Book Antiqua"/>
        </w:rPr>
      </w:pPr>
      <w:r w:rsidRPr="00840954">
        <w:rPr>
          <w:rFonts w:ascii="Book Antiqua" w:hAnsi="Book Antiqua"/>
        </w:rPr>
        <w:t>California High-Cost Fund B (</w:t>
      </w:r>
      <w:r w:rsidR="00214F8C">
        <w:rPr>
          <w:rFonts w:ascii="Book Antiqua" w:hAnsi="Book Antiqua"/>
        </w:rPr>
        <w:t>“</w:t>
      </w:r>
      <w:r w:rsidRPr="00840954">
        <w:rPr>
          <w:rFonts w:ascii="Book Antiqua" w:hAnsi="Book Antiqua"/>
        </w:rPr>
        <w:t>CHCF-B</w:t>
      </w:r>
      <w:r w:rsidR="00214F8C">
        <w:rPr>
          <w:rFonts w:ascii="Book Antiqua" w:hAnsi="Book Antiqua"/>
        </w:rPr>
        <w:t>”</w:t>
      </w:r>
      <w:r w:rsidRPr="00840954">
        <w:rPr>
          <w:rFonts w:ascii="Book Antiqua" w:hAnsi="Book Antiqua"/>
        </w:rPr>
        <w:t>)</w:t>
      </w:r>
      <w:r w:rsidRPr="00840954" w:rsidR="00BF47CE">
        <w:rPr>
          <w:rFonts w:ascii="Book Antiqua" w:hAnsi="Book Antiqua"/>
        </w:rPr>
        <w:t xml:space="preserve">:  This program </w:t>
      </w:r>
      <w:r w:rsidRPr="00840954">
        <w:rPr>
          <w:rFonts w:ascii="Book Antiqua" w:hAnsi="Book Antiqua"/>
        </w:rPr>
        <w:t>provides subsidies to carriers of last resort (COLRs) for providing basic local telephone service to residential customers in high-cost areas</w:t>
      </w:r>
      <w:r w:rsidRPr="00840954" w:rsidR="002E51FD">
        <w:rPr>
          <w:rStyle w:val="FootnoteReference"/>
          <w:rFonts w:ascii="Book Antiqua" w:hAnsi="Book Antiqua"/>
        </w:rPr>
        <w:footnoteReference w:id="3"/>
      </w:r>
      <w:r w:rsidRPr="00840954">
        <w:rPr>
          <w:rFonts w:ascii="Book Antiqua" w:hAnsi="Book Antiqua"/>
        </w:rPr>
        <w:t>;</w:t>
      </w:r>
    </w:p>
    <w:p w:rsidRPr="00840954" w:rsidR="00B238C5" w:rsidP="00922507" w:rsidRDefault="00B238C5" w14:paraId="5671F206" w14:textId="4E4A63AD">
      <w:pPr>
        <w:numPr>
          <w:ilvl w:val="0"/>
          <w:numId w:val="9"/>
        </w:numPr>
        <w:rPr>
          <w:rFonts w:ascii="Book Antiqua" w:hAnsi="Book Antiqua"/>
        </w:rPr>
      </w:pPr>
      <w:r w:rsidRPr="00840954">
        <w:rPr>
          <w:rFonts w:ascii="Book Antiqua" w:hAnsi="Book Antiqua"/>
        </w:rPr>
        <w:lastRenderedPageBreak/>
        <w:t>Universal Lifeline Telephone Service (</w:t>
      </w:r>
      <w:r w:rsidR="00214F8C">
        <w:rPr>
          <w:rFonts w:ascii="Book Antiqua" w:hAnsi="Book Antiqua"/>
        </w:rPr>
        <w:t>“</w:t>
      </w:r>
      <w:r w:rsidRPr="00840954">
        <w:rPr>
          <w:rFonts w:ascii="Book Antiqua" w:hAnsi="Book Antiqua"/>
        </w:rPr>
        <w:t>ULTS</w:t>
      </w:r>
      <w:r w:rsidR="00214F8C">
        <w:rPr>
          <w:rFonts w:ascii="Book Antiqua" w:hAnsi="Book Antiqua"/>
        </w:rPr>
        <w:t>”</w:t>
      </w:r>
      <w:r w:rsidRPr="00840954">
        <w:rPr>
          <w:rFonts w:ascii="Book Antiqua" w:hAnsi="Book Antiqua"/>
        </w:rPr>
        <w:t>)</w:t>
      </w:r>
      <w:r w:rsidRPr="00840954" w:rsidR="00BF47CE">
        <w:rPr>
          <w:rFonts w:ascii="Book Antiqua" w:hAnsi="Book Antiqua"/>
        </w:rPr>
        <w:t>: This program</w:t>
      </w:r>
      <w:r w:rsidRPr="00840954">
        <w:rPr>
          <w:rFonts w:ascii="Book Antiqua" w:hAnsi="Book Antiqua"/>
        </w:rPr>
        <w:t xml:space="preserve"> provides discounted home </w:t>
      </w:r>
      <w:r w:rsidRPr="00840954" w:rsidR="00BF47CE">
        <w:rPr>
          <w:rFonts w:ascii="Book Antiqua" w:hAnsi="Book Antiqua"/>
        </w:rPr>
        <w:t xml:space="preserve">wireline </w:t>
      </w:r>
      <w:r w:rsidRPr="00840954">
        <w:rPr>
          <w:rFonts w:ascii="Book Antiqua" w:hAnsi="Book Antiqua"/>
        </w:rPr>
        <w:t xml:space="preserve">phone and </w:t>
      </w:r>
      <w:r w:rsidRPr="00840954" w:rsidR="00BF47CE">
        <w:rPr>
          <w:rFonts w:ascii="Book Antiqua" w:hAnsi="Book Antiqua"/>
        </w:rPr>
        <w:t>wireless</w:t>
      </w:r>
      <w:r w:rsidRPr="00840954">
        <w:rPr>
          <w:rFonts w:ascii="Book Antiqua" w:hAnsi="Book Antiqua"/>
        </w:rPr>
        <w:t xml:space="preserve"> phone services to qualified </w:t>
      </w:r>
      <w:bookmarkStart w:name="_GoBack" w:id="0"/>
      <w:bookmarkEnd w:id="0"/>
      <w:r w:rsidRPr="00840954">
        <w:rPr>
          <w:rFonts w:ascii="Book Antiqua" w:hAnsi="Book Antiqua"/>
        </w:rPr>
        <w:t>households</w:t>
      </w:r>
      <w:r w:rsidRPr="00840954" w:rsidR="002E51FD">
        <w:rPr>
          <w:rStyle w:val="FootnoteReference"/>
          <w:rFonts w:ascii="Book Antiqua" w:hAnsi="Book Antiqua"/>
        </w:rPr>
        <w:footnoteReference w:id="4"/>
      </w:r>
      <w:r w:rsidRPr="00840954">
        <w:rPr>
          <w:rFonts w:ascii="Book Antiqua" w:hAnsi="Book Antiqua"/>
        </w:rPr>
        <w:t>;</w:t>
      </w:r>
    </w:p>
    <w:p w:rsidRPr="00840954" w:rsidR="00B238C5" w:rsidP="00922507" w:rsidRDefault="00B238C5" w14:paraId="6C5EBB1A" w14:textId="77777777">
      <w:pPr>
        <w:tabs>
          <w:tab w:val="right" w:pos="10080"/>
        </w:tabs>
        <w:ind w:left="360"/>
        <w:rPr>
          <w:rFonts w:ascii="Book Antiqua" w:hAnsi="Book Antiqua"/>
        </w:rPr>
      </w:pPr>
    </w:p>
    <w:p w:rsidRPr="00840954" w:rsidR="00B238C5" w:rsidP="00922507" w:rsidRDefault="00B238C5" w14:paraId="093CB601" w14:textId="5767E021">
      <w:pPr>
        <w:numPr>
          <w:ilvl w:val="0"/>
          <w:numId w:val="9"/>
        </w:numPr>
        <w:rPr>
          <w:rFonts w:ascii="Book Antiqua" w:hAnsi="Book Antiqua"/>
        </w:rPr>
      </w:pPr>
      <w:r w:rsidRPr="00840954">
        <w:rPr>
          <w:rFonts w:ascii="Book Antiqua" w:hAnsi="Book Antiqua"/>
        </w:rPr>
        <w:t>Deaf and Disabled Telecommunications Program (</w:t>
      </w:r>
      <w:r w:rsidR="00504CA4">
        <w:rPr>
          <w:rFonts w:ascii="Book Antiqua" w:hAnsi="Book Antiqua"/>
        </w:rPr>
        <w:t>“</w:t>
      </w:r>
      <w:r w:rsidRPr="00840954">
        <w:rPr>
          <w:rFonts w:ascii="Book Antiqua" w:hAnsi="Book Antiqua"/>
        </w:rPr>
        <w:t>DDTP</w:t>
      </w:r>
      <w:r w:rsidR="00504CA4">
        <w:rPr>
          <w:rFonts w:ascii="Book Antiqua" w:hAnsi="Book Antiqua"/>
        </w:rPr>
        <w:t>”</w:t>
      </w:r>
      <w:r w:rsidRPr="00840954">
        <w:rPr>
          <w:rFonts w:ascii="Book Antiqua" w:hAnsi="Book Antiqua"/>
        </w:rPr>
        <w:t>)</w:t>
      </w:r>
      <w:r w:rsidRPr="00840954" w:rsidR="00BF47CE">
        <w:rPr>
          <w:rFonts w:ascii="Book Antiqua" w:hAnsi="Book Antiqua"/>
        </w:rPr>
        <w:t xml:space="preserve">: This program </w:t>
      </w:r>
      <w:r w:rsidRPr="00840954">
        <w:rPr>
          <w:rFonts w:ascii="Book Antiqua" w:hAnsi="Book Antiqua"/>
        </w:rPr>
        <w:t xml:space="preserve">  provides telecommunications devices to deaf or hearing-impaired consumers</w:t>
      </w:r>
      <w:r w:rsidRPr="00840954" w:rsidR="002E51FD">
        <w:rPr>
          <w:rStyle w:val="FootnoteReference"/>
          <w:rFonts w:ascii="Book Antiqua" w:hAnsi="Book Antiqua"/>
        </w:rPr>
        <w:footnoteReference w:id="5"/>
      </w:r>
      <w:r w:rsidRPr="00840954">
        <w:rPr>
          <w:rFonts w:ascii="Book Antiqua" w:hAnsi="Book Antiqua"/>
        </w:rPr>
        <w:t>;</w:t>
      </w:r>
    </w:p>
    <w:p w:rsidRPr="00840954" w:rsidR="00B238C5" w:rsidP="00922507" w:rsidRDefault="00B238C5" w14:paraId="791F0B04" w14:textId="77777777">
      <w:pPr>
        <w:tabs>
          <w:tab w:val="right" w:pos="10080"/>
        </w:tabs>
        <w:ind w:left="360"/>
        <w:rPr>
          <w:rFonts w:ascii="Book Antiqua" w:hAnsi="Book Antiqua"/>
        </w:rPr>
      </w:pPr>
    </w:p>
    <w:p w:rsidRPr="00840954" w:rsidR="00B238C5" w:rsidP="00922507" w:rsidRDefault="00B238C5" w14:paraId="36F6A3AC" w14:textId="33CB47EE">
      <w:pPr>
        <w:numPr>
          <w:ilvl w:val="0"/>
          <w:numId w:val="9"/>
        </w:numPr>
        <w:rPr>
          <w:rFonts w:ascii="Book Antiqua" w:hAnsi="Book Antiqua"/>
        </w:rPr>
      </w:pPr>
      <w:r w:rsidRPr="00840954">
        <w:rPr>
          <w:rFonts w:ascii="Book Antiqua" w:hAnsi="Book Antiqua"/>
        </w:rPr>
        <w:t>California Teleconnect Fund (</w:t>
      </w:r>
      <w:r w:rsidR="00504CA4">
        <w:rPr>
          <w:rFonts w:ascii="Book Antiqua" w:hAnsi="Book Antiqua"/>
        </w:rPr>
        <w:t>“</w:t>
      </w:r>
      <w:r w:rsidRPr="00840954">
        <w:rPr>
          <w:rFonts w:ascii="Book Antiqua" w:hAnsi="Book Antiqua"/>
        </w:rPr>
        <w:t>CTF</w:t>
      </w:r>
      <w:r w:rsidR="00504CA4">
        <w:rPr>
          <w:rFonts w:ascii="Book Antiqua" w:hAnsi="Book Antiqua"/>
        </w:rPr>
        <w:t>”</w:t>
      </w:r>
      <w:r w:rsidRPr="00840954">
        <w:rPr>
          <w:rFonts w:ascii="Book Antiqua" w:hAnsi="Book Antiqua"/>
        </w:rPr>
        <w:t>)</w:t>
      </w:r>
      <w:r w:rsidRPr="00840954" w:rsidR="00BF47CE">
        <w:rPr>
          <w:rFonts w:ascii="Book Antiqua" w:hAnsi="Book Antiqua"/>
        </w:rPr>
        <w:t xml:space="preserve">: This program </w:t>
      </w:r>
      <w:r w:rsidRPr="00840954">
        <w:rPr>
          <w:rFonts w:ascii="Book Antiqua" w:hAnsi="Book Antiqua"/>
        </w:rPr>
        <w:t>provides a 50% discount on selected communications services to schools, libraries, hospitals, and other non-profit organizations</w:t>
      </w:r>
      <w:r w:rsidRPr="00840954" w:rsidR="002E51FD">
        <w:rPr>
          <w:rStyle w:val="FootnoteReference"/>
          <w:rFonts w:ascii="Book Antiqua" w:hAnsi="Book Antiqua"/>
        </w:rPr>
        <w:footnoteReference w:id="6"/>
      </w:r>
      <w:r w:rsidRPr="00840954">
        <w:rPr>
          <w:rFonts w:ascii="Book Antiqua" w:hAnsi="Book Antiqua"/>
        </w:rPr>
        <w:t>;</w:t>
      </w:r>
      <w:r w:rsidRPr="00840954" w:rsidR="00BF47CE">
        <w:rPr>
          <w:rFonts w:ascii="Book Antiqua" w:hAnsi="Book Antiqua"/>
        </w:rPr>
        <w:t xml:space="preserve"> and </w:t>
      </w:r>
    </w:p>
    <w:p w:rsidRPr="00840954" w:rsidR="00B238C5" w:rsidP="00922507" w:rsidRDefault="00B238C5" w14:paraId="2EF1C3D8" w14:textId="77777777">
      <w:pPr>
        <w:ind w:left="360"/>
        <w:rPr>
          <w:rFonts w:ascii="Book Antiqua" w:hAnsi="Book Antiqua"/>
        </w:rPr>
      </w:pPr>
    </w:p>
    <w:p w:rsidRPr="00840954" w:rsidR="00B238C5" w:rsidP="00922507" w:rsidRDefault="00B238C5" w14:paraId="0BF2FE74" w14:textId="37E2FF30">
      <w:pPr>
        <w:numPr>
          <w:ilvl w:val="0"/>
          <w:numId w:val="9"/>
        </w:numPr>
        <w:rPr>
          <w:rFonts w:ascii="Book Antiqua" w:hAnsi="Book Antiqua"/>
        </w:rPr>
      </w:pPr>
      <w:r w:rsidRPr="00840954">
        <w:rPr>
          <w:rFonts w:ascii="Book Antiqua" w:hAnsi="Book Antiqua"/>
        </w:rPr>
        <w:t>California Advanced Services Fund (</w:t>
      </w:r>
      <w:r w:rsidR="00504CA4">
        <w:rPr>
          <w:rFonts w:ascii="Book Antiqua" w:hAnsi="Book Antiqua"/>
        </w:rPr>
        <w:t>“</w:t>
      </w:r>
      <w:r w:rsidRPr="00840954">
        <w:rPr>
          <w:rFonts w:ascii="Book Antiqua" w:hAnsi="Book Antiqua"/>
        </w:rPr>
        <w:t>CASF</w:t>
      </w:r>
      <w:r w:rsidR="00504CA4">
        <w:rPr>
          <w:rFonts w:ascii="Book Antiqua" w:hAnsi="Book Antiqua"/>
        </w:rPr>
        <w:t>”</w:t>
      </w:r>
      <w:r w:rsidRPr="00840954">
        <w:rPr>
          <w:rFonts w:ascii="Book Antiqua" w:hAnsi="Book Antiqua"/>
        </w:rPr>
        <w:t>)</w:t>
      </w:r>
      <w:r w:rsidRPr="00840954" w:rsidR="00BF47CE">
        <w:rPr>
          <w:rFonts w:ascii="Book Antiqua" w:hAnsi="Book Antiqua"/>
        </w:rPr>
        <w:t>: This program</w:t>
      </w:r>
      <w:r w:rsidRPr="00840954">
        <w:rPr>
          <w:rFonts w:ascii="Book Antiqua" w:hAnsi="Book Antiqua"/>
        </w:rPr>
        <w:t xml:space="preserve"> supports the deployment of broadband facilities and adoption of broadband services in unserved and underserved areas of the state through project-specific grant funding</w:t>
      </w:r>
      <w:r w:rsidRPr="00840954" w:rsidR="002E51FD">
        <w:rPr>
          <w:rStyle w:val="FootnoteReference"/>
          <w:rFonts w:ascii="Book Antiqua" w:hAnsi="Book Antiqua"/>
        </w:rPr>
        <w:footnoteReference w:id="7"/>
      </w:r>
      <w:r w:rsidRPr="00840954">
        <w:rPr>
          <w:rFonts w:ascii="Book Antiqua" w:hAnsi="Book Antiqua"/>
        </w:rPr>
        <w:t>.</w:t>
      </w:r>
    </w:p>
    <w:p w:rsidR="002E5842" w:rsidP="00743500" w:rsidRDefault="002E5842" w14:paraId="51246F89" w14:textId="77777777">
      <w:pPr>
        <w:tabs>
          <w:tab w:val="right" w:pos="10080"/>
        </w:tabs>
        <w:jc w:val="both"/>
        <w:rPr>
          <w:rFonts w:ascii="Book Antiqua" w:hAnsi="Book Antiqua"/>
        </w:rPr>
      </w:pPr>
    </w:p>
    <w:p w:rsidR="00E17BE3" w:rsidP="001A16B3" w:rsidRDefault="00743500" w14:paraId="04185879" w14:textId="38E30005">
      <w:pPr>
        <w:tabs>
          <w:tab w:val="right" w:pos="10080"/>
        </w:tabs>
        <w:rPr>
          <w:rFonts w:ascii="Book Antiqua" w:hAnsi="Book Antiqua"/>
        </w:rPr>
      </w:pPr>
      <w:r w:rsidRPr="00840954">
        <w:rPr>
          <w:rFonts w:ascii="Book Antiqua" w:hAnsi="Book Antiqua"/>
        </w:rPr>
        <w:t xml:space="preserve">Funds to support these programs are collected from end users (ratepayers) as surcharges applied to </w:t>
      </w:r>
      <w:r w:rsidR="0088460C">
        <w:rPr>
          <w:rFonts w:ascii="Book Antiqua" w:hAnsi="Book Antiqua"/>
        </w:rPr>
        <w:t>telephone corporations</w:t>
      </w:r>
      <w:r w:rsidRPr="00840954">
        <w:rPr>
          <w:rFonts w:ascii="Book Antiqua" w:hAnsi="Book Antiqua"/>
        </w:rPr>
        <w:t>’ intrastate revenue and remitted by carriers to the Commission through its Telecommunications User Fees Filing System (</w:t>
      </w:r>
      <w:r w:rsidR="00504CA4">
        <w:rPr>
          <w:rFonts w:ascii="Book Antiqua" w:hAnsi="Book Antiqua"/>
        </w:rPr>
        <w:t>“</w:t>
      </w:r>
      <w:r w:rsidRPr="00840954">
        <w:rPr>
          <w:rFonts w:ascii="Book Antiqua" w:hAnsi="Book Antiqua"/>
        </w:rPr>
        <w:t>TUFFS</w:t>
      </w:r>
      <w:r w:rsidR="00504CA4">
        <w:rPr>
          <w:rFonts w:ascii="Book Antiqua" w:hAnsi="Book Antiqua"/>
        </w:rPr>
        <w:t>”</w:t>
      </w:r>
      <w:r w:rsidRPr="00840954">
        <w:rPr>
          <w:rFonts w:ascii="Book Antiqua" w:hAnsi="Book Antiqua"/>
        </w:rPr>
        <w:t xml:space="preserve">).  </w:t>
      </w:r>
      <w:r w:rsidR="000B0EC7">
        <w:rPr>
          <w:rFonts w:ascii="Book Antiqua" w:hAnsi="Book Antiqua"/>
        </w:rPr>
        <w:t>A</w:t>
      </w:r>
      <w:r w:rsidRPr="00840954">
        <w:rPr>
          <w:rFonts w:ascii="Book Antiqua" w:hAnsi="Book Antiqua"/>
        </w:rPr>
        <w:t xml:space="preserve">ll landline, cellular, Voice over Internet Protocol and reseller carriers authorized to </w:t>
      </w:r>
      <w:r w:rsidR="0088460C">
        <w:rPr>
          <w:rFonts w:ascii="Book Antiqua" w:hAnsi="Book Antiqua"/>
        </w:rPr>
        <w:t>provide service</w:t>
      </w:r>
      <w:r w:rsidRPr="00840954">
        <w:rPr>
          <w:rFonts w:ascii="Book Antiqua" w:hAnsi="Book Antiqua"/>
        </w:rPr>
        <w:t xml:space="preserve"> in California </w:t>
      </w:r>
      <w:r w:rsidR="00FF0A2B">
        <w:rPr>
          <w:rFonts w:ascii="Book Antiqua" w:hAnsi="Book Antiqua"/>
        </w:rPr>
        <w:t>must</w:t>
      </w:r>
      <w:r w:rsidRPr="00840954">
        <w:rPr>
          <w:rFonts w:ascii="Book Antiqua" w:hAnsi="Book Antiqua"/>
        </w:rPr>
        <w:t xml:space="preserve"> collect and remit </w:t>
      </w:r>
      <w:r w:rsidR="00F849F0">
        <w:rPr>
          <w:rFonts w:ascii="Book Antiqua" w:hAnsi="Book Antiqua"/>
        </w:rPr>
        <w:t xml:space="preserve">PPP </w:t>
      </w:r>
      <w:r w:rsidRPr="00840954">
        <w:rPr>
          <w:rFonts w:ascii="Book Antiqua" w:hAnsi="Book Antiqua"/>
        </w:rPr>
        <w:t>surcharges.</w:t>
      </w:r>
    </w:p>
    <w:p w:rsidRPr="00840954" w:rsidR="00743500" w:rsidP="00944C4F" w:rsidRDefault="00743500" w14:paraId="700DE759" w14:textId="77777777">
      <w:pPr>
        <w:tabs>
          <w:tab w:val="right" w:pos="10080"/>
        </w:tabs>
        <w:jc w:val="both"/>
        <w:rPr>
          <w:rFonts w:ascii="Book Antiqua" w:hAnsi="Book Antiqua"/>
        </w:rPr>
      </w:pPr>
    </w:p>
    <w:p w:rsidRPr="00840954" w:rsidR="00D3206B" w:rsidP="001D5A10" w:rsidRDefault="007B15FB" w14:paraId="3506D381" w14:textId="5662E7FC">
      <w:pPr>
        <w:tabs>
          <w:tab w:val="right" w:pos="10080"/>
        </w:tabs>
        <w:rPr>
          <w:rFonts w:ascii="Book Antiqua" w:hAnsi="Book Antiqua"/>
        </w:rPr>
      </w:pPr>
      <w:r>
        <w:rPr>
          <w:rFonts w:ascii="Book Antiqua" w:hAnsi="Book Antiqua"/>
        </w:rPr>
        <w:t>T</w:t>
      </w:r>
      <w:r w:rsidRPr="00840954" w:rsidR="001D5A10">
        <w:rPr>
          <w:rFonts w:ascii="Book Antiqua" w:hAnsi="Book Antiqua"/>
        </w:rPr>
        <w:t xml:space="preserve">he Commission </w:t>
      </w:r>
      <w:r>
        <w:rPr>
          <w:rFonts w:ascii="Book Antiqua" w:hAnsi="Book Antiqua"/>
        </w:rPr>
        <w:t xml:space="preserve">also </w:t>
      </w:r>
      <w:r w:rsidR="002663AC">
        <w:rPr>
          <w:rFonts w:ascii="Book Antiqua" w:hAnsi="Book Antiqua"/>
        </w:rPr>
        <w:t>collect</w:t>
      </w:r>
      <w:r w:rsidR="00E12DF6">
        <w:rPr>
          <w:rFonts w:ascii="Book Antiqua" w:hAnsi="Book Antiqua"/>
        </w:rPr>
        <w:t>s</w:t>
      </w:r>
      <w:r w:rsidR="00D01CA0">
        <w:rPr>
          <w:rFonts w:ascii="Book Antiqua" w:hAnsi="Book Antiqua"/>
        </w:rPr>
        <w:t xml:space="preserve"> a </w:t>
      </w:r>
      <w:r w:rsidR="00742A4F">
        <w:rPr>
          <w:rFonts w:ascii="Book Antiqua" w:hAnsi="Book Antiqua"/>
        </w:rPr>
        <w:t>CPUC User Fee</w:t>
      </w:r>
      <w:r w:rsidRPr="00840954" w:rsidR="00E76FF6">
        <w:rPr>
          <w:rFonts w:ascii="Book Antiqua" w:hAnsi="Book Antiqua"/>
        </w:rPr>
        <w:t xml:space="preserve"> </w:t>
      </w:r>
      <w:r w:rsidR="00346B30">
        <w:rPr>
          <w:rFonts w:ascii="Book Antiqua" w:hAnsi="Book Antiqua"/>
        </w:rPr>
        <w:t xml:space="preserve">to support the CPUC’s operating budget in regulating public utilities, </w:t>
      </w:r>
      <w:r w:rsidR="00D01CA0">
        <w:rPr>
          <w:rFonts w:ascii="Book Antiqua" w:hAnsi="Book Antiqua"/>
        </w:rPr>
        <w:t xml:space="preserve">which </w:t>
      </w:r>
      <w:r w:rsidR="00D44D13">
        <w:rPr>
          <w:rFonts w:ascii="Book Antiqua" w:hAnsi="Book Antiqua"/>
        </w:rPr>
        <w:t xml:space="preserve">carriers </w:t>
      </w:r>
      <w:r w:rsidRPr="00840954" w:rsidR="00E76FF6">
        <w:rPr>
          <w:rFonts w:ascii="Book Antiqua" w:hAnsi="Book Antiqua"/>
        </w:rPr>
        <w:t xml:space="preserve">collect </w:t>
      </w:r>
      <w:r w:rsidR="00D44D13">
        <w:rPr>
          <w:rFonts w:ascii="Book Antiqua" w:hAnsi="Book Antiqua"/>
        </w:rPr>
        <w:t xml:space="preserve">via customer </w:t>
      </w:r>
      <w:r w:rsidRPr="00840954" w:rsidR="00E76FF6">
        <w:rPr>
          <w:rFonts w:ascii="Book Antiqua" w:hAnsi="Book Antiqua"/>
        </w:rPr>
        <w:t>billings</w:t>
      </w:r>
      <w:r w:rsidR="00D01CA0">
        <w:rPr>
          <w:rFonts w:ascii="Book Antiqua" w:hAnsi="Book Antiqua"/>
        </w:rPr>
        <w:t>.</w:t>
      </w:r>
      <w:r w:rsidRPr="00840954" w:rsidR="00E853EA">
        <w:rPr>
          <w:rStyle w:val="FootnoteReference"/>
          <w:rFonts w:ascii="Book Antiqua" w:hAnsi="Book Antiqua"/>
        </w:rPr>
        <w:footnoteReference w:id="8"/>
      </w:r>
      <w:r w:rsidRPr="00840954" w:rsidR="00E853EA">
        <w:rPr>
          <w:rFonts w:ascii="Book Antiqua" w:hAnsi="Book Antiqua"/>
        </w:rPr>
        <w:t xml:space="preserve"> </w:t>
      </w:r>
      <w:r w:rsidRPr="00840954" w:rsidR="00E76FF6">
        <w:rPr>
          <w:rFonts w:ascii="Book Antiqua" w:hAnsi="Book Antiqua"/>
        </w:rPr>
        <w:t xml:space="preserve">   </w:t>
      </w:r>
    </w:p>
    <w:p w:rsidRPr="00840954" w:rsidR="005B740E" w:rsidP="001D5A10" w:rsidRDefault="005B740E" w14:paraId="61ECC285" w14:textId="77777777">
      <w:pPr>
        <w:tabs>
          <w:tab w:val="right" w:pos="10080"/>
        </w:tabs>
        <w:rPr>
          <w:rFonts w:ascii="Book Antiqua" w:hAnsi="Book Antiqua"/>
        </w:rPr>
      </w:pPr>
    </w:p>
    <w:p w:rsidRPr="00840954" w:rsidR="003311F0" w:rsidP="00000347" w:rsidRDefault="00AA3843" w14:paraId="4035ADE0" w14:textId="627BF2B7">
      <w:pPr>
        <w:tabs>
          <w:tab w:val="right" w:pos="10080"/>
        </w:tabs>
        <w:rPr>
          <w:rFonts w:ascii="Book Antiqua" w:hAnsi="Book Antiqua"/>
        </w:rPr>
      </w:pPr>
      <w:r>
        <w:rPr>
          <w:rFonts w:ascii="Book Antiqua" w:hAnsi="Book Antiqua"/>
        </w:rPr>
        <w:t>T</w:t>
      </w:r>
      <w:r w:rsidRPr="00840954" w:rsidR="007117FE">
        <w:rPr>
          <w:rFonts w:ascii="Book Antiqua" w:hAnsi="Book Antiqua"/>
        </w:rPr>
        <w:t>he Commission</w:t>
      </w:r>
      <w:r w:rsidRPr="00840954" w:rsidR="00940237">
        <w:rPr>
          <w:rFonts w:ascii="Book Antiqua" w:hAnsi="Book Antiqua"/>
        </w:rPr>
        <w:t xml:space="preserve"> conduct</w:t>
      </w:r>
      <w:r w:rsidR="00F81F0E">
        <w:rPr>
          <w:rFonts w:ascii="Book Antiqua" w:hAnsi="Book Antiqua"/>
        </w:rPr>
        <w:t>s</w:t>
      </w:r>
      <w:r w:rsidRPr="00840954" w:rsidR="00940237">
        <w:rPr>
          <w:rFonts w:ascii="Book Antiqua" w:hAnsi="Book Antiqua"/>
        </w:rPr>
        <w:t xml:space="preserve"> financial audits of the</w:t>
      </w:r>
      <w:r w:rsidR="00F81F0E">
        <w:rPr>
          <w:rFonts w:ascii="Book Antiqua" w:hAnsi="Book Antiqua"/>
        </w:rPr>
        <w:t xml:space="preserve"> revenues required to be collected and </w:t>
      </w:r>
      <w:r w:rsidRPr="00840954" w:rsidR="00940237">
        <w:rPr>
          <w:rFonts w:ascii="Book Antiqua" w:hAnsi="Book Antiqua"/>
        </w:rPr>
        <w:t xml:space="preserve">submitted to the </w:t>
      </w:r>
      <w:r w:rsidR="00C950DE">
        <w:rPr>
          <w:rFonts w:ascii="Book Antiqua" w:hAnsi="Book Antiqua"/>
        </w:rPr>
        <w:t>C</w:t>
      </w:r>
      <w:r w:rsidRPr="00840954" w:rsidR="00940237">
        <w:rPr>
          <w:rFonts w:ascii="Book Antiqua" w:hAnsi="Book Antiqua"/>
        </w:rPr>
        <w:t xml:space="preserve">ommission for </w:t>
      </w:r>
      <w:r w:rsidR="00F81F0E">
        <w:rPr>
          <w:rFonts w:ascii="Book Antiqua" w:hAnsi="Book Antiqua"/>
        </w:rPr>
        <w:t xml:space="preserve">each of the </w:t>
      </w:r>
      <w:r w:rsidR="00743500">
        <w:rPr>
          <w:rFonts w:ascii="Book Antiqua" w:hAnsi="Book Antiqua"/>
        </w:rPr>
        <w:t>P</w:t>
      </w:r>
      <w:r w:rsidR="00F81F0E">
        <w:rPr>
          <w:rFonts w:ascii="Book Antiqua" w:hAnsi="Book Antiqua"/>
        </w:rPr>
        <w:t>PP funds</w:t>
      </w:r>
      <w:r w:rsidRPr="00840954" w:rsidR="00940237">
        <w:rPr>
          <w:rFonts w:ascii="Book Antiqua" w:hAnsi="Book Antiqua"/>
        </w:rPr>
        <w:t xml:space="preserve"> specified in Section 270</w:t>
      </w:r>
      <w:r w:rsidR="00537C73">
        <w:rPr>
          <w:rFonts w:ascii="Book Antiqua" w:hAnsi="Book Antiqua"/>
        </w:rPr>
        <w:t xml:space="preserve"> and the CPUC User Fee</w:t>
      </w:r>
      <w:r w:rsidRPr="00840954" w:rsidR="00940237">
        <w:rPr>
          <w:rFonts w:ascii="Book Antiqua" w:hAnsi="Book Antiqua"/>
        </w:rPr>
        <w:t>.</w:t>
      </w:r>
      <w:r w:rsidRPr="00840954" w:rsidR="00743EA8">
        <w:rPr>
          <w:rStyle w:val="FootnoteReference"/>
          <w:rFonts w:ascii="Book Antiqua" w:hAnsi="Book Antiqua"/>
        </w:rPr>
        <w:footnoteReference w:id="9"/>
      </w:r>
      <w:r w:rsidR="005A792A">
        <w:rPr>
          <w:rFonts w:ascii="Book Antiqua" w:hAnsi="Book Antiqua"/>
        </w:rPr>
        <w:t xml:space="preserve">  </w:t>
      </w:r>
    </w:p>
    <w:p w:rsidR="000A453A" w:rsidP="00940237" w:rsidRDefault="000A453A" w14:paraId="07EB0EA9" w14:textId="77777777">
      <w:pPr>
        <w:tabs>
          <w:tab w:val="right" w:pos="10080"/>
        </w:tabs>
        <w:rPr>
          <w:rFonts w:ascii="Book Antiqua" w:hAnsi="Book Antiqua"/>
        </w:rPr>
      </w:pPr>
    </w:p>
    <w:p w:rsidRPr="00840954" w:rsidR="00D0512A" w:rsidP="00940237" w:rsidRDefault="0088460C" w14:paraId="241A2C16" w14:textId="39D0521E">
      <w:pPr>
        <w:tabs>
          <w:tab w:val="right" w:pos="10080"/>
        </w:tabs>
        <w:rPr>
          <w:rFonts w:ascii="Book Antiqua" w:hAnsi="Book Antiqua"/>
        </w:rPr>
      </w:pPr>
      <w:r>
        <w:rPr>
          <w:rFonts w:ascii="Book Antiqua" w:hAnsi="Book Antiqua"/>
        </w:rPr>
        <w:lastRenderedPageBreak/>
        <w:t>T</w:t>
      </w:r>
      <w:r w:rsidRPr="00840954" w:rsidR="003A7636">
        <w:rPr>
          <w:rFonts w:ascii="Book Antiqua" w:hAnsi="Book Antiqua"/>
        </w:rPr>
        <w:t xml:space="preserve">he Commission’s </w:t>
      </w:r>
      <w:r w:rsidRPr="00840954" w:rsidR="00082817">
        <w:rPr>
          <w:rFonts w:ascii="Book Antiqua" w:hAnsi="Book Antiqua"/>
        </w:rPr>
        <w:t>Utility Audit, Finance and Compliance Branch (“UAFCB”)</w:t>
      </w:r>
      <w:r w:rsidRPr="00840954" w:rsidR="00082817">
        <w:rPr>
          <w:rStyle w:val="FootnoteReference"/>
          <w:rFonts w:ascii="Book Antiqua" w:hAnsi="Book Antiqua"/>
        </w:rPr>
        <w:footnoteReference w:id="10"/>
      </w:r>
      <w:r w:rsidRPr="00840954" w:rsidR="003A7636">
        <w:rPr>
          <w:rFonts w:ascii="Book Antiqua" w:hAnsi="Book Antiqua"/>
        </w:rPr>
        <w:t xml:space="preserve"> </w:t>
      </w:r>
      <w:r>
        <w:rPr>
          <w:rFonts w:ascii="Book Antiqua" w:hAnsi="Book Antiqua"/>
        </w:rPr>
        <w:t xml:space="preserve">often performs utility audits, </w:t>
      </w:r>
      <w:r w:rsidRPr="00840954" w:rsidR="003A7636">
        <w:rPr>
          <w:rFonts w:ascii="Book Antiqua" w:hAnsi="Book Antiqua"/>
        </w:rPr>
        <w:t xml:space="preserve">or the Commission may hire an audit contractor to conduct the audit on the Commission’s behalf.  For instance, the </w:t>
      </w:r>
      <w:r w:rsidR="00EC6A03">
        <w:rPr>
          <w:rFonts w:ascii="Book Antiqua" w:hAnsi="Book Antiqua"/>
        </w:rPr>
        <w:t>two</w:t>
      </w:r>
      <w:r w:rsidR="002502C6">
        <w:rPr>
          <w:rFonts w:ascii="Book Antiqua" w:hAnsi="Book Antiqua"/>
        </w:rPr>
        <w:t xml:space="preserve"> </w:t>
      </w:r>
      <w:r w:rsidRPr="00840954" w:rsidR="003A7636">
        <w:rPr>
          <w:rFonts w:ascii="Book Antiqua" w:hAnsi="Book Antiqua"/>
        </w:rPr>
        <w:t>audit report</w:t>
      </w:r>
      <w:r w:rsidR="004913DC">
        <w:rPr>
          <w:rFonts w:ascii="Book Antiqua" w:hAnsi="Book Antiqua"/>
        </w:rPr>
        <w:t>s</w:t>
      </w:r>
      <w:r w:rsidRPr="00840954" w:rsidR="003A7636">
        <w:rPr>
          <w:rFonts w:ascii="Book Antiqua" w:hAnsi="Book Antiqua"/>
        </w:rPr>
        <w:t xml:space="preserve"> at issue here w</w:t>
      </w:r>
      <w:r w:rsidR="004913DC">
        <w:rPr>
          <w:rFonts w:ascii="Book Antiqua" w:hAnsi="Book Antiqua"/>
        </w:rPr>
        <w:t>ere</w:t>
      </w:r>
      <w:r w:rsidRPr="00840954" w:rsidR="003A7636">
        <w:rPr>
          <w:rFonts w:ascii="Book Antiqua" w:hAnsi="Book Antiqua"/>
        </w:rPr>
        <w:t xml:space="preserve"> prepared by Crowe Horwath, LLP (</w:t>
      </w:r>
      <w:r w:rsidR="00227004">
        <w:rPr>
          <w:rFonts w:ascii="Book Antiqua" w:hAnsi="Book Antiqua"/>
        </w:rPr>
        <w:t>“</w:t>
      </w:r>
      <w:r w:rsidRPr="00840954" w:rsidR="003A7636">
        <w:rPr>
          <w:rFonts w:ascii="Book Antiqua" w:hAnsi="Book Antiqua"/>
        </w:rPr>
        <w:t>Crowe</w:t>
      </w:r>
      <w:r w:rsidR="00227004">
        <w:rPr>
          <w:rFonts w:ascii="Book Antiqua" w:hAnsi="Book Antiqua"/>
        </w:rPr>
        <w:t>”</w:t>
      </w:r>
      <w:r w:rsidRPr="00840954" w:rsidR="003A7636">
        <w:rPr>
          <w:rFonts w:ascii="Book Antiqua" w:hAnsi="Book Antiqua"/>
        </w:rPr>
        <w:t>), an audit contractor who worked with the UAFCB on the Cox audit</w:t>
      </w:r>
      <w:r w:rsidR="004913DC">
        <w:rPr>
          <w:rFonts w:ascii="Book Antiqua" w:hAnsi="Book Antiqua"/>
        </w:rPr>
        <w:t>s</w:t>
      </w:r>
      <w:r w:rsidRPr="00840954" w:rsidR="003A7636">
        <w:rPr>
          <w:rFonts w:ascii="Book Antiqua" w:hAnsi="Book Antiqua"/>
        </w:rPr>
        <w:t xml:space="preserve"> for fiscal years (FYs) </w:t>
      </w:r>
      <w:r w:rsidR="002502C6">
        <w:rPr>
          <w:rFonts w:ascii="Book Antiqua" w:hAnsi="Book Antiqua"/>
        </w:rPr>
        <w:t xml:space="preserve">2012-2013, </w:t>
      </w:r>
      <w:r w:rsidR="004913DC">
        <w:rPr>
          <w:rFonts w:ascii="Book Antiqua" w:hAnsi="Book Antiqua"/>
        </w:rPr>
        <w:t>2013-2014, and 2014-2015</w:t>
      </w:r>
      <w:r w:rsidR="00F91CFA">
        <w:rPr>
          <w:rFonts w:ascii="Book Antiqua" w:hAnsi="Book Antiqua"/>
        </w:rPr>
        <w:t>.</w:t>
      </w:r>
      <w:r w:rsidR="002502C6">
        <w:rPr>
          <w:rFonts w:ascii="Book Antiqua" w:hAnsi="Book Antiqua"/>
        </w:rPr>
        <w:t xml:space="preserve">  </w:t>
      </w:r>
    </w:p>
    <w:p w:rsidRPr="00840954" w:rsidR="00D0512A" w:rsidP="001D5A10" w:rsidRDefault="00D0512A" w14:paraId="5001AE8E" w14:textId="77777777">
      <w:pPr>
        <w:tabs>
          <w:tab w:val="right" w:pos="10080"/>
        </w:tabs>
        <w:rPr>
          <w:rFonts w:ascii="Book Antiqua" w:hAnsi="Book Antiqua"/>
        </w:rPr>
      </w:pPr>
    </w:p>
    <w:p w:rsidRPr="00840954" w:rsidR="0065487F" w:rsidP="00807137" w:rsidRDefault="003E5143" w14:paraId="0D3182A8" w14:textId="2879878E">
      <w:pPr>
        <w:tabs>
          <w:tab w:val="right" w:pos="10080"/>
        </w:tabs>
        <w:rPr>
          <w:rFonts w:ascii="Book Antiqua" w:hAnsi="Book Antiqua"/>
        </w:rPr>
      </w:pPr>
      <w:r w:rsidRPr="00840954">
        <w:rPr>
          <w:rFonts w:ascii="Book Antiqua" w:hAnsi="Book Antiqua"/>
        </w:rPr>
        <w:t>The Commission’s</w:t>
      </w:r>
      <w:r w:rsidRPr="00840954" w:rsidR="00D46CF1">
        <w:rPr>
          <w:rFonts w:ascii="Book Antiqua" w:hAnsi="Book Antiqua"/>
        </w:rPr>
        <w:t xml:space="preserve"> Communications Division </w:t>
      </w:r>
      <w:r w:rsidR="00C45F01">
        <w:rPr>
          <w:rFonts w:ascii="Book Antiqua" w:hAnsi="Book Antiqua"/>
        </w:rPr>
        <w:t>(</w:t>
      </w:r>
      <w:r w:rsidR="00227004">
        <w:rPr>
          <w:rFonts w:ascii="Book Antiqua" w:hAnsi="Book Antiqua"/>
        </w:rPr>
        <w:t>“</w:t>
      </w:r>
      <w:r w:rsidR="00C45F01">
        <w:rPr>
          <w:rFonts w:ascii="Book Antiqua" w:hAnsi="Book Antiqua"/>
        </w:rPr>
        <w:t>CD</w:t>
      </w:r>
      <w:r w:rsidR="00227004">
        <w:rPr>
          <w:rFonts w:ascii="Book Antiqua" w:hAnsi="Book Antiqua"/>
        </w:rPr>
        <w:t>”</w:t>
      </w:r>
      <w:r w:rsidR="00C45F01">
        <w:rPr>
          <w:rFonts w:ascii="Book Antiqua" w:hAnsi="Book Antiqua"/>
        </w:rPr>
        <w:t>)</w:t>
      </w:r>
      <w:r w:rsidR="00145A6F">
        <w:rPr>
          <w:rFonts w:ascii="Book Antiqua" w:hAnsi="Book Antiqua"/>
        </w:rPr>
        <w:t xml:space="preserve"> </w:t>
      </w:r>
      <w:r w:rsidRPr="00840954" w:rsidR="00D46CF1">
        <w:rPr>
          <w:rFonts w:ascii="Book Antiqua" w:hAnsi="Book Antiqua"/>
        </w:rPr>
        <w:t>oversees compliance of</w:t>
      </w:r>
      <w:r w:rsidRPr="00840954" w:rsidR="005C478D">
        <w:rPr>
          <w:rFonts w:ascii="Book Antiqua" w:hAnsi="Book Antiqua"/>
        </w:rPr>
        <w:t xml:space="preserve"> </w:t>
      </w:r>
      <w:r w:rsidR="0088460C">
        <w:rPr>
          <w:rFonts w:ascii="Book Antiqua" w:hAnsi="Book Antiqua"/>
        </w:rPr>
        <w:t>telephone corporations</w:t>
      </w:r>
      <w:r w:rsidRPr="00840954" w:rsidR="00D46CF1">
        <w:rPr>
          <w:rFonts w:ascii="Book Antiqua" w:hAnsi="Book Antiqua"/>
        </w:rPr>
        <w:t>.</w:t>
      </w:r>
      <w:r w:rsidRPr="00840954" w:rsidR="00807137">
        <w:rPr>
          <w:rFonts w:ascii="Book Antiqua" w:hAnsi="Book Antiqua"/>
        </w:rPr>
        <w:t xml:space="preserve">  The Commission has specifically authorized CD to issue citations and levy penalties regarding noncompliance with</w:t>
      </w:r>
      <w:r w:rsidRPr="00840954" w:rsidR="00E904BF">
        <w:rPr>
          <w:rFonts w:ascii="Book Antiqua" w:hAnsi="Book Antiqua"/>
        </w:rPr>
        <w:t xml:space="preserve"> certain </w:t>
      </w:r>
      <w:r w:rsidR="0088460C">
        <w:rPr>
          <w:rFonts w:ascii="Book Antiqua" w:hAnsi="Book Antiqua"/>
        </w:rPr>
        <w:t>requirements</w:t>
      </w:r>
      <w:r w:rsidRPr="00840954" w:rsidR="00E904BF">
        <w:rPr>
          <w:rFonts w:ascii="Book Antiqua" w:hAnsi="Book Antiqua"/>
        </w:rPr>
        <w:t>, including but not limited to</w:t>
      </w:r>
      <w:r w:rsidRPr="00840954" w:rsidR="0022724F">
        <w:rPr>
          <w:rFonts w:ascii="Book Antiqua" w:hAnsi="Book Antiqua"/>
        </w:rPr>
        <w:t>,</w:t>
      </w:r>
      <w:r w:rsidRPr="00840954" w:rsidR="00E904BF">
        <w:rPr>
          <w:rFonts w:ascii="Book Antiqua" w:hAnsi="Book Antiqua"/>
        </w:rPr>
        <w:t xml:space="preserve"> failure to report and remit surcharge payments, f</w:t>
      </w:r>
      <w:r w:rsidRPr="00840954" w:rsidR="005B5EDF">
        <w:rPr>
          <w:rFonts w:ascii="Book Antiqua" w:hAnsi="Book Antiqua"/>
        </w:rPr>
        <w:t>ailure to obtain authority to operate in</w:t>
      </w:r>
      <w:r w:rsidRPr="00840954" w:rsidR="005A7B94">
        <w:rPr>
          <w:rFonts w:ascii="Book Antiqua" w:hAnsi="Book Antiqua"/>
        </w:rPr>
        <w:t xml:space="preserve"> </w:t>
      </w:r>
      <w:r w:rsidRPr="00840954" w:rsidR="005B5EDF">
        <w:rPr>
          <w:rFonts w:ascii="Book Antiqua" w:hAnsi="Book Antiqua"/>
        </w:rPr>
        <w:t xml:space="preserve">California, failure to submit financial reports, </w:t>
      </w:r>
      <w:r w:rsidRPr="00840954" w:rsidR="00F50563">
        <w:rPr>
          <w:rFonts w:ascii="Book Antiqua" w:hAnsi="Book Antiqua"/>
        </w:rPr>
        <w:t xml:space="preserve">and </w:t>
      </w:r>
      <w:r w:rsidRPr="00840954" w:rsidR="005B5EDF">
        <w:rPr>
          <w:rFonts w:ascii="Book Antiqua" w:hAnsi="Book Antiqua"/>
        </w:rPr>
        <w:t>failure to submit Service Quality</w:t>
      </w:r>
      <w:r w:rsidRPr="00840954" w:rsidR="005A7B94">
        <w:rPr>
          <w:rFonts w:ascii="Book Antiqua" w:hAnsi="Book Antiqua"/>
        </w:rPr>
        <w:t xml:space="preserve"> </w:t>
      </w:r>
      <w:r w:rsidR="00BD00FA">
        <w:rPr>
          <w:rFonts w:ascii="Book Antiqua" w:hAnsi="Book Antiqua"/>
        </w:rPr>
        <w:t>r</w:t>
      </w:r>
      <w:r w:rsidRPr="00840954" w:rsidR="005B5EDF">
        <w:rPr>
          <w:rFonts w:ascii="Book Antiqua" w:hAnsi="Book Antiqua"/>
        </w:rPr>
        <w:t>eports as ordered in G</w:t>
      </w:r>
      <w:r w:rsidR="001D4E19">
        <w:rPr>
          <w:rFonts w:ascii="Book Antiqua" w:hAnsi="Book Antiqua"/>
        </w:rPr>
        <w:t>eneral Order (G</w:t>
      </w:r>
      <w:r w:rsidRPr="00840954" w:rsidR="005B5EDF">
        <w:rPr>
          <w:rFonts w:ascii="Book Antiqua" w:hAnsi="Book Antiqua"/>
        </w:rPr>
        <w:t>.O.</w:t>
      </w:r>
      <w:r w:rsidR="001D4E19">
        <w:rPr>
          <w:rFonts w:ascii="Book Antiqua" w:hAnsi="Book Antiqua"/>
        </w:rPr>
        <w:t>)</w:t>
      </w:r>
      <w:r w:rsidRPr="00840954" w:rsidR="005B5EDF">
        <w:rPr>
          <w:rFonts w:ascii="Book Antiqua" w:hAnsi="Book Antiqua"/>
        </w:rPr>
        <w:t xml:space="preserve"> 133-D.</w:t>
      </w:r>
      <w:r w:rsidRPr="00840954" w:rsidR="005B5EDF">
        <w:rPr>
          <w:rStyle w:val="FootnoteReference"/>
          <w:rFonts w:ascii="Book Antiqua" w:hAnsi="Book Antiqua"/>
        </w:rPr>
        <w:footnoteReference w:id="11"/>
      </w:r>
      <w:r w:rsidR="00975EF2">
        <w:rPr>
          <w:rFonts w:ascii="Book Antiqua" w:hAnsi="Book Antiqua"/>
        </w:rPr>
        <w:t xml:space="preserve">  </w:t>
      </w:r>
      <w:r w:rsidRPr="00840954" w:rsidR="00E30FB3">
        <w:rPr>
          <w:rFonts w:ascii="Book Antiqua" w:hAnsi="Book Antiqua"/>
        </w:rPr>
        <w:t xml:space="preserve">Granting authority to </w:t>
      </w:r>
      <w:r w:rsidRPr="00840954" w:rsidR="0022724F">
        <w:rPr>
          <w:rFonts w:ascii="Book Antiqua" w:hAnsi="Book Antiqua"/>
        </w:rPr>
        <w:t>s</w:t>
      </w:r>
      <w:r w:rsidRPr="00840954" w:rsidR="00E30FB3">
        <w:rPr>
          <w:rFonts w:ascii="Book Antiqua" w:hAnsi="Book Antiqua"/>
        </w:rPr>
        <w:t>taff to issue citations for</w:t>
      </w:r>
      <w:r w:rsidRPr="00840954" w:rsidR="005A7B94">
        <w:rPr>
          <w:rFonts w:ascii="Book Antiqua" w:hAnsi="Book Antiqua"/>
        </w:rPr>
        <w:t xml:space="preserve"> </w:t>
      </w:r>
      <w:r w:rsidRPr="00840954" w:rsidR="00E30FB3">
        <w:rPr>
          <w:rFonts w:ascii="Book Antiqua" w:hAnsi="Book Antiqua"/>
        </w:rPr>
        <w:t>certain violations listed in Res. T-17601, Appendix A, was necessary to ensure that</w:t>
      </w:r>
      <w:r w:rsidRPr="00840954" w:rsidR="005A7B94">
        <w:rPr>
          <w:rFonts w:ascii="Book Antiqua" w:hAnsi="Book Antiqua"/>
        </w:rPr>
        <w:t xml:space="preserve"> </w:t>
      </w:r>
      <w:r w:rsidR="002F5846">
        <w:rPr>
          <w:rFonts w:ascii="Book Antiqua" w:hAnsi="Book Antiqua"/>
        </w:rPr>
        <w:t>telephone corporations</w:t>
      </w:r>
      <w:r w:rsidRPr="00840954" w:rsidR="00E30FB3">
        <w:rPr>
          <w:rFonts w:ascii="Book Antiqua" w:hAnsi="Book Antiqua"/>
        </w:rPr>
        <w:t xml:space="preserve"> comply with the Commission’s </w:t>
      </w:r>
      <w:r w:rsidR="00523A55">
        <w:rPr>
          <w:rFonts w:ascii="Book Antiqua" w:hAnsi="Book Antiqua"/>
        </w:rPr>
        <w:t>r</w:t>
      </w:r>
      <w:r w:rsidRPr="00840954" w:rsidR="00E30FB3">
        <w:rPr>
          <w:rFonts w:ascii="Book Antiqua" w:hAnsi="Book Antiqua"/>
        </w:rPr>
        <w:t xml:space="preserve">esolutions, </w:t>
      </w:r>
      <w:r w:rsidR="00523A55">
        <w:rPr>
          <w:rFonts w:ascii="Book Antiqua" w:hAnsi="Book Antiqua"/>
        </w:rPr>
        <w:t>d</w:t>
      </w:r>
      <w:r w:rsidRPr="00840954" w:rsidR="00E30FB3">
        <w:rPr>
          <w:rFonts w:ascii="Book Antiqua" w:hAnsi="Book Antiqua"/>
        </w:rPr>
        <w:t>ecisions,</w:t>
      </w:r>
      <w:r w:rsidRPr="00840954" w:rsidR="005A7B94">
        <w:rPr>
          <w:rFonts w:ascii="Book Antiqua" w:hAnsi="Book Antiqua"/>
        </w:rPr>
        <w:t xml:space="preserve"> </w:t>
      </w:r>
      <w:r w:rsidR="00523A55">
        <w:rPr>
          <w:rFonts w:ascii="Book Antiqua" w:hAnsi="Book Antiqua"/>
        </w:rPr>
        <w:t>o</w:t>
      </w:r>
      <w:r w:rsidRPr="00840954" w:rsidR="00E30FB3">
        <w:rPr>
          <w:rFonts w:ascii="Book Antiqua" w:hAnsi="Book Antiqua"/>
        </w:rPr>
        <w:t>rders, and the Public Utilities Code.  It provides staff with an additional tool to</w:t>
      </w:r>
      <w:r w:rsidRPr="00840954" w:rsidR="005A7B94">
        <w:rPr>
          <w:rFonts w:ascii="Book Antiqua" w:hAnsi="Book Antiqua"/>
        </w:rPr>
        <w:t xml:space="preserve"> </w:t>
      </w:r>
      <w:r w:rsidRPr="00840954" w:rsidR="00E30FB3">
        <w:rPr>
          <w:rFonts w:ascii="Book Antiqua" w:hAnsi="Book Antiqua"/>
        </w:rPr>
        <w:t>address noncompliance issues in a more efficient manner.  T</w:t>
      </w:r>
      <w:r w:rsidRPr="00840954" w:rsidR="004C48C5">
        <w:rPr>
          <w:rFonts w:ascii="Book Antiqua" w:hAnsi="Book Antiqua"/>
        </w:rPr>
        <w:t>he establishment of a</w:t>
      </w:r>
      <w:r w:rsidRPr="00840954" w:rsidR="005A7B94">
        <w:rPr>
          <w:rFonts w:ascii="Book Antiqua" w:hAnsi="Book Antiqua"/>
        </w:rPr>
        <w:t xml:space="preserve"> </w:t>
      </w:r>
      <w:r w:rsidRPr="00840954" w:rsidR="004C48C5">
        <w:rPr>
          <w:rFonts w:ascii="Book Antiqua" w:hAnsi="Book Antiqua"/>
        </w:rPr>
        <w:t>citation program does not prevent the Commission from taking other remedial</w:t>
      </w:r>
      <w:r w:rsidRPr="00840954" w:rsidR="005A7B94">
        <w:rPr>
          <w:rFonts w:ascii="Book Antiqua" w:hAnsi="Book Antiqua"/>
        </w:rPr>
        <w:t xml:space="preserve"> </w:t>
      </w:r>
      <w:r w:rsidRPr="00840954" w:rsidR="004C48C5">
        <w:rPr>
          <w:rFonts w:ascii="Book Antiqua" w:hAnsi="Book Antiqua"/>
        </w:rPr>
        <w:t xml:space="preserve">measures, including, but not limited </w:t>
      </w:r>
      <w:r w:rsidR="00805E5E">
        <w:rPr>
          <w:rFonts w:ascii="Book Antiqua" w:hAnsi="Book Antiqua"/>
        </w:rPr>
        <w:t xml:space="preserve">to </w:t>
      </w:r>
      <w:r w:rsidRPr="00840954" w:rsidR="006722E7">
        <w:rPr>
          <w:rFonts w:ascii="Book Antiqua" w:hAnsi="Book Antiqua"/>
        </w:rPr>
        <w:t>issuing an Order Instituting Investigation (OII) or</w:t>
      </w:r>
      <w:r w:rsidRPr="00840954" w:rsidR="005A7B94">
        <w:rPr>
          <w:rFonts w:ascii="Book Antiqua" w:hAnsi="Book Antiqua"/>
        </w:rPr>
        <w:t xml:space="preserve"> </w:t>
      </w:r>
      <w:r w:rsidRPr="00840954" w:rsidR="004C48C5">
        <w:rPr>
          <w:rFonts w:ascii="Book Antiqua" w:hAnsi="Book Antiqua"/>
        </w:rPr>
        <w:t>revo</w:t>
      </w:r>
      <w:r w:rsidRPr="00840954" w:rsidR="006722E7">
        <w:rPr>
          <w:rFonts w:ascii="Book Antiqua" w:hAnsi="Book Antiqua"/>
        </w:rPr>
        <w:t xml:space="preserve">king </w:t>
      </w:r>
      <w:r w:rsidRPr="00840954" w:rsidR="004C48C5">
        <w:rPr>
          <w:rFonts w:ascii="Book Antiqua" w:hAnsi="Book Antiqua"/>
        </w:rPr>
        <w:t>a carrier’s Certificate of Public Convenience and Necessity and</w:t>
      </w:r>
      <w:r w:rsidRPr="00840954" w:rsidR="005A7B94">
        <w:rPr>
          <w:rFonts w:ascii="Book Antiqua" w:hAnsi="Book Antiqua"/>
        </w:rPr>
        <w:t xml:space="preserve"> </w:t>
      </w:r>
      <w:r w:rsidRPr="00840954" w:rsidR="004C48C5">
        <w:rPr>
          <w:rFonts w:ascii="Book Antiqua" w:hAnsi="Book Antiqua"/>
        </w:rPr>
        <w:t>registration.</w:t>
      </w:r>
      <w:r w:rsidRPr="00840954" w:rsidR="00707F4E">
        <w:rPr>
          <w:rStyle w:val="FootnoteReference"/>
          <w:rFonts w:ascii="Book Antiqua" w:hAnsi="Book Antiqua"/>
        </w:rPr>
        <w:footnoteReference w:id="12"/>
      </w:r>
      <w:r w:rsidRPr="00840954" w:rsidR="004C48C5">
        <w:rPr>
          <w:rFonts w:ascii="Book Antiqua" w:hAnsi="Book Antiqua"/>
        </w:rPr>
        <w:t xml:space="preserve">  </w:t>
      </w:r>
      <w:r w:rsidRPr="00840954" w:rsidR="00823E9A">
        <w:rPr>
          <w:rFonts w:ascii="Book Antiqua" w:hAnsi="Book Antiqua"/>
        </w:rPr>
        <w:t xml:space="preserve">  </w:t>
      </w:r>
      <w:r w:rsidRPr="00840954" w:rsidR="00E904BF">
        <w:rPr>
          <w:rFonts w:ascii="Book Antiqua" w:hAnsi="Book Antiqua"/>
        </w:rPr>
        <w:t xml:space="preserve">  </w:t>
      </w:r>
      <w:r w:rsidRPr="00840954" w:rsidR="00807137">
        <w:rPr>
          <w:rFonts w:ascii="Book Antiqua" w:hAnsi="Book Antiqua"/>
        </w:rPr>
        <w:t xml:space="preserve"> </w:t>
      </w:r>
    </w:p>
    <w:p w:rsidRPr="00840954" w:rsidR="0065487F" w:rsidP="00807137" w:rsidRDefault="0065487F" w14:paraId="7D46BE09" w14:textId="77777777">
      <w:pPr>
        <w:tabs>
          <w:tab w:val="right" w:pos="10080"/>
        </w:tabs>
        <w:rPr>
          <w:rFonts w:ascii="Book Antiqua" w:hAnsi="Book Antiqua"/>
        </w:rPr>
      </w:pPr>
    </w:p>
    <w:p w:rsidRPr="00840954" w:rsidR="008C2FB0" w:rsidP="008C2FB0" w:rsidRDefault="00A64E00" w14:paraId="062E62EE" w14:textId="404320E0">
      <w:pPr>
        <w:tabs>
          <w:tab w:val="right" w:pos="10080"/>
        </w:tabs>
        <w:rPr>
          <w:rFonts w:ascii="Book Antiqua" w:hAnsi="Book Antiqua"/>
          <w:b/>
          <w:bCs/>
          <w:u w:val="single"/>
        </w:rPr>
      </w:pPr>
      <w:r>
        <w:rPr>
          <w:rFonts w:ascii="Book Antiqua" w:hAnsi="Book Antiqua"/>
          <w:b/>
          <w:bCs/>
          <w:u w:val="single"/>
        </w:rPr>
        <w:t xml:space="preserve">THE </w:t>
      </w:r>
      <w:r w:rsidR="003F03F6">
        <w:rPr>
          <w:rFonts w:ascii="Book Antiqua" w:hAnsi="Book Antiqua"/>
          <w:b/>
          <w:bCs/>
          <w:u w:val="single"/>
        </w:rPr>
        <w:t xml:space="preserve">COX </w:t>
      </w:r>
      <w:r>
        <w:rPr>
          <w:rFonts w:ascii="Book Antiqua" w:hAnsi="Book Antiqua"/>
          <w:b/>
          <w:bCs/>
          <w:u w:val="single"/>
        </w:rPr>
        <w:t xml:space="preserve">AUDIT REPORTS </w:t>
      </w:r>
    </w:p>
    <w:p w:rsidRPr="00840954" w:rsidR="008C2FB0" w:rsidP="008C2FB0" w:rsidRDefault="008C2FB0" w14:paraId="5EAEF6DE" w14:textId="77777777">
      <w:pPr>
        <w:tabs>
          <w:tab w:val="right" w:pos="10080"/>
        </w:tabs>
        <w:rPr>
          <w:rFonts w:ascii="Book Antiqua" w:hAnsi="Book Antiqua"/>
        </w:rPr>
      </w:pPr>
    </w:p>
    <w:p w:rsidRPr="00840954" w:rsidR="008C2FB0" w:rsidP="00840954" w:rsidRDefault="0065487F" w14:paraId="5DA04B88" w14:textId="38841C8B">
      <w:pPr>
        <w:pStyle w:val="ListParagraph"/>
        <w:numPr>
          <w:ilvl w:val="0"/>
          <w:numId w:val="29"/>
        </w:numPr>
        <w:tabs>
          <w:tab w:val="right" w:pos="10080"/>
        </w:tabs>
        <w:rPr>
          <w:rFonts w:ascii="Book Antiqua" w:hAnsi="Book Antiqua"/>
        </w:rPr>
      </w:pPr>
      <w:r w:rsidRPr="00840954">
        <w:rPr>
          <w:rFonts w:ascii="Book Antiqua" w:hAnsi="Book Antiqua"/>
        </w:rPr>
        <w:t xml:space="preserve">2016 </w:t>
      </w:r>
      <w:r w:rsidRPr="00840954" w:rsidR="00C574EB">
        <w:rPr>
          <w:rFonts w:ascii="Book Antiqua" w:hAnsi="Book Antiqua"/>
        </w:rPr>
        <w:t>AUDIT REPORT</w:t>
      </w:r>
      <w:r w:rsidRPr="00840954" w:rsidR="0006628E">
        <w:rPr>
          <w:rFonts w:ascii="Book Antiqua" w:hAnsi="Book Antiqua"/>
        </w:rPr>
        <w:t>,</w:t>
      </w:r>
      <w:r w:rsidRPr="00840954">
        <w:rPr>
          <w:rFonts w:ascii="Book Antiqua" w:hAnsi="Book Antiqua"/>
        </w:rPr>
        <w:t xml:space="preserve"> EXAMINITION PERIOD JULY 1, 2012 THROUGH JUNE 30, 2013</w:t>
      </w:r>
    </w:p>
    <w:p w:rsidRPr="00840954" w:rsidR="00C574EB" w:rsidP="001D5A10" w:rsidRDefault="00C574EB" w14:paraId="274851D7" w14:textId="77777777">
      <w:pPr>
        <w:tabs>
          <w:tab w:val="right" w:pos="10080"/>
        </w:tabs>
        <w:rPr>
          <w:rFonts w:ascii="Book Antiqua" w:hAnsi="Book Antiqua"/>
        </w:rPr>
      </w:pPr>
    </w:p>
    <w:p w:rsidR="000E15DF" w:rsidP="006A69E8" w:rsidRDefault="00F350C5" w14:paraId="11E74574" w14:textId="62FA2DA3">
      <w:pPr>
        <w:tabs>
          <w:tab w:val="right" w:pos="10080"/>
        </w:tabs>
        <w:rPr>
          <w:rFonts w:ascii="Book Antiqua" w:hAnsi="Book Antiqua"/>
        </w:rPr>
      </w:pPr>
      <w:r w:rsidRPr="00840954">
        <w:rPr>
          <w:rFonts w:ascii="Book Antiqua" w:hAnsi="Book Antiqua"/>
        </w:rPr>
        <w:t xml:space="preserve">In 2016, the CPUC </w:t>
      </w:r>
      <w:r w:rsidR="007C1514">
        <w:rPr>
          <w:rFonts w:ascii="Book Antiqua" w:hAnsi="Book Antiqua"/>
        </w:rPr>
        <w:t>hired</w:t>
      </w:r>
      <w:r w:rsidRPr="00840954">
        <w:rPr>
          <w:rFonts w:ascii="Book Antiqua" w:hAnsi="Book Antiqua"/>
        </w:rPr>
        <w:t xml:space="preserve"> Crow Horwath LLP</w:t>
      </w:r>
      <w:r w:rsidRPr="00840954" w:rsidR="00FC5381">
        <w:rPr>
          <w:rFonts w:ascii="Book Antiqua" w:hAnsi="Book Antiqua"/>
        </w:rPr>
        <w:t xml:space="preserve"> </w:t>
      </w:r>
      <w:r w:rsidRPr="00840954">
        <w:rPr>
          <w:rFonts w:ascii="Book Antiqua" w:hAnsi="Book Antiqua"/>
        </w:rPr>
        <w:t xml:space="preserve">to conduct an audit of Cox’s compliance with </w:t>
      </w:r>
      <w:r w:rsidR="007C1514">
        <w:rPr>
          <w:rFonts w:ascii="Book Antiqua" w:hAnsi="Book Antiqua"/>
        </w:rPr>
        <w:t xml:space="preserve">the </w:t>
      </w:r>
      <w:r w:rsidRPr="00840954">
        <w:rPr>
          <w:rFonts w:ascii="Book Antiqua" w:hAnsi="Book Antiqua"/>
        </w:rPr>
        <w:t>assessment, collection, and remittance of PPP surcharges and CPUC user fees for the examination period of July 1, 2012 through June 30, 2013.</w:t>
      </w:r>
      <w:r w:rsidRPr="00840954" w:rsidR="006154DD">
        <w:rPr>
          <w:rFonts w:ascii="Book Antiqua" w:hAnsi="Book Antiqua"/>
        </w:rPr>
        <w:t xml:space="preserve">  In Crowe’s Independent Accountant’s Report, entitled </w:t>
      </w:r>
      <w:r w:rsidRPr="00840954" w:rsidR="006154DD">
        <w:rPr>
          <w:rFonts w:ascii="Book Antiqua" w:hAnsi="Book Antiqua"/>
          <w:i/>
          <w:iCs/>
        </w:rPr>
        <w:t>E</w:t>
      </w:r>
      <w:r w:rsidRPr="00840954" w:rsidR="006A7798">
        <w:rPr>
          <w:rFonts w:ascii="Book Antiqua" w:hAnsi="Book Antiqua"/>
          <w:i/>
          <w:iCs/>
        </w:rPr>
        <w:t>xamination Report: California Telecommunications Public Purpose Program (PPP) Surcharge and User Fee Compliance Examination of Cox Communications</w:t>
      </w:r>
      <w:r w:rsidRPr="00840954" w:rsidR="0082426B">
        <w:rPr>
          <w:rFonts w:ascii="Book Antiqua" w:hAnsi="Book Antiqua"/>
        </w:rPr>
        <w:t xml:space="preserve">, dated </w:t>
      </w:r>
      <w:r w:rsidRPr="00840954" w:rsidR="006154DD">
        <w:rPr>
          <w:rFonts w:ascii="Book Antiqua" w:hAnsi="Book Antiqua"/>
        </w:rPr>
        <w:t>June 10, 2016</w:t>
      </w:r>
      <w:r w:rsidRPr="00840954" w:rsidR="009A1FD8">
        <w:rPr>
          <w:rFonts w:ascii="Book Antiqua" w:hAnsi="Book Antiqua"/>
        </w:rPr>
        <w:t xml:space="preserve">, </w:t>
      </w:r>
      <w:r w:rsidRPr="00840954" w:rsidR="00C16ABC">
        <w:rPr>
          <w:rFonts w:ascii="Book Antiqua" w:hAnsi="Book Antiqua"/>
        </w:rPr>
        <w:t>(“2016 Audit Report”)</w:t>
      </w:r>
      <w:r w:rsidR="007C1514">
        <w:rPr>
          <w:rFonts w:ascii="Book Antiqua" w:hAnsi="Book Antiqua"/>
        </w:rPr>
        <w:t>,</w:t>
      </w:r>
      <w:r w:rsidR="00834A2A">
        <w:rPr>
          <w:rFonts w:ascii="Book Antiqua" w:hAnsi="Book Antiqua"/>
        </w:rPr>
        <w:t xml:space="preserve"> Crowe found </w:t>
      </w:r>
      <w:r w:rsidR="000E15DF">
        <w:rPr>
          <w:rFonts w:ascii="Book Antiqua" w:hAnsi="Book Antiqua"/>
        </w:rPr>
        <w:t xml:space="preserve">that </w:t>
      </w:r>
      <w:r w:rsidR="00834A2A">
        <w:rPr>
          <w:rFonts w:ascii="Book Antiqua" w:hAnsi="Book Antiqua"/>
        </w:rPr>
        <w:t xml:space="preserve">Cox </w:t>
      </w:r>
      <w:r w:rsidR="000E15DF">
        <w:rPr>
          <w:rFonts w:ascii="Book Antiqua" w:hAnsi="Book Antiqua"/>
        </w:rPr>
        <w:t xml:space="preserve">in noncompliance on several matters. </w:t>
      </w:r>
      <w:r w:rsidR="00834A2A">
        <w:rPr>
          <w:rFonts w:ascii="Book Antiqua" w:hAnsi="Book Antiqua"/>
        </w:rPr>
        <w:t xml:space="preserve">  </w:t>
      </w:r>
    </w:p>
    <w:p w:rsidR="000E15DF" w:rsidP="006A69E8" w:rsidRDefault="000E15DF" w14:paraId="36AD2AEE" w14:textId="77777777">
      <w:pPr>
        <w:tabs>
          <w:tab w:val="right" w:pos="10080"/>
        </w:tabs>
        <w:rPr>
          <w:rFonts w:ascii="Book Antiqua" w:hAnsi="Book Antiqua"/>
        </w:rPr>
      </w:pPr>
    </w:p>
    <w:p w:rsidR="005C78B5" w:rsidP="006A69E8" w:rsidRDefault="00834A2A" w14:paraId="058DAE50" w14:textId="34701292">
      <w:pPr>
        <w:tabs>
          <w:tab w:val="right" w:pos="10080"/>
        </w:tabs>
        <w:rPr>
          <w:rFonts w:ascii="Book Antiqua" w:hAnsi="Book Antiqua"/>
        </w:rPr>
      </w:pPr>
      <w:r>
        <w:rPr>
          <w:rFonts w:ascii="Book Antiqua" w:hAnsi="Book Antiqua"/>
        </w:rPr>
        <w:t>Specifically, Finding 3</w:t>
      </w:r>
      <w:r w:rsidR="00D23411">
        <w:rPr>
          <w:rFonts w:ascii="Book Antiqua" w:hAnsi="Book Antiqua"/>
        </w:rPr>
        <w:t xml:space="preserve"> </w:t>
      </w:r>
      <w:r w:rsidR="00D90FD4">
        <w:rPr>
          <w:rFonts w:ascii="Book Antiqua" w:hAnsi="Book Antiqua"/>
        </w:rPr>
        <w:t>(</w:t>
      </w:r>
      <w:r w:rsidR="00D23411">
        <w:rPr>
          <w:rFonts w:ascii="Book Antiqua" w:hAnsi="Book Antiqua"/>
        </w:rPr>
        <w:t>related to directory listings service</w:t>
      </w:r>
      <w:r w:rsidR="00D90FD4">
        <w:rPr>
          <w:rFonts w:ascii="Book Antiqua" w:hAnsi="Book Antiqua"/>
        </w:rPr>
        <w:t>)</w:t>
      </w:r>
      <w:r>
        <w:rPr>
          <w:rFonts w:ascii="Book Antiqua" w:hAnsi="Book Antiqua"/>
        </w:rPr>
        <w:t xml:space="preserve"> </w:t>
      </w:r>
      <w:r w:rsidRPr="00840954" w:rsidR="00736F10">
        <w:rPr>
          <w:rFonts w:ascii="Book Antiqua" w:hAnsi="Book Antiqua"/>
        </w:rPr>
        <w:t>s</w:t>
      </w:r>
      <w:r w:rsidRPr="00840954" w:rsidR="007F5B5F">
        <w:rPr>
          <w:rFonts w:ascii="Book Antiqua" w:hAnsi="Book Antiqua"/>
        </w:rPr>
        <w:t xml:space="preserve">tated </w:t>
      </w:r>
      <w:r w:rsidRPr="00840954" w:rsidR="009A1FD8">
        <w:rPr>
          <w:rFonts w:ascii="Book Antiqua" w:hAnsi="Book Antiqua"/>
        </w:rPr>
        <w:t>that</w:t>
      </w:r>
      <w:r w:rsidRPr="00840954" w:rsidR="00750EA5">
        <w:rPr>
          <w:rFonts w:ascii="Book Antiqua" w:hAnsi="Book Antiqua"/>
        </w:rPr>
        <w:t xml:space="preserve"> </w:t>
      </w:r>
      <w:r w:rsidRPr="00840954" w:rsidR="009B15A4">
        <w:rPr>
          <w:rFonts w:ascii="Book Antiqua" w:hAnsi="Book Antiqua"/>
        </w:rPr>
        <w:t>“</w:t>
      </w:r>
      <w:r w:rsidRPr="00840954" w:rsidR="00750EA5">
        <w:rPr>
          <w:rFonts w:ascii="Book Antiqua" w:hAnsi="Book Antiqua"/>
        </w:rPr>
        <w:t>Cox</w:t>
      </w:r>
      <w:r w:rsidRPr="00840954" w:rsidR="009B15A4">
        <w:rPr>
          <w:rFonts w:ascii="Book Antiqua" w:hAnsi="Book Antiqua"/>
        </w:rPr>
        <w:t xml:space="preserve"> failed to demonstrate compliance with General Order 153, D.96-10-066, PUC Codes 275 to 280, </w:t>
      </w:r>
      <w:r w:rsidRPr="00840954" w:rsidR="009B15A4">
        <w:rPr>
          <w:rFonts w:ascii="Book Antiqua" w:hAnsi="Book Antiqua"/>
        </w:rPr>
        <w:lastRenderedPageBreak/>
        <w:t xml:space="preserve">and the CPUC’s Telephone Surcharge Reporting and Payment Filing guidance (revised July </w:t>
      </w:r>
      <w:r w:rsidRPr="00840954" w:rsidR="00CC015D">
        <w:rPr>
          <w:rFonts w:ascii="Book Antiqua" w:hAnsi="Book Antiqua"/>
        </w:rPr>
        <w:t>11, 2012); and PUC Code 433, D.13-05-035, D.10-09-017</w:t>
      </w:r>
      <w:r w:rsidRPr="00840954" w:rsidR="00281083">
        <w:rPr>
          <w:rFonts w:ascii="Book Antiqua" w:hAnsi="Book Antiqua"/>
        </w:rPr>
        <w:t xml:space="preserve"> and the </w:t>
      </w:r>
      <w:r w:rsidRPr="00840954" w:rsidR="00281083">
        <w:rPr>
          <w:rFonts w:ascii="Book Antiqua" w:hAnsi="Book Antiqua"/>
          <w:i/>
          <w:iCs/>
        </w:rPr>
        <w:t>Instructions for User Fee Statement for PUC Utilities Reimbursement</w:t>
      </w:r>
      <w:r w:rsidRPr="00840954" w:rsidR="003E2DFF">
        <w:rPr>
          <w:rFonts w:ascii="Book Antiqua" w:hAnsi="Book Antiqua"/>
          <w:i/>
          <w:iCs/>
        </w:rPr>
        <w:t xml:space="preserve"> Account</w:t>
      </w:r>
      <w:r w:rsidR="001B5BBA">
        <w:rPr>
          <w:rFonts w:ascii="Book Antiqua" w:hAnsi="Book Antiqua"/>
        </w:rPr>
        <w:t>” in</w:t>
      </w:r>
      <w:r w:rsidR="00400742">
        <w:rPr>
          <w:rFonts w:ascii="Book Antiqua" w:hAnsi="Book Antiqua"/>
        </w:rPr>
        <w:t xml:space="preserve"> that Cox failed to</w:t>
      </w:r>
      <w:r w:rsidR="008C1801">
        <w:rPr>
          <w:rFonts w:ascii="Book Antiqua" w:hAnsi="Book Antiqua"/>
        </w:rPr>
        <w:t xml:space="preserve"> </w:t>
      </w:r>
      <w:r w:rsidRPr="00840954" w:rsidR="003E2DFF">
        <w:rPr>
          <w:rFonts w:ascii="Book Antiqua" w:hAnsi="Book Antiqua"/>
        </w:rPr>
        <w:t>assess, collect</w:t>
      </w:r>
      <w:r w:rsidR="00400742">
        <w:rPr>
          <w:rFonts w:ascii="Book Antiqua" w:hAnsi="Book Antiqua"/>
        </w:rPr>
        <w:t>,</w:t>
      </w:r>
      <w:r w:rsidRPr="00840954" w:rsidR="003E2DFF">
        <w:rPr>
          <w:rFonts w:ascii="Book Antiqua" w:hAnsi="Book Antiqua"/>
        </w:rPr>
        <w:t xml:space="preserve"> or remit PPP surcharges </w:t>
      </w:r>
      <w:r w:rsidR="008C1801">
        <w:rPr>
          <w:rFonts w:ascii="Book Antiqua" w:hAnsi="Book Antiqua"/>
        </w:rPr>
        <w:t>and</w:t>
      </w:r>
      <w:r w:rsidRPr="00840954" w:rsidR="003E2DFF">
        <w:rPr>
          <w:rFonts w:ascii="Book Antiqua" w:hAnsi="Book Antiqua"/>
        </w:rPr>
        <w:t xml:space="preserve"> </w:t>
      </w:r>
      <w:r w:rsidR="00400742">
        <w:rPr>
          <w:rFonts w:ascii="Book Antiqua" w:hAnsi="Book Antiqua"/>
        </w:rPr>
        <w:t>CPUC u</w:t>
      </w:r>
      <w:r w:rsidRPr="00840954" w:rsidR="003E2DFF">
        <w:rPr>
          <w:rFonts w:ascii="Book Antiqua" w:hAnsi="Book Antiqua"/>
        </w:rPr>
        <w:t xml:space="preserve">ser </w:t>
      </w:r>
      <w:r w:rsidR="00400742">
        <w:rPr>
          <w:rFonts w:ascii="Book Antiqua" w:hAnsi="Book Antiqua"/>
        </w:rPr>
        <w:t>f</w:t>
      </w:r>
      <w:r w:rsidRPr="00840954" w:rsidR="003E2DFF">
        <w:rPr>
          <w:rFonts w:ascii="Book Antiqua" w:hAnsi="Book Antiqua"/>
        </w:rPr>
        <w:t xml:space="preserve">ees </w:t>
      </w:r>
      <w:r w:rsidRPr="00840954" w:rsidR="00921725">
        <w:rPr>
          <w:rFonts w:ascii="Book Antiqua" w:hAnsi="Book Antiqua"/>
        </w:rPr>
        <w:t xml:space="preserve">for revenues associated with </w:t>
      </w:r>
      <w:r w:rsidR="001B5BBA">
        <w:rPr>
          <w:rFonts w:ascii="Book Antiqua" w:hAnsi="Book Antiqua"/>
        </w:rPr>
        <w:t>“</w:t>
      </w:r>
      <w:r w:rsidRPr="00840954" w:rsidR="00921725">
        <w:rPr>
          <w:rFonts w:ascii="Book Antiqua" w:hAnsi="Book Antiqua"/>
        </w:rPr>
        <w:t>directory listing non-public service</w:t>
      </w:r>
      <w:r w:rsidR="008C1801">
        <w:rPr>
          <w:rFonts w:ascii="Book Antiqua" w:hAnsi="Book Antiqua"/>
        </w:rPr>
        <w:t>.</w:t>
      </w:r>
      <w:r w:rsidR="00400742">
        <w:rPr>
          <w:rFonts w:ascii="Book Antiqua" w:hAnsi="Book Antiqua"/>
        </w:rPr>
        <w:t>”</w:t>
      </w:r>
      <w:r w:rsidR="008C1801">
        <w:rPr>
          <w:rStyle w:val="FootnoteReference"/>
          <w:rFonts w:ascii="Book Antiqua" w:hAnsi="Book Antiqua"/>
        </w:rPr>
        <w:footnoteReference w:id="13"/>
      </w:r>
      <w:r w:rsidRPr="00840954" w:rsidR="00921725">
        <w:rPr>
          <w:rFonts w:ascii="Book Antiqua" w:hAnsi="Book Antiqua"/>
        </w:rPr>
        <w:t xml:space="preserve">  This</w:t>
      </w:r>
      <w:r w:rsidR="001B5BBA">
        <w:rPr>
          <w:rFonts w:ascii="Book Antiqua" w:hAnsi="Book Antiqua"/>
        </w:rPr>
        <w:t xml:space="preserve"> failure</w:t>
      </w:r>
      <w:r w:rsidRPr="00840954" w:rsidR="00921725">
        <w:rPr>
          <w:rFonts w:ascii="Book Antiqua" w:hAnsi="Book Antiqua"/>
        </w:rPr>
        <w:t xml:space="preserve"> resulted in </w:t>
      </w:r>
      <w:r w:rsidR="001D6060">
        <w:rPr>
          <w:rFonts w:ascii="Book Antiqua" w:hAnsi="Book Antiqua"/>
        </w:rPr>
        <w:t xml:space="preserve">over $100,000 in </w:t>
      </w:r>
      <w:r w:rsidRPr="00840954" w:rsidR="00921725">
        <w:rPr>
          <w:rFonts w:ascii="Book Antiqua" w:hAnsi="Book Antiqua"/>
        </w:rPr>
        <w:t>underpayment of PPP surcharges and</w:t>
      </w:r>
      <w:r w:rsidR="00395AC5">
        <w:rPr>
          <w:rFonts w:ascii="Book Antiqua" w:hAnsi="Book Antiqua"/>
        </w:rPr>
        <w:t xml:space="preserve"> </w:t>
      </w:r>
      <w:r w:rsidR="003543F5">
        <w:rPr>
          <w:rFonts w:ascii="Book Antiqua" w:hAnsi="Book Antiqua"/>
        </w:rPr>
        <w:t>CPUC u</w:t>
      </w:r>
      <w:r w:rsidRPr="00840954" w:rsidR="00921725">
        <w:rPr>
          <w:rFonts w:ascii="Book Antiqua" w:hAnsi="Book Antiqua"/>
        </w:rPr>
        <w:t xml:space="preserve">ser </w:t>
      </w:r>
      <w:r w:rsidR="003543F5">
        <w:rPr>
          <w:rFonts w:ascii="Book Antiqua" w:hAnsi="Book Antiqua"/>
        </w:rPr>
        <w:t>f</w:t>
      </w:r>
      <w:r w:rsidRPr="00840954" w:rsidR="00921725">
        <w:rPr>
          <w:rFonts w:ascii="Book Antiqua" w:hAnsi="Book Antiqua"/>
        </w:rPr>
        <w:t>ees</w:t>
      </w:r>
      <w:r w:rsidRPr="00840954" w:rsidR="0082426B">
        <w:rPr>
          <w:rFonts w:ascii="Book Antiqua" w:hAnsi="Book Antiqua"/>
        </w:rPr>
        <w:t>.</w:t>
      </w:r>
      <w:r w:rsidRPr="00840954" w:rsidR="00C16ABC">
        <w:rPr>
          <w:rStyle w:val="FootnoteReference"/>
          <w:rFonts w:ascii="Book Antiqua" w:hAnsi="Book Antiqua"/>
        </w:rPr>
        <w:footnoteReference w:id="14"/>
      </w:r>
      <w:r w:rsidRPr="00840954" w:rsidR="006A69E8">
        <w:rPr>
          <w:rFonts w:ascii="Book Antiqua" w:hAnsi="Book Antiqua"/>
        </w:rPr>
        <w:t xml:space="preserve">  </w:t>
      </w:r>
    </w:p>
    <w:p w:rsidR="005C78B5" w:rsidP="006A69E8" w:rsidRDefault="005C78B5" w14:paraId="662C3671" w14:textId="77777777">
      <w:pPr>
        <w:tabs>
          <w:tab w:val="right" w:pos="10080"/>
        </w:tabs>
        <w:rPr>
          <w:rFonts w:ascii="Book Antiqua" w:hAnsi="Book Antiqua"/>
        </w:rPr>
      </w:pPr>
    </w:p>
    <w:p w:rsidRPr="00840954" w:rsidR="006A69E8" w:rsidP="006A69E8" w:rsidRDefault="006A69E8" w14:paraId="0A3B6BDE" w14:textId="2764EEDC">
      <w:pPr>
        <w:tabs>
          <w:tab w:val="right" w:pos="10080"/>
        </w:tabs>
        <w:rPr>
          <w:rFonts w:ascii="Book Antiqua" w:hAnsi="Book Antiqua"/>
        </w:rPr>
      </w:pPr>
      <w:r w:rsidRPr="00840954">
        <w:rPr>
          <w:rFonts w:ascii="Book Antiqua" w:hAnsi="Book Antiqua"/>
        </w:rPr>
        <w:t>The 2016 Audit Report explained:</w:t>
      </w:r>
    </w:p>
    <w:p w:rsidRPr="00840954" w:rsidR="006A69E8" w:rsidP="006A69E8" w:rsidRDefault="006A69E8" w14:paraId="08C1FDBB" w14:textId="77777777">
      <w:pPr>
        <w:tabs>
          <w:tab w:val="right" w:pos="10080"/>
        </w:tabs>
        <w:rPr>
          <w:rFonts w:ascii="Book Antiqua" w:hAnsi="Book Antiqua"/>
        </w:rPr>
      </w:pPr>
    </w:p>
    <w:p w:rsidRPr="00840954" w:rsidR="00C72638" w:rsidP="00840954" w:rsidRDefault="00C50CF1" w14:paraId="70396481" w14:textId="7E11760D">
      <w:pPr>
        <w:ind w:left="1440" w:right="1440"/>
        <w:rPr>
          <w:rFonts w:ascii="Book Antiqua" w:hAnsi="Book Antiqua"/>
        </w:rPr>
      </w:pPr>
      <w:r w:rsidRPr="00840954">
        <w:rPr>
          <w:rFonts w:ascii="Book Antiqua" w:hAnsi="Book Antiqua"/>
        </w:rPr>
        <w:t xml:space="preserve">In the CPUC Decision D.96-10-066, </w:t>
      </w:r>
      <w:r w:rsidRPr="00840954" w:rsidR="00C72638">
        <w:rPr>
          <w:rFonts w:ascii="Book Antiqua" w:hAnsi="Book Antiqua"/>
        </w:rPr>
        <w:t>“</w:t>
      </w:r>
      <w:r w:rsidRPr="00840954" w:rsidR="006A69E8">
        <w:rPr>
          <w:rFonts w:ascii="Book Antiqua" w:hAnsi="Book Antiqua"/>
        </w:rPr>
        <w:t>Access to a directory listing”</w:t>
      </w:r>
      <w:r w:rsidRPr="00840954" w:rsidR="00C72638">
        <w:rPr>
          <w:rFonts w:ascii="Book Antiqua" w:hAnsi="Book Antiqua"/>
        </w:rPr>
        <w:t xml:space="preserve"> </w:t>
      </w:r>
      <w:r w:rsidRPr="00840954" w:rsidR="006A69E8">
        <w:rPr>
          <w:rFonts w:ascii="Book Antiqua" w:hAnsi="Book Antiqua"/>
        </w:rPr>
        <w:t xml:space="preserve">is listed as one of the basic services </w:t>
      </w:r>
      <w:proofErr w:type="gramStart"/>
      <w:r w:rsidRPr="00840954" w:rsidR="006A69E8">
        <w:rPr>
          <w:rFonts w:ascii="Book Antiqua" w:hAnsi="Book Antiqua"/>
        </w:rPr>
        <w:t>telecommunications</w:t>
      </w:r>
      <w:proofErr w:type="gramEnd"/>
      <w:r w:rsidRPr="00840954" w:rsidR="006A69E8">
        <w:rPr>
          <w:rFonts w:ascii="Book Antiqua" w:hAnsi="Book Antiqua"/>
        </w:rPr>
        <w:t xml:space="preserve"> carriers must provide as a universal service.  </w:t>
      </w:r>
      <w:r w:rsidRPr="00840954" w:rsidR="00C72638">
        <w:rPr>
          <w:rFonts w:ascii="Book Antiqua" w:hAnsi="Book Antiqua"/>
        </w:rPr>
        <w:t xml:space="preserve">The spirit of D.96-10-066 is to assess PPP surcharges on basic services provided to paying intrastate customers and to subsidize universal services for disadvantageous areas and/or customers. </w:t>
      </w:r>
      <w:r w:rsidRPr="00840954">
        <w:rPr>
          <w:rFonts w:ascii="Book Antiqua" w:hAnsi="Book Antiqua"/>
        </w:rPr>
        <w:t xml:space="preserve"> </w:t>
      </w:r>
      <w:r w:rsidRPr="00840954" w:rsidR="00C72638">
        <w:rPr>
          <w:rFonts w:ascii="Book Antiqua" w:hAnsi="Book Antiqua"/>
        </w:rPr>
        <w:t>In addition, Directory Listing was discussed throughout D.09-10-066 but never mentioned by the Commission as one of the elements excluded from the collection of the PPP surcharges.</w:t>
      </w:r>
      <w:r w:rsidRPr="00840954">
        <w:rPr>
          <w:rStyle w:val="FootnoteReference"/>
          <w:rFonts w:ascii="Book Antiqua" w:hAnsi="Book Antiqua"/>
        </w:rPr>
        <w:footnoteReference w:id="15"/>
      </w:r>
    </w:p>
    <w:p w:rsidRPr="00840954" w:rsidR="002D66FA" w:rsidP="00840954" w:rsidRDefault="006A69E8" w14:paraId="0FC1B5D7" w14:textId="78AD94DB">
      <w:pPr>
        <w:tabs>
          <w:tab w:val="right" w:pos="10080"/>
        </w:tabs>
        <w:ind w:left="1440" w:right="1440"/>
        <w:rPr>
          <w:rFonts w:ascii="Book Antiqua" w:hAnsi="Book Antiqua"/>
        </w:rPr>
      </w:pPr>
      <w:r w:rsidRPr="00840954">
        <w:rPr>
          <w:rFonts w:ascii="Book Antiqua" w:hAnsi="Book Antiqua"/>
        </w:rPr>
        <w:t xml:space="preserve">   </w:t>
      </w:r>
    </w:p>
    <w:p w:rsidRPr="00840954" w:rsidR="00C813B2" w:rsidP="001D5A10" w:rsidRDefault="005D1839" w14:paraId="01681946" w14:textId="31D85828">
      <w:pPr>
        <w:tabs>
          <w:tab w:val="right" w:pos="10080"/>
        </w:tabs>
        <w:rPr>
          <w:rFonts w:ascii="Book Antiqua" w:hAnsi="Book Antiqua"/>
        </w:rPr>
      </w:pPr>
      <w:r w:rsidRPr="00840954">
        <w:rPr>
          <w:rFonts w:ascii="Book Antiqua" w:hAnsi="Book Antiqua"/>
        </w:rPr>
        <w:t xml:space="preserve">Cox disagreed with </w:t>
      </w:r>
      <w:r w:rsidRPr="00840954" w:rsidR="00C8550E">
        <w:rPr>
          <w:rFonts w:ascii="Book Antiqua" w:hAnsi="Book Antiqua"/>
        </w:rPr>
        <w:t>Finding 3,</w:t>
      </w:r>
      <w:r w:rsidR="00604D7F">
        <w:rPr>
          <w:rFonts w:ascii="Book Antiqua" w:hAnsi="Book Antiqua"/>
        </w:rPr>
        <w:t xml:space="preserve"> among other findings,</w:t>
      </w:r>
      <w:r w:rsidRPr="00840954">
        <w:rPr>
          <w:rFonts w:ascii="Book Antiqua" w:hAnsi="Book Antiqua"/>
        </w:rPr>
        <w:t xml:space="preserve"> </w:t>
      </w:r>
      <w:r w:rsidRPr="00840954" w:rsidR="00B12DC7">
        <w:rPr>
          <w:rFonts w:ascii="Book Antiqua" w:hAnsi="Book Antiqua"/>
        </w:rPr>
        <w:t xml:space="preserve">and </w:t>
      </w:r>
      <w:r w:rsidRPr="00840954" w:rsidR="00A84084">
        <w:rPr>
          <w:rFonts w:ascii="Book Antiqua" w:hAnsi="Book Antiqua"/>
        </w:rPr>
        <w:t xml:space="preserve">on May 12, 2016 </w:t>
      </w:r>
      <w:r w:rsidRPr="00840954" w:rsidR="00B12DC7">
        <w:rPr>
          <w:rFonts w:ascii="Book Antiqua" w:hAnsi="Book Antiqua"/>
        </w:rPr>
        <w:t xml:space="preserve">provided </w:t>
      </w:r>
      <w:r w:rsidRPr="00840954" w:rsidR="00F74833">
        <w:rPr>
          <w:rFonts w:ascii="Book Antiqua" w:hAnsi="Book Antiqua"/>
        </w:rPr>
        <w:t xml:space="preserve">Crowe </w:t>
      </w:r>
      <w:r w:rsidRPr="00840954" w:rsidR="00B12DC7">
        <w:rPr>
          <w:rFonts w:ascii="Book Antiqua" w:hAnsi="Book Antiqua"/>
        </w:rPr>
        <w:t xml:space="preserve">a written response to a draft of the audit report, </w:t>
      </w:r>
      <w:r w:rsidRPr="00840954">
        <w:rPr>
          <w:rFonts w:ascii="Book Antiqua" w:hAnsi="Book Antiqua"/>
        </w:rPr>
        <w:t>a</w:t>
      </w:r>
      <w:r w:rsidRPr="00840954" w:rsidR="002D66FA">
        <w:rPr>
          <w:rFonts w:ascii="Book Antiqua" w:hAnsi="Book Antiqua"/>
        </w:rPr>
        <w:t>rguing</w:t>
      </w:r>
      <w:r w:rsidRPr="00840954" w:rsidR="00B12DC7">
        <w:rPr>
          <w:rFonts w:ascii="Book Antiqua" w:hAnsi="Book Antiqua"/>
        </w:rPr>
        <w:t>:</w:t>
      </w:r>
    </w:p>
    <w:p w:rsidRPr="00840954" w:rsidR="00CE0A24" w:rsidP="00CE0A24" w:rsidRDefault="00CE0A24" w14:paraId="1393492F" w14:textId="77777777">
      <w:pPr>
        <w:tabs>
          <w:tab w:val="right" w:pos="10080"/>
        </w:tabs>
        <w:ind w:left="1440" w:right="1440"/>
        <w:rPr>
          <w:rFonts w:ascii="Book Antiqua" w:hAnsi="Book Antiqua"/>
        </w:rPr>
      </w:pPr>
    </w:p>
    <w:p w:rsidRPr="00840954" w:rsidR="00B51E4D" w:rsidP="00CE0A24" w:rsidRDefault="00CE0A24" w14:paraId="4C44A28D" w14:textId="77777777">
      <w:pPr>
        <w:tabs>
          <w:tab w:val="right" w:pos="10080"/>
        </w:tabs>
        <w:ind w:left="1440" w:right="1440"/>
        <w:rPr>
          <w:rFonts w:ascii="Book Antiqua" w:hAnsi="Book Antiqua"/>
        </w:rPr>
      </w:pPr>
      <w:r w:rsidRPr="00840954">
        <w:rPr>
          <w:rFonts w:ascii="Book Antiqua" w:hAnsi="Book Antiqua"/>
        </w:rPr>
        <w:t xml:space="preserve">Cox continues to disagree that the PPP surcharges and the User Fee apply to Directory Listing-related charges.  As we explained during the review, our understanding is that </w:t>
      </w:r>
      <w:r w:rsidRPr="00840954" w:rsidR="00C8550E">
        <w:rPr>
          <w:rFonts w:ascii="Book Antiqua" w:hAnsi="Book Antiqua"/>
        </w:rPr>
        <w:t xml:space="preserve">CPUC Decision 96-10-066 establishes that </w:t>
      </w:r>
      <w:r w:rsidRPr="00840954" w:rsidR="004F7D34">
        <w:rPr>
          <w:rFonts w:ascii="Book Antiqua" w:hAnsi="Book Antiqua"/>
        </w:rPr>
        <w:t>the surcharges are a percentage of the customers’ total expenditures on telecommunications services</w:t>
      </w:r>
      <w:r w:rsidRPr="00840954" w:rsidR="00D70B9E">
        <w:rPr>
          <w:rFonts w:ascii="Book Antiqua" w:hAnsi="Book Antiqua"/>
        </w:rPr>
        <w:t xml:space="preserve">.  </w:t>
      </w:r>
      <w:r w:rsidRPr="00840954" w:rsidR="00C8550E">
        <w:rPr>
          <w:rFonts w:ascii="Book Antiqua" w:hAnsi="Book Antiqua"/>
        </w:rPr>
        <w:t xml:space="preserve">Directory Listings are charges incurred for either having a customer’s name, address and phone number included or excluded from a published telephone book.  A published telephone book is not a ‘telecommunications service’…. </w:t>
      </w:r>
    </w:p>
    <w:p w:rsidRPr="00840954" w:rsidR="00B51E4D" w:rsidP="00CE0A24" w:rsidRDefault="00B51E4D" w14:paraId="6EAAA706" w14:textId="77777777">
      <w:pPr>
        <w:tabs>
          <w:tab w:val="right" w:pos="10080"/>
        </w:tabs>
        <w:ind w:left="1440" w:right="1440"/>
        <w:rPr>
          <w:rFonts w:ascii="Book Antiqua" w:hAnsi="Book Antiqua"/>
        </w:rPr>
      </w:pPr>
    </w:p>
    <w:p w:rsidRPr="00840954" w:rsidR="00F350C5" w:rsidP="00F203ED" w:rsidRDefault="00B51E4D" w14:paraId="3B672095" w14:textId="332945A5">
      <w:pPr>
        <w:tabs>
          <w:tab w:val="right" w:pos="10080"/>
        </w:tabs>
        <w:ind w:left="1440" w:right="1440"/>
        <w:rPr>
          <w:rFonts w:ascii="Book Antiqua" w:hAnsi="Book Antiqua"/>
        </w:rPr>
      </w:pPr>
      <w:r w:rsidRPr="00840954">
        <w:rPr>
          <w:rFonts w:ascii="Book Antiqua" w:hAnsi="Book Antiqua"/>
        </w:rPr>
        <w:t>Similar</w:t>
      </w:r>
      <w:r w:rsidR="003F28BC">
        <w:rPr>
          <w:rFonts w:ascii="Book Antiqua" w:hAnsi="Book Antiqua"/>
        </w:rPr>
        <w:t>l</w:t>
      </w:r>
      <w:r w:rsidRPr="00840954">
        <w:rPr>
          <w:rFonts w:ascii="Book Antiqua" w:hAnsi="Book Antiqua"/>
        </w:rPr>
        <w:t xml:space="preserve">y, the FCC excludes revenues from published directory services from its calculation of federal Universal </w:t>
      </w:r>
      <w:r w:rsidRPr="00840954">
        <w:rPr>
          <w:rFonts w:ascii="Book Antiqua" w:hAnsi="Book Antiqua"/>
        </w:rPr>
        <w:lastRenderedPageBreak/>
        <w:t>Service Fund charges.</w:t>
      </w:r>
      <w:r w:rsidRPr="00840954" w:rsidR="00A93CA5">
        <w:rPr>
          <w:rFonts w:ascii="Book Antiqua" w:hAnsi="Book Antiqua"/>
        </w:rPr>
        <w:t xml:space="preserve">  Specifically, the FCC’s </w:t>
      </w:r>
      <w:r w:rsidRPr="00840954" w:rsidR="00C70AF3">
        <w:rPr>
          <w:rFonts w:ascii="Book Antiqua" w:hAnsi="Book Antiqua"/>
        </w:rPr>
        <w:t>Form 499 A establishes that FCC contributions to FUSF are based on end user telecommunications revenue</w:t>
      </w:r>
      <w:r w:rsidRPr="00840954" w:rsidR="00CD6597">
        <w:rPr>
          <w:rFonts w:ascii="Book Antiqua" w:hAnsi="Book Antiqua"/>
        </w:rPr>
        <w:t xml:space="preserve">s.  Line 418 of the 2016 form is entitled “Revenues other than US telecommunications revenues, including information services, insider wiring maintenance, billing and collection, customer premises equipment, </w:t>
      </w:r>
      <w:r w:rsidRPr="00840954" w:rsidR="00CD6597">
        <w:rPr>
          <w:rFonts w:ascii="Book Antiqua" w:hAnsi="Book Antiqua"/>
          <w:b/>
          <w:bCs/>
        </w:rPr>
        <w:t>published directory</w:t>
      </w:r>
      <w:r w:rsidRPr="00840954" w:rsidR="00CD6597">
        <w:rPr>
          <w:rFonts w:ascii="Book Antiqua" w:hAnsi="Book Antiqua"/>
        </w:rPr>
        <w:t>, dark fiber</w:t>
      </w:r>
      <w:r w:rsidRPr="00840954" w:rsidR="00CC7B38">
        <w:rPr>
          <w:rFonts w:ascii="Book Antiqua" w:hAnsi="Book Antiqua"/>
        </w:rPr>
        <w:t>, internet access, ….”</w:t>
      </w:r>
      <w:r w:rsidRPr="00840954" w:rsidR="00CD6597">
        <w:rPr>
          <w:rFonts w:ascii="Book Antiqua" w:hAnsi="Book Antiqua"/>
        </w:rPr>
        <w:t xml:space="preserve"> </w:t>
      </w:r>
      <w:r w:rsidRPr="00840954" w:rsidR="00C70AF3">
        <w:rPr>
          <w:rFonts w:ascii="Book Antiqua" w:hAnsi="Book Antiqua"/>
        </w:rPr>
        <w:t xml:space="preserve">Page 32 of the applicable instructions make clear that </w:t>
      </w:r>
      <w:r w:rsidRPr="00840954" w:rsidR="00110274">
        <w:rPr>
          <w:rFonts w:ascii="Book Antiqua" w:hAnsi="Book Antiqua"/>
        </w:rPr>
        <w:t>“Line 418 should include all non-telecommunications service revenues</w:t>
      </w:r>
      <w:r w:rsidRPr="00840954" w:rsidR="00CD6597">
        <w:rPr>
          <w:rFonts w:ascii="Book Antiqua" w:hAnsi="Book Antiqua"/>
        </w:rPr>
        <w:t xml:space="preserve"> on the filer’s books, as well as some revenues that are derived from telecommunications-related functions, but that should not be included in the universal service or other fund contribution bases.” </w:t>
      </w:r>
      <w:r w:rsidRPr="00902BAF" w:rsidR="00CD6597">
        <w:rPr>
          <w:rFonts w:ascii="Book Antiqua" w:hAnsi="Book Antiqua"/>
        </w:rPr>
        <w:t>[</w:t>
      </w:r>
      <w:r w:rsidRPr="00902BAF" w:rsidR="00EA1BBA">
        <w:rPr>
          <w:rFonts w:ascii="Book Antiqua" w:hAnsi="Book Antiqua"/>
        </w:rPr>
        <w:t>E</w:t>
      </w:r>
      <w:r w:rsidRPr="00902BAF" w:rsidR="00BA7264">
        <w:rPr>
          <w:rFonts w:ascii="Book Antiqua" w:hAnsi="Book Antiqua"/>
        </w:rPr>
        <w:t>mphasis added</w:t>
      </w:r>
      <w:r w:rsidRPr="00902BAF" w:rsidR="00EA1BBA">
        <w:rPr>
          <w:rFonts w:ascii="Book Antiqua" w:hAnsi="Book Antiqua"/>
        </w:rPr>
        <w:t>.</w:t>
      </w:r>
      <w:r w:rsidRPr="00840954" w:rsidR="00CD6597">
        <w:rPr>
          <w:rFonts w:ascii="Book Antiqua" w:hAnsi="Book Antiqua"/>
        </w:rPr>
        <w:t>]</w:t>
      </w:r>
      <w:r w:rsidRPr="00840954" w:rsidR="00BA7264">
        <w:rPr>
          <w:rFonts w:ascii="Book Antiqua" w:hAnsi="Book Antiqua"/>
        </w:rPr>
        <w:t xml:space="preserve">  </w:t>
      </w:r>
      <w:proofErr w:type="gramStart"/>
      <w:r w:rsidRPr="00840954" w:rsidR="00C70AF3">
        <w:rPr>
          <w:rFonts w:ascii="Book Antiqua" w:hAnsi="Book Antiqua"/>
        </w:rPr>
        <w:t>Thus</w:t>
      </w:r>
      <w:proofErr w:type="gramEnd"/>
      <w:r w:rsidRPr="00840954" w:rsidR="00C70AF3">
        <w:rPr>
          <w:rFonts w:ascii="Book Antiqua" w:hAnsi="Book Antiqua"/>
        </w:rPr>
        <w:t xml:space="preserve"> under the federal program</w:t>
      </w:r>
      <w:r w:rsidRPr="00840954" w:rsidR="00BA7264">
        <w:rPr>
          <w:rFonts w:ascii="Book Antiqua" w:hAnsi="Book Antiqua"/>
        </w:rPr>
        <w:t>, published directory revenues are not considered “telecommunications” and are not subject to federal surcharges.</w:t>
      </w:r>
      <w:r w:rsidRPr="00840954" w:rsidR="0009023D">
        <w:rPr>
          <w:rStyle w:val="FootnoteReference"/>
          <w:rFonts w:ascii="Book Antiqua" w:hAnsi="Book Antiqua"/>
        </w:rPr>
        <w:footnoteReference w:id="16"/>
      </w:r>
      <w:r w:rsidRPr="00840954" w:rsidR="00C70AF3">
        <w:rPr>
          <w:rFonts w:ascii="Book Antiqua" w:hAnsi="Book Antiqua"/>
        </w:rPr>
        <w:t xml:space="preserve"> </w:t>
      </w:r>
      <w:r w:rsidRPr="00840954" w:rsidR="00A93CA5">
        <w:rPr>
          <w:rFonts w:ascii="Book Antiqua" w:hAnsi="Book Antiqua"/>
        </w:rPr>
        <w:t xml:space="preserve"> </w:t>
      </w:r>
      <w:r w:rsidRPr="00840954" w:rsidR="00C8550E">
        <w:rPr>
          <w:rFonts w:ascii="Book Antiqua" w:hAnsi="Book Antiqua"/>
        </w:rPr>
        <w:t xml:space="preserve">  </w:t>
      </w:r>
      <w:r w:rsidRPr="00840954" w:rsidR="0082426B">
        <w:rPr>
          <w:rFonts w:ascii="Book Antiqua" w:hAnsi="Book Antiqua"/>
        </w:rPr>
        <w:t xml:space="preserve"> </w:t>
      </w:r>
      <w:r w:rsidRPr="00840954" w:rsidR="0081604A">
        <w:rPr>
          <w:rFonts w:ascii="Book Antiqua" w:hAnsi="Book Antiqua"/>
        </w:rPr>
        <w:t xml:space="preserve"> </w:t>
      </w:r>
    </w:p>
    <w:p w:rsidRPr="00840954" w:rsidR="00F350C5" w:rsidP="001D5A10" w:rsidRDefault="00F350C5" w14:paraId="55FA77DE" w14:textId="77777777">
      <w:pPr>
        <w:tabs>
          <w:tab w:val="right" w:pos="10080"/>
        </w:tabs>
        <w:rPr>
          <w:rFonts w:ascii="Book Antiqua" w:hAnsi="Book Antiqua"/>
        </w:rPr>
      </w:pPr>
    </w:p>
    <w:p w:rsidRPr="00840954" w:rsidR="00716FEB" w:rsidP="001D5A10" w:rsidRDefault="00366372" w14:paraId="304648B9" w14:textId="08231068">
      <w:pPr>
        <w:tabs>
          <w:tab w:val="right" w:pos="10080"/>
        </w:tabs>
        <w:rPr>
          <w:rFonts w:ascii="Book Antiqua" w:hAnsi="Book Antiqua"/>
        </w:rPr>
      </w:pPr>
      <w:r w:rsidRPr="00840954">
        <w:rPr>
          <w:rFonts w:ascii="Book Antiqua" w:hAnsi="Book Antiqua"/>
        </w:rPr>
        <w:t xml:space="preserve">In the </w:t>
      </w:r>
      <w:r w:rsidRPr="00840954" w:rsidR="000667FA">
        <w:rPr>
          <w:rFonts w:ascii="Book Antiqua" w:hAnsi="Book Antiqua"/>
        </w:rPr>
        <w:t xml:space="preserve">final version of the </w:t>
      </w:r>
      <w:r w:rsidRPr="00840954" w:rsidR="00716FEB">
        <w:rPr>
          <w:rFonts w:ascii="Book Antiqua" w:hAnsi="Book Antiqua"/>
        </w:rPr>
        <w:t>2016 Audit Report</w:t>
      </w:r>
      <w:r w:rsidRPr="00840954" w:rsidR="000667FA">
        <w:rPr>
          <w:rFonts w:ascii="Book Antiqua" w:hAnsi="Book Antiqua"/>
        </w:rPr>
        <w:t>, Crowe</w:t>
      </w:r>
      <w:r w:rsidRPr="00840954" w:rsidR="00716FEB">
        <w:rPr>
          <w:rFonts w:ascii="Book Antiqua" w:hAnsi="Book Antiqua"/>
        </w:rPr>
        <w:t xml:space="preserve"> rejected Cox’s above contentions, and provided a further explanation regarding directory listings service:</w:t>
      </w:r>
    </w:p>
    <w:p w:rsidRPr="00840954" w:rsidR="00716FEB" w:rsidP="001D5A10" w:rsidRDefault="00716FEB" w14:paraId="7DC431C2" w14:textId="77777777">
      <w:pPr>
        <w:tabs>
          <w:tab w:val="right" w:pos="10080"/>
        </w:tabs>
        <w:rPr>
          <w:rFonts w:ascii="Book Antiqua" w:hAnsi="Book Antiqua"/>
        </w:rPr>
      </w:pPr>
    </w:p>
    <w:p w:rsidRPr="00840954" w:rsidR="00F203ED" w:rsidP="00840954" w:rsidRDefault="00F203ED" w14:paraId="4CC27EFE" w14:textId="77777777">
      <w:pPr>
        <w:tabs>
          <w:tab w:val="right" w:pos="10080"/>
        </w:tabs>
        <w:ind w:left="1440" w:right="1440"/>
        <w:rPr>
          <w:rFonts w:ascii="Book Antiqua" w:hAnsi="Book Antiqua"/>
        </w:rPr>
      </w:pPr>
      <w:r w:rsidRPr="00840954">
        <w:rPr>
          <w:rFonts w:ascii="Book Antiqua" w:hAnsi="Book Antiqua"/>
        </w:rPr>
        <w:t>Crowe consulted with the CPUC’s Water and Audits, Legal and Communication Divisions related to applicability of PPP surcharges and User Fees for Directory Listing services.</w:t>
      </w:r>
    </w:p>
    <w:p w:rsidRPr="00840954" w:rsidR="00F203ED" w:rsidP="00840954" w:rsidRDefault="00F203ED" w14:paraId="5C8EB5E1" w14:textId="77777777">
      <w:pPr>
        <w:tabs>
          <w:tab w:val="right" w:pos="10080"/>
        </w:tabs>
        <w:ind w:left="1440" w:right="1440"/>
        <w:rPr>
          <w:rFonts w:ascii="Book Antiqua" w:hAnsi="Book Antiqua"/>
        </w:rPr>
      </w:pPr>
    </w:p>
    <w:p w:rsidRPr="00840954" w:rsidR="00F203ED" w:rsidP="00840954" w:rsidRDefault="00F203ED" w14:paraId="69E4703F" w14:textId="1985248C">
      <w:pPr>
        <w:tabs>
          <w:tab w:val="right" w:pos="10080"/>
        </w:tabs>
        <w:ind w:left="1440" w:right="1440"/>
        <w:rPr>
          <w:rFonts w:ascii="Book Antiqua" w:hAnsi="Book Antiqua"/>
        </w:rPr>
      </w:pPr>
      <w:r w:rsidRPr="00840954">
        <w:rPr>
          <w:rFonts w:ascii="Book Antiqua" w:hAnsi="Book Antiqua"/>
        </w:rPr>
        <w:t>The CPUC provided guidance to Crowe that while Directory Listing service is discussed throughout D.09-</w:t>
      </w:r>
      <w:r w:rsidR="00EA1BBA">
        <w:rPr>
          <w:rFonts w:ascii="Book Antiqua" w:hAnsi="Book Antiqua"/>
        </w:rPr>
        <w:t>10-066,</w:t>
      </w:r>
    </w:p>
    <w:p w:rsidRPr="00840954" w:rsidR="00F203ED" w:rsidP="00840954" w:rsidRDefault="00F203ED" w14:paraId="7BB31639" w14:textId="6EE1CA71">
      <w:pPr>
        <w:tabs>
          <w:tab w:val="left" w:pos="7110"/>
          <w:tab w:val="right" w:pos="10080"/>
        </w:tabs>
        <w:ind w:left="1440" w:right="1440"/>
        <w:rPr>
          <w:rFonts w:ascii="Book Antiqua" w:hAnsi="Book Antiqua"/>
        </w:rPr>
      </w:pPr>
      <w:r w:rsidRPr="00840954">
        <w:rPr>
          <w:rFonts w:ascii="Book Antiqua" w:hAnsi="Book Antiqua"/>
        </w:rPr>
        <w:t>Directory Listing is not mentioned by the Commission in this decision as one of the services excluded from the collection of PPP surcharges.</w:t>
      </w:r>
      <w:r w:rsidRPr="00840954" w:rsidR="005B1D49">
        <w:rPr>
          <w:rFonts w:ascii="Book Antiqua" w:hAnsi="Book Antiqua"/>
        </w:rPr>
        <w:t xml:space="preserve"> </w:t>
      </w:r>
      <w:r w:rsidRPr="00840954">
        <w:rPr>
          <w:rFonts w:ascii="Book Antiqua" w:hAnsi="Book Antiqua"/>
        </w:rPr>
        <w:t xml:space="preserve"> Because Directory Listing (non-published) is not one of the services that the Commission has specifically exempted in D.96-10-066, the CPUC had indicated that service should be subject to PPP surcharges until the Commission orders otherwise.</w:t>
      </w:r>
    </w:p>
    <w:p w:rsidRPr="00840954" w:rsidR="00F203ED" w:rsidP="00840954" w:rsidRDefault="00F203ED" w14:paraId="206873C8" w14:textId="77777777">
      <w:pPr>
        <w:tabs>
          <w:tab w:val="right" w:pos="10080"/>
        </w:tabs>
        <w:ind w:left="1440" w:right="1440"/>
        <w:rPr>
          <w:rFonts w:ascii="Book Antiqua" w:hAnsi="Book Antiqua"/>
        </w:rPr>
      </w:pPr>
    </w:p>
    <w:p w:rsidRPr="00840954" w:rsidR="00F203ED" w:rsidP="00840954" w:rsidRDefault="00F203ED" w14:paraId="45DD4E59" w14:textId="7BFA3654">
      <w:pPr>
        <w:tabs>
          <w:tab w:val="right" w:pos="10080"/>
        </w:tabs>
        <w:ind w:left="1440" w:right="1440"/>
        <w:rPr>
          <w:rFonts w:ascii="Book Antiqua" w:hAnsi="Book Antiqua"/>
        </w:rPr>
      </w:pPr>
      <w:r w:rsidRPr="00840954">
        <w:rPr>
          <w:rFonts w:ascii="Book Antiqua" w:hAnsi="Book Antiqua"/>
        </w:rPr>
        <w:t>The CPUC also indicates that in D.96-10-066, “Access to a directory listing” is one of the basic services listed that the Commission requires telecommunication carriers to provide as a universal service (page</w:t>
      </w:r>
      <w:r w:rsidRPr="00840954" w:rsidR="005B1D49">
        <w:rPr>
          <w:rFonts w:ascii="Book Antiqua" w:hAnsi="Book Antiqua"/>
        </w:rPr>
        <w:t xml:space="preserve"> </w:t>
      </w:r>
      <w:r w:rsidRPr="00840954">
        <w:rPr>
          <w:rFonts w:ascii="Book Antiqua" w:hAnsi="Book Antiqua"/>
        </w:rPr>
        <w:t>152 of D.96-10-066)</w:t>
      </w:r>
      <w:r w:rsidRPr="00840954" w:rsidR="005B1D49">
        <w:rPr>
          <w:rFonts w:ascii="Book Antiqua" w:hAnsi="Book Antiqua"/>
        </w:rPr>
        <w:t>.</w:t>
      </w:r>
      <w:r w:rsidRPr="00840954">
        <w:rPr>
          <w:rFonts w:ascii="Book Antiqua" w:hAnsi="Book Antiqua"/>
        </w:rPr>
        <w:t xml:space="preserve"> </w:t>
      </w:r>
      <w:r w:rsidRPr="00840954" w:rsidR="005B1D49">
        <w:rPr>
          <w:rFonts w:ascii="Book Antiqua" w:hAnsi="Book Antiqua"/>
        </w:rPr>
        <w:t xml:space="preserve"> </w:t>
      </w:r>
      <w:r w:rsidRPr="00840954">
        <w:rPr>
          <w:rFonts w:ascii="Book Antiqua" w:hAnsi="Book Antiqua"/>
        </w:rPr>
        <w:t xml:space="preserve">The CPUC indicates that the spirit of D.96-10-066 is to assess PPP </w:t>
      </w:r>
      <w:r w:rsidRPr="00840954">
        <w:rPr>
          <w:rFonts w:ascii="Book Antiqua" w:hAnsi="Book Antiqua"/>
        </w:rPr>
        <w:lastRenderedPageBreak/>
        <w:t>surcharges on the basic services provided to paying intrastate customers and then use the PPP fund to subsidize universal services (the concept that basic service should be available to virtually everyone in California at affordable rates) provided to disadvantageous areas and/or customers.</w:t>
      </w:r>
    </w:p>
    <w:p w:rsidRPr="00840954" w:rsidR="00F203ED" w:rsidP="00840954" w:rsidRDefault="00F203ED" w14:paraId="5613935B" w14:textId="77777777">
      <w:pPr>
        <w:tabs>
          <w:tab w:val="right" w:pos="10080"/>
        </w:tabs>
        <w:ind w:left="1440" w:right="1440"/>
        <w:rPr>
          <w:rFonts w:ascii="Book Antiqua" w:hAnsi="Book Antiqua"/>
        </w:rPr>
      </w:pPr>
    </w:p>
    <w:p w:rsidRPr="00840954" w:rsidR="006A69E8" w:rsidP="00840954" w:rsidRDefault="00F203ED" w14:paraId="53DA977D" w14:textId="07646D2D">
      <w:pPr>
        <w:tabs>
          <w:tab w:val="right" w:pos="10080"/>
        </w:tabs>
        <w:ind w:left="1440" w:right="1440"/>
        <w:rPr>
          <w:rFonts w:ascii="Book Antiqua" w:hAnsi="Book Antiqua"/>
        </w:rPr>
      </w:pPr>
      <w:r w:rsidRPr="00840954">
        <w:rPr>
          <w:rFonts w:ascii="Book Antiqua" w:hAnsi="Book Antiqua"/>
        </w:rPr>
        <w:t xml:space="preserve">In its response above, Cox cited USAC's Form 499 which exempts "published directory services" from federal universal service surcharges. </w:t>
      </w:r>
      <w:r w:rsidRPr="00840954" w:rsidR="00FB048D">
        <w:rPr>
          <w:rFonts w:ascii="Book Antiqua" w:hAnsi="Book Antiqua"/>
        </w:rPr>
        <w:t xml:space="preserve"> </w:t>
      </w:r>
      <w:r w:rsidRPr="00840954">
        <w:rPr>
          <w:rFonts w:ascii="Book Antiqua" w:hAnsi="Book Antiqua"/>
        </w:rPr>
        <w:t>The CPUC’s Legal Division verified that the USAC does not require carriers to assess, collect and remit surcharge revenues on Directory Listing service (including Cox</w:t>
      </w:r>
      <w:r w:rsidRPr="00840954" w:rsidR="005B1D49">
        <w:rPr>
          <w:rFonts w:ascii="Book Antiqua" w:hAnsi="Book Antiqua"/>
        </w:rPr>
        <w:t>’</w:t>
      </w:r>
      <w:r w:rsidRPr="00840954">
        <w:rPr>
          <w:rFonts w:ascii="Book Antiqua" w:hAnsi="Book Antiqua"/>
        </w:rPr>
        <w:t>s</w:t>
      </w:r>
      <w:r w:rsidRPr="00840954" w:rsidR="005B1D49">
        <w:rPr>
          <w:rFonts w:ascii="Book Antiqua" w:hAnsi="Book Antiqua"/>
        </w:rPr>
        <w:t xml:space="preserve"> “</w:t>
      </w:r>
      <w:r w:rsidRPr="00840954">
        <w:rPr>
          <w:rFonts w:ascii="Book Antiqua" w:hAnsi="Book Antiqua"/>
        </w:rPr>
        <w:t>non-published service</w:t>
      </w:r>
      <w:r w:rsidRPr="00840954" w:rsidR="005B1D49">
        <w:rPr>
          <w:rFonts w:ascii="Book Antiqua" w:hAnsi="Book Antiqua"/>
        </w:rPr>
        <w:t>”</w:t>
      </w:r>
      <w:r w:rsidRPr="00840954">
        <w:rPr>
          <w:rFonts w:ascii="Book Antiqua" w:hAnsi="Book Antiqua"/>
        </w:rPr>
        <w:t>) because they do not believe this service meets the statutory definition of telecommunication service which is defined as a transmission of information between two or more points (47</w:t>
      </w:r>
      <w:r w:rsidRPr="00840954" w:rsidR="007F16BB">
        <w:rPr>
          <w:rFonts w:ascii="Book Antiqua" w:hAnsi="Book Antiqua"/>
        </w:rPr>
        <w:t xml:space="preserve"> </w:t>
      </w:r>
      <w:r w:rsidRPr="00840954">
        <w:rPr>
          <w:rFonts w:ascii="Book Antiqua" w:hAnsi="Book Antiqua"/>
        </w:rPr>
        <w:t xml:space="preserve">USC Sec. 153 (50)). </w:t>
      </w:r>
      <w:r w:rsidRPr="00840954" w:rsidR="00FB048D">
        <w:rPr>
          <w:rFonts w:ascii="Book Antiqua" w:hAnsi="Book Antiqua"/>
        </w:rPr>
        <w:t xml:space="preserve"> </w:t>
      </w:r>
      <w:r w:rsidRPr="00840954">
        <w:rPr>
          <w:rFonts w:ascii="Book Antiqua" w:hAnsi="Book Antiqua"/>
        </w:rPr>
        <w:t xml:space="preserve">However, the CPUC Legal Division found that there is no formal FCC order or ruling adopting this interpretation and likewise no FCC order prohibiting California from assessing surcharges on Directory Listing (non-published) service. </w:t>
      </w:r>
      <w:r w:rsidRPr="00840954" w:rsidR="00716FEB">
        <w:rPr>
          <w:rFonts w:ascii="Book Antiqua" w:hAnsi="Book Antiqua"/>
        </w:rPr>
        <w:t xml:space="preserve">  </w:t>
      </w:r>
      <w:r w:rsidRPr="00840954" w:rsidR="006A69E8">
        <w:rPr>
          <w:rFonts w:ascii="Book Antiqua" w:hAnsi="Book Antiqua"/>
        </w:rPr>
        <w:t xml:space="preserve"> </w:t>
      </w:r>
    </w:p>
    <w:p w:rsidRPr="00840954" w:rsidR="006A69E8" w:rsidP="001D5A10" w:rsidRDefault="006A69E8" w14:paraId="0A5E0FAC" w14:textId="32BD0594">
      <w:pPr>
        <w:tabs>
          <w:tab w:val="right" w:pos="10080"/>
        </w:tabs>
        <w:rPr>
          <w:rFonts w:ascii="Book Antiqua" w:hAnsi="Book Antiqua"/>
        </w:rPr>
      </w:pPr>
    </w:p>
    <w:p w:rsidRPr="00840954" w:rsidR="00FB048D" w:rsidP="00782C0A" w:rsidRDefault="00FB048D" w14:paraId="188BDB61" w14:textId="1F925AAB">
      <w:pPr>
        <w:tabs>
          <w:tab w:val="right" w:pos="10080"/>
        </w:tabs>
        <w:rPr>
          <w:rFonts w:ascii="Book Antiqua" w:hAnsi="Book Antiqua"/>
        </w:rPr>
      </w:pPr>
      <w:r w:rsidRPr="00840954">
        <w:rPr>
          <w:rFonts w:ascii="Book Antiqua" w:hAnsi="Book Antiqua"/>
        </w:rPr>
        <w:t xml:space="preserve">Accordingly, the 2016 Audit Report </w:t>
      </w:r>
      <w:r w:rsidRPr="00840954" w:rsidR="0080533D">
        <w:rPr>
          <w:rFonts w:ascii="Book Antiqua" w:hAnsi="Book Antiqua"/>
        </w:rPr>
        <w:t>maintained Finding 3</w:t>
      </w:r>
      <w:r w:rsidR="00851131">
        <w:rPr>
          <w:rFonts w:ascii="Book Antiqua" w:hAnsi="Book Antiqua"/>
        </w:rPr>
        <w:t>.</w:t>
      </w:r>
      <w:r w:rsidRPr="00840954" w:rsidR="0080533D">
        <w:rPr>
          <w:rFonts w:ascii="Book Antiqua" w:hAnsi="Book Antiqua"/>
        </w:rPr>
        <w:t xml:space="preserve">  </w:t>
      </w:r>
    </w:p>
    <w:p w:rsidRPr="00840954" w:rsidR="002D32E8" w:rsidP="00782C0A" w:rsidRDefault="002D32E8" w14:paraId="67368F14" w14:textId="331BD6E5">
      <w:pPr>
        <w:tabs>
          <w:tab w:val="right" w:pos="10080"/>
        </w:tabs>
        <w:rPr>
          <w:rFonts w:ascii="Book Antiqua" w:hAnsi="Book Antiqua"/>
        </w:rPr>
      </w:pPr>
    </w:p>
    <w:p w:rsidRPr="00840954" w:rsidR="002D32E8" w:rsidP="00782C0A" w:rsidRDefault="002D32E8" w14:paraId="4E0FE6DB" w14:textId="275D31FE">
      <w:pPr>
        <w:tabs>
          <w:tab w:val="right" w:pos="10080"/>
        </w:tabs>
        <w:rPr>
          <w:rFonts w:ascii="Book Antiqua" w:hAnsi="Book Antiqua"/>
        </w:rPr>
      </w:pPr>
      <w:r w:rsidRPr="00840954">
        <w:rPr>
          <w:rFonts w:ascii="Book Antiqua" w:hAnsi="Book Antiqua"/>
        </w:rPr>
        <w:t xml:space="preserve">On November 22, 2016, CD sent a demand letter </w:t>
      </w:r>
      <w:r w:rsidR="00AC16E8">
        <w:rPr>
          <w:rFonts w:ascii="Book Antiqua" w:hAnsi="Book Antiqua"/>
        </w:rPr>
        <w:t>seeking Cox’s compliance with the 2016 Audit Report findings, including Finding 3.</w:t>
      </w:r>
      <w:r w:rsidRPr="00840954">
        <w:rPr>
          <w:rStyle w:val="FootnoteReference"/>
          <w:rFonts w:ascii="Book Antiqua" w:hAnsi="Book Antiqua"/>
        </w:rPr>
        <w:footnoteReference w:id="17"/>
      </w:r>
    </w:p>
    <w:p w:rsidRPr="00840954" w:rsidR="0019263F" w:rsidP="002078AD" w:rsidRDefault="0019263F" w14:paraId="67E8AF7E" w14:textId="64A168FC">
      <w:pPr>
        <w:tabs>
          <w:tab w:val="right" w:pos="10080"/>
        </w:tabs>
        <w:rPr>
          <w:rFonts w:ascii="Book Antiqua" w:hAnsi="Book Antiqua"/>
        </w:rPr>
      </w:pPr>
    </w:p>
    <w:p w:rsidRPr="00840954" w:rsidR="0019263F" w:rsidP="0019263F" w:rsidRDefault="0019263F" w14:paraId="1F458130" w14:textId="0DA45E37">
      <w:pPr>
        <w:tabs>
          <w:tab w:val="right" w:pos="10080"/>
        </w:tabs>
        <w:rPr>
          <w:rFonts w:ascii="Book Antiqua" w:hAnsi="Book Antiqua"/>
        </w:rPr>
      </w:pPr>
      <w:r w:rsidRPr="00944C4F">
        <w:rPr>
          <w:rFonts w:ascii="Book Antiqua" w:hAnsi="Book Antiqua"/>
        </w:rPr>
        <w:t xml:space="preserve">In December 2016, Cox </w:t>
      </w:r>
      <w:r w:rsidRPr="00944C4F" w:rsidR="00A32E8C">
        <w:rPr>
          <w:rFonts w:ascii="Book Antiqua" w:hAnsi="Book Antiqua"/>
        </w:rPr>
        <w:t>submitted</w:t>
      </w:r>
      <w:r w:rsidRPr="00944C4F">
        <w:rPr>
          <w:rFonts w:ascii="Book Antiqua" w:hAnsi="Book Antiqua"/>
        </w:rPr>
        <w:t xml:space="preserve"> </w:t>
      </w:r>
      <w:r w:rsidR="00D1595F">
        <w:rPr>
          <w:rFonts w:ascii="Book Antiqua" w:hAnsi="Book Antiqua"/>
        </w:rPr>
        <w:t xml:space="preserve">some of </w:t>
      </w:r>
      <w:r w:rsidRPr="00944C4F">
        <w:rPr>
          <w:rFonts w:ascii="Book Antiqua" w:hAnsi="Book Antiqua"/>
        </w:rPr>
        <w:t>the disputed surcharges, user fees, interest and penalty amounts identified in the 2016 Audit Report for FY 2012-2013.</w:t>
      </w:r>
      <w:r w:rsidRPr="00944C4F" w:rsidR="006F6F3F">
        <w:rPr>
          <w:rStyle w:val="FootnoteReference"/>
          <w:rFonts w:ascii="Book Antiqua" w:hAnsi="Book Antiqua"/>
        </w:rPr>
        <w:footnoteReference w:id="18"/>
      </w:r>
      <w:r w:rsidRPr="00D3407F">
        <w:rPr>
          <w:rFonts w:ascii="Book Antiqua" w:hAnsi="Book Antiqua"/>
        </w:rPr>
        <w:t xml:space="preserve"> </w:t>
      </w:r>
    </w:p>
    <w:p w:rsidRPr="00840954" w:rsidR="002D32E8" w:rsidP="002078AD" w:rsidRDefault="002D32E8" w14:paraId="4D40D6A3" w14:textId="77777777">
      <w:pPr>
        <w:tabs>
          <w:tab w:val="right" w:pos="10080"/>
        </w:tabs>
        <w:rPr>
          <w:rFonts w:ascii="Book Antiqua" w:hAnsi="Book Antiqua"/>
        </w:rPr>
      </w:pPr>
    </w:p>
    <w:p w:rsidRPr="00840954" w:rsidR="0006628E" w:rsidP="0006628E" w:rsidRDefault="0006628E" w14:paraId="31E252AD" w14:textId="70EDAC50">
      <w:pPr>
        <w:pStyle w:val="ListParagraph"/>
        <w:numPr>
          <w:ilvl w:val="0"/>
          <w:numId w:val="29"/>
        </w:numPr>
        <w:tabs>
          <w:tab w:val="right" w:pos="10080"/>
        </w:tabs>
        <w:rPr>
          <w:rFonts w:ascii="Book Antiqua" w:hAnsi="Book Antiqua"/>
        </w:rPr>
      </w:pPr>
      <w:r w:rsidRPr="00840954">
        <w:rPr>
          <w:rFonts w:ascii="Book Antiqua" w:hAnsi="Book Antiqua"/>
        </w:rPr>
        <w:t>201</w:t>
      </w:r>
      <w:r w:rsidRPr="00840954" w:rsidR="002B1DF2">
        <w:rPr>
          <w:rFonts w:ascii="Book Antiqua" w:hAnsi="Book Antiqua"/>
        </w:rPr>
        <w:t>7</w:t>
      </w:r>
      <w:r w:rsidRPr="00840954">
        <w:rPr>
          <w:rFonts w:ascii="Book Antiqua" w:hAnsi="Book Antiqua"/>
        </w:rPr>
        <w:t xml:space="preserve"> ANALYSIS REPORT</w:t>
      </w:r>
      <w:r w:rsidRPr="00840954" w:rsidR="006F130E">
        <w:rPr>
          <w:rFonts w:ascii="Book Antiqua" w:hAnsi="Book Antiqua"/>
        </w:rPr>
        <w:t xml:space="preserve">, </w:t>
      </w:r>
      <w:r w:rsidRPr="00840954">
        <w:rPr>
          <w:rFonts w:ascii="Book Antiqua" w:hAnsi="Book Antiqua"/>
        </w:rPr>
        <w:t>EXAMINITION PERIOD JULY 1, 2013 THROUGH JUNE 30, 2014 AND JULY 1, 2014 THROUGH JUNE 30, 2015</w:t>
      </w:r>
    </w:p>
    <w:p w:rsidRPr="00840954" w:rsidR="0006628E" w:rsidP="00840954" w:rsidRDefault="0006628E" w14:paraId="75D4E8C3" w14:textId="77777777">
      <w:pPr>
        <w:pStyle w:val="ListParagraph"/>
        <w:tabs>
          <w:tab w:val="right" w:pos="10080"/>
        </w:tabs>
        <w:ind w:left="1800"/>
        <w:rPr>
          <w:rFonts w:ascii="Book Antiqua" w:hAnsi="Book Antiqua"/>
        </w:rPr>
      </w:pPr>
    </w:p>
    <w:p w:rsidRPr="00840954" w:rsidR="002078AD" w:rsidP="002078AD" w:rsidRDefault="001B7614" w14:paraId="157543A0" w14:textId="00754151">
      <w:pPr>
        <w:tabs>
          <w:tab w:val="right" w:pos="10080"/>
        </w:tabs>
        <w:rPr>
          <w:rFonts w:ascii="Book Antiqua" w:hAnsi="Book Antiqua"/>
        </w:rPr>
      </w:pPr>
      <w:r w:rsidRPr="00840954">
        <w:rPr>
          <w:rFonts w:ascii="Book Antiqua" w:hAnsi="Book Antiqua"/>
        </w:rPr>
        <w:t xml:space="preserve">On </w:t>
      </w:r>
      <w:r w:rsidRPr="00840954" w:rsidR="0041718F">
        <w:rPr>
          <w:rFonts w:ascii="Book Antiqua" w:hAnsi="Book Antiqua"/>
        </w:rPr>
        <w:t>October 28</w:t>
      </w:r>
      <w:r w:rsidRPr="00840954">
        <w:rPr>
          <w:rFonts w:ascii="Book Antiqua" w:hAnsi="Book Antiqua"/>
        </w:rPr>
        <w:t>, 20</w:t>
      </w:r>
      <w:r w:rsidRPr="00840954" w:rsidR="0041718F">
        <w:rPr>
          <w:rFonts w:ascii="Book Antiqua" w:hAnsi="Book Antiqua"/>
        </w:rPr>
        <w:t>17</w:t>
      </w:r>
      <w:r w:rsidRPr="00840954">
        <w:rPr>
          <w:rFonts w:ascii="Book Antiqua" w:hAnsi="Book Antiqua"/>
        </w:rPr>
        <w:t>,</w:t>
      </w:r>
      <w:r w:rsidRPr="00840954" w:rsidR="0041718F">
        <w:rPr>
          <w:rFonts w:ascii="Book Antiqua" w:hAnsi="Book Antiqua"/>
        </w:rPr>
        <w:t xml:space="preserve"> Crowe </w:t>
      </w:r>
      <w:r w:rsidRPr="00840954" w:rsidR="00765EB0">
        <w:rPr>
          <w:rFonts w:ascii="Book Antiqua" w:hAnsi="Book Antiqua"/>
        </w:rPr>
        <w:t xml:space="preserve">issued </w:t>
      </w:r>
      <w:r w:rsidRPr="00840954" w:rsidR="00D133EA">
        <w:rPr>
          <w:rFonts w:ascii="Book Antiqua" w:hAnsi="Book Antiqua"/>
        </w:rPr>
        <w:t>a second</w:t>
      </w:r>
      <w:r w:rsidRPr="00840954" w:rsidR="00765EB0">
        <w:rPr>
          <w:rFonts w:ascii="Book Antiqua" w:hAnsi="Book Antiqua"/>
        </w:rPr>
        <w:t xml:space="preserve"> </w:t>
      </w:r>
      <w:r w:rsidR="00D02DA4">
        <w:rPr>
          <w:rFonts w:ascii="Book Antiqua" w:hAnsi="Book Antiqua"/>
        </w:rPr>
        <w:t xml:space="preserve">audit </w:t>
      </w:r>
      <w:r w:rsidRPr="00840954" w:rsidR="00765EB0">
        <w:rPr>
          <w:rFonts w:ascii="Book Antiqua" w:hAnsi="Book Antiqua"/>
        </w:rPr>
        <w:t>report entitled</w:t>
      </w:r>
      <w:r w:rsidRPr="00840954" w:rsidR="007608A5">
        <w:rPr>
          <w:rFonts w:ascii="Book Antiqua" w:hAnsi="Book Antiqua"/>
        </w:rPr>
        <w:t xml:space="preserve"> </w:t>
      </w:r>
      <w:r w:rsidRPr="00840954" w:rsidR="007608A5">
        <w:rPr>
          <w:rFonts w:ascii="Book Antiqua" w:hAnsi="Book Antiqua"/>
          <w:i/>
          <w:iCs/>
        </w:rPr>
        <w:t>California Telecommunications Public Purpose Program Surcharge and User Fee Analysis of Cox Communications For the Program Years Ended June 30, 2014 and June 30, 2015</w:t>
      </w:r>
      <w:r w:rsidRPr="00840954" w:rsidR="007608A5">
        <w:rPr>
          <w:rFonts w:ascii="Book Antiqua" w:hAnsi="Book Antiqua"/>
        </w:rPr>
        <w:t xml:space="preserve"> (</w:t>
      </w:r>
      <w:r w:rsidRPr="00840954" w:rsidR="00383F3E">
        <w:rPr>
          <w:rFonts w:ascii="Book Antiqua" w:hAnsi="Book Antiqua"/>
        </w:rPr>
        <w:t>201</w:t>
      </w:r>
      <w:r w:rsidRPr="00840954" w:rsidR="00CE2314">
        <w:rPr>
          <w:rFonts w:ascii="Book Antiqua" w:hAnsi="Book Antiqua"/>
        </w:rPr>
        <w:t>7</w:t>
      </w:r>
      <w:r w:rsidRPr="00840954" w:rsidR="00383F3E">
        <w:rPr>
          <w:rFonts w:ascii="Book Antiqua" w:hAnsi="Book Antiqua"/>
        </w:rPr>
        <w:t xml:space="preserve"> </w:t>
      </w:r>
      <w:r w:rsidRPr="00840954" w:rsidR="007608A5">
        <w:rPr>
          <w:rFonts w:ascii="Book Antiqua" w:hAnsi="Book Antiqua"/>
        </w:rPr>
        <w:lastRenderedPageBreak/>
        <w:t>A</w:t>
      </w:r>
      <w:r w:rsidRPr="00840954" w:rsidR="0050573D">
        <w:rPr>
          <w:rFonts w:ascii="Book Antiqua" w:hAnsi="Book Antiqua"/>
        </w:rPr>
        <w:t xml:space="preserve">nalysis </w:t>
      </w:r>
      <w:r w:rsidRPr="00840954" w:rsidR="007608A5">
        <w:rPr>
          <w:rFonts w:ascii="Book Antiqua" w:hAnsi="Book Antiqua"/>
        </w:rPr>
        <w:t>Report)</w:t>
      </w:r>
      <w:r w:rsidRPr="00840954" w:rsidR="00D26385">
        <w:rPr>
          <w:rFonts w:ascii="Book Antiqua" w:hAnsi="Book Antiqua"/>
        </w:rPr>
        <w:t>.</w:t>
      </w:r>
      <w:r w:rsidRPr="00840954" w:rsidR="00573E45">
        <w:rPr>
          <w:rStyle w:val="FootnoteReference"/>
          <w:rFonts w:ascii="Book Antiqua" w:hAnsi="Book Antiqua"/>
        </w:rPr>
        <w:footnoteReference w:id="19"/>
      </w:r>
      <w:r w:rsidRPr="00840954" w:rsidR="00716379">
        <w:rPr>
          <w:rFonts w:ascii="Book Antiqua" w:hAnsi="Book Antiqua"/>
        </w:rPr>
        <w:t xml:space="preserve">  The purpose of this 201</w:t>
      </w:r>
      <w:r w:rsidRPr="00840954" w:rsidR="000A23E6">
        <w:rPr>
          <w:rFonts w:ascii="Book Antiqua" w:hAnsi="Book Antiqua"/>
        </w:rPr>
        <w:t>7</w:t>
      </w:r>
      <w:r w:rsidRPr="00840954" w:rsidR="00716379">
        <w:rPr>
          <w:rFonts w:ascii="Book Antiqua" w:hAnsi="Book Antiqua"/>
        </w:rPr>
        <w:t xml:space="preserve"> </w:t>
      </w:r>
      <w:r w:rsidRPr="00840954" w:rsidR="0050573D">
        <w:rPr>
          <w:rFonts w:ascii="Book Antiqua" w:hAnsi="Book Antiqua"/>
        </w:rPr>
        <w:t xml:space="preserve">Analysis </w:t>
      </w:r>
      <w:r w:rsidRPr="00840954" w:rsidR="00716379">
        <w:rPr>
          <w:rFonts w:ascii="Book Antiqua" w:hAnsi="Book Antiqua"/>
        </w:rPr>
        <w:t xml:space="preserve">Report </w:t>
      </w:r>
      <w:r w:rsidRPr="00840954" w:rsidR="00F87605">
        <w:rPr>
          <w:rFonts w:ascii="Book Antiqua" w:hAnsi="Book Antiqua"/>
        </w:rPr>
        <w:t>was to</w:t>
      </w:r>
      <w:r w:rsidRPr="00840954" w:rsidR="0005118C">
        <w:rPr>
          <w:rFonts w:ascii="Book Antiqua" w:hAnsi="Book Antiqua"/>
        </w:rPr>
        <w:t xml:space="preserve"> “analyze the impact of the two findings noted </w:t>
      </w:r>
      <w:r w:rsidRPr="00840954" w:rsidR="00841EE8">
        <w:rPr>
          <w:rFonts w:ascii="Book Antiqua" w:hAnsi="Book Antiqua"/>
        </w:rPr>
        <w:t>in an examination report</w:t>
      </w:r>
      <w:r w:rsidRPr="00840954" w:rsidR="001C048B">
        <w:rPr>
          <w:rFonts w:ascii="Book Antiqua" w:hAnsi="Book Antiqua"/>
        </w:rPr>
        <w:t xml:space="preserve"> dated June 10, 2016 on the subsequent two program years after the examination period (i.e., program years ended June 30, 2014 and June 30, 2015).”</w:t>
      </w:r>
      <w:r w:rsidRPr="00840954" w:rsidR="00CA40B7">
        <w:rPr>
          <w:rStyle w:val="FootnoteReference"/>
          <w:rFonts w:ascii="Book Antiqua" w:hAnsi="Book Antiqua"/>
        </w:rPr>
        <w:footnoteReference w:id="20"/>
      </w:r>
      <w:r w:rsidRPr="00840954" w:rsidR="00861DF2">
        <w:rPr>
          <w:rFonts w:ascii="Book Antiqua" w:hAnsi="Book Antiqua"/>
        </w:rPr>
        <w:t xml:space="preserve">  The two findings examined from the </w:t>
      </w:r>
      <w:r w:rsidRPr="00840954" w:rsidR="00ED362A">
        <w:rPr>
          <w:rFonts w:ascii="Book Antiqua" w:hAnsi="Book Antiqua"/>
        </w:rPr>
        <w:t xml:space="preserve">first </w:t>
      </w:r>
      <w:r w:rsidRPr="00840954" w:rsidR="00861DF2">
        <w:rPr>
          <w:rFonts w:ascii="Book Antiqua" w:hAnsi="Book Antiqua"/>
        </w:rPr>
        <w:t xml:space="preserve">2016 Audit Report were related to Cox’s </w:t>
      </w:r>
      <w:r w:rsidRPr="00840954" w:rsidR="008D747B">
        <w:rPr>
          <w:rFonts w:ascii="Book Antiqua" w:hAnsi="Book Antiqua"/>
        </w:rPr>
        <w:t xml:space="preserve">failure to remit surcharges and user fees related to </w:t>
      </w:r>
      <w:r w:rsidRPr="00840954" w:rsidR="00176A2A">
        <w:rPr>
          <w:rFonts w:ascii="Book Antiqua" w:hAnsi="Book Antiqua"/>
        </w:rPr>
        <w:t xml:space="preserve">Cox’s </w:t>
      </w:r>
      <w:r w:rsidRPr="00840954" w:rsidR="00861DF2">
        <w:rPr>
          <w:rFonts w:ascii="Book Antiqua" w:hAnsi="Book Antiqua"/>
        </w:rPr>
        <w:t xml:space="preserve">(1) intrastate Primary Intrastate services and (2) </w:t>
      </w:r>
      <w:r w:rsidRPr="00840954" w:rsidR="007517E7">
        <w:rPr>
          <w:rFonts w:ascii="Book Antiqua" w:hAnsi="Book Antiqua"/>
        </w:rPr>
        <w:t>directory listing non-public service.</w:t>
      </w:r>
      <w:r w:rsidRPr="00840954" w:rsidR="00606E0A">
        <w:rPr>
          <w:rStyle w:val="FootnoteReference"/>
          <w:rFonts w:ascii="Book Antiqua" w:hAnsi="Book Antiqua"/>
        </w:rPr>
        <w:footnoteReference w:id="21"/>
      </w:r>
      <w:r w:rsidRPr="00840954" w:rsidR="00310071">
        <w:rPr>
          <w:rFonts w:ascii="Book Antiqua" w:hAnsi="Book Antiqua"/>
        </w:rPr>
        <w:t xml:space="preserve">  </w:t>
      </w:r>
      <w:r w:rsidRPr="00840954" w:rsidR="002078AD">
        <w:rPr>
          <w:rFonts w:ascii="Book Antiqua" w:hAnsi="Book Antiqua"/>
        </w:rPr>
        <w:t xml:space="preserve">Crowe’s </w:t>
      </w:r>
      <w:r w:rsidRPr="00840954" w:rsidR="0050573D">
        <w:rPr>
          <w:rFonts w:ascii="Book Antiqua" w:hAnsi="Book Antiqua"/>
        </w:rPr>
        <w:t>objectives in</w:t>
      </w:r>
      <w:r w:rsidRPr="00840954" w:rsidR="002078AD">
        <w:rPr>
          <w:rFonts w:ascii="Book Antiqua" w:hAnsi="Book Antiqua"/>
        </w:rPr>
        <w:t xml:space="preserve"> analyzing these findings were to:</w:t>
      </w:r>
    </w:p>
    <w:p w:rsidRPr="00840954" w:rsidR="002078AD" w:rsidP="00840954" w:rsidRDefault="002078AD" w14:paraId="1C12C8F1" w14:textId="77777777">
      <w:pPr>
        <w:tabs>
          <w:tab w:val="right" w:pos="10080"/>
        </w:tabs>
        <w:ind w:left="1440" w:right="1440"/>
        <w:rPr>
          <w:rFonts w:ascii="Book Antiqua" w:hAnsi="Book Antiqua"/>
        </w:rPr>
      </w:pPr>
    </w:p>
    <w:p w:rsidRPr="00840954" w:rsidR="002078AD" w:rsidP="00647BE2" w:rsidRDefault="002078AD" w14:paraId="4EB0160F" w14:textId="16847570">
      <w:pPr>
        <w:pStyle w:val="1xx"/>
        <w:ind w:left="1440" w:right="1440"/>
        <w:jc w:val="both"/>
        <w:rPr>
          <w:rFonts w:ascii="Book Antiqua" w:hAnsi="Book Antiqua"/>
          <w:sz w:val="24"/>
          <w:szCs w:val="24"/>
          <w:u w:val="single"/>
        </w:rPr>
      </w:pPr>
      <w:r w:rsidRPr="00840954">
        <w:rPr>
          <w:rFonts w:ascii="Book Antiqua" w:hAnsi="Book Antiqua"/>
          <w:sz w:val="24"/>
          <w:szCs w:val="24"/>
        </w:rPr>
        <w:t>Determine the impact of findings from the examination report</w:t>
      </w:r>
      <w:r w:rsidRPr="00840954" w:rsidR="00AA6071">
        <w:rPr>
          <w:rFonts w:ascii="Book Antiqua" w:hAnsi="Book Antiqua"/>
          <w:sz w:val="24"/>
          <w:szCs w:val="24"/>
        </w:rPr>
        <w:t xml:space="preserve"> [2016 Audit Report] </w:t>
      </w:r>
      <w:r w:rsidRPr="00840954">
        <w:rPr>
          <w:rFonts w:ascii="Book Antiqua" w:hAnsi="Book Antiqua"/>
          <w:sz w:val="24"/>
          <w:szCs w:val="24"/>
        </w:rPr>
        <w:t>that had a monetary impact for the program years ended June 30, 2014 and June 30, 2015.</w:t>
      </w:r>
    </w:p>
    <w:p w:rsidRPr="00840954" w:rsidR="002078AD" w:rsidP="00840954" w:rsidRDefault="002078AD" w14:paraId="544B1B7C" w14:textId="301ADDBD">
      <w:pPr>
        <w:pStyle w:val="1xx"/>
        <w:ind w:left="1440" w:right="1440"/>
        <w:rPr>
          <w:rFonts w:ascii="Book Antiqua" w:hAnsi="Book Antiqua"/>
          <w:sz w:val="24"/>
          <w:szCs w:val="24"/>
          <w:u w:val="single"/>
        </w:rPr>
      </w:pPr>
      <w:r w:rsidRPr="00840954">
        <w:rPr>
          <w:rFonts w:ascii="Book Antiqua" w:hAnsi="Book Antiqua"/>
          <w:sz w:val="24"/>
          <w:szCs w:val="24"/>
        </w:rPr>
        <w:t>Calculate the interest and penalties applicable on any surcharge and/or User Fees amounts determined to be owed to the PPP and/or CPUC respectively.</w:t>
      </w:r>
      <w:r w:rsidRPr="00840954" w:rsidR="00E34CD8">
        <w:rPr>
          <w:rStyle w:val="FootnoteReference"/>
          <w:rFonts w:ascii="Book Antiqua" w:hAnsi="Book Antiqua"/>
          <w:sz w:val="24"/>
          <w:szCs w:val="24"/>
        </w:rPr>
        <w:footnoteReference w:id="22"/>
      </w:r>
      <w:r w:rsidRPr="00840954">
        <w:rPr>
          <w:rFonts w:ascii="Book Antiqua" w:hAnsi="Book Antiqua"/>
          <w:sz w:val="24"/>
          <w:szCs w:val="24"/>
        </w:rPr>
        <w:t xml:space="preserve"> </w:t>
      </w:r>
    </w:p>
    <w:p w:rsidRPr="00840954" w:rsidR="00C729AE" w:rsidP="001D5A10" w:rsidRDefault="00AA6071" w14:paraId="52D2430D" w14:textId="4A27EE68">
      <w:pPr>
        <w:tabs>
          <w:tab w:val="right" w:pos="10080"/>
        </w:tabs>
        <w:rPr>
          <w:rFonts w:ascii="Book Antiqua" w:hAnsi="Book Antiqua"/>
        </w:rPr>
      </w:pPr>
      <w:r w:rsidRPr="00840954">
        <w:rPr>
          <w:rFonts w:ascii="Book Antiqua" w:hAnsi="Book Antiqua"/>
        </w:rPr>
        <w:t>In the 201</w:t>
      </w:r>
      <w:r w:rsidR="0021777B">
        <w:rPr>
          <w:rFonts w:ascii="Book Antiqua" w:hAnsi="Book Antiqua"/>
        </w:rPr>
        <w:t>7</w:t>
      </w:r>
      <w:r w:rsidRPr="00840954">
        <w:rPr>
          <w:rFonts w:ascii="Book Antiqua" w:hAnsi="Book Antiqua"/>
        </w:rPr>
        <w:t xml:space="preserve"> Analysis Report, </w:t>
      </w:r>
      <w:proofErr w:type="gramStart"/>
      <w:r w:rsidRPr="00840954">
        <w:rPr>
          <w:rFonts w:ascii="Book Antiqua" w:hAnsi="Book Antiqua"/>
        </w:rPr>
        <w:t>Finding</w:t>
      </w:r>
      <w:proofErr w:type="gramEnd"/>
      <w:r w:rsidRPr="00840954">
        <w:rPr>
          <w:rFonts w:ascii="Book Antiqua" w:hAnsi="Book Antiqua"/>
        </w:rPr>
        <w:t xml:space="preserve"> 2, Crowe found that Cox did not assess, collect or remit PPP surcharges or </w:t>
      </w:r>
      <w:r w:rsidR="00FE1C1F">
        <w:rPr>
          <w:rFonts w:ascii="Book Antiqua" w:hAnsi="Book Antiqua"/>
        </w:rPr>
        <w:t xml:space="preserve">the CPUC </w:t>
      </w:r>
      <w:r w:rsidR="00576B9D">
        <w:rPr>
          <w:rFonts w:ascii="Book Antiqua" w:hAnsi="Book Antiqua"/>
        </w:rPr>
        <w:t>u</w:t>
      </w:r>
      <w:r w:rsidRPr="00840954">
        <w:rPr>
          <w:rFonts w:ascii="Book Antiqua" w:hAnsi="Book Antiqua"/>
        </w:rPr>
        <w:t xml:space="preserve">ser </w:t>
      </w:r>
      <w:r w:rsidR="00576B9D">
        <w:rPr>
          <w:rFonts w:ascii="Book Antiqua" w:hAnsi="Book Antiqua"/>
        </w:rPr>
        <w:t>f</w:t>
      </w:r>
      <w:r w:rsidRPr="00840954">
        <w:rPr>
          <w:rFonts w:ascii="Book Antiqua" w:hAnsi="Book Antiqua"/>
        </w:rPr>
        <w:t>ee</w:t>
      </w:r>
      <w:r w:rsidR="00576B9D">
        <w:rPr>
          <w:rFonts w:ascii="Book Antiqua" w:hAnsi="Book Antiqua"/>
        </w:rPr>
        <w:t>s</w:t>
      </w:r>
      <w:r w:rsidRPr="00840954">
        <w:rPr>
          <w:rFonts w:ascii="Book Antiqua" w:hAnsi="Book Antiqua"/>
        </w:rPr>
        <w:t xml:space="preserve"> for</w:t>
      </w:r>
      <w:r w:rsidRPr="00840954" w:rsidR="00C729AE">
        <w:rPr>
          <w:rFonts w:ascii="Book Antiqua" w:hAnsi="Book Antiqua"/>
        </w:rPr>
        <w:t xml:space="preserve"> </w:t>
      </w:r>
      <w:r w:rsidRPr="00840954">
        <w:rPr>
          <w:rFonts w:ascii="Book Antiqua" w:hAnsi="Book Antiqua"/>
        </w:rPr>
        <w:t>revenues received from directory listing</w:t>
      </w:r>
      <w:r w:rsidR="00EE3796">
        <w:rPr>
          <w:rFonts w:ascii="Book Antiqua" w:hAnsi="Book Antiqua"/>
        </w:rPr>
        <w:t>s</w:t>
      </w:r>
      <w:r w:rsidRPr="00840954">
        <w:rPr>
          <w:rFonts w:ascii="Book Antiqua" w:hAnsi="Book Antiqua"/>
        </w:rPr>
        <w:t xml:space="preserve"> (non-publi</w:t>
      </w:r>
      <w:r w:rsidR="00EE3796">
        <w:rPr>
          <w:rFonts w:ascii="Book Antiqua" w:hAnsi="Book Antiqua"/>
        </w:rPr>
        <w:t>shed</w:t>
      </w:r>
      <w:r w:rsidRPr="00840954">
        <w:rPr>
          <w:rFonts w:ascii="Book Antiqua" w:hAnsi="Book Antiqua"/>
        </w:rPr>
        <w:t>)</w:t>
      </w:r>
      <w:r w:rsidRPr="00840954" w:rsidR="00C729AE">
        <w:rPr>
          <w:rFonts w:ascii="Book Antiqua" w:hAnsi="Book Antiqua"/>
        </w:rPr>
        <w:t xml:space="preserve"> service</w:t>
      </w:r>
      <w:r w:rsidR="00576B9D">
        <w:rPr>
          <w:rFonts w:ascii="Book Antiqua" w:hAnsi="Book Antiqua"/>
        </w:rPr>
        <w:t xml:space="preserve"> for FYs 2013-2014 and 2014-2015</w:t>
      </w:r>
      <w:r w:rsidRPr="00840954" w:rsidR="00F64F36">
        <w:rPr>
          <w:rFonts w:ascii="Book Antiqua" w:hAnsi="Book Antiqua"/>
        </w:rPr>
        <w:t xml:space="preserve">.  </w:t>
      </w:r>
      <w:r w:rsidR="000E3076">
        <w:rPr>
          <w:rFonts w:ascii="Book Antiqua" w:hAnsi="Book Antiqua"/>
        </w:rPr>
        <w:t xml:space="preserve">This </w:t>
      </w:r>
      <w:r w:rsidR="00F73F90">
        <w:rPr>
          <w:rFonts w:ascii="Book Antiqua" w:hAnsi="Book Antiqua"/>
        </w:rPr>
        <w:t xml:space="preserve">failure </w:t>
      </w:r>
      <w:r w:rsidR="000E3076">
        <w:rPr>
          <w:rFonts w:ascii="Book Antiqua" w:hAnsi="Book Antiqua"/>
        </w:rPr>
        <w:t xml:space="preserve">resulted in over </w:t>
      </w:r>
      <w:r w:rsidR="00C86C02">
        <w:rPr>
          <w:rFonts w:ascii="Book Antiqua" w:hAnsi="Book Antiqua"/>
        </w:rPr>
        <w:t>$</w:t>
      </w:r>
      <w:r w:rsidR="005D6F5C">
        <w:rPr>
          <w:rFonts w:ascii="Book Antiqua" w:hAnsi="Book Antiqua"/>
        </w:rPr>
        <w:t>2</w:t>
      </w:r>
      <w:r w:rsidR="00C86C02">
        <w:rPr>
          <w:rFonts w:ascii="Book Antiqua" w:hAnsi="Book Antiqua"/>
        </w:rPr>
        <w:t xml:space="preserve">00,000 in underpayment of PPP surcharges and user fees.  </w:t>
      </w:r>
      <w:r w:rsidRPr="00840954" w:rsidR="00782D86">
        <w:rPr>
          <w:rFonts w:ascii="Book Antiqua" w:hAnsi="Book Antiqua"/>
        </w:rPr>
        <w:t>The 201</w:t>
      </w:r>
      <w:r w:rsidR="005B485B">
        <w:rPr>
          <w:rFonts w:ascii="Book Antiqua" w:hAnsi="Book Antiqua"/>
        </w:rPr>
        <w:t>7</w:t>
      </w:r>
      <w:r w:rsidRPr="00840954" w:rsidR="00782D86">
        <w:rPr>
          <w:rFonts w:ascii="Book Antiqua" w:hAnsi="Book Antiqua"/>
        </w:rPr>
        <w:t xml:space="preserve"> Analysis Report also listed the associated </w:t>
      </w:r>
      <w:r w:rsidRPr="00840954" w:rsidR="00972B51">
        <w:rPr>
          <w:rFonts w:ascii="Book Antiqua" w:hAnsi="Book Antiqua"/>
        </w:rPr>
        <w:t xml:space="preserve">interest and </w:t>
      </w:r>
      <w:r w:rsidRPr="00840954" w:rsidR="00782D86">
        <w:rPr>
          <w:rFonts w:ascii="Book Antiqua" w:hAnsi="Book Antiqua"/>
        </w:rPr>
        <w:t>penalties</w:t>
      </w:r>
      <w:r w:rsidRPr="00840954" w:rsidR="003A6540">
        <w:rPr>
          <w:rFonts w:ascii="Book Antiqua" w:hAnsi="Book Antiqua"/>
        </w:rPr>
        <w:t xml:space="preserve"> for Cox’s noncompliance.</w:t>
      </w:r>
      <w:r w:rsidRPr="00840954" w:rsidR="0072071D">
        <w:rPr>
          <w:rStyle w:val="FootnoteReference"/>
          <w:rFonts w:ascii="Book Antiqua" w:hAnsi="Book Antiqua"/>
        </w:rPr>
        <w:footnoteReference w:id="23"/>
      </w:r>
      <w:r w:rsidRPr="00840954" w:rsidR="00F64F36">
        <w:rPr>
          <w:rFonts w:ascii="Book Antiqua" w:hAnsi="Book Antiqua"/>
        </w:rPr>
        <w:t xml:space="preserve"> </w:t>
      </w:r>
      <w:r w:rsidRPr="00840954" w:rsidR="0065103A">
        <w:rPr>
          <w:rFonts w:ascii="Book Antiqua" w:hAnsi="Book Antiqua"/>
        </w:rPr>
        <w:t xml:space="preserve"> </w:t>
      </w:r>
    </w:p>
    <w:p w:rsidRPr="00840954" w:rsidR="00C729AE" w:rsidP="00840954" w:rsidRDefault="00385438" w14:paraId="07DDD543" w14:textId="3DB1B562">
      <w:pPr>
        <w:ind w:left="1440" w:right="1440"/>
        <w:jc w:val="both"/>
        <w:rPr>
          <w:rFonts w:ascii="Book Antiqua" w:hAnsi="Book Antiqua" w:cs="Arial"/>
          <w:color w:val="000000"/>
          <w:szCs w:val="20"/>
        </w:rPr>
      </w:pPr>
      <w:r w:rsidRPr="00840954">
        <w:rPr>
          <w:rFonts w:ascii="Book Antiqua" w:hAnsi="Book Antiqua" w:cs="Arial"/>
          <w:color w:val="000000"/>
          <w:szCs w:val="20"/>
        </w:rPr>
        <w:t xml:space="preserve">  </w:t>
      </w:r>
    </w:p>
    <w:p w:rsidRPr="00840954" w:rsidR="00F02CCC" w:rsidP="001D5A10" w:rsidRDefault="00F02CCC" w14:paraId="7A20F2B1" w14:textId="7A707E72">
      <w:pPr>
        <w:tabs>
          <w:tab w:val="right" w:pos="10080"/>
        </w:tabs>
        <w:rPr>
          <w:rFonts w:ascii="Book Antiqua" w:hAnsi="Book Antiqua"/>
        </w:rPr>
      </w:pPr>
      <w:r w:rsidRPr="00840954">
        <w:rPr>
          <w:rFonts w:ascii="Book Antiqua" w:hAnsi="Book Antiqua"/>
        </w:rPr>
        <w:t>On March 8,</w:t>
      </w:r>
      <w:r w:rsidRPr="00840954" w:rsidR="006937C0">
        <w:rPr>
          <w:rFonts w:ascii="Book Antiqua" w:hAnsi="Book Antiqua"/>
        </w:rPr>
        <w:t xml:space="preserve"> 2018</w:t>
      </w:r>
      <w:r w:rsidR="0024160D">
        <w:rPr>
          <w:rFonts w:ascii="Book Antiqua" w:hAnsi="Book Antiqua"/>
        </w:rPr>
        <w:t>,</w:t>
      </w:r>
      <w:r w:rsidRPr="00840954">
        <w:rPr>
          <w:rFonts w:ascii="Book Antiqua" w:hAnsi="Book Antiqua"/>
        </w:rPr>
        <w:t xml:space="preserve"> Cox submitted a letter to </w:t>
      </w:r>
      <w:r w:rsidR="00EE743D">
        <w:rPr>
          <w:rFonts w:ascii="Book Antiqua" w:hAnsi="Book Antiqua"/>
        </w:rPr>
        <w:t xml:space="preserve">CD’s </w:t>
      </w:r>
      <w:r w:rsidRPr="00840954">
        <w:rPr>
          <w:rFonts w:ascii="Book Antiqua" w:hAnsi="Book Antiqua"/>
        </w:rPr>
        <w:t>Director</w:t>
      </w:r>
      <w:r w:rsidRPr="00840954" w:rsidR="00A274F0">
        <w:rPr>
          <w:rFonts w:ascii="Book Antiqua" w:hAnsi="Book Antiqua"/>
        </w:rPr>
        <w:t xml:space="preserve"> in response to the 2017 Analysis Report.</w:t>
      </w:r>
      <w:r w:rsidRPr="00840954" w:rsidR="00401F80">
        <w:rPr>
          <w:rStyle w:val="FootnoteReference"/>
          <w:rFonts w:ascii="Book Antiqua" w:hAnsi="Book Antiqua"/>
        </w:rPr>
        <w:footnoteReference w:id="24"/>
      </w:r>
      <w:r w:rsidRPr="00840954" w:rsidR="0092662A">
        <w:rPr>
          <w:rFonts w:ascii="Book Antiqua" w:hAnsi="Book Antiqua"/>
        </w:rPr>
        <w:t xml:space="preserve"> </w:t>
      </w:r>
      <w:r w:rsidR="00EA1BBA">
        <w:rPr>
          <w:rFonts w:ascii="Book Antiqua" w:hAnsi="Book Antiqua"/>
        </w:rPr>
        <w:t xml:space="preserve"> </w:t>
      </w:r>
      <w:r w:rsidR="00AA21AC">
        <w:rPr>
          <w:rFonts w:ascii="Book Antiqua" w:hAnsi="Book Antiqua"/>
        </w:rPr>
        <w:t xml:space="preserve">Cox’s letter reiterated its legal positions with </w:t>
      </w:r>
      <w:r w:rsidR="00505B2E">
        <w:rPr>
          <w:rFonts w:ascii="Book Antiqua" w:hAnsi="Book Antiqua"/>
        </w:rPr>
        <w:t xml:space="preserve">respect to its surcharges and user fee obligations for revenue related to its provision of </w:t>
      </w:r>
      <w:r w:rsidR="00AA21AC">
        <w:rPr>
          <w:rFonts w:ascii="Book Antiqua" w:hAnsi="Book Antiqua"/>
        </w:rPr>
        <w:t>directory listings service.</w:t>
      </w:r>
      <w:r w:rsidR="00112DBB">
        <w:rPr>
          <w:rStyle w:val="FootnoteReference"/>
          <w:rFonts w:ascii="Book Antiqua" w:hAnsi="Book Antiqua"/>
        </w:rPr>
        <w:footnoteReference w:id="25"/>
      </w:r>
      <w:r w:rsidRPr="00840954" w:rsidR="00401F80">
        <w:rPr>
          <w:rFonts w:ascii="Book Antiqua" w:hAnsi="Book Antiqua"/>
        </w:rPr>
        <w:t xml:space="preserve">  </w:t>
      </w:r>
      <w:r w:rsidRPr="00840954" w:rsidR="00A274F0">
        <w:rPr>
          <w:rFonts w:ascii="Book Antiqua" w:hAnsi="Book Antiqua"/>
        </w:rPr>
        <w:t xml:space="preserve"> </w:t>
      </w:r>
      <w:r w:rsidRPr="00840954">
        <w:rPr>
          <w:rFonts w:ascii="Book Antiqua" w:hAnsi="Book Antiqua"/>
        </w:rPr>
        <w:t xml:space="preserve">  </w:t>
      </w:r>
    </w:p>
    <w:p w:rsidRPr="00840954" w:rsidR="00F02CCC" w:rsidP="001D5A10" w:rsidRDefault="00F02CCC" w14:paraId="1B499237" w14:textId="77777777">
      <w:pPr>
        <w:tabs>
          <w:tab w:val="right" w:pos="10080"/>
        </w:tabs>
        <w:rPr>
          <w:rFonts w:ascii="Book Antiqua" w:hAnsi="Book Antiqua"/>
        </w:rPr>
      </w:pPr>
    </w:p>
    <w:p w:rsidRPr="00840954" w:rsidR="008C144F" w:rsidP="001D5A10" w:rsidRDefault="00A9425F" w14:paraId="237495E5" w14:textId="402C33C5">
      <w:pPr>
        <w:tabs>
          <w:tab w:val="right" w:pos="10080"/>
        </w:tabs>
        <w:rPr>
          <w:rFonts w:ascii="Book Antiqua" w:hAnsi="Book Antiqua"/>
        </w:rPr>
      </w:pPr>
      <w:r w:rsidRPr="00840954">
        <w:rPr>
          <w:rFonts w:ascii="Book Antiqua" w:hAnsi="Book Antiqua"/>
        </w:rPr>
        <w:t>On April 5, 2018</w:t>
      </w:r>
      <w:r w:rsidRPr="00840954" w:rsidR="00AC0B4A">
        <w:rPr>
          <w:rFonts w:ascii="Book Antiqua" w:hAnsi="Book Antiqua"/>
        </w:rPr>
        <w:t>,</w:t>
      </w:r>
      <w:r w:rsidRPr="00840954">
        <w:rPr>
          <w:rFonts w:ascii="Book Antiqua" w:hAnsi="Book Antiqua"/>
        </w:rPr>
        <w:t xml:space="preserve"> C</w:t>
      </w:r>
      <w:r w:rsidR="0024160D">
        <w:rPr>
          <w:rFonts w:ascii="Book Antiqua" w:hAnsi="Book Antiqua"/>
        </w:rPr>
        <w:t>D</w:t>
      </w:r>
      <w:r w:rsidRPr="00840954">
        <w:rPr>
          <w:rFonts w:ascii="Book Antiqua" w:hAnsi="Book Antiqua"/>
        </w:rPr>
        <w:t xml:space="preserve"> sent Cox a demand letter for</w:t>
      </w:r>
      <w:r w:rsidRPr="00840954" w:rsidR="00A97CCA">
        <w:rPr>
          <w:rFonts w:ascii="Book Antiqua" w:hAnsi="Book Antiqua"/>
        </w:rPr>
        <w:t xml:space="preserve"> </w:t>
      </w:r>
      <w:r w:rsidRPr="00840954" w:rsidR="00B23E92">
        <w:rPr>
          <w:rFonts w:ascii="Book Antiqua" w:hAnsi="Book Antiqua"/>
        </w:rPr>
        <w:t xml:space="preserve">the </w:t>
      </w:r>
      <w:r w:rsidRPr="00840954" w:rsidR="00A97CCA">
        <w:rPr>
          <w:rFonts w:ascii="Book Antiqua" w:hAnsi="Book Antiqua"/>
        </w:rPr>
        <w:t xml:space="preserve">under-remitted and underreported </w:t>
      </w:r>
      <w:r w:rsidRPr="00840954" w:rsidR="00B23E92">
        <w:rPr>
          <w:rFonts w:ascii="Book Antiqua" w:hAnsi="Book Antiqua"/>
        </w:rPr>
        <w:t>surcharges and user fees and associated penalties related to Cox’s directory listings service revenue</w:t>
      </w:r>
      <w:r w:rsidRPr="00840954" w:rsidR="003517FF">
        <w:rPr>
          <w:rFonts w:ascii="Book Antiqua" w:hAnsi="Book Antiqua"/>
        </w:rPr>
        <w:t>,</w:t>
      </w:r>
      <w:r w:rsidRPr="00840954" w:rsidR="00DA4CFC">
        <w:rPr>
          <w:rFonts w:ascii="Book Antiqua" w:hAnsi="Book Antiqua"/>
        </w:rPr>
        <w:t xml:space="preserve"> as set forth in </w:t>
      </w:r>
      <w:r w:rsidRPr="00840954" w:rsidR="00B23E92">
        <w:rPr>
          <w:rFonts w:ascii="Book Antiqua" w:hAnsi="Book Antiqua"/>
        </w:rPr>
        <w:t>the 201</w:t>
      </w:r>
      <w:r w:rsidR="00CC5B28">
        <w:rPr>
          <w:rFonts w:ascii="Book Antiqua" w:hAnsi="Book Antiqua"/>
        </w:rPr>
        <w:t>7</w:t>
      </w:r>
      <w:r w:rsidRPr="00840954" w:rsidR="00B23E92">
        <w:rPr>
          <w:rFonts w:ascii="Book Antiqua" w:hAnsi="Book Antiqua"/>
        </w:rPr>
        <w:t xml:space="preserve"> Analysis Report</w:t>
      </w:r>
      <w:r w:rsidRPr="00840954" w:rsidR="00DA4CFC">
        <w:rPr>
          <w:rFonts w:ascii="Book Antiqua" w:hAnsi="Book Antiqua"/>
        </w:rPr>
        <w:t>.</w:t>
      </w:r>
      <w:r w:rsidRPr="00840954" w:rsidR="00A97CCA">
        <w:rPr>
          <w:rStyle w:val="FootnoteReference"/>
          <w:rFonts w:ascii="Book Antiqua" w:hAnsi="Book Antiqua"/>
        </w:rPr>
        <w:footnoteReference w:id="26"/>
      </w:r>
      <w:r w:rsidRPr="00840954" w:rsidR="00DC6923">
        <w:rPr>
          <w:rFonts w:ascii="Book Antiqua" w:hAnsi="Book Antiqua"/>
        </w:rPr>
        <w:t xml:space="preserve">  </w:t>
      </w:r>
    </w:p>
    <w:p w:rsidRPr="00840954" w:rsidR="008C144F" w:rsidP="001D5A10" w:rsidRDefault="008C144F" w14:paraId="0D259737" w14:textId="77777777">
      <w:pPr>
        <w:tabs>
          <w:tab w:val="right" w:pos="10080"/>
        </w:tabs>
        <w:rPr>
          <w:rFonts w:ascii="Book Antiqua" w:hAnsi="Book Antiqua"/>
        </w:rPr>
      </w:pPr>
    </w:p>
    <w:p w:rsidRPr="00840954" w:rsidR="00BE33FB" w:rsidP="00BE33FB" w:rsidRDefault="00054187" w14:paraId="598169B5" w14:textId="2547158E">
      <w:pPr>
        <w:tabs>
          <w:tab w:val="right" w:pos="10080"/>
        </w:tabs>
        <w:rPr>
          <w:rFonts w:ascii="Book Antiqua" w:hAnsi="Book Antiqua"/>
        </w:rPr>
      </w:pPr>
      <w:r w:rsidRPr="00840954">
        <w:rPr>
          <w:rFonts w:ascii="Book Antiqua" w:hAnsi="Book Antiqua"/>
        </w:rPr>
        <w:lastRenderedPageBreak/>
        <w:t xml:space="preserve">On </w:t>
      </w:r>
      <w:r w:rsidRPr="00840954" w:rsidR="004C14DA">
        <w:rPr>
          <w:rFonts w:ascii="Book Antiqua" w:hAnsi="Book Antiqua"/>
        </w:rPr>
        <w:t xml:space="preserve">May 2, 2018, Cox </w:t>
      </w:r>
      <w:r w:rsidRPr="00840954" w:rsidR="00F31571">
        <w:rPr>
          <w:rFonts w:ascii="Book Antiqua" w:hAnsi="Book Antiqua"/>
        </w:rPr>
        <w:t xml:space="preserve">sent </w:t>
      </w:r>
      <w:r w:rsidRPr="00840954" w:rsidR="00E0678C">
        <w:rPr>
          <w:rFonts w:ascii="Book Antiqua" w:hAnsi="Book Antiqua"/>
        </w:rPr>
        <w:t xml:space="preserve">another letter </w:t>
      </w:r>
      <w:r w:rsidRPr="00840954" w:rsidR="00F31571">
        <w:rPr>
          <w:rFonts w:ascii="Book Antiqua" w:hAnsi="Book Antiqua"/>
        </w:rPr>
        <w:t xml:space="preserve">disputing </w:t>
      </w:r>
      <w:r w:rsidRPr="00840954" w:rsidR="004C14DA">
        <w:rPr>
          <w:rFonts w:ascii="Book Antiqua" w:hAnsi="Book Antiqua"/>
        </w:rPr>
        <w:t>the audit findings</w:t>
      </w:r>
      <w:r w:rsidRPr="00840954" w:rsidR="00E62BDB">
        <w:rPr>
          <w:rFonts w:ascii="Book Antiqua" w:hAnsi="Book Antiqua"/>
        </w:rPr>
        <w:t xml:space="preserve"> and</w:t>
      </w:r>
      <w:r w:rsidRPr="00840954" w:rsidR="00E0678C">
        <w:rPr>
          <w:rFonts w:ascii="Book Antiqua" w:hAnsi="Book Antiqua"/>
        </w:rPr>
        <w:t xml:space="preserve"> requesting</w:t>
      </w:r>
      <w:r w:rsidRPr="00840954" w:rsidR="000A1D41">
        <w:rPr>
          <w:rFonts w:ascii="Book Antiqua" w:hAnsi="Book Antiqua"/>
        </w:rPr>
        <w:t xml:space="preserve"> reconsideration of CD’s</w:t>
      </w:r>
      <w:r w:rsidRPr="00840954" w:rsidR="00E0678C">
        <w:rPr>
          <w:rFonts w:ascii="Book Antiqua" w:hAnsi="Book Antiqua"/>
        </w:rPr>
        <w:t xml:space="preserve"> </w:t>
      </w:r>
      <w:r w:rsidRPr="00840954" w:rsidR="00F731FD">
        <w:rPr>
          <w:rFonts w:ascii="Book Antiqua" w:hAnsi="Book Antiqua"/>
        </w:rPr>
        <w:t xml:space="preserve">April 5, 2018 </w:t>
      </w:r>
      <w:r w:rsidRPr="00840954" w:rsidR="00E0678C">
        <w:rPr>
          <w:rFonts w:ascii="Book Antiqua" w:hAnsi="Book Antiqua"/>
        </w:rPr>
        <w:t xml:space="preserve">request for payment </w:t>
      </w:r>
      <w:r w:rsidRPr="00840954" w:rsidR="00A02F99">
        <w:rPr>
          <w:rFonts w:ascii="Book Antiqua" w:hAnsi="Book Antiqua"/>
        </w:rPr>
        <w:t>on the</w:t>
      </w:r>
      <w:r w:rsidRPr="00840954" w:rsidR="0040352C">
        <w:rPr>
          <w:rFonts w:ascii="Book Antiqua" w:hAnsi="Book Antiqua"/>
        </w:rPr>
        <w:t xml:space="preserve"> same previous argument that </w:t>
      </w:r>
      <w:r w:rsidRPr="00840954" w:rsidR="00A02F99">
        <w:rPr>
          <w:rFonts w:ascii="Book Antiqua" w:hAnsi="Book Antiqua"/>
        </w:rPr>
        <w:t>“Directory listings services are not services that the Commission may subject to PPP Surcharges and/or User Fees.”</w:t>
      </w:r>
      <w:r w:rsidRPr="00840954" w:rsidR="00A02F99">
        <w:rPr>
          <w:rStyle w:val="FootnoteReference"/>
          <w:rFonts w:ascii="Book Antiqua" w:hAnsi="Book Antiqua"/>
        </w:rPr>
        <w:footnoteReference w:id="27"/>
      </w:r>
      <w:r w:rsidRPr="00840954" w:rsidR="00A02F99">
        <w:rPr>
          <w:rFonts w:ascii="Book Antiqua" w:hAnsi="Book Antiqua"/>
        </w:rPr>
        <w:t xml:space="preserve"> </w:t>
      </w:r>
      <w:r w:rsidRPr="00840954" w:rsidR="00EA5097">
        <w:rPr>
          <w:rFonts w:ascii="Book Antiqua" w:hAnsi="Book Antiqua"/>
        </w:rPr>
        <w:t xml:space="preserve"> In </w:t>
      </w:r>
      <w:r w:rsidRPr="00840954" w:rsidR="001B63C8">
        <w:rPr>
          <w:rFonts w:ascii="Book Antiqua" w:hAnsi="Book Antiqua"/>
        </w:rPr>
        <w:t xml:space="preserve"> this letter, </w:t>
      </w:r>
      <w:r w:rsidRPr="00840954" w:rsidR="00EA5097">
        <w:rPr>
          <w:rFonts w:ascii="Book Antiqua" w:hAnsi="Book Antiqua"/>
        </w:rPr>
        <w:t>Cox</w:t>
      </w:r>
      <w:r w:rsidRPr="00840954" w:rsidR="00FB6B8A">
        <w:rPr>
          <w:rFonts w:ascii="Book Antiqua" w:hAnsi="Book Antiqua"/>
        </w:rPr>
        <w:t xml:space="preserve"> argued that “the 2017 Analysis is premised on findings and analyses included in the</w:t>
      </w:r>
      <w:r w:rsidRPr="00840954" w:rsidR="0040352C">
        <w:rPr>
          <w:rFonts w:ascii="Book Antiqua" w:hAnsi="Book Antiqua"/>
        </w:rPr>
        <w:t xml:space="preserve"> 2016 Audit Report” and “Cox disputes findings in the 2017 Analysis, as well as the same</w:t>
      </w:r>
      <w:r w:rsidRPr="00840954" w:rsidR="0084138D">
        <w:rPr>
          <w:rFonts w:ascii="Book Antiqua" w:hAnsi="Book Antiqua"/>
        </w:rPr>
        <w:t xml:space="preserve"> findings and underlying set forth in the 2016 Audit Report.”</w:t>
      </w:r>
      <w:r w:rsidRPr="00840954" w:rsidR="00BE33FB">
        <w:rPr>
          <w:rFonts w:ascii="Book Antiqua" w:hAnsi="Book Antiqua"/>
        </w:rPr>
        <w:t xml:space="preserve">  In reiterating its position, Cox stated, “[s]</w:t>
      </w:r>
      <w:proofErr w:type="spellStart"/>
      <w:r w:rsidRPr="00840954" w:rsidR="00BE33FB">
        <w:rPr>
          <w:rFonts w:ascii="Book Antiqua" w:hAnsi="Book Antiqua"/>
        </w:rPr>
        <w:t>ince</w:t>
      </w:r>
      <w:proofErr w:type="spellEnd"/>
      <w:r w:rsidRPr="00840954" w:rsidR="00BE33FB">
        <w:rPr>
          <w:rFonts w:ascii="Book Antiqua" w:hAnsi="Book Antiqua"/>
        </w:rPr>
        <w:t xml:space="preserve"> 2016, Cox has disputed Crow</w:t>
      </w:r>
      <w:r w:rsidRPr="00840954" w:rsidR="00103294">
        <w:rPr>
          <w:rFonts w:ascii="Book Antiqua" w:hAnsi="Book Antiqua"/>
        </w:rPr>
        <w:t>[e]</w:t>
      </w:r>
      <w:r w:rsidRPr="00840954" w:rsidR="00BE33FB">
        <w:rPr>
          <w:rFonts w:ascii="Book Antiqua" w:hAnsi="Book Antiqua"/>
        </w:rPr>
        <w:t xml:space="preserve"> </w:t>
      </w:r>
      <w:proofErr w:type="spellStart"/>
      <w:r w:rsidRPr="00840954" w:rsidR="00BE33FB">
        <w:rPr>
          <w:rFonts w:ascii="Book Antiqua" w:hAnsi="Book Antiqua"/>
        </w:rPr>
        <w:t>Howa</w:t>
      </w:r>
      <w:r w:rsidRPr="00840954" w:rsidR="00103294">
        <w:rPr>
          <w:rFonts w:ascii="Book Antiqua" w:hAnsi="Book Antiqua"/>
        </w:rPr>
        <w:t>r</w:t>
      </w:r>
      <w:r w:rsidRPr="00840954" w:rsidR="00BE33FB">
        <w:rPr>
          <w:rFonts w:ascii="Book Antiqua" w:hAnsi="Book Antiqua"/>
        </w:rPr>
        <w:t>th</w:t>
      </w:r>
      <w:proofErr w:type="spellEnd"/>
      <w:r w:rsidRPr="00840954" w:rsidR="00E22EB2">
        <w:rPr>
          <w:rFonts w:ascii="Book Antiqua" w:hAnsi="Book Antiqua"/>
        </w:rPr>
        <w:t xml:space="preserve"> </w:t>
      </w:r>
      <w:r w:rsidRPr="00840954" w:rsidR="00103294">
        <w:rPr>
          <w:rFonts w:ascii="Book Antiqua" w:hAnsi="Book Antiqua"/>
        </w:rPr>
        <w:t>(sic)</w:t>
      </w:r>
      <w:r w:rsidRPr="00840954" w:rsidR="00BE33FB">
        <w:rPr>
          <w:rFonts w:ascii="Book Antiqua" w:hAnsi="Book Antiqua"/>
        </w:rPr>
        <w:t xml:space="preserve"> finding that directory listing services are subject to PPP Surcharges and the User Fee since (a) such services are not telecommunications service; (b) Decision 96-10-066 does not authorize the imposition of PPP Surcharges and/or the User Fee on such services; and (c) the FCC does not subject such services to federal universal service contributions, and thereby, the Commission cannot adopt an rule inconsistent with that of the FCC.”</w:t>
      </w:r>
      <w:r w:rsidRPr="00840954" w:rsidR="00FC0A7C">
        <w:rPr>
          <w:rStyle w:val="FootnoteReference"/>
          <w:rFonts w:ascii="Book Antiqua" w:hAnsi="Book Antiqua"/>
        </w:rPr>
        <w:footnoteReference w:id="28"/>
      </w:r>
      <w:r w:rsidRPr="00840954" w:rsidR="00A52C53">
        <w:rPr>
          <w:rFonts w:ascii="Book Antiqua" w:hAnsi="Book Antiqua"/>
        </w:rPr>
        <w:t xml:space="preserve">  Cox also requested that CD delay pursing payment until the Commission determines in Rulemaking (R.) 17-06-023</w:t>
      </w:r>
      <w:r w:rsidRPr="00840954" w:rsidR="00692347">
        <w:rPr>
          <w:rFonts w:ascii="Book Antiqua" w:hAnsi="Book Antiqua"/>
        </w:rPr>
        <w:t>,</w:t>
      </w:r>
      <w:r w:rsidRPr="00840954" w:rsidR="009560AA">
        <w:rPr>
          <w:rFonts w:ascii="Book Antiqua" w:hAnsi="Book Antiqua"/>
        </w:rPr>
        <w:t xml:space="preserve"> </w:t>
      </w:r>
      <w:r w:rsidRPr="00840954" w:rsidR="009560AA">
        <w:rPr>
          <w:rFonts w:ascii="Book Antiqua" w:hAnsi="Book Antiqua"/>
          <w:i/>
          <w:iCs/>
        </w:rPr>
        <w:t>Order Instituting Rulemaking to Consider Whether Text Messaging Services are Subject to Public Purpose Program Surcharges</w:t>
      </w:r>
      <w:r w:rsidRPr="00840954" w:rsidR="009560AA">
        <w:rPr>
          <w:rFonts w:ascii="Book Antiqua" w:hAnsi="Book Antiqua"/>
        </w:rPr>
        <w:t>, whether</w:t>
      </w:r>
      <w:r w:rsidRPr="00840954" w:rsidR="00496274">
        <w:rPr>
          <w:rFonts w:ascii="Book Antiqua" w:hAnsi="Book Antiqua"/>
        </w:rPr>
        <w:t xml:space="preserve"> to add </w:t>
      </w:r>
      <w:r w:rsidRPr="00840954" w:rsidR="009560AA">
        <w:rPr>
          <w:rFonts w:ascii="Book Antiqua" w:hAnsi="Book Antiqua"/>
        </w:rPr>
        <w:t>directory listings service</w:t>
      </w:r>
      <w:r w:rsidRPr="00840954" w:rsidR="00D41616">
        <w:rPr>
          <w:rFonts w:ascii="Book Antiqua" w:hAnsi="Book Antiqua"/>
        </w:rPr>
        <w:t xml:space="preserve"> as an issue</w:t>
      </w:r>
      <w:r w:rsidRPr="00840954" w:rsidR="00496274">
        <w:rPr>
          <w:rFonts w:ascii="Book Antiqua" w:hAnsi="Book Antiqua"/>
        </w:rPr>
        <w:t xml:space="preserve"> to address</w:t>
      </w:r>
      <w:r w:rsidRPr="00840954" w:rsidR="009560AA">
        <w:rPr>
          <w:rFonts w:ascii="Book Antiqua" w:hAnsi="Book Antiqua"/>
        </w:rPr>
        <w:t xml:space="preserve">.  </w:t>
      </w:r>
      <w:r w:rsidRPr="00840954" w:rsidR="00A52C53">
        <w:rPr>
          <w:rFonts w:ascii="Book Antiqua" w:hAnsi="Book Antiqua"/>
        </w:rPr>
        <w:t xml:space="preserve">  </w:t>
      </w:r>
      <w:r w:rsidRPr="00840954" w:rsidR="00BE33FB">
        <w:rPr>
          <w:rFonts w:ascii="Book Antiqua" w:hAnsi="Book Antiqua"/>
        </w:rPr>
        <w:t xml:space="preserve"> </w:t>
      </w:r>
    </w:p>
    <w:p w:rsidRPr="00840954" w:rsidR="00FB6B8A" w:rsidP="001D5A10" w:rsidRDefault="00BE33FB" w14:paraId="1D2E3F2E" w14:textId="54C11F57">
      <w:pPr>
        <w:tabs>
          <w:tab w:val="right" w:pos="10080"/>
        </w:tabs>
        <w:rPr>
          <w:rFonts w:ascii="Book Antiqua" w:hAnsi="Book Antiqua"/>
        </w:rPr>
      </w:pPr>
      <w:r w:rsidRPr="00840954">
        <w:rPr>
          <w:rFonts w:ascii="Book Antiqua" w:hAnsi="Book Antiqua"/>
        </w:rPr>
        <w:t xml:space="preserve">  </w:t>
      </w:r>
      <w:r w:rsidRPr="00840954" w:rsidR="0084138D">
        <w:rPr>
          <w:rFonts w:ascii="Book Antiqua" w:hAnsi="Book Antiqua"/>
        </w:rPr>
        <w:t xml:space="preserve"> </w:t>
      </w:r>
      <w:r w:rsidRPr="00840954" w:rsidR="0040352C">
        <w:rPr>
          <w:rFonts w:ascii="Book Antiqua" w:hAnsi="Book Antiqua"/>
        </w:rPr>
        <w:t xml:space="preserve"> </w:t>
      </w:r>
      <w:r w:rsidRPr="00840954" w:rsidR="00FB6B8A">
        <w:rPr>
          <w:rFonts w:ascii="Book Antiqua" w:hAnsi="Book Antiqua"/>
        </w:rPr>
        <w:t xml:space="preserve"> </w:t>
      </w:r>
    </w:p>
    <w:p w:rsidRPr="00840954" w:rsidR="00B53FDA" w:rsidP="002C5018" w:rsidRDefault="00573E45" w14:paraId="6E1B63E4" w14:textId="4E287937">
      <w:pPr>
        <w:tabs>
          <w:tab w:val="right" w:pos="10080"/>
        </w:tabs>
        <w:rPr>
          <w:rFonts w:ascii="Book Antiqua" w:hAnsi="Book Antiqua"/>
        </w:rPr>
      </w:pPr>
      <w:r w:rsidRPr="00840954">
        <w:rPr>
          <w:rFonts w:ascii="Book Antiqua" w:hAnsi="Book Antiqua"/>
        </w:rPr>
        <w:t xml:space="preserve">On October 18, 2018, CD’s Deputy Director </w:t>
      </w:r>
      <w:r w:rsidRPr="00840954" w:rsidR="000D110C">
        <w:rPr>
          <w:rFonts w:ascii="Book Antiqua" w:hAnsi="Book Antiqua"/>
        </w:rPr>
        <w:t xml:space="preserve">sent </w:t>
      </w:r>
      <w:r w:rsidRPr="00840954" w:rsidR="00892E8F">
        <w:rPr>
          <w:rFonts w:ascii="Book Antiqua" w:hAnsi="Book Antiqua"/>
        </w:rPr>
        <w:t>Cox</w:t>
      </w:r>
      <w:r w:rsidRPr="00840954" w:rsidR="000D110C">
        <w:rPr>
          <w:rFonts w:ascii="Book Antiqua" w:hAnsi="Book Antiqua"/>
        </w:rPr>
        <w:t xml:space="preserve"> a letter</w:t>
      </w:r>
      <w:r w:rsidRPr="00840954" w:rsidR="00892E8F">
        <w:rPr>
          <w:rFonts w:ascii="Book Antiqua" w:hAnsi="Book Antiqua"/>
        </w:rPr>
        <w:t xml:space="preserve"> </w:t>
      </w:r>
      <w:r w:rsidRPr="00840954" w:rsidR="00D53DCB">
        <w:rPr>
          <w:rFonts w:ascii="Book Antiqua" w:hAnsi="Book Antiqua"/>
        </w:rPr>
        <w:t xml:space="preserve">explaining that </w:t>
      </w:r>
      <w:r w:rsidRPr="00840954" w:rsidR="00F43EB7">
        <w:rPr>
          <w:rFonts w:ascii="Book Antiqua" w:hAnsi="Book Antiqua"/>
        </w:rPr>
        <w:t>“</w:t>
      </w:r>
      <w:r w:rsidRPr="00840954" w:rsidR="00B31A5F">
        <w:rPr>
          <w:rFonts w:ascii="Book Antiqua" w:hAnsi="Book Antiqua"/>
        </w:rPr>
        <w:t xml:space="preserve">absent an order from the FCC or federal or state laws that explicitly deem directory listings to be exempt from federal or state surcharges, CD concurs </w:t>
      </w:r>
      <w:r w:rsidRPr="00840954">
        <w:rPr>
          <w:rFonts w:ascii="Book Antiqua" w:hAnsi="Book Antiqua"/>
        </w:rPr>
        <w:t>with the</w:t>
      </w:r>
      <w:r w:rsidRPr="00840954" w:rsidR="00892E8F">
        <w:rPr>
          <w:rFonts w:ascii="Book Antiqua" w:hAnsi="Book Antiqua"/>
        </w:rPr>
        <w:t xml:space="preserve"> findings in the </w:t>
      </w:r>
      <w:r w:rsidRPr="00840954" w:rsidR="0029242F">
        <w:rPr>
          <w:rFonts w:ascii="Book Antiqua" w:hAnsi="Book Antiqua"/>
        </w:rPr>
        <w:t>[201</w:t>
      </w:r>
      <w:r w:rsidR="00C02EAB">
        <w:rPr>
          <w:rFonts w:ascii="Book Antiqua" w:hAnsi="Book Antiqua"/>
        </w:rPr>
        <w:t>7</w:t>
      </w:r>
      <w:r w:rsidRPr="00840954" w:rsidR="0029242F">
        <w:rPr>
          <w:rFonts w:ascii="Book Antiqua" w:hAnsi="Book Antiqua"/>
        </w:rPr>
        <w:t xml:space="preserve">] </w:t>
      </w:r>
      <w:r w:rsidRPr="00840954" w:rsidR="00892E8F">
        <w:rPr>
          <w:rFonts w:ascii="Book Antiqua" w:hAnsi="Book Antiqua"/>
        </w:rPr>
        <w:t xml:space="preserve">Compliance </w:t>
      </w:r>
      <w:r w:rsidRPr="00840954">
        <w:rPr>
          <w:rFonts w:ascii="Book Antiqua" w:hAnsi="Book Antiqua"/>
        </w:rPr>
        <w:t>Examination report analysis</w:t>
      </w:r>
      <w:r w:rsidRPr="00840954" w:rsidR="009F47B7">
        <w:rPr>
          <w:rFonts w:ascii="Book Antiqua" w:hAnsi="Book Antiqua"/>
        </w:rPr>
        <w:t>.</w:t>
      </w:r>
      <w:r w:rsidRPr="00840954" w:rsidR="00F43EB7">
        <w:rPr>
          <w:rFonts w:ascii="Book Antiqua" w:hAnsi="Book Antiqua"/>
        </w:rPr>
        <w:t>”</w:t>
      </w:r>
      <w:r w:rsidRPr="00840954" w:rsidR="00BF379D">
        <w:rPr>
          <w:rStyle w:val="FootnoteReference"/>
          <w:rFonts w:ascii="Book Antiqua" w:hAnsi="Book Antiqua"/>
        </w:rPr>
        <w:footnoteReference w:id="29"/>
      </w:r>
      <w:r w:rsidRPr="00840954" w:rsidR="009F47B7">
        <w:rPr>
          <w:rFonts w:ascii="Book Antiqua" w:hAnsi="Book Antiqua"/>
        </w:rPr>
        <w:t xml:space="preserve">  CD rejected </w:t>
      </w:r>
      <w:r w:rsidRPr="00840954" w:rsidR="00517716">
        <w:rPr>
          <w:rFonts w:ascii="Book Antiqua" w:hAnsi="Book Antiqua"/>
        </w:rPr>
        <w:t>Cox’s arguments</w:t>
      </w:r>
      <w:r w:rsidRPr="00840954" w:rsidR="0029242F">
        <w:rPr>
          <w:rFonts w:ascii="Book Antiqua" w:hAnsi="Book Antiqua"/>
        </w:rPr>
        <w:t xml:space="preserve"> and further </w:t>
      </w:r>
      <w:r w:rsidRPr="00840954" w:rsidR="009F47B7">
        <w:rPr>
          <w:rFonts w:ascii="Book Antiqua" w:hAnsi="Book Antiqua"/>
        </w:rPr>
        <w:t xml:space="preserve">explained that </w:t>
      </w:r>
      <w:r w:rsidRPr="00840954" w:rsidR="003E15F1">
        <w:rPr>
          <w:rFonts w:ascii="Book Antiqua" w:hAnsi="Book Antiqua"/>
        </w:rPr>
        <w:t xml:space="preserve">“Commission surcharge rules in D.96-10-066 require the assessment of surcharges on telecommunications services unless a specific service is explicitly exempt. </w:t>
      </w:r>
      <w:r w:rsidRPr="00840954" w:rsidR="009F47B7">
        <w:rPr>
          <w:rFonts w:ascii="Book Antiqua" w:hAnsi="Book Antiqua"/>
        </w:rPr>
        <w:t xml:space="preserve"> </w:t>
      </w:r>
      <w:r w:rsidRPr="00840954" w:rsidR="003E15F1">
        <w:rPr>
          <w:rFonts w:ascii="Book Antiqua" w:hAnsi="Book Antiqua"/>
        </w:rPr>
        <w:t>The Commission has not identified directory listings as an exempt service.</w:t>
      </w:r>
      <w:r w:rsidRPr="00840954" w:rsidR="0029242F">
        <w:rPr>
          <w:rFonts w:ascii="Book Antiqua" w:hAnsi="Book Antiqua"/>
        </w:rPr>
        <w:t>”</w:t>
      </w:r>
      <w:r w:rsidRPr="00840954" w:rsidR="003E15F1">
        <w:rPr>
          <w:rStyle w:val="FootnoteReference"/>
          <w:rFonts w:ascii="Book Antiqua" w:hAnsi="Book Antiqua"/>
        </w:rPr>
        <w:footnoteReference w:id="30"/>
      </w:r>
      <w:r w:rsidRPr="00840954" w:rsidR="00097D84">
        <w:rPr>
          <w:rFonts w:ascii="Book Antiqua" w:hAnsi="Book Antiqua"/>
        </w:rPr>
        <w:t xml:space="preserve">  </w:t>
      </w:r>
      <w:r w:rsidRPr="00840954" w:rsidR="0029242F">
        <w:rPr>
          <w:rFonts w:ascii="Book Antiqua" w:hAnsi="Book Antiqua"/>
        </w:rPr>
        <w:t xml:space="preserve">CD also rejected Cox’s proposal to delay payments pending </w:t>
      </w:r>
      <w:r w:rsidRPr="00840954" w:rsidR="004F140F">
        <w:rPr>
          <w:rFonts w:ascii="Book Antiqua" w:hAnsi="Book Antiqua"/>
        </w:rPr>
        <w:t xml:space="preserve">consideration of directory listings service in R.17-06-023 because </w:t>
      </w:r>
      <w:r w:rsidR="00EB55DE">
        <w:rPr>
          <w:rFonts w:ascii="Book Antiqua" w:hAnsi="Book Antiqua"/>
        </w:rPr>
        <w:t xml:space="preserve">in </w:t>
      </w:r>
      <w:r w:rsidRPr="00840954" w:rsidR="004F140F">
        <w:rPr>
          <w:rFonts w:ascii="Book Antiqua" w:hAnsi="Book Antiqua"/>
        </w:rPr>
        <w:t>that proceeding</w:t>
      </w:r>
      <w:r w:rsidR="00EB55DE">
        <w:rPr>
          <w:rFonts w:ascii="Book Antiqua" w:hAnsi="Book Antiqua"/>
        </w:rPr>
        <w:t>, the Commission</w:t>
      </w:r>
      <w:r w:rsidRPr="00840954" w:rsidR="004F140F">
        <w:rPr>
          <w:rFonts w:ascii="Book Antiqua" w:hAnsi="Book Antiqua"/>
        </w:rPr>
        <w:t xml:space="preserve"> intended </w:t>
      </w:r>
      <w:r w:rsidR="00EB55DE">
        <w:rPr>
          <w:rFonts w:ascii="Book Antiqua" w:hAnsi="Book Antiqua"/>
        </w:rPr>
        <w:t xml:space="preserve">only </w:t>
      </w:r>
      <w:r w:rsidRPr="00840954" w:rsidR="004F140F">
        <w:rPr>
          <w:rFonts w:ascii="Book Antiqua" w:hAnsi="Book Antiqua"/>
        </w:rPr>
        <w:t>to address text messaging service</w:t>
      </w:r>
      <w:r w:rsidRPr="00840954" w:rsidR="00DD0BF6">
        <w:rPr>
          <w:rFonts w:ascii="Book Antiqua" w:hAnsi="Book Antiqua"/>
        </w:rPr>
        <w:t>.  In addition,</w:t>
      </w:r>
      <w:r w:rsidR="004C68A0">
        <w:rPr>
          <w:rFonts w:ascii="Book Antiqua" w:hAnsi="Book Antiqua"/>
        </w:rPr>
        <w:t xml:space="preserve"> D.96-10-066</w:t>
      </w:r>
      <w:r w:rsidRPr="00840954" w:rsidR="007E38B2">
        <w:rPr>
          <w:rFonts w:ascii="Book Antiqua" w:hAnsi="Book Antiqua"/>
        </w:rPr>
        <w:t xml:space="preserve"> </w:t>
      </w:r>
      <w:r w:rsidR="00EB55DE">
        <w:rPr>
          <w:rFonts w:ascii="Book Antiqua" w:hAnsi="Book Antiqua"/>
        </w:rPr>
        <w:t xml:space="preserve">had </w:t>
      </w:r>
      <w:r w:rsidRPr="00840954" w:rsidR="007E38B2">
        <w:rPr>
          <w:rFonts w:ascii="Book Antiqua" w:hAnsi="Book Antiqua"/>
        </w:rPr>
        <w:t>made clear that directory listings service was a part of basic service, which is subject to surcharges and the CPUC user fee</w:t>
      </w:r>
      <w:r w:rsidRPr="00840954" w:rsidR="004F140F">
        <w:rPr>
          <w:rFonts w:ascii="Book Antiqua" w:hAnsi="Book Antiqua"/>
        </w:rPr>
        <w:t>.</w:t>
      </w:r>
      <w:r w:rsidRPr="00840954" w:rsidR="003E15F1">
        <w:rPr>
          <w:rStyle w:val="FootnoteReference"/>
          <w:rFonts w:ascii="Book Antiqua" w:hAnsi="Book Antiqua"/>
        </w:rPr>
        <w:footnoteReference w:id="31"/>
      </w:r>
      <w:r w:rsidRPr="00840954" w:rsidR="0002448A">
        <w:rPr>
          <w:rFonts w:ascii="Book Antiqua" w:hAnsi="Book Antiqua"/>
        </w:rPr>
        <w:t xml:space="preserve"> </w:t>
      </w:r>
      <w:r w:rsidRPr="00840954" w:rsidR="004F140F">
        <w:rPr>
          <w:rFonts w:ascii="Book Antiqua" w:hAnsi="Book Antiqua"/>
        </w:rPr>
        <w:t xml:space="preserve"> </w:t>
      </w:r>
      <w:r w:rsidRPr="00840954" w:rsidR="0002448A">
        <w:rPr>
          <w:rFonts w:ascii="Book Antiqua" w:hAnsi="Book Antiqua"/>
        </w:rPr>
        <w:t xml:space="preserve">In conclusion, </w:t>
      </w:r>
      <w:r w:rsidRPr="00840954" w:rsidR="00517716">
        <w:rPr>
          <w:rFonts w:ascii="Book Antiqua" w:hAnsi="Book Antiqua"/>
        </w:rPr>
        <w:t>CD directed Cox to release</w:t>
      </w:r>
      <w:r w:rsidR="005C31F9">
        <w:rPr>
          <w:rFonts w:ascii="Book Antiqua" w:hAnsi="Book Antiqua"/>
        </w:rPr>
        <w:t xml:space="preserve"> within 30 days</w:t>
      </w:r>
      <w:r w:rsidRPr="00840954" w:rsidR="00517716">
        <w:rPr>
          <w:rFonts w:ascii="Book Antiqua" w:hAnsi="Book Antiqua"/>
        </w:rPr>
        <w:t xml:space="preserve"> </w:t>
      </w:r>
      <w:r w:rsidRPr="00840954" w:rsidR="0034514F">
        <w:rPr>
          <w:rFonts w:ascii="Book Antiqua" w:hAnsi="Book Antiqua"/>
        </w:rPr>
        <w:t xml:space="preserve">the </w:t>
      </w:r>
      <w:r w:rsidRPr="00840954" w:rsidR="00517716">
        <w:rPr>
          <w:rFonts w:ascii="Book Antiqua" w:hAnsi="Book Antiqua"/>
        </w:rPr>
        <w:t xml:space="preserve">funds </w:t>
      </w:r>
      <w:r w:rsidRPr="00840954" w:rsidR="0034514F">
        <w:rPr>
          <w:rFonts w:ascii="Book Antiqua" w:hAnsi="Book Antiqua"/>
        </w:rPr>
        <w:t xml:space="preserve">for directory listings that it had been holding in an </w:t>
      </w:r>
      <w:r w:rsidRPr="00840954" w:rsidR="00517716">
        <w:rPr>
          <w:rFonts w:ascii="Book Antiqua" w:hAnsi="Book Antiqua"/>
        </w:rPr>
        <w:t>escrow account.</w:t>
      </w:r>
      <w:r w:rsidRPr="00840954" w:rsidR="00517716">
        <w:rPr>
          <w:rStyle w:val="FootnoteReference"/>
          <w:rFonts w:ascii="Book Antiqua" w:hAnsi="Book Antiqua"/>
        </w:rPr>
        <w:footnoteReference w:id="32"/>
      </w:r>
      <w:r w:rsidRPr="00840954" w:rsidR="00517716">
        <w:rPr>
          <w:rFonts w:ascii="Book Antiqua" w:hAnsi="Book Antiqua"/>
        </w:rPr>
        <w:t xml:space="preserve"> </w:t>
      </w:r>
    </w:p>
    <w:p w:rsidRPr="00840954" w:rsidR="00517716" w:rsidP="001D5A10" w:rsidRDefault="00517716" w14:paraId="7B10868A" w14:textId="77777777">
      <w:pPr>
        <w:tabs>
          <w:tab w:val="right" w:pos="10080"/>
        </w:tabs>
        <w:rPr>
          <w:rFonts w:ascii="Book Antiqua" w:hAnsi="Book Antiqua"/>
        </w:rPr>
      </w:pPr>
    </w:p>
    <w:p w:rsidR="00931E77" w:rsidP="001D5A10" w:rsidRDefault="0041396D" w14:paraId="086109D4" w14:textId="77777777">
      <w:pPr>
        <w:tabs>
          <w:tab w:val="right" w:pos="10080"/>
        </w:tabs>
        <w:rPr>
          <w:rFonts w:ascii="Book Antiqua" w:hAnsi="Book Antiqua"/>
        </w:rPr>
      </w:pPr>
      <w:r w:rsidRPr="00840954">
        <w:rPr>
          <w:rFonts w:ascii="Book Antiqua" w:hAnsi="Book Antiqua"/>
        </w:rPr>
        <w:t>On October 29, 2018 Cox submitted a</w:t>
      </w:r>
      <w:r w:rsidRPr="00840954" w:rsidR="00565BE1">
        <w:rPr>
          <w:rFonts w:ascii="Book Antiqua" w:hAnsi="Book Antiqua"/>
        </w:rPr>
        <w:t xml:space="preserve"> clarifying</w:t>
      </w:r>
      <w:r w:rsidRPr="00840954">
        <w:rPr>
          <w:rFonts w:ascii="Book Antiqua" w:hAnsi="Book Antiqua"/>
        </w:rPr>
        <w:t xml:space="preserve"> letter</w:t>
      </w:r>
      <w:r w:rsidR="0049694E">
        <w:rPr>
          <w:rFonts w:ascii="Book Antiqua" w:hAnsi="Book Antiqua"/>
        </w:rPr>
        <w:t xml:space="preserve"> to CD’s Director and the C</w:t>
      </w:r>
      <w:r w:rsidR="00A90A9A">
        <w:rPr>
          <w:rFonts w:ascii="Book Antiqua" w:hAnsi="Book Antiqua"/>
        </w:rPr>
        <w:t>ommission’s</w:t>
      </w:r>
      <w:r w:rsidR="0049694E">
        <w:rPr>
          <w:rFonts w:ascii="Book Antiqua" w:hAnsi="Book Antiqua"/>
        </w:rPr>
        <w:t xml:space="preserve"> General Counsel</w:t>
      </w:r>
      <w:r w:rsidRPr="00840954">
        <w:rPr>
          <w:rFonts w:ascii="Book Antiqua" w:hAnsi="Book Antiqua"/>
        </w:rPr>
        <w:t xml:space="preserve"> in response to CD’s October 18, 2018 </w:t>
      </w:r>
      <w:r w:rsidR="005E4B08">
        <w:rPr>
          <w:rFonts w:ascii="Book Antiqua" w:hAnsi="Book Antiqua"/>
        </w:rPr>
        <w:t xml:space="preserve">response and </w:t>
      </w:r>
      <w:r w:rsidRPr="00840954">
        <w:rPr>
          <w:rFonts w:ascii="Book Antiqua" w:hAnsi="Book Antiqua"/>
        </w:rPr>
        <w:lastRenderedPageBreak/>
        <w:t>demand letter.</w:t>
      </w:r>
      <w:r w:rsidR="00411EF9">
        <w:rPr>
          <w:rStyle w:val="FootnoteReference"/>
          <w:rFonts w:ascii="Book Antiqua" w:hAnsi="Book Antiqua"/>
        </w:rPr>
        <w:footnoteReference w:id="33"/>
      </w:r>
      <w:r w:rsidR="00E049C8">
        <w:rPr>
          <w:rFonts w:ascii="Book Antiqua" w:hAnsi="Book Antiqua"/>
        </w:rPr>
        <w:t xml:space="preserve">  Cox </w:t>
      </w:r>
      <w:r w:rsidR="006C125D">
        <w:rPr>
          <w:rFonts w:ascii="Book Antiqua" w:hAnsi="Book Antiqua"/>
        </w:rPr>
        <w:t>requested a meeting with them on the basis</w:t>
      </w:r>
      <w:r w:rsidR="00CA7E3B">
        <w:rPr>
          <w:rFonts w:ascii="Book Antiqua" w:hAnsi="Book Antiqua"/>
        </w:rPr>
        <w:t xml:space="preserve"> that CD’s </w:t>
      </w:r>
      <w:r w:rsidR="00E049C8">
        <w:rPr>
          <w:rFonts w:ascii="Book Antiqua" w:hAnsi="Book Antiqua"/>
        </w:rPr>
        <w:t>letter did not address the FCC’s categorization of directory listings</w:t>
      </w:r>
      <w:r w:rsidR="00544072">
        <w:rPr>
          <w:rFonts w:ascii="Book Antiqua" w:hAnsi="Book Antiqua"/>
        </w:rPr>
        <w:t xml:space="preserve"> in the Form 499 instructions</w:t>
      </w:r>
      <w:r w:rsidR="006C125D">
        <w:rPr>
          <w:rFonts w:ascii="Book Antiqua" w:hAnsi="Book Antiqua"/>
        </w:rPr>
        <w:t>.</w:t>
      </w:r>
      <w:r w:rsidR="00C27C35">
        <w:rPr>
          <w:rStyle w:val="FootnoteReference"/>
          <w:rFonts w:ascii="Book Antiqua" w:hAnsi="Book Antiqua"/>
        </w:rPr>
        <w:footnoteReference w:id="34"/>
      </w:r>
    </w:p>
    <w:p w:rsidRPr="00840954" w:rsidR="009B49C7" w:rsidP="001D5A10" w:rsidRDefault="009B49C7" w14:paraId="2EE04991" w14:textId="282757D3">
      <w:pPr>
        <w:tabs>
          <w:tab w:val="right" w:pos="10080"/>
        </w:tabs>
        <w:rPr>
          <w:rFonts w:ascii="Book Antiqua" w:hAnsi="Book Antiqua"/>
        </w:rPr>
      </w:pPr>
      <w:r w:rsidRPr="00840954">
        <w:rPr>
          <w:rFonts w:ascii="Book Antiqua" w:hAnsi="Book Antiqua"/>
        </w:rPr>
        <w:t>On November 28, 2018, the Commission’s General Counsel, the Director of Communications Division, and other Legal Division staff</w:t>
      </w:r>
      <w:r w:rsidRPr="00840954" w:rsidR="000E0AB2">
        <w:rPr>
          <w:rFonts w:ascii="Book Antiqua" w:hAnsi="Book Antiqua"/>
        </w:rPr>
        <w:t xml:space="preserve"> met with Cox representatives to </w:t>
      </w:r>
      <w:r w:rsidRPr="00840954" w:rsidR="009C0A70">
        <w:rPr>
          <w:rFonts w:ascii="Book Antiqua" w:hAnsi="Book Antiqua"/>
        </w:rPr>
        <w:t>provide Cox</w:t>
      </w:r>
      <w:r w:rsidRPr="00840954" w:rsidR="000E0AB2">
        <w:rPr>
          <w:rFonts w:ascii="Book Antiqua" w:hAnsi="Book Antiqua"/>
        </w:rPr>
        <w:t xml:space="preserve"> </w:t>
      </w:r>
      <w:r w:rsidRPr="00840954" w:rsidR="009C0A70">
        <w:rPr>
          <w:rFonts w:ascii="Book Antiqua" w:hAnsi="Book Antiqua"/>
        </w:rPr>
        <w:t>a</w:t>
      </w:r>
      <w:r w:rsidRPr="00840954" w:rsidR="00964C6F">
        <w:rPr>
          <w:rFonts w:ascii="Book Antiqua" w:hAnsi="Book Antiqua"/>
        </w:rPr>
        <w:t>nother</w:t>
      </w:r>
      <w:r w:rsidRPr="00840954" w:rsidR="009C0A70">
        <w:rPr>
          <w:rFonts w:ascii="Book Antiqua" w:hAnsi="Book Antiqua"/>
        </w:rPr>
        <w:t xml:space="preserve"> opportunity to discuss </w:t>
      </w:r>
      <w:r w:rsidRPr="00840954">
        <w:rPr>
          <w:rFonts w:ascii="Book Antiqua" w:hAnsi="Book Antiqua"/>
        </w:rPr>
        <w:t xml:space="preserve">Cox’s legal </w:t>
      </w:r>
      <w:r w:rsidRPr="00840954" w:rsidR="00964C6F">
        <w:rPr>
          <w:rFonts w:ascii="Book Antiqua" w:hAnsi="Book Antiqua"/>
        </w:rPr>
        <w:t>concerns regarding</w:t>
      </w:r>
      <w:r w:rsidRPr="00840954">
        <w:rPr>
          <w:rFonts w:ascii="Book Antiqua" w:hAnsi="Book Antiqua"/>
        </w:rPr>
        <w:t xml:space="preserve"> </w:t>
      </w:r>
      <w:r w:rsidRPr="00840954" w:rsidR="00964C6F">
        <w:rPr>
          <w:rFonts w:ascii="Book Antiqua" w:hAnsi="Book Antiqua"/>
        </w:rPr>
        <w:t xml:space="preserve">CD’s compliance demands for Cox to remit surcharges and user fees for its </w:t>
      </w:r>
      <w:r w:rsidRPr="00840954">
        <w:rPr>
          <w:rFonts w:ascii="Book Antiqua" w:hAnsi="Book Antiqua"/>
        </w:rPr>
        <w:t>directory listings service</w:t>
      </w:r>
      <w:r w:rsidRPr="00840954" w:rsidR="00964C6F">
        <w:rPr>
          <w:rFonts w:ascii="Book Antiqua" w:hAnsi="Book Antiqua"/>
        </w:rPr>
        <w:t xml:space="preserve"> revenue. </w:t>
      </w:r>
      <w:r w:rsidRPr="00840954" w:rsidR="001D3C92">
        <w:rPr>
          <w:rFonts w:ascii="Book Antiqua" w:hAnsi="Book Antiqua"/>
        </w:rPr>
        <w:t xml:space="preserve">  </w:t>
      </w:r>
      <w:r w:rsidRPr="00840954">
        <w:rPr>
          <w:rFonts w:ascii="Book Antiqua" w:hAnsi="Book Antiqua"/>
        </w:rPr>
        <w:t xml:space="preserve"> </w:t>
      </w:r>
    </w:p>
    <w:p w:rsidRPr="00840954" w:rsidR="009B49C7" w:rsidP="001D5A10" w:rsidRDefault="009B49C7" w14:paraId="709BB1AB" w14:textId="77777777">
      <w:pPr>
        <w:tabs>
          <w:tab w:val="right" w:pos="10080"/>
        </w:tabs>
        <w:rPr>
          <w:rFonts w:ascii="Book Antiqua" w:hAnsi="Book Antiqua"/>
        </w:rPr>
      </w:pPr>
    </w:p>
    <w:p w:rsidRPr="00840954" w:rsidR="00B15BEE" w:rsidP="002C5018" w:rsidRDefault="0009117A" w14:paraId="0A0E78A0" w14:textId="3F69EB70">
      <w:pPr>
        <w:tabs>
          <w:tab w:val="right" w:pos="10080"/>
        </w:tabs>
        <w:rPr>
          <w:rFonts w:ascii="Book Antiqua" w:hAnsi="Book Antiqua"/>
        </w:rPr>
      </w:pPr>
      <w:r w:rsidRPr="00840954">
        <w:rPr>
          <w:rFonts w:ascii="Book Antiqua" w:hAnsi="Book Antiqua"/>
        </w:rPr>
        <w:t>O</w:t>
      </w:r>
      <w:r w:rsidRPr="00840954" w:rsidR="00664C73">
        <w:rPr>
          <w:rFonts w:ascii="Book Antiqua" w:hAnsi="Book Antiqua"/>
        </w:rPr>
        <w:t>n</w:t>
      </w:r>
      <w:r w:rsidRPr="00840954" w:rsidR="00517716">
        <w:rPr>
          <w:rFonts w:ascii="Book Antiqua" w:hAnsi="Book Antiqua"/>
        </w:rPr>
        <w:t xml:space="preserve"> December 7, 2018,</w:t>
      </w:r>
      <w:r w:rsidRPr="00840954" w:rsidR="00B15BEE">
        <w:rPr>
          <w:rFonts w:ascii="Book Antiqua" w:hAnsi="Book Antiqua"/>
        </w:rPr>
        <w:t xml:space="preserve"> Cox submitted a “Request for Extension of Time to Pay Surcharge Amounts” to the Commission’s Executive Director.</w:t>
      </w:r>
      <w:r w:rsidRPr="00840954" w:rsidR="00141486">
        <w:rPr>
          <w:rStyle w:val="FootnoteReference"/>
          <w:rFonts w:ascii="Book Antiqua" w:hAnsi="Book Antiqua"/>
        </w:rPr>
        <w:footnoteReference w:id="35"/>
      </w:r>
      <w:r w:rsidRPr="00840954" w:rsidR="002137DA">
        <w:rPr>
          <w:rFonts w:ascii="Book Antiqua" w:hAnsi="Book Antiqua"/>
        </w:rPr>
        <w:t xml:space="preserve">  </w:t>
      </w:r>
      <w:r w:rsidRPr="00840954" w:rsidR="00F8458B">
        <w:rPr>
          <w:rFonts w:ascii="Book Antiqua" w:hAnsi="Book Antiqua"/>
        </w:rPr>
        <w:t xml:space="preserve">Repeating the same objections concerning directory listings service, </w:t>
      </w:r>
      <w:r w:rsidRPr="00840954" w:rsidR="002137DA">
        <w:rPr>
          <w:rFonts w:ascii="Book Antiqua" w:hAnsi="Book Antiqua"/>
        </w:rPr>
        <w:t>Cox</w:t>
      </w:r>
      <w:r w:rsidRPr="00840954" w:rsidR="005364F2">
        <w:rPr>
          <w:rFonts w:ascii="Book Antiqua" w:hAnsi="Book Antiqua"/>
        </w:rPr>
        <w:t xml:space="preserve"> requested </w:t>
      </w:r>
      <w:r w:rsidRPr="00840954" w:rsidR="002137DA">
        <w:rPr>
          <w:rFonts w:ascii="Book Antiqua" w:hAnsi="Book Antiqua"/>
        </w:rPr>
        <w:t>“</w:t>
      </w:r>
      <w:r w:rsidRPr="00840954" w:rsidR="005364F2">
        <w:rPr>
          <w:rFonts w:ascii="Book Antiqua" w:hAnsi="Book Antiqua"/>
        </w:rPr>
        <w:t>that the Commission, in coordination with the Communications Division, extend the date by which Cox would be required to pay, if any, the amounts in dispute</w:t>
      </w:r>
      <w:r w:rsidRPr="00840954" w:rsidR="001A545E">
        <w:rPr>
          <w:rFonts w:ascii="Book Antiqua" w:hAnsi="Book Antiqua"/>
        </w:rPr>
        <w:t xml:space="preserve"> </w:t>
      </w:r>
      <w:r w:rsidRPr="00840954" w:rsidR="005364F2">
        <w:rPr>
          <w:rFonts w:ascii="Book Antiqua" w:hAnsi="Book Antiqua"/>
        </w:rPr>
        <w:t>upon the Commission making a determination on the underlying issues in R.17-06-023.”</w:t>
      </w:r>
      <w:r w:rsidRPr="00840954" w:rsidR="004145C5">
        <w:rPr>
          <w:rStyle w:val="FootnoteReference"/>
          <w:rFonts w:ascii="Book Antiqua" w:hAnsi="Book Antiqua"/>
        </w:rPr>
        <w:footnoteReference w:id="36"/>
      </w:r>
      <w:r w:rsidRPr="00840954" w:rsidR="00BE72C6">
        <w:rPr>
          <w:rFonts w:ascii="Book Antiqua" w:hAnsi="Book Antiqua"/>
        </w:rPr>
        <w:t xml:space="preserve">  Cox</w:t>
      </w:r>
      <w:r w:rsidRPr="00840954" w:rsidR="0057671C">
        <w:rPr>
          <w:rFonts w:ascii="Book Antiqua" w:hAnsi="Book Antiqua"/>
        </w:rPr>
        <w:t xml:space="preserve"> </w:t>
      </w:r>
      <w:r w:rsidRPr="00840954" w:rsidR="000F4223">
        <w:rPr>
          <w:rFonts w:ascii="Book Antiqua" w:hAnsi="Book Antiqua"/>
        </w:rPr>
        <w:t>anticipated</w:t>
      </w:r>
      <w:r w:rsidRPr="00840954" w:rsidR="0057671C">
        <w:rPr>
          <w:rFonts w:ascii="Book Antiqua" w:hAnsi="Book Antiqua"/>
        </w:rPr>
        <w:t xml:space="preserve"> that the </w:t>
      </w:r>
      <w:r w:rsidRPr="00840954" w:rsidR="005C6F06">
        <w:rPr>
          <w:rFonts w:ascii="Book Antiqua" w:hAnsi="Book Antiqua"/>
        </w:rPr>
        <w:t>Commission</w:t>
      </w:r>
      <w:r w:rsidRPr="00840954" w:rsidR="0057671C">
        <w:rPr>
          <w:rFonts w:ascii="Book Antiqua" w:hAnsi="Book Antiqua"/>
        </w:rPr>
        <w:t xml:space="preserve"> would take up the </w:t>
      </w:r>
      <w:r w:rsidRPr="00840954" w:rsidR="005C6F06">
        <w:rPr>
          <w:rFonts w:ascii="Book Antiqua" w:hAnsi="Book Antiqua"/>
        </w:rPr>
        <w:t>directory listings issue in the second phase of the proceeding</w:t>
      </w:r>
      <w:r w:rsidRPr="00840954" w:rsidR="00B65841">
        <w:rPr>
          <w:rFonts w:ascii="Book Antiqua" w:hAnsi="Book Antiqua"/>
        </w:rPr>
        <w:t>, despite the Commission electing not to consider it in the initial phase</w:t>
      </w:r>
      <w:r w:rsidRPr="00840954" w:rsidR="005C6F06">
        <w:rPr>
          <w:rFonts w:ascii="Book Antiqua" w:hAnsi="Book Antiqua"/>
        </w:rPr>
        <w:t>.</w:t>
      </w:r>
      <w:r w:rsidRPr="00840954" w:rsidR="004145C5">
        <w:rPr>
          <w:rStyle w:val="FootnoteReference"/>
          <w:rFonts w:ascii="Book Antiqua" w:hAnsi="Book Antiqua"/>
        </w:rPr>
        <w:footnoteReference w:id="37"/>
      </w:r>
      <w:r w:rsidRPr="00840954" w:rsidR="00BE72C6">
        <w:rPr>
          <w:rFonts w:ascii="Book Antiqua" w:hAnsi="Book Antiqua"/>
        </w:rPr>
        <w:t xml:space="preserve">    </w:t>
      </w:r>
      <w:r w:rsidRPr="00840954" w:rsidR="005364F2">
        <w:rPr>
          <w:rFonts w:ascii="Book Antiqua" w:hAnsi="Book Antiqua"/>
        </w:rPr>
        <w:t xml:space="preserve">   </w:t>
      </w:r>
      <w:r w:rsidRPr="00840954" w:rsidR="00517716">
        <w:rPr>
          <w:rFonts w:ascii="Book Antiqua" w:hAnsi="Book Antiqua"/>
        </w:rPr>
        <w:t xml:space="preserve"> </w:t>
      </w:r>
    </w:p>
    <w:p w:rsidRPr="00840954" w:rsidR="00C0092B" w:rsidP="001D5A10" w:rsidRDefault="00C0092B" w14:paraId="3CA41D5D" w14:textId="58C6DAB0">
      <w:pPr>
        <w:tabs>
          <w:tab w:val="right" w:pos="10080"/>
        </w:tabs>
        <w:rPr>
          <w:rFonts w:ascii="Book Antiqua" w:hAnsi="Book Antiqua"/>
        </w:rPr>
      </w:pPr>
    </w:p>
    <w:p w:rsidRPr="00840954" w:rsidR="00C0092B" w:rsidP="001D5A10" w:rsidRDefault="00C0092B" w14:paraId="5FC06508" w14:textId="020E99ED">
      <w:pPr>
        <w:tabs>
          <w:tab w:val="right" w:pos="10080"/>
        </w:tabs>
        <w:rPr>
          <w:rFonts w:ascii="Book Antiqua" w:hAnsi="Book Antiqua"/>
        </w:rPr>
      </w:pPr>
      <w:r w:rsidRPr="00840954">
        <w:rPr>
          <w:rFonts w:ascii="Book Antiqua" w:hAnsi="Book Antiqua"/>
        </w:rPr>
        <w:t>On December 21, 2018,</w:t>
      </w:r>
      <w:r w:rsidRPr="00840954" w:rsidR="0079615A">
        <w:rPr>
          <w:rFonts w:ascii="Book Antiqua" w:hAnsi="Book Antiqua"/>
        </w:rPr>
        <w:t xml:space="preserve"> the</w:t>
      </w:r>
      <w:r w:rsidRPr="00840954">
        <w:rPr>
          <w:rFonts w:ascii="Book Antiqua" w:hAnsi="Book Antiqua"/>
        </w:rPr>
        <w:t xml:space="preserve"> </w:t>
      </w:r>
      <w:r w:rsidRPr="00840954" w:rsidR="00046AA8">
        <w:rPr>
          <w:rFonts w:ascii="Book Antiqua" w:hAnsi="Book Antiqua"/>
        </w:rPr>
        <w:t xml:space="preserve">CPUC’s Executive Director </w:t>
      </w:r>
      <w:r w:rsidRPr="00840954" w:rsidR="0079615A">
        <w:rPr>
          <w:rFonts w:ascii="Book Antiqua" w:hAnsi="Book Antiqua"/>
        </w:rPr>
        <w:t>sent Cox a letter denying Cox’s specific extension r</w:t>
      </w:r>
      <w:r w:rsidRPr="00840954" w:rsidR="00720EEE">
        <w:rPr>
          <w:rFonts w:ascii="Book Antiqua" w:hAnsi="Book Antiqua"/>
        </w:rPr>
        <w:t>equest</w:t>
      </w:r>
      <w:r w:rsidRPr="00840954" w:rsidR="0079615A">
        <w:rPr>
          <w:rFonts w:ascii="Book Antiqua" w:hAnsi="Book Antiqua"/>
        </w:rPr>
        <w:t xml:space="preserve"> but g</w:t>
      </w:r>
      <w:r w:rsidRPr="00840954" w:rsidR="00046AA8">
        <w:rPr>
          <w:rFonts w:ascii="Book Antiqua" w:hAnsi="Book Antiqua"/>
        </w:rPr>
        <w:t xml:space="preserve">ranted </w:t>
      </w:r>
      <w:r w:rsidRPr="00840954" w:rsidR="0079615A">
        <w:rPr>
          <w:rFonts w:ascii="Book Antiqua" w:hAnsi="Book Antiqua"/>
        </w:rPr>
        <w:t xml:space="preserve">Cox </w:t>
      </w:r>
      <w:r w:rsidRPr="00840954" w:rsidR="00046AA8">
        <w:rPr>
          <w:rFonts w:ascii="Book Antiqua" w:hAnsi="Book Antiqua"/>
        </w:rPr>
        <w:t>a 30</w:t>
      </w:r>
      <w:r w:rsidRPr="00840954" w:rsidR="00840F1D">
        <w:rPr>
          <w:rFonts w:ascii="Book Antiqua" w:hAnsi="Book Antiqua"/>
        </w:rPr>
        <w:t>-</w:t>
      </w:r>
      <w:r w:rsidRPr="00840954" w:rsidR="00046AA8">
        <w:rPr>
          <w:rFonts w:ascii="Book Antiqua" w:hAnsi="Book Antiqua"/>
        </w:rPr>
        <w:t>day extension</w:t>
      </w:r>
      <w:r w:rsidRPr="00840954" w:rsidR="000C7CD6">
        <w:rPr>
          <w:rFonts w:ascii="Book Antiqua" w:hAnsi="Book Antiqua"/>
        </w:rPr>
        <w:t xml:space="preserve"> (until January 22, 2019)</w:t>
      </w:r>
      <w:r w:rsidRPr="00840954" w:rsidR="00046AA8">
        <w:rPr>
          <w:rFonts w:ascii="Book Antiqua" w:hAnsi="Book Antiqua"/>
        </w:rPr>
        <w:t xml:space="preserve"> to comply with the payment demand in </w:t>
      </w:r>
      <w:r w:rsidRPr="00840954" w:rsidR="0079615A">
        <w:rPr>
          <w:rFonts w:ascii="Book Antiqua" w:hAnsi="Book Antiqua"/>
        </w:rPr>
        <w:t xml:space="preserve">CD’s </w:t>
      </w:r>
      <w:r w:rsidRPr="00840954" w:rsidR="00046AA8">
        <w:rPr>
          <w:rFonts w:ascii="Book Antiqua" w:hAnsi="Book Antiqua"/>
        </w:rPr>
        <w:t>October 18, 2018</w:t>
      </w:r>
      <w:r w:rsidRPr="00840954" w:rsidR="0079615A">
        <w:rPr>
          <w:rFonts w:ascii="Book Antiqua" w:hAnsi="Book Antiqua"/>
        </w:rPr>
        <w:t>.</w:t>
      </w:r>
      <w:r w:rsidRPr="00840954" w:rsidR="00B22D96">
        <w:rPr>
          <w:rFonts w:ascii="Book Antiqua" w:hAnsi="Book Antiqua"/>
        </w:rPr>
        <w:t xml:space="preserve">  The Executive Director found Cox’s</w:t>
      </w:r>
      <w:r w:rsidRPr="00840954" w:rsidR="003A6BEF">
        <w:rPr>
          <w:rFonts w:ascii="Book Antiqua" w:hAnsi="Book Antiqua"/>
        </w:rPr>
        <w:t xml:space="preserve"> arguments regarding </w:t>
      </w:r>
      <w:r w:rsidRPr="00840954" w:rsidR="00B22D96">
        <w:rPr>
          <w:rFonts w:ascii="Book Antiqua" w:hAnsi="Book Antiqua"/>
        </w:rPr>
        <w:t>directory listings service</w:t>
      </w:r>
      <w:r w:rsidRPr="00840954" w:rsidR="003A6BEF">
        <w:rPr>
          <w:rFonts w:ascii="Book Antiqua" w:hAnsi="Book Antiqua"/>
        </w:rPr>
        <w:t xml:space="preserve"> unpersuasive</w:t>
      </w:r>
      <w:r w:rsidRPr="00840954" w:rsidR="00B22D96">
        <w:rPr>
          <w:rFonts w:ascii="Book Antiqua" w:hAnsi="Book Antiqua"/>
        </w:rPr>
        <w:t>.</w:t>
      </w:r>
      <w:r w:rsidRPr="00840954" w:rsidR="00046AA8">
        <w:rPr>
          <w:rStyle w:val="FootnoteReference"/>
          <w:rFonts w:ascii="Book Antiqua" w:hAnsi="Book Antiqua"/>
        </w:rPr>
        <w:footnoteReference w:id="38"/>
      </w:r>
    </w:p>
    <w:p w:rsidRPr="00840954" w:rsidR="00A03A76" w:rsidP="001D5A10" w:rsidRDefault="00A03A76" w14:paraId="6996B3B5" w14:textId="1ED837A8">
      <w:pPr>
        <w:tabs>
          <w:tab w:val="right" w:pos="10080"/>
        </w:tabs>
        <w:rPr>
          <w:rFonts w:ascii="Book Antiqua" w:hAnsi="Book Antiqua"/>
        </w:rPr>
      </w:pPr>
    </w:p>
    <w:p w:rsidRPr="00840954" w:rsidR="00601995" w:rsidP="006B7C55" w:rsidRDefault="00601995" w14:paraId="67DBD7FC" w14:textId="0533B905">
      <w:pPr>
        <w:tabs>
          <w:tab w:val="right" w:pos="10080"/>
        </w:tabs>
        <w:rPr>
          <w:rFonts w:ascii="Book Antiqua" w:hAnsi="Book Antiqua"/>
        </w:rPr>
      </w:pPr>
      <w:r w:rsidRPr="00840954">
        <w:rPr>
          <w:rFonts w:ascii="Book Antiqua" w:hAnsi="Book Antiqua"/>
        </w:rPr>
        <w:t>On January 29, 2019, Cox filed Application</w:t>
      </w:r>
      <w:r w:rsidRPr="00840954" w:rsidR="00C31474">
        <w:rPr>
          <w:rFonts w:ascii="Book Antiqua" w:hAnsi="Book Antiqua"/>
        </w:rPr>
        <w:t>, A.19-01-014</w:t>
      </w:r>
      <w:r w:rsidRPr="00840954" w:rsidR="00C83469">
        <w:rPr>
          <w:rFonts w:ascii="Book Antiqua" w:hAnsi="Book Antiqua"/>
        </w:rPr>
        <w:t xml:space="preserve">, </w:t>
      </w:r>
      <w:r w:rsidRPr="00840954" w:rsidR="006B7C55">
        <w:rPr>
          <w:rFonts w:ascii="Book Antiqua" w:hAnsi="Book Antiqua"/>
          <w:i/>
          <w:iCs/>
        </w:rPr>
        <w:t>Requesting the Commission Not Require Cox to Pay Disputed Surcharge Amounts Identified</w:t>
      </w:r>
      <w:r w:rsidRPr="00840954" w:rsidR="00BB1356">
        <w:rPr>
          <w:rFonts w:ascii="Book Antiqua" w:hAnsi="Book Antiqua"/>
          <w:i/>
          <w:iCs/>
        </w:rPr>
        <w:t xml:space="preserve"> </w:t>
      </w:r>
      <w:r w:rsidRPr="00840954" w:rsidR="006B7C55">
        <w:rPr>
          <w:rFonts w:ascii="Book Antiqua" w:hAnsi="Book Antiqua"/>
          <w:i/>
          <w:iCs/>
        </w:rPr>
        <w:t>in Audit Report</w:t>
      </w:r>
      <w:r w:rsidRPr="00840954" w:rsidR="006B7C55">
        <w:rPr>
          <w:rFonts w:ascii="Book Antiqua" w:hAnsi="Book Antiqua"/>
        </w:rPr>
        <w:t>.</w:t>
      </w:r>
      <w:r w:rsidRPr="00840954" w:rsidR="00936054">
        <w:rPr>
          <w:rStyle w:val="FootnoteReference"/>
          <w:rFonts w:ascii="Book Antiqua" w:hAnsi="Book Antiqua"/>
        </w:rPr>
        <w:footnoteReference w:id="39"/>
      </w:r>
      <w:r w:rsidRPr="00840954" w:rsidR="0060199A">
        <w:rPr>
          <w:rFonts w:ascii="Book Antiqua" w:hAnsi="Book Antiqua"/>
        </w:rPr>
        <w:t xml:space="preserve">  At </w:t>
      </w:r>
      <w:r w:rsidRPr="00840954" w:rsidR="00EB55DE">
        <w:rPr>
          <w:rFonts w:ascii="Book Antiqua" w:hAnsi="Book Antiqua"/>
        </w:rPr>
        <w:t>th</w:t>
      </w:r>
      <w:r w:rsidR="00EB55DE">
        <w:rPr>
          <w:rFonts w:ascii="Book Antiqua" w:hAnsi="Book Antiqua"/>
        </w:rPr>
        <w:t>at</w:t>
      </w:r>
      <w:r w:rsidRPr="00840954" w:rsidR="00EB55DE">
        <w:rPr>
          <w:rFonts w:ascii="Book Antiqua" w:hAnsi="Book Antiqua"/>
        </w:rPr>
        <w:t xml:space="preserve"> </w:t>
      </w:r>
      <w:r w:rsidRPr="00840954" w:rsidR="0060199A">
        <w:rPr>
          <w:rFonts w:ascii="Book Antiqua" w:hAnsi="Book Antiqua"/>
        </w:rPr>
        <w:t>time, the disputed surcharge and user fee amounts for FY 2013-14 and FY 2014-15, which were the subject of the Application, remained in an escrow</w:t>
      </w:r>
      <w:r w:rsidRPr="00840954" w:rsidR="007C3BAA">
        <w:rPr>
          <w:rFonts w:ascii="Book Antiqua" w:hAnsi="Book Antiqua"/>
        </w:rPr>
        <w:t xml:space="preserve"> </w:t>
      </w:r>
      <w:r w:rsidRPr="00840954" w:rsidR="0060199A">
        <w:rPr>
          <w:rFonts w:ascii="Book Antiqua" w:hAnsi="Book Antiqua"/>
        </w:rPr>
        <w:t>account that Cox established in 2018.</w:t>
      </w:r>
      <w:r w:rsidR="00F66F51">
        <w:rPr>
          <w:rStyle w:val="FootnoteReference"/>
          <w:rFonts w:ascii="Book Antiqua" w:hAnsi="Book Antiqua"/>
        </w:rPr>
        <w:footnoteReference w:id="40"/>
      </w:r>
      <w:r w:rsidRPr="00840954">
        <w:rPr>
          <w:rFonts w:ascii="Book Antiqua" w:hAnsi="Book Antiqua"/>
        </w:rPr>
        <w:t xml:space="preserve"> </w:t>
      </w:r>
    </w:p>
    <w:p w:rsidRPr="00840954" w:rsidR="00D52A27" w:rsidP="001D5A10" w:rsidRDefault="00D52A27" w14:paraId="290F3685" w14:textId="77777777">
      <w:pPr>
        <w:tabs>
          <w:tab w:val="right" w:pos="10080"/>
        </w:tabs>
        <w:rPr>
          <w:rFonts w:ascii="Book Antiqua" w:hAnsi="Book Antiqua"/>
        </w:rPr>
      </w:pPr>
    </w:p>
    <w:p w:rsidRPr="00840954" w:rsidR="004C6ABB" w:rsidP="001D5A10" w:rsidRDefault="00A03A76" w14:paraId="44D23C2C" w14:textId="7BAE9895">
      <w:pPr>
        <w:tabs>
          <w:tab w:val="right" w:pos="10080"/>
        </w:tabs>
        <w:rPr>
          <w:rFonts w:ascii="Book Antiqua" w:hAnsi="Book Antiqua"/>
        </w:rPr>
      </w:pPr>
      <w:r w:rsidRPr="00840954">
        <w:rPr>
          <w:rFonts w:ascii="Book Antiqua" w:hAnsi="Book Antiqua"/>
        </w:rPr>
        <w:lastRenderedPageBreak/>
        <w:t>On February 6, 2019, CD</w:t>
      </w:r>
      <w:r w:rsidRPr="00840954" w:rsidR="005D6569">
        <w:rPr>
          <w:rFonts w:ascii="Book Antiqua" w:hAnsi="Book Antiqua"/>
        </w:rPr>
        <w:t>’s</w:t>
      </w:r>
      <w:r w:rsidRPr="00840954">
        <w:rPr>
          <w:rFonts w:ascii="Book Antiqua" w:hAnsi="Book Antiqua"/>
        </w:rPr>
        <w:t xml:space="preserve"> Deputy Director </w:t>
      </w:r>
      <w:r w:rsidRPr="00840954" w:rsidR="006362B0">
        <w:rPr>
          <w:rFonts w:ascii="Book Antiqua" w:hAnsi="Book Antiqua"/>
        </w:rPr>
        <w:t>sent a third</w:t>
      </w:r>
      <w:r w:rsidRPr="00840954" w:rsidR="005D6569">
        <w:rPr>
          <w:rFonts w:ascii="Book Antiqua" w:hAnsi="Book Antiqua"/>
        </w:rPr>
        <w:t xml:space="preserve"> and final notice to </w:t>
      </w:r>
      <w:r w:rsidRPr="00840954" w:rsidR="006362B0">
        <w:rPr>
          <w:rFonts w:ascii="Book Antiqua" w:hAnsi="Book Antiqua"/>
        </w:rPr>
        <w:t>Cox</w:t>
      </w:r>
      <w:r w:rsidRPr="00840954" w:rsidR="005D6569">
        <w:rPr>
          <w:rFonts w:ascii="Book Antiqua" w:hAnsi="Book Antiqua"/>
        </w:rPr>
        <w:t xml:space="preserve">, requiring Cox to remit to the CPUC by February 15, 2019 all outstanding surcharges and user fee amounts, including interest and penalties, related to its directory listings revenue for </w:t>
      </w:r>
      <w:r w:rsidRPr="00840954" w:rsidR="00FE26D2">
        <w:rPr>
          <w:rFonts w:ascii="Book Antiqua" w:hAnsi="Book Antiqua"/>
        </w:rPr>
        <w:t>FY 2012-2013</w:t>
      </w:r>
      <w:r w:rsidRPr="00840954" w:rsidR="005D6569">
        <w:rPr>
          <w:rFonts w:ascii="Book Antiqua" w:hAnsi="Book Antiqua"/>
        </w:rPr>
        <w:t xml:space="preserve"> (from 2016 Audit Report)</w:t>
      </w:r>
      <w:r w:rsidRPr="00840954" w:rsidR="00FE26D2">
        <w:rPr>
          <w:rFonts w:ascii="Book Antiqua" w:hAnsi="Book Antiqua"/>
        </w:rPr>
        <w:t>,</w:t>
      </w:r>
      <w:r w:rsidRPr="00840954" w:rsidR="005D6569">
        <w:rPr>
          <w:rFonts w:ascii="Book Antiqua" w:hAnsi="Book Antiqua"/>
        </w:rPr>
        <w:t xml:space="preserve"> FY 2013-2014 (from 201</w:t>
      </w:r>
      <w:r w:rsidR="00CC5B28">
        <w:rPr>
          <w:rFonts w:ascii="Book Antiqua" w:hAnsi="Book Antiqua"/>
        </w:rPr>
        <w:t>7</w:t>
      </w:r>
      <w:r w:rsidRPr="00840954" w:rsidR="005D6569">
        <w:rPr>
          <w:rFonts w:ascii="Book Antiqua" w:hAnsi="Book Antiqua"/>
        </w:rPr>
        <w:t xml:space="preserve"> Analysis Report) and FY 2014-2015 (from 201</w:t>
      </w:r>
      <w:r w:rsidR="00CC5B28">
        <w:rPr>
          <w:rFonts w:ascii="Book Antiqua" w:hAnsi="Book Antiqua"/>
        </w:rPr>
        <w:t xml:space="preserve">7 </w:t>
      </w:r>
      <w:r w:rsidRPr="00840954" w:rsidR="005D6569">
        <w:rPr>
          <w:rFonts w:ascii="Book Antiqua" w:hAnsi="Book Antiqua"/>
        </w:rPr>
        <w:t>Analysis Report).</w:t>
      </w:r>
      <w:r w:rsidRPr="00840954" w:rsidR="00CB6A76">
        <w:rPr>
          <w:rFonts w:ascii="Book Antiqua" w:hAnsi="Book Antiqua"/>
        </w:rPr>
        <w:t xml:space="preserve"> </w:t>
      </w:r>
      <w:r w:rsidRPr="00840954" w:rsidR="00454555">
        <w:rPr>
          <w:rFonts w:ascii="Book Antiqua" w:hAnsi="Book Antiqua"/>
        </w:rPr>
        <w:t xml:space="preserve"> </w:t>
      </w:r>
      <w:r w:rsidRPr="00840954" w:rsidR="00CB6A76">
        <w:rPr>
          <w:rFonts w:ascii="Book Antiqua" w:hAnsi="Book Antiqua"/>
        </w:rPr>
        <w:t>The final notice informed Cox that if</w:t>
      </w:r>
      <w:r w:rsidRPr="00840954" w:rsidR="006362B0">
        <w:rPr>
          <w:rFonts w:ascii="Book Antiqua" w:hAnsi="Book Antiqua"/>
        </w:rPr>
        <w:t xml:space="preserve"> the Com</w:t>
      </w:r>
      <w:r w:rsidRPr="00840954" w:rsidR="00BF379D">
        <w:rPr>
          <w:rFonts w:ascii="Book Antiqua" w:hAnsi="Book Antiqua"/>
        </w:rPr>
        <w:t xml:space="preserve">mission did </w:t>
      </w:r>
      <w:r w:rsidRPr="00840954" w:rsidR="004C6ABB">
        <w:rPr>
          <w:rFonts w:ascii="Book Antiqua" w:hAnsi="Book Antiqua"/>
        </w:rPr>
        <w:t>not receive payment by this due date, CD w</w:t>
      </w:r>
      <w:r w:rsidRPr="00840954" w:rsidR="00CB6A76">
        <w:rPr>
          <w:rFonts w:ascii="Book Antiqua" w:hAnsi="Book Antiqua"/>
        </w:rPr>
        <w:t>ould</w:t>
      </w:r>
      <w:r w:rsidRPr="00840954" w:rsidR="004C6ABB">
        <w:rPr>
          <w:rFonts w:ascii="Book Antiqua" w:hAnsi="Book Antiqua"/>
        </w:rPr>
        <w:t xml:space="preserve"> refer this matter </w:t>
      </w:r>
      <w:r w:rsidRPr="00840954" w:rsidR="00CB6A76">
        <w:rPr>
          <w:rFonts w:ascii="Book Antiqua" w:hAnsi="Book Antiqua"/>
        </w:rPr>
        <w:t>to the Commission’s Consumer Protection and Enforcement Division</w:t>
      </w:r>
      <w:r w:rsidR="00CB0466">
        <w:rPr>
          <w:rFonts w:ascii="Book Antiqua" w:hAnsi="Book Antiqua"/>
        </w:rPr>
        <w:t xml:space="preserve"> </w:t>
      </w:r>
      <w:r w:rsidR="006236BD">
        <w:rPr>
          <w:rFonts w:ascii="Book Antiqua" w:hAnsi="Book Antiqua"/>
        </w:rPr>
        <w:t>(“</w:t>
      </w:r>
      <w:r w:rsidR="00021BAB">
        <w:rPr>
          <w:rFonts w:ascii="Book Antiqua" w:hAnsi="Book Antiqua"/>
        </w:rPr>
        <w:t>CPED”)</w:t>
      </w:r>
      <w:r w:rsidRPr="00840954" w:rsidR="004C6ABB">
        <w:rPr>
          <w:rFonts w:ascii="Book Antiqua" w:hAnsi="Book Antiqua"/>
        </w:rPr>
        <w:t>.</w:t>
      </w:r>
      <w:r w:rsidRPr="00840954" w:rsidR="00454555">
        <w:rPr>
          <w:rStyle w:val="FootnoteReference"/>
          <w:rFonts w:ascii="Book Antiqua" w:hAnsi="Book Antiqua"/>
        </w:rPr>
        <w:footnoteReference w:id="41"/>
      </w:r>
      <w:r w:rsidRPr="00840954" w:rsidR="00454555">
        <w:rPr>
          <w:rFonts w:ascii="Book Antiqua" w:hAnsi="Book Antiqua"/>
        </w:rPr>
        <w:t xml:space="preserve"> </w:t>
      </w:r>
      <w:r w:rsidRPr="00840954" w:rsidR="004C6ABB">
        <w:rPr>
          <w:rFonts w:ascii="Book Antiqua" w:hAnsi="Book Antiqua"/>
        </w:rPr>
        <w:t xml:space="preserve"> </w:t>
      </w:r>
    </w:p>
    <w:p w:rsidRPr="00840954" w:rsidR="006D382E" w:rsidP="001D5A10" w:rsidRDefault="006D382E" w14:paraId="2DE1C292" w14:textId="77777777">
      <w:pPr>
        <w:tabs>
          <w:tab w:val="right" w:pos="10080"/>
        </w:tabs>
        <w:rPr>
          <w:rFonts w:ascii="Book Antiqua" w:hAnsi="Book Antiqua"/>
        </w:rPr>
      </w:pPr>
    </w:p>
    <w:p w:rsidR="00A03A76" w:rsidP="001D5A10" w:rsidRDefault="004C6ABB" w14:paraId="3CD2AF8E" w14:textId="7E130D94">
      <w:pPr>
        <w:tabs>
          <w:tab w:val="right" w:pos="10080"/>
        </w:tabs>
        <w:rPr>
          <w:rFonts w:ascii="Book Antiqua" w:hAnsi="Book Antiqua"/>
        </w:rPr>
      </w:pPr>
      <w:r w:rsidRPr="00840954">
        <w:rPr>
          <w:rFonts w:ascii="Book Antiqua" w:hAnsi="Book Antiqua"/>
        </w:rPr>
        <w:t>On</w:t>
      </w:r>
      <w:r w:rsidRPr="00840954" w:rsidR="009536E3">
        <w:rPr>
          <w:rFonts w:ascii="Book Antiqua" w:hAnsi="Book Antiqua"/>
        </w:rPr>
        <w:t xml:space="preserve"> March 7, 2019, </w:t>
      </w:r>
      <w:r w:rsidRPr="00840954" w:rsidR="001E0DF0">
        <w:rPr>
          <w:rFonts w:ascii="Book Antiqua" w:hAnsi="Book Antiqua"/>
        </w:rPr>
        <w:t>Cox paid those amounts demanded in CD’s February 6, 2019 notice,</w:t>
      </w:r>
      <w:r w:rsidR="00AE6C52">
        <w:rPr>
          <w:rFonts w:ascii="Book Antiqua" w:hAnsi="Book Antiqua"/>
        </w:rPr>
        <w:t xml:space="preserve"> </w:t>
      </w:r>
      <w:r w:rsidRPr="00840954" w:rsidR="001E0DF0">
        <w:rPr>
          <w:rFonts w:ascii="Book Antiqua" w:hAnsi="Book Antiqua"/>
        </w:rPr>
        <w:t>by submitting surcharges and interest via the Commission’s TUFFS system and by sending checks to the Commission for the user fees and penalties.</w:t>
      </w:r>
      <w:r w:rsidRPr="00840954" w:rsidR="00C537E8">
        <w:rPr>
          <w:rStyle w:val="FootnoteReference"/>
          <w:rFonts w:ascii="Book Antiqua" w:hAnsi="Book Antiqua"/>
        </w:rPr>
        <w:footnoteReference w:id="42"/>
      </w:r>
      <w:r w:rsidR="009353AB">
        <w:rPr>
          <w:rFonts w:ascii="Book Antiqua" w:hAnsi="Book Antiqua"/>
        </w:rPr>
        <w:t xml:space="preserve">  Cox </w:t>
      </w:r>
      <w:r w:rsidR="000411B3">
        <w:rPr>
          <w:rFonts w:ascii="Book Antiqua" w:hAnsi="Book Antiqua"/>
        </w:rPr>
        <w:t xml:space="preserve">complied in order to </w:t>
      </w:r>
      <w:r w:rsidR="009353AB">
        <w:rPr>
          <w:rFonts w:ascii="Book Antiqua" w:hAnsi="Book Antiqua"/>
        </w:rPr>
        <w:t>avoid further Commission enforcement action.</w:t>
      </w:r>
      <w:r w:rsidR="00942CAB">
        <w:rPr>
          <w:rStyle w:val="FootnoteReference"/>
          <w:rFonts w:ascii="Book Antiqua" w:hAnsi="Book Antiqua"/>
        </w:rPr>
        <w:footnoteReference w:id="43"/>
      </w:r>
      <w:r w:rsidRPr="00840954">
        <w:rPr>
          <w:rFonts w:ascii="Book Antiqua" w:hAnsi="Book Antiqua"/>
        </w:rPr>
        <w:t xml:space="preserve"> </w:t>
      </w:r>
    </w:p>
    <w:p w:rsidR="006346D1" w:rsidP="006346D1" w:rsidRDefault="006346D1" w14:paraId="6A7453F1" w14:textId="77777777">
      <w:pPr>
        <w:tabs>
          <w:tab w:val="right" w:pos="10080"/>
        </w:tabs>
        <w:rPr>
          <w:rFonts w:ascii="Book Antiqua" w:hAnsi="Book Antiqua" w:cs="Arial"/>
          <w:color w:val="000000"/>
        </w:rPr>
      </w:pPr>
    </w:p>
    <w:p w:rsidR="00DE6C72" w:rsidP="001D5A10" w:rsidRDefault="006346D1" w14:paraId="653E6FC4" w14:textId="202149BE">
      <w:pPr>
        <w:tabs>
          <w:tab w:val="right" w:pos="10080"/>
        </w:tabs>
        <w:rPr>
          <w:rFonts w:ascii="Book Antiqua" w:hAnsi="Book Antiqua" w:cs="Arial"/>
          <w:color w:val="000000"/>
        </w:rPr>
      </w:pPr>
      <w:r w:rsidRPr="00840954">
        <w:rPr>
          <w:rFonts w:ascii="Book Antiqua" w:hAnsi="Book Antiqua" w:cs="Arial"/>
          <w:color w:val="000000"/>
        </w:rPr>
        <w:t>On April 19, 2019, Cox filed a Motion requesting the Commission hold its Application</w:t>
      </w:r>
      <w:r>
        <w:rPr>
          <w:rFonts w:ascii="Book Antiqua" w:hAnsi="Book Antiqua" w:cs="Arial"/>
          <w:color w:val="000000"/>
        </w:rPr>
        <w:t xml:space="preserve"> in A.19-01-014</w:t>
      </w:r>
      <w:r w:rsidRPr="00840954">
        <w:rPr>
          <w:rFonts w:ascii="Book Antiqua" w:hAnsi="Book Antiqua" w:cs="Arial"/>
          <w:color w:val="000000"/>
        </w:rPr>
        <w:t xml:space="preserve"> in abeyance until such time that the Department of General Services (DGS) processed and decided a claim Cox intended to submit under the Government Claims Act (GCA).</w:t>
      </w:r>
      <w:r w:rsidRPr="00840954">
        <w:rPr>
          <w:rStyle w:val="FootnoteReference"/>
          <w:rFonts w:ascii="Book Antiqua" w:hAnsi="Book Antiqua" w:cs="Arial"/>
          <w:color w:val="000000"/>
        </w:rPr>
        <w:footnoteReference w:id="44"/>
      </w:r>
      <w:r w:rsidRPr="00840954">
        <w:rPr>
          <w:rFonts w:ascii="Book Antiqua" w:hAnsi="Book Antiqua" w:cs="Arial"/>
          <w:color w:val="000000"/>
        </w:rPr>
        <w:t xml:space="preserve">  The ALJ granted Cox’s Motion on April 23, 2019.</w:t>
      </w:r>
      <w:r w:rsidRPr="00840954">
        <w:rPr>
          <w:rStyle w:val="FootnoteReference"/>
          <w:rFonts w:ascii="Book Antiqua" w:hAnsi="Book Antiqua" w:cs="Arial"/>
          <w:color w:val="000000"/>
        </w:rPr>
        <w:footnoteReference w:id="45"/>
      </w:r>
      <w:r>
        <w:rPr>
          <w:rFonts w:ascii="Book Antiqua" w:hAnsi="Book Antiqua" w:cs="Arial"/>
          <w:color w:val="000000"/>
        </w:rPr>
        <w:t xml:space="preserve">  DGS denied Cox’s claim</w:t>
      </w:r>
      <w:r w:rsidR="00CB2E20">
        <w:rPr>
          <w:rFonts w:ascii="Book Antiqua" w:hAnsi="Book Antiqua" w:cs="Arial"/>
          <w:color w:val="000000"/>
        </w:rPr>
        <w:t xml:space="preserve"> </w:t>
      </w:r>
      <w:r w:rsidRPr="00840954" w:rsidR="00CB2E20">
        <w:rPr>
          <w:rFonts w:ascii="Book Antiqua" w:hAnsi="Book Antiqua" w:cs="Arial"/>
          <w:color w:val="000000"/>
        </w:rPr>
        <w:t>for a refund of the surcharges and user fee amounts Cox had remitted under protest to the CPUC for its directory listings service revenue for FYs 2013-2015.</w:t>
      </w:r>
      <w:r w:rsidRPr="00840954" w:rsidR="00CB2E20">
        <w:rPr>
          <w:rStyle w:val="FootnoteReference"/>
          <w:rFonts w:ascii="Book Antiqua" w:hAnsi="Book Antiqua" w:cs="Arial"/>
          <w:color w:val="000000"/>
        </w:rPr>
        <w:footnoteReference w:id="46"/>
      </w:r>
      <w:r w:rsidRPr="00840954" w:rsidR="00CB2E20">
        <w:rPr>
          <w:rFonts w:ascii="Book Antiqua" w:hAnsi="Book Antiqua" w:cs="Arial"/>
          <w:color w:val="000000"/>
        </w:rPr>
        <w:t xml:space="preserve">  </w:t>
      </w:r>
    </w:p>
    <w:p w:rsidRPr="00944C4F" w:rsidR="00595D5B" w:rsidP="001D5A10" w:rsidRDefault="00595D5B" w14:paraId="225D435B" w14:textId="77777777">
      <w:pPr>
        <w:tabs>
          <w:tab w:val="right" w:pos="10080"/>
        </w:tabs>
        <w:rPr>
          <w:rFonts w:ascii="Book Antiqua" w:hAnsi="Book Antiqua" w:cs="Arial"/>
          <w:color w:val="000000"/>
        </w:rPr>
      </w:pPr>
    </w:p>
    <w:p w:rsidRPr="00840954" w:rsidR="00DE6C72" w:rsidP="001D5A10" w:rsidRDefault="00DE6C72" w14:paraId="28C72626" w14:textId="669A975C">
      <w:pPr>
        <w:tabs>
          <w:tab w:val="right" w:pos="10080"/>
        </w:tabs>
        <w:rPr>
          <w:rFonts w:ascii="Book Antiqua" w:hAnsi="Book Antiqua"/>
        </w:rPr>
      </w:pPr>
      <w:r>
        <w:rPr>
          <w:rFonts w:ascii="Book Antiqua" w:hAnsi="Book Antiqua"/>
        </w:rPr>
        <w:t xml:space="preserve">On June 29, 2019, </w:t>
      </w:r>
      <w:r w:rsidRPr="00840954">
        <w:rPr>
          <w:rFonts w:ascii="Book Antiqua" w:hAnsi="Book Antiqua"/>
        </w:rPr>
        <w:t>Co</w:t>
      </w:r>
      <w:r>
        <w:rPr>
          <w:rFonts w:ascii="Book Antiqua" w:hAnsi="Book Antiqua"/>
        </w:rPr>
        <w:t>x filed an</w:t>
      </w:r>
      <w:r w:rsidRPr="00840954">
        <w:rPr>
          <w:rFonts w:ascii="Book Antiqua" w:hAnsi="Book Antiqua"/>
        </w:rPr>
        <w:t xml:space="preserve"> Amended Application</w:t>
      </w:r>
      <w:r>
        <w:rPr>
          <w:rFonts w:ascii="Book Antiqua" w:hAnsi="Book Antiqua"/>
        </w:rPr>
        <w:t xml:space="preserve"> in A.19-01-014</w:t>
      </w:r>
      <w:r w:rsidR="003F02D0">
        <w:rPr>
          <w:rFonts w:ascii="Book Antiqua" w:hAnsi="Book Antiqua"/>
        </w:rPr>
        <w:t>.</w:t>
      </w:r>
      <w:r w:rsidRPr="00840954">
        <w:rPr>
          <w:rStyle w:val="FootnoteReference"/>
          <w:rFonts w:ascii="Book Antiqua" w:hAnsi="Book Antiqua"/>
        </w:rPr>
        <w:footnoteReference w:id="47"/>
      </w:r>
      <w:r w:rsidR="00595D5B">
        <w:rPr>
          <w:rFonts w:ascii="Book Antiqua" w:hAnsi="Book Antiqua"/>
        </w:rPr>
        <w:t xml:space="preserve">  </w:t>
      </w:r>
      <w:r w:rsidRPr="00840954" w:rsidR="00CB2E20">
        <w:rPr>
          <w:rFonts w:ascii="Book Antiqua" w:hAnsi="Book Antiqua" w:cs="Arial"/>
          <w:color w:val="000000"/>
        </w:rPr>
        <w:t xml:space="preserve">The Amended Application requested that the Commission not require Cox to pay the surcharge amounts and user fees, and corresponding interest and penalty amounts, for directory listing services revenue for FYs 2013-2015, as identified in the 2017 Analysis Report, and “to allow Cox to offset future surcharge and user fee remittances against the amounts </w:t>
      </w:r>
      <w:r w:rsidRPr="00840954" w:rsidR="00CB2E20">
        <w:rPr>
          <w:rFonts w:ascii="Book Antiqua" w:hAnsi="Book Antiqua" w:cs="Arial"/>
          <w:color w:val="000000"/>
        </w:rPr>
        <w:lastRenderedPageBreak/>
        <w:t>Cox has already paid.”</w:t>
      </w:r>
      <w:r w:rsidRPr="00840954" w:rsidR="00CB2E20">
        <w:rPr>
          <w:rStyle w:val="FootnoteReference"/>
          <w:rFonts w:ascii="Book Antiqua" w:hAnsi="Book Antiqua" w:cs="Arial"/>
          <w:color w:val="000000"/>
        </w:rPr>
        <w:footnoteReference w:id="48"/>
      </w:r>
      <w:r w:rsidRPr="00840954" w:rsidR="00CB2E20">
        <w:rPr>
          <w:rFonts w:ascii="Book Antiqua" w:hAnsi="Book Antiqua" w:cs="Arial"/>
          <w:color w:val="000000"/>
        </w:rPr>
        <w:t xml:space="preserve">  On July 29, 2019, CPED and </w:t>
      </w:r>
      <w:r w:rsidR="00CB2E20">
        <w:rPr>
          <w:rFonts w:ascii="Book Antiqua" w:hAnsi="Book Antiqua" w:cs="Arial"/>
          <w:color w:val="000000"/>
        </w:rPr>
        <w:t>Joint Consumer Groups</w:t>
      </w:r>
      <w:r w:rsidR="00CB2E20">
        <w:rPr>
          <w:rStyle w:val="FootnoteReference"/>
          <w:rFonts w:ascii="Book Antiqua" w:hAnsi="Book Antiqua" w:cs="Arial"/>
          <w:color w:val="000000"/>
        </w:rPr>
        <w:footnoteReference w:id="49"/>
      </w:r>
      <w:r w:rsidR="00CB2E20">
        <w:rPr>
          <w:rFonts w:ascii="Book Antiqua" w:hAnsi="Book Antiqua" w:cs="Arial"/>
          <w:color w:val="000000"/>
        </w:rPr>
        <w:t xml:space="preserve"> </w:t>
      </w:r>
      <w:r w:rsidRPr="00840954" w:rsidR="00CB2E20">
        <w:rPr>
          <w:rFonts w:ascii="Book Antiqua" w:hAnsi="Book Antiqua" w:cs="Arial"/>
          <w:color w:val="000000"/>
        </w:rPr>
        <w:t>filed separate protests to this Amended Application.</w:t>
      </w:r>
      <w:r w:rsidR="00D411D8">
        <w:rPr>
          <w:rFonts w:ascii="Book Antiqua" w:hAnsi="Book Antiqua" w:cs="Arial"/>
          <w:color w:val="000000"/>
        </w:rPr>
        <w:t xml:space="preserve">  This </w:t>
      </w:r>
      <w:r w:rsidR="00EE4265">
        <w:rPr>
          <w:rFonts w:ascii="Book Antiqua" w:hAnsi="Book Antiqua" w:cs="Arial"/>
          <w:color w:val="000000"/>
        </w:rPr>
        <w:t>Amended A</w:t>
      </w:r>
      <w:r w:rsidR="00D411D8">
        <w:rPr>
          <w:rFonts w:ascii="Book Antiqua" w:hAnsi="Book Antiqua" w:cs="Arial"/>
          <w:color w:val="000000"/>
        </w:rPr>
        <w:t xml:space="preserve">pplication is pending. </w:t>
      </w:r>
      <w:r w:rsidRPr="00840954" w:rsidR="00CB2E20">
        <w:rPr>
          <w:rFonts w:ascii="Book Antiqua" w:hAnsi="Book Antiqua" w:cs="Arial"/>
          <w:color w:val="000000"/>
        </w:rPr>
        <w:t xml:space="preserve">     </w:t>
      </w:r>
      <w:r w:rsidRPr="00840954">
        <w:rPr>
          <w:rFonts w:ascii="Book Antiqua" w:hAnsi="Book Antiqua"/>
        </w:rPr>
        <w:t xml:space="preserve">          </w:t>
      </w:r>
    </w:p>
    <w:p w:rsidR="00FB5BA3" w:rsidRDefault="00FB5BA3" w14:paraId="2B9F8E23" w14:textId="68BDA897">
      <w:pPr>
        <w:rPr>
          <w:rFonts w:ascii="Book Antiqua" w:hAnsi="Book Antiqua"/>
          <w:b/>
          <w:u w:val="single"/>
        </w:rPr>
      </w:pPr>
    </w:p>
    <w:p w:rsidRPr="00840954" w:rsidR="004A48B6" w:rsidP="004A48B6" w:rsidRDefault="004A48B6" w14:paraId="3BA907E9" w14:textId="48818386">
      <w:pPr>
        <w:tabs>
          <w:tab w:val="right" w:pos="10080"/>
        </w:tabs>
        <w:rPr>
          <w:rFonts w:ascii="Book Antiqua" w:hAnsi="Book Antiqua"/>
          <w:b/>
          <w:u w:val="single"/>
        </w:rPr>
      </w:pPr>
      <w:r w:rsidRPr="00840954">
        <w:rPr>
          <w:rFonts w:ascii="Book Antiqua" w:hAnsi="Book Antiqua"/>
          <w:b/>
          <w:u w:val="single"/>
        </w:rPr>
        <w:t>DISCUSSION</w:t>
      </w:r>
    </w:p>
    <w:p w:rsidRPr="00840954" w:rsidR="00432296" w:rsidP="007447D0" w:rsidRDefault="00432296" w14:paraId="5EA13EC6" w14:textId="77777777">
      <w:pPr>
        <w:tabs>
          <w:tab w:val="right" w:pos="10080"/>
        </w:tabs>
        <w:rPr>
          <w:rFonts w:ascii="Book Antiqua" w:hAnsi="Book Antiqua"/>
        </w:rPr>
      </w:pPr>
    </w:p>
    <w:p w:rsidRPr="00840954" w:rsidR="00AE720C" w:rsidP="00840954" w:rsidRDefault="00CC3944" w14:paraId="3B6F4C51" w14:textId="1457B2D5">
      <w:pPr>
        <w:pStyle w:val="ListParagraph"/>
        <w:tabs>
          <w:tab w:val="right" w:pos="10080"/>
        </w:tabs>
        <w:ind w:left="0"/>
        <w:rPr>
          <w:rFonts w:ascii="Book Antiqua" w:hAnsi="Book Antiqua"/>
        </w:rPr>
      </w:pPr>
      <w:r w:rsidRPr="00840954">
        <w:rPr>
          <w:rFonts w:ascii="Book Antiqua" w:hAnsi="Book Antiqua"/>
        </w:rPr>
        <w:t xml:space="preserve">This resolution clarifies </w:t>
      </w:r>
      <w:r w:rsidR="00E30E03">
        <w:rPr>
          <w:rFonts w:ascii="Book Antiqua" w:hAnsi="Book Antiqua"/>
        </w:rPr>
        <w:t xml:space="preserve">and affirms </w:t>
      </w:r>
      <w:r w:rsidRPr="00840954">
        <w:rPr>
          <w:rFonts w:ascii="Book Antiqua" w:hAnsi="Book Antiqua"/>
        </w:rPr>
        <w:t xml:space="preserve">Cox’s obligation to pay past </w:t>
      </w:r>
      <w:r w:rsidR="00F3757B">
        <w:rPr>
          <w:rFonts w:ascii="Book Antiqua" w:hAnsi="Book Antiqua"/>
        </w:rPr>
        <w:t>P</w:t>
      </w:r>
      <w:r w:rsidR="00CA2305">
        <w:rPr>
          <w:rFonts w:ascii="Book Antiqua" w:hAnsi="Book Antiqua"/>
        </w:rPr>
        <w:t>ublic Purpose Program</w:t>
      </w:r>
      <w:r w:rsidR="00F3757B">
        <w:rPr>
          <w:rFonts w:ascii="Book Antiqua" w:hAnsi="Book Antiqua"/>
        </w:rPr>
        <w:t xml:space="preserve"> </w:t>
      </w:r>
      <w:r w:rsidRPr="00840954">
        <w:rPr>
          <w:rFonts w:ascii="Book Antiqua" w:hAnsi="Book Antiqua"/>
        </w:rPr>
        <w:t xml:space="preserve">surcharges and </w:t>
      </w:r>
      <w:r w:rsidR="00F3757B">
        <w:rPr>
          <w:rFonts w:ascii="Book Antiqua" w:hAnsi="Book Antiqua"/>
        </w:rPr>
        <w:t xml:space="preserve">CPUC </w:t>
      </w:r>
      <w:r w:rsidRPr="00840954">
        <w:rPr>
          <w:rFonts w:ascii="Book Antiqua" w:hAnsi="Book Antiqua"/>
        </w:rPr>
        <w:t xml:space="preserve">user fees </w:t>
      </w:r>
      <w:r w:rsidR="005E15F4">
        <w:rPr>
          <w:rFonts w:ascii="Book Antiqua" w:hAnsi="Book Antiqua"/>
        </w:rPr>
        <w:t xml:space="preserve">associated with </w:t>
      </w:r>
      <w:r w:rsidRPr="00840954">
        <w:rPr>
          <w:rFonts w:ascii="Book Antiqua" w:hAnsi="Book Antiqua"/>
        </w:rPr>
        <w:t>its</w:t>
      </w:r>
      <w:r w:rsidR="000C12F0">
        <w:rPr>
          <w:rFonts w:ascii="Book Antiqua" w:hAnsi="Book Antiqua"/>
        </w:rPr>
        <w:t xml:space="preserve"> </w:t>
      </w:r>
      <w:r w:rsidRPr="00840954">
        <w:rPr>
          <w:rFonts w:ascii="Book Antiqua" w:hAnsi="Book Antiqua"/>
        </w:rPr>
        <w:t>directory listings service</w:t>
      </w:r>
      <w:r w:rsidR="000C12F0">
        <w:rPr>
          <w:rFonts w:ascii="Book Antiqua" w:hAnsi="Book Antiqua"/>
        </w:rPr>
        <w:t xml:space="preserve"> intrastate</w:t>
      </w:r>
      <w:r w:rsidRPr="00840954">
        <w:rPr>
          <w:rFonts w:ascii="Book Antiqua" w:hAnsi="Book Antiqua"/>
        </w:rPr>
        <w:t xml:space="preserve"> revenue, as set forth in the </w:t>
      </w:r>
      <w:r w:rsidRPr="00840954" w:rsidR="00CA63F0">
        <w:rPr>
          <w:rFonts w:ascii="Book Antiqua" w:hAnsi="Book Antiqua"/>
        </w:rPr>
        <w:t>2016 Audit Report and 201</w:t>
      </w:r>
      <w:r w:rsidR="00CC5B28">
        <w:rPr>
          <w:rFonts w:ascii="Book Antiqua" w:hAnsi="Book Antiqua"/>
        </w:rPr>
        <w:t>7</w:t>
      </w:r>
      <w:r w:rsidRPr="00840954" w:rsidR="00CA63F0">
        <w:rPr>
          <w:rFonts w:ascii="Book Antiqua" w:hAnsi="Book Antiqua"/>
        </w:rPr>
        <w:t xml:space="preserve"> Analysis Report</w:t>
      </w:r>
      <w:r w:rsidRPr="00840954">
        <w:rPr>
          <w:rFonts w:ascii="Book Antiqua" w:hAnsi="Book Antiqua"/>
        </w:rPr>
        <w:t>.  In turn, we</w:t>
      </w:r>
      <w:r w:rsidRPr="00840954" w:rsidR="00BB461E">
        <w:rPr>
          <w:rFonts w:ascii="Book Antiqua" w:hAnsi="Book Antiqua"/>
        </w:rPr>
        <w:t xml:space="preserve"> affirm CD’s efforts to secure compliance with the audit findings related to</w:t>
      </w:r>
      <w:r w:rsidRPr="00840954" w:rsidR="00F8496C">
        <w:rPr>
          <w:rFonts w:ascii="Book Antiqua" w:hAnsi="Book Antiqua"/>
        </w:rPr>
        <w:t xml:space="preserve"> Cox’s</w:t>
      </w:r>
      <w:r w:rsidRPr="00840954" w:rsidR="00BB461E">
        <w:rPr>
          <w:rFonts w:ascii="Book Antiqua" w:hAnsi="Book Antiqua"/>
        </w:rPr>
        <w:t xml:space="preserve"> directory listings service</w:t>
      </w:r>
      <w:r w:rsidRPr="00840954" w:rsidR="00001CA6">
        <w:rPr>
          <w:rFonts w:ascii="Book Antiqua" w:hAnsi="Book Antiqua"/>
        </w:rPr>
        <w:t>.  E</w:t>
      </w:r>
      <w:r w:rsidRPr="00840954" w:rsidR="00BB461E">
        <w:rPr>
          <w:rFonts w:ascii="Book Antiqua" w:hAnsi="Book Antiqua"/>
        </w:rPr>
        <w:t>xisting Commission decisions</w:t>
      </w:r>
      <w:r w:rsidRPr="00840954" w:rsidR="00E95C8C">
        <w:rPr>
          <w:rFonts w:ascii="Book Antiqua" w:hAnsi="Book Antiqua"/>
        </w:rPr>
        <w:t xml:space="preserve"> make clear that directory listings service revenue has long been subject to the Commission</w:t>
      </w:r>
      <w:r w:rsidRPr="00840954" w:rsidR="00535876">
        <w:rPr>
          <w:rFonts w:ascii="Book Antiqua" w:hAnsi="Book Antiqua"/>
        </w:rPr>
        <w:t>’</w:t>
      </w:r>
      <w:r w:rsidRPr="00840954" w:rsidR="00E95C8C">
        <w:rPr>
          <w:rFonts w:ascii="Book Antiqua" w:hAnsi="Book Antiqua"/>
        </w:rPr>
        <w:t xml:space="preserve">s </w:t>
      </w:r>
      <w:r w:rsidR="0071053C">
        <w:rPr>
          <w:rFonts w:ascii="Book Antiqua" w:hAnsi="Book Antiqua"/>
        </w:rPr>
        <w:t>universal service or P</w:t>
      </w:r>
      <w:r w:rsidR="00CA2305">
        <w:rPr>
          <w:rFonts w:ascii="Book Antiqua" w:hAnsi="Book Antiqua"/>
        </w:rPr>
        <w:t>PP</w:t>
      </w:r>
      <w:r w:rsidRPr="00840954" w:rsidR="00E95C8C">
        <w:rPr>
          <w:rFonts w:ascii="Book Antiqua" w:hAnsi="Book Antiqua"/>
        </w:rPr>
        <w:t xml:space="preserve"> surcharges and </w:t>
      </w:r>
      <w:r w:rsidR="0071053C">
        <w:rPr>
          <w:rFonts w:ascii="Book Antiqua" w:hAnsi="Book Antiqua"/>
        </w:rPr>
        <w:t xml:space="preserve">CPUC </w:t>
      </w:r>
      <w:r w:rsidR="00230610">
        <w:rPr>
          <w:rFonts w:ascii="Book Antiqua" w:hAnsi="Book Antiqua"/>
        </w:rPr>
        <w:t>U</w:t>
      </w:r>
      <w:r w:rsidRPr="00840954" w:rsidR="00E95C8C">
        <w:rPr>
          <w:rFonts w:ascii="Book Antiqua" w:hAnsi="Book Antiqua"/>
        </w:rPr>
        <w:t xml:space="preserve">ser </w:t>
      </w:r>
      <w:r w:rsidR="00230610">
        <w:rPr>
          <w:rFonts w:ascii="Book Antiqua" w:hAnsi="Book Antiqua"/>
        </w:rPr>
        <w:t>F</w:t>
      </w:r>
      <w:r w:rsidRPr="00840954" w:rsidR="00E95C8C">
        <w:rPr>
          <w:rFonts w:ascii="Book Antiqua" w:hAnsi="Book Antiqua"/>
        </w:rPr>
        <w:t>ee</w:t>
      </w:r>
      <w:r w:rsidR="0091519B">
        <w:rPr>
          <w:rFonts w:ascii="Book Antiqua" w:hAnsi="Book Antiqua"/>
        </w:rPr>
        <w:t xml:space="preserve"> obligations</w:t>
      </w:r>
      <w:r w:rsidRPr="00840954" w:rsidR="00E95C8C">
        <w:rPr>
          <w:rFonts w:ascii="Book Antiqua" w:hAnsi="Book Antiqua"/>
        </w:rPr>
        <w:t>.</w:t>
      </w:r>
      <w:r w:rsidRPr="00840954" w:rsidR="008C7FE3">
        <w:rPr>
          <w:rFonts w:ascii="Book Antiqua" w:hAnsi="Book Antiqua"/>
        </w:rPr>
        <w:t xml:space="preserve">  </w:t>
      </w:r>
      <w:r w:rsidRPr="00840954" w:rsidR="00A752F3">
        <w:rPr>
          <w:rFonts w:ascii="Book Antiqua" w:hAnsi="Book Antiqua"/>
        </w:rPr>
        <w:t xml:space="preserve">We reject Cox’s contention in its various </w:t>
      </w:r>
      <w:r w:rsidR="00181D00">
        <w:rPr>
          <w:rFonts w:ascii="Book Antiqua" w:hAnsi="Book Antiqua"/>
        </w:rPr>
        <w:t xml:space="preserve">letters </w:t>
      </w:r>
      <w:r w:rsidR="00BA39CE">
        <w:rPr>
          <w:rFonts w:ascii="Book Antiqua" w:hAnsi="Book Antiqua"/>
        </w:rPr>
        <w:t xml:space="preserve">and requests for reconsideration </w:t>
      </w:r>
      <w:r w:rsidR="00181D00">
        <w:rPr>
          <w:rFonts w:ascii="Book Antiqua" w:hAnsi="Book Antiqua"/>
        </w:rPr>
        <w:t xml:space="preserve">described herein </w:t>
      </w:r>
      <w:r w:rsidRPr="00840954" w:rsidR="00535876">
        <w:rPr>
          <w:rFonts w:ascii="Book Antiqua" w:hAnsi="Book Antiqua"/>
        </w:rPr>
        <w:t>that</w:t>
      </w:r>
      <w:r w:rsidRPr="00840954" w:rsidR="00E74FE9">
        <w:rPr>
          <w:rFonts w:ascii="Book Antiqua" w:hAnsi="Book Antiqua"/>
        </w:rPr>
        <w:t xml:space="preserve"> federal law or FCC rules prohibit this Commission from imposing state surcharges and user fees on Cox’s intrastate directory listings service revenue.</w:t>
      </w:r>
      <w:r w:rsidRPr="00840954" w:rsidR="00535876">
        <w:rPr>
          <w:rFonts w:ascii="Book Antiqua" w:hAnsi="Book Antiqua"/>
        </w:rPr>
        <w:t xml:space="preserve"> </w:t>
      </w:r>
      <w:r w:rsidRPr="00840954" w:rsidR="00A752F3">
        <w:rPr>
          <w:rFonts w:ascii="Book Antiqua" w:hAnsi="Book Antiqua"/>
        </w:rPr>
        <w:t xml:space="preserve"> </w:t>
      </w:r>
    </w:p>
    <w:p w:rsidRPr="00840954" w:rsidR="00C6637D" w:rsidP="00E95C05" w:rsidRDefault="00A752F3" w14:paraId="7F3B7E57" w14:textId="71985930">
      <w:pPr>
        <w:pStyle w:val="ListParagraph"/>
        <w:tabs>
          <w:tab w:val="right" w:pos="10080"/>
        </w:tabs>
        <w:ind w:left="1800"/>
        <w:rPr>
          <w:rFonts w:ascii="Book Antiqua" w:hAnsi="Book Antiqua"/>
        </w:rPr>
      </w:pPr>
      <w:r w:rsidRPr="00840954">
        <w:rPr>
          <w:rFonts w:ascii="Book Antiqua" w:hAnsi="Book Antiqua"/>
        </w:rPr>
        <w:t xml:space="preserve"> </w:t>
      </w:r>
      <w:r w:rsidRPr="00840954" w:rsidR="00E95C8C">
        <w:rPr>
          <w:rFonts w:ascii="Book Antiqua" w:hAnsi="Book Antiqua"/>
        </w:rPr>
        <w:t xml:space="preserve">  </w:t>
      </w:r>
      <w:r w:rsidRPr="00840954" w:rsidR="000A52CD">
        <w:rPr>
          <w:rFonts w:ascii="Book Antiqua" w:hAnsi="Book Antiqua"/>
        </w:rPr>
        <w:t xml:space="preserve"> </w:t>
      </w:r>
      <w:r w:rsidRPr="00840954" w:rsidR="00852462">
        <w:rPr>
          <w:rFonts w:ascii="Book Antiqua" w:hAnsi="Book Antiqua"/>
        </w:rPr>
        <w:t xml:space="preserve"> </w:t>
      </w:r>
      <w:r w:rsidRPr="00840954" w:rsidR="00BB461E">
        <w:rPr>
          <w:rFonts w:ascii="Book Antiqua" w:hAnsi="Book Antiqua"/>
        </w:rPr>
        <w:t xml:space="preserve">    </w:t>
      </w:r>
    </w:p>
    <w:p w:rsidRPr="00944C4F" w:rsidR="00141194" w:rsidP="00325F43" w:rsidRDefault="00151839" w14:paraId="2886DC19" w14:textId="079E04AD">
      <w:pPr>
        <w:pStyle w:val="ListParagraph"/>
        <w:numPr>
          <w:ilvl w:val="0"/>
          <w:numId w:val="33"/>
        </w:numPr>
        <w:tabs>
          <w:tab w:val="right" w:pos="10080"/>
        </w:tabs>
        <w:rPr>
          <w:rFonts w:ascii="Book Antiqua" w:hAnsi="Book Antiqua"/>
          <w:b/>
          <w:bCs/>
        </w:rPr>
      </w:pPr>
      <w:r w:rsidRPr="00944C4F">
        <w:rPr>
          <w:rFonts w:ascii="Book Antiqua" w:hAnsi="Book Antiqua"/>
          <w:b/>
          <w:bCs/>
        </w:rPr>
        <w:t xml:space="preserve">PAST COMMISSION DECISIONS ESTABLISH </w:t>
      </w:r>
      <w:r w:rsidRPr="00944C4F" w:rsidR="004F37B0">
        <w:rPr>
          <w:rFonts w:ascii="Book Antiqua" w:hAnsi="Book Antiqua"/>
          <w:b/>
          <w:bCs/>
        </w:rPr>
        <w:t>COX’S</w:t>
      </w:r>
      <w:r w:rsidRPr="00944C4F" w:rsidR="00562E55">
        <w:rPr>
          <w:rFonts w:ascii="Book Antiqua" w:hAnsi="Book Antiqua"/>
          <w:b/>
          <w:bCs/>
        </w:rPr>
        <w:t xml:space="preserve"> OBLIGATION TO REMIT UNIVERSAL SERVICE </w:t>
      </w:r>
      <w:r w:rsidR="00C01229">
        <w:rPr>
          <w:rFonts w:ascii="Book Antiqua" w:hAnsi="Book Antiqua"/>
          <w:b/>
          <w:bCs/>
        </w:rPr>
        <w:t xml:space="preserve">(PUBLIC PURPOSE PROGRAMS) </w:t>
      </w:r>
      <w:r w:rsidRPr="00944C4F" w:rsidR="00562E55">
        <w:rPr>
          <w:rFonts w:ascii="Book Antiqua" w:hAnsi="Book Antiqua"/>
          <w:b/>
          <w:bCs/>
        </w:rPr>
        <w:t xml:space="preserve">SURCHARGES AND </w:t>
      </w:r>
      <w:r w:rsidRPr="00944C4F" w:rsidR="00A214ED">
        <w:rPr>
          <w:rFonts w:ascii="Book Antiqua" w:hAnsi="Book Antiqua"/>
          <w:b/>
          <w:bCs/>
        </w:rPr>
        <w:t xml:space="preserve">THE CPUC </w:t>
      </w:r>
      <w:r w:rsidRPr="00944C4F" w:rsidR="00562E55">
        <w:rPr>
          <w:rFonts w:ascii="Book Antiqua" w:hAnsi="Book Antiqua"/>
          <w:b/>
          <w:bCs/>
        </w:rPr>
        <w:t xml:space="preserve">USER FEE ON INTRASTATE </w:t>
      </w:r>
      <w:r w:rsidRPr="00944C4F" w:rsidR="00C6637D">
        <w:rPr>
          <w:rFonts w:ascii="Book Antiqua" w:hAnsi="Book Antiqua"/>
          <w:b/>
          <w:bCs/>
        </w:rPr>
        <w:t>DIRECTORY LISTINGS SERVICE</w:t>
      </w:r>
      <w:r w:rsidRPr="00944C4F" w:rsidR="00325F43">
        <w:rPr>
          <w:rFonts w:ascii="Book Antiqua" w:hAnsi="Book Antiqua"/>
          <w:b/>
          <w:bCs/>
        </w:rPr>
        <w:t xml:space="preserve">   </w:t>
      </w:r>
      <w:r w:rsidRPr="00944C4F" w:rsidR="00451022">
        <w:rPr>
          <w:rFonts w:ascii="Book Antiqua" w:hAnsi="Book Antiqua"/>
          <w:b/>
          <w:bCs/>
        </w:rPr>
        <w:t xml:space="preserve"> </w:t>
      </w:r>
    </w:p>
    <w:p w:rsidRPr="00840954" w:rsidR="008B0916" w:rsidP="00840954" w:rsidRDefault="008B0916" w14:paraId="604D2B42" w14:textId="77777777">
      <w:pPr>
        <w:pStyle w:val="ListParagraph"/>
        <w:tabs>
          <w:tab w:val="right" w:pos="10080"/>
        </w:tabs>
        <w:ind w:left="1800"/>
        <w:rPr>
          <w:rFonts w:ascii="Book Antiqua" w:hAnsi="Book Antiqua"/>
        </w:rPr>
      </w:pPr>
    </w:p>
    <w:p w:rsidR="00A745DB" w:rsidP="00A745DB" w:rsidRDefault="00325F43" w14:paraId="4B2AE276" w14:textId="3C6CE005">
      <w:pPr>
        <w:pStyle w:val="standard"/>
        <w:spacing w:line="240" w:lineRule="auto"/>
        <w:ind w:firstLine="0"/>
        <w:rPr>
          <w:rFonts w:ascii="Book Antiqua" w:hAnsi="Book Antiqua"/>
          <w:sz w:val="24"/>
          <w:szCs w:val="24"/>
        </w:rPr>
      </w:pPr>
      <w:r w:rsidRPr="00840954">
        <w:rPr>
          <w:rFonts w:ascii="Book Antiqua" w:hAnsi="Book Antiqua"/>
          <w:sz w:val="24"/>
          <w:szCs w:val="24"/>
        </w:rPr>
        <w:t>Universal service in California means that a minimum level of telecommunications services is available to everyone in the state at a reasonable rate.</w:t>
      </w:r>
      <w:r w:rsidRPr="00840954">
        <w:rPr>
          <w:rFonts w:ascii="Book Antiqua" w:hAnsi="Book Antiqua"/>
          <w:sz w:val="24"/>
          <w:szCs w:val="24"/>
          <w:vertAlign w:val="superscript"/>
        </w:rPr>
        <w:footnoteReference w:id="50"/>
      </w:r>
      <w:r w:rsidRPr="00840954">
        <w:rPr>
          <w:rFonts w:ascii="Book Antiqua" w:hAnsi="Book Antiqua"/>
          <w:sz w:val="24"/>
          <w:szCs w:val="24"/>
        </w:rPr>
        <w:t xml:space="preserve">  Universal service has evolved over time to keep pace with customer expectations of what communications technology is necessary to participate in society, also called basic service.</w:t>
      </w:r>
      <w:r w:rsidRPr="00840954">
        <w:rPr>
          <w:rFonts w:ascii="Book Antiqua" w:hAnsi="Book Antiqua"/>
          <w:sz w:val="24"/>
          <w:szCs w:val="24"/>
          <w:vertAlign w:val="superscript"/>
        </w:rPr>
        <w:footnoteReference w:id="51"/>
      </w:r>
      <w:r w:rsidRPr="00840954">
        <w:rPr>
          <w:rFonts w:ascii="Book Antiqua" w:hAnsi="Book Antiqua"/>
          <w:sz w:val="24"/>
          <w:szCs w:val="24"/>
        </w:rPr>
        <w:t xml:space="preserve">  Over time, the Commission adopted six Public Purpose Programs to implement California’s universal service</w:t>
      </w:r>
      <w:r w:rsidRPr="00840954" w:rsidR="002E51FD">
        <w:rPr>
          <w:rFonts w:ascii="Book Antiqua" w:hAnsi="Book Antiqua"/>
          <w:sz w:val="24"/>
          <w:szCs w:val="24"/>
        </w:rPr>
        <w:t xml:space="preserve"> mandates.</w:t>
      </w:r>
      <w:r w:rsidR="00744A97">
        <w:rPr>
          <w:rStyle w:val="FootnoteReference"/>
          <w:rFonts w:ascii="Book Antiqua" w:hAnsi="Book Antiqua"/>
          <w:sz w:val="24"/>
          <w:szCs w:val="24"/>
        </w:rPr>
        <w:footnoteReference w:id="52"/>
      </w:r>
      <w:r w:rsidRPr="00840954" w:rsidR="002E51FD">
        <w:rPr>
          <w:rFonts w:ascii="Book Antiqua" w:hAnsi="Book Antiqua"/>
          <w:sz w:val="24"/>
          <w:szCs w:val="24"/>
        </w:rPr>
        <w:t xml:space="preserve"> </w:t>
      </w:r>
    </w:p>
    <w:p w:rsidR="00A745DB" w:rsidP="00A745DB" w:rsidRDefault="00A745DB" w14:paraId="46DB439C" w14:textId="77777777">
      <w:pPr>
        <w:pStyle w:val="standard"/>
        <w:spacing w:line="240" w:lineRule="auto"/>
        <w:ind w:firstLine="0"/>
        <w:rPr>
          <w:rFonts w:ascii="Book Antiqua" w:hAnsi="Book Antiqua"/>
          <w:sz w:val="24"/>
          <w:szCs w:val="24"/>
        </w:rPr>
      </w:pPr>
    </w:p>
    <w:p w:rsidR="00EC6B4C" w:rsidP="00A745DB" w:rsidRDefault="00325F43" w14:paraId="26372FE6" w14:textId="10DBCCD6">
      <w:pPr>
        <w:pStyle w:val="standard"/>
        <w:spacing w:line="240" w:lineRule="auto"/>
        <w:ind w:firstLine="0"/>
        <w:rPr>
          <w:rFonts w:ascii="Book Antiqua" w:hAnsi="Book Antiqua"/>
          <w:sz w:val="24"/>
          <w:szCs w:val="24"/>
        </w:rPr>
      </w:pPr>
      <w:r w:rsidRPr="00840954">
        <w:rPr>
          <w:rFonts w:ascii="Book Antiqua" w:hAnsi="Book Antiqua"/>
          <w:sz w:val="24"/>
          <w:szCs w:val="24"/>
        </w:rPr>
        <w:t>The Commission employs the All End User Surcharge (AEUS) to collect surcharges to fund</w:t>
      </w:r>
      <w:r w:rsidR="008B0916">
        <w:rPr>
          <w:rFonts w:ascii="Book Antiqua" w:hAnsi="Book Antiqua"/>
          <w:sz w:val="24"/>
          <w:szCs w:val="24"/>
        </w:rPr>
        <w:t xml:space="preserve"> Public Purpose Programs</w:t>
      </w:r>
      <w:r w:rsidRPr="00840954">
        <w:rPr>
          <w:rFonts w:ascii="Book Antiqua" w:hAnsi="Book Antiqua"/>
          <w:sz w:val="24"/>
          <w:szCs w:val="24"/>
        </w:rPr>
        <w:t>.  The AEUS, a historical funding mechanism established in 1994, requires all end users of telecommunications services to pay P</w:t>
      </w:r>
      <w:r w:rsidR="008B68DC">
        <w:rPr>
          <w:rFonts w:ascii="Book Antiqua" w:hAnsi="Book Antiqua"/>
          <w:sz w:val="24"/>
          <w:szCs w:val="24"/>
        </w:rPr>
        <w:t>PP</w:t>
      </w:r>
      <w:r w:rsidRPr="00840954">
        <w:rPr>
          <w:rFonts w:ascii="Book Antiqua" w:hAnsi="Book Antiqua"/>
          <w:sz w:val="24"/>
          <w:szCs w:val="24"/>
        </w:rPr>
        <w:t xml:space="preserve"> surcharges,</w:t>
      </w:r>
      <w:r w:rsidRPr="00840954" w:rsidR="00351584">
        <w:rPr>
          <w:rFonts w:ascii="Book Antiqua" w:hAnsi="Book Antiqua"/>
          <w:sz w:val="24"/>
          <w:szCs w:val="24"/>
          <w:vertAlign w:val="superscript"/>
        </w:rPr>
        <w:footnoteReference w:id="53"/>
      </w:r>
      <w:r w:rsidRPr="00840954" w:rsidR="00351584">
        <w:rPr>
          <w:rFonts w:ascii="Book Antiqua" w:hAnsi="Book Antiqua"/>
          <w:sz w:val="24"/>
          <w:szCs w:val="24"/>
        </w:rPr>
        <w:t xml:space="preserve"> </w:t>
      </w:r>
      <w:r w:rsidRPr="00840954">
        <w:rPr>
          <w:rFonts w:ascii="Book Antiqua" w:hAnsi="Book Antiqua"/>
          <w:sz w:val="24"/>
          <w:szCs w:val="24"/>
        </w:rPr>
        <w:t xml:space="preserve"> with the exception of Universal Lifeline Telephone service billings, coin</w:t>
      </w:r>
      <w:r w:rsidRPr="00840954">
        <w:rPr>
          <w:rFonts w:ascii="Book Antiqua" w:hAnsi="Book Antiqua"/>
          <w:sz w:val="24"/>
          <w:szCs w:val="24"/>
        </w:rPr>
        <w:noBreakHyphen/>
        <w:t>sent paid calling, debit card messages, one</w:t>
      </w:r>
      <w:r w:rsidRPr="00840954">
        <w:rPr>
          <w:rFonts w:ascii="Book Antiqua" w:hAnsi="Book Antiqua"/>
          <w:sz w:val="24"/>
          <w:szCs w:val="24"/>
        </w:rPr>
        <w:noBreakHyphen/>
        <w:t xml:space="preserve">way radio paging, usage charges to coin operated paid </w:t>
      </w:r>
      <w:r w:rsidRPr="00840954">
        <w:rPr>
          <w:rFonts w:ascii="Book Antiqua" w:hAnsi="Book Antiqua"/>
          <w:sz w:val="24"/>
          <w:szCs w:val="24"/>
        </w:rPr>
        <w:lastRenderedPageBreak/>
        <w:t>telephones and customers receiving services under existing contracts that were executed on or before September 15, 1994</w:t>
      </w:r>
      <w:r w:rsidR="00B24BCF">
        <w:rPr>
          <w:rFonts w:ascii="Book Antiqua" w:hAnsi="Book Antiqua"/>
          <w:sz w:val="24"/>
          <w:szCs w:val="24"/>
        </w:rPr>
        <w:t>,</w:t>
      </w:r>
      <w:r w:rsidRPr="00840954">
        <w:rPr>
          <w:rFonts w:ascii="Book Antiqua" w:hAnsi="Book Antiqua"/>
          <w:sz w:val="24"/>
          <w:szCs w:val="24"/>
        </w:rPr>
        <w:t xml:space="preserve"> and directory advertising.</w:t>
      </w:r>
      <w:r w:rsidRPr="00840954">
        <w:rPr>
          <w:rFonts w:ascii="Book Antiqua" w:hAnsi="Book Antiqua"/>
          <w:sz w:val="24"/>
          <w:szCs w:val="24"/>
          <w:vertAlign w:val="superscript"/>
        </w:rPr>
        <w:footnoteReference w:id="54"/>
      </w:r>
      <w:r w:rsidR="000E26BE">
        <w:rPr>
          <w:rFonts w:ascii="Book Antiqua" w:hAnsi="Book Antiqua"/>
          <w:sz w:val="24"/>
          <w:szCs w:val="24"/>
        </w:rPr>
        <w:t xml:space="preserve">  </w:t>
      </w:r>
    </w:p>
    <w:p w:rsidR="00EC6B4C" w:rsidP="00A745DB" w:rsidRDefault="00EC6B4C" w14:paraId="4F7EFDB4" w14:textId="77777777">
      <w:pPr>
        <w:pStyle w:val="standard"/>
        <w:spacing w:line="240" w:lineRule="auto"/>
        <w:ind w:firstLine="0"/>
        <w:rPr>
          <w:rFonts w:ascii="Book Antiqua" w:hAnsi="Book Antiqua"/>
          <w:sz w:val="24"/>
          <w:szCs w:val="24"/>
        </w:rPr>
      </w:pPr>
    </w:p>
    <w:p w:rsidR="0022406B" w:rsidP="00840954" w:rsidRDefault="00587156" w14:paraId="1E056B5F" w14:textId="19B4660B">
      <w:pPr>
        <w:tabs>
          <w:tab w:val="right" w:pos="10080"/>
        </w:tabs>
        <w:rPr>
          <w:rFonts w:ascii="Book Antiqua" w:hAnsi="Book Antiqua"/>
          <w:bCs/>
        </w:rPr>
      </w:pPr>
      <w:r w:rsidRPr="00587156">
        <w:rPr>
          <w:rFonts w:ascii="Book Antiqua" w:hAnsi="Book Antiqua"/>
          <w:bCs/>
        </w:rPr>
        <w:t xml:space="preserve">In D.96-10-066, the Commission adopted </w:t>
      </w:r>
      <w:r w:rsidR="003C43C2">
        <w:rPr>
          <w:rFonts w:ascii="Book Antiqua" w:hAnsi="Book Antiqua"/>
          <w:bCs/>
        </w:rPr>
        <w:t xml:space="preserve">on a permanent basis </w:t>
      </w:r>
      <w:r w:rsidRPr="00587156">
        <w:rPr>
          <w:rFonts w:ascii="Book Antiqua" w:hAnsi="Book Antiqua"/>
          <w:bCs/>
        </w:rPr>
        <w:t xml:space="preserve">the </w:t>
      </w:r>
      <w:r w:rsidR="00C555F6">
        <w:rPr>
          <w:rFonts w:ascii="Book Antiqua" w:hAnsi="Book Antiqua"/>
          <w:bCs/>
        </w:rPr>
        <w:t>AEUS</w:t>
      </w:r>
      <w:r w:rsidRPr="00587156">
        <w:rPr>
          <w:rFonts w:ascii="Book Antiqua" w:hAnsi="Book Antiqua"/>
          <w:bCs/>
        </w:rPr>
        <w:t xml:space="preserve"> </w:t>
      </w:r>
      <w:r w:rsidR="00C555F6">
        <w:rPr>
          <w:rFonts w:ascii="Book Antiqua" w:hAnsi="Book Antiqua"/>
          <w:bCs/>
        </w:rPr>
        <w:t>m</w:t>
      </w:r>
      <w:r w:rsidRPr="00587156">
        <w:rPr>
          <w:rFonts w:ascii="Book Antiqua" w:hAnsi="Book Antiqua"/>
          <w:bCs/>
        </w:rPr>
        <w:t xml:space="preserve">echanism </w:t>
      </w:r>
      <w:r w:rsidR="008A229E">
        <w:rPr>
          <w:rFonts w:ascii="Book Antiqua" w:hAnsi="Book Antiqua"/>
          <w:bCs/>
        </w:rPr>
        <w:t xml:space="preserve">first </w:t>
      </w:r>
      <w:r w:rsidRPr="00587156">
        <w:rPr>
          <w:rFonts w:ascii="Book Antiqua" w:hAnsi="Book Antiqua"/>
          <w:bCs/>
        </w:rPr>
        <w:t>established in D.94-09-065.</w:t>
      </w:r>
      <w:r w:rsidR="00185885">
        <w:rPr>
          <w:rFonts w:ascii="Book Antiqua" w:hAnsi="Book Antiqua"/>
          <w:bCs/>
        </w:rPr>
        <w:t xml:space="preserve">  </w:t>
      </w:r>
      <w:r w:rsidRPr="00587156">
        <w:rPr>
          <w:rFonts w:ascii="Book Antiqua" w:hAnsi="Book Antiqua"/>
          <w:bCs/>
        </w:rPr>
        <w:t>As in D.94-0</w:t>
      </w:r>
      <w:r w:rsidR="00AF7D0A">
        <w:rPr>
          <w:rFonts w:ascii="Book Antiqua" w:hAnsi="Book Antiqua"/>
          <w:bCs/>
        </w:rPr>
        <w:t>9</w:t>
      </w:r>
      <w:r w:rsidRPr="00587156">
        <w:rPr>
          <w:rFonts w:ascii="Book Antiqua" w:hAnsi="Book Antiqua"/>
          <w:bCs/>
        </w:rPr>
        <w:t>-065, the Commission</w:t>
      </w:r>
      <w:r w:rsidR="00956715">
        <w:rPr>
          <w:rFonts w:ascii="Book Antiqua" w:hAnsi="Book Antiqua"/>
          <w:bCs/>
        </w:rPr>
        <w:t xml:space="preserve"> deemed </w:t>
      </w:r>
      <w:r w:rsidRPr="00587156">
        <w:rPr>
          <w:rFonts w:ascii="Book Antiqua" w:hAnsi="Book Antiqua"/>
          <w:bCs/>
        </w:rPr>
        <w:t>directory listing</w:t>
      </w:r>
      <w:r w:rsidR="007C1BE0">
        <w:rPr>
          <w:rFonts w:ascii="Book Antiqua" w:hAnsi="Book Antiqua"/>
          <w:bCs/>
        </w:rPr>
        <w:t>s service</w:t>
      </w:r>
      <w:r w:rsidR="00A72D6E">
        <w:rPr>
          <w:rFonts w:ascii="Book Antiqua" w:hAnsi="Book Antiqua"/>
          <w:bCs/>
        </w:rPr>
        <w:t xml:space="preserve"> and directory assistance service</w:t>
      </w:r>
      <w:r w:rsidR="003E3E24">
        <w:rPr>
          <w:rFonts w:ascii="Book Antiqua" w:hAnsi="Book Antiqua"/>
          <w:bCs/>
        </w:rPr>
        <w:t>,</w:t>
      </w:r>
      <w:r w:rsidR="008900E7">
        <w:rPr>
          <w:rStyle w:val="FootnoteReference"/>
          <w:rFonts w:ascii="Book Antiqua" w:hAnsi="Book Antiqua"/>
          <w:bCs/>
        </w:rPr>
        <w:footnoteReference w:id="55"/>
      </w:r>
      <w:r w:rsidR="003E3E24">
        <w:rPr>
          <w:rFonts w:ascii="Book Antiqua" w:hAnsi="Book Antiqua"/>
          <w:bCs/>
        </w:rPr>
        <w:t xml:space="preserve"> </w:t>
      </w:r>
      <w:r w:rsidR="003C32C7">
        <w:rPr>
          <w:rFonts w:ascii="Book Antiqua" w:hAnsi="Book Antiqua"/>
          <w:bCs/>
        </w:rPr>
        <w:t>among other services, to</w:t>
      </w:r>
      <w:r w:rsidR="00956715">
        <w:rPr>
          <w:rFonts w:ascii="Book Antiqua" w:hAnsi="Book Antiqua"/>
          <w:bCs/>
        </w:rPr>
        <w:t xml:space="preserve"> be </w:t>
      </w:r>
      <w:r w:rsidR="003C32C7">
        <w:rPr>
          <w:rFonts w:ascii="Book Antiqua" w:hAnsi="Book Antiqua"/>
          <w:bCs/>
        </w:rPr>
        <w:t>elements</w:t>
      </w:r>
      <w:r w:rsidR="00185885">
        <w:rPr>
          <w:rFonts w:ascii="Book Antiqua" w:hAnsi="Book Antiqua"/>
          <w:bCs/>
        </w:rPr>
        <w:t xml:space="preserve"> of</w:t>
      </w:r>
      <w:r w:rsidRPr="00587156">
        <w:rPr>
          <w:rFonts w:ascii="Book Antiqua" w:hAnsi="Book Antiqua"/>
          <w:bCs/>
        </w:rPr>
        <w:t xml:space="preserve"> basic </w:t>
      </w:r>
      <w:r w:rsidR="00956715">
        <w:rPr>
          <w:rFonts w:ascii="Book Antiqua" w:hAnsi="Book Antiqua"/>
          <w:bCs/>
        </w:rPr>
        <w:t xml:space="preserve">voice </w:t>
      </w:r>
      <w:r w:rsidRPr="00587156">
        <w:rPr>
          <w:rFonts w:ascii="Book Antiqua" w:hAnsi="Book Antiqua"/>
          <w:bCs/>
        </w:rPr>
        <w:t>service</w:t>
      </w:r>
      <w:r w:rsidR="00956715">
        <w:rPr>
          <w:rFonts w:ascii="Book Antiqua" w:hAnsi="Book Antiqua"/>
          <w:bCs/>
        </w:rPr>
        <w:t>, which</w:t>
      </w:r>
      <w:r w:rsidR="00D8764E">
        <w:rPr>
          <w:rFonts w:ascii="Book Antiqua" w:hAnsi="Book Antiqua"/>
          <w:bCs/>
        </w:rPr>
        <w:t xml:space="preserve"> is clearly a telecommunications service and</w:t>
      </w:r>
      <w:r w:rsidRPr="00587156">
        <w:rPr>
          <w:rFonts w:ascii="Book Antiqua" w:hAnsi="Book Antiqua"/>
          <w:bCs/>
        </w:rPr>
        <w:t xml:space="preserve"> subject to surcharge</w:t>
      </w:r>
      <w:r w:rsidR="00185885">
        <w:rPr>
          <w:rFonts w:ascii="Book Antiqua" w:hAnsi="Book Antiqua"/>
          <w:bCs/>
        </w:rPr>
        <w:t>.</w:t>
      </w:r>
      <w:r w:rsidR="001C06BD">
        <w:rPr>
          <w:rStyle w:val="FootnoteReference"/>
          <w:rFonts w:ascii="Book Antiqua" w:hAnsi="Book Antiqua"/>
          <w:bCs/>
        </w:rPr>
        <w:footnoteReference w:id="56"/>
      </w:r>
      <w:r w:rsidR="009F532F">
        <w:rPr>
          <w:rFonts w:ascii="Book Antiqua" w:hAnsi="Book Antiqua"/>
          <w:bCs/>
        </w:rPr>
        <w:t xml:space="preserve">  </w:t>
      </w:r>
    </w:p>
    <w:p w:rsidR="0022406B" w:rsidP="00840954" w:rsidRDefault="0022406B" w14:paraId="5D2275A5" w14:textId="77777777">
      <w:pPr>
        <w:tabs>
          <w:tab w:val="right" w:pos="10080"/>
        </w:tabs>
        <w:rPr>
          <w:rFonts w:ascii="Book Antiqua" w:hAnsi="Book Antiqua"/>
          <w:bCs/>
        </w:rPr>
      </w:pPr>
    </w:p>
    <w:p w:rsidR="00FB2859" w:rsidP="00840954" w:rsidRDefault="009D4C80" w14:paraId="6204385D" w14:textId="18982334">
      <w:pPr>
        <w:tabs>
          <w:tab w:val="right" w:pos="10080"/>
        </w:tabs>
        <w:rPr>
          <w:rFonts w:ascii="Book Antiqua" w:hAnsi="Book Antiqua"/>
        </w:rPr>
      </w:pPr>
      <w:r w:rsidRPr="009D4C80">
        <w:rPr>
          <w:rFonts w:ascii="Book Antiqua" w:hAnsi="Book Antiqua"/>
        </w:rPr>
        <w:t>In D.96-10-066, the Commission</w:t>
      </w:r>
      <w:r w:rsidR="002C7D65">
        <w:rPr>
          <w:rFonts w:ascii="Book Antiqua" w:hAnsi="Book Antiqua"/>
        </w:rPr>
        <w:t xml:space="preserve"> also</w:t>
      </w:r>
      <w:r w:rsidRPr="009D4C80">
        <w:rPr>
          <w:rFonts w:ascii="Book Antiqua" w:hAnsi="Book Antiqua"/>
        </w:rPr>
        <w:t xml:space="preserve"> </w:t>
      </w:r>
      <w:r w:rsidR="000A675E">
        <w:rPr>
          <w:rFonts w:ascii="Book Antiqua" w:hAnsi="Book Antiqua"/>
        </w:rPr>
        <w:t>list</w:t>
      </w:r>
      <w:r w:rsidR="009379C4">
        <w:rPr>
          <w:rFonts w:ascii="Book Antiqua" w:hAnsi="Book Antiqua"/>
        </w:rPr>
        <w:t>ed</w:t>
      </w:r>
      <w:r w:rsidR="000A675E">
        <w:rPr>
          <w:rFonts w:ascii="Book Antiqua" w:hAnsi="Book Antiqua"/>
        </w:rPr>
        <w:t xml:space="preserve"> services</w:t>
      </w:r>
      <w:r w:rsidR="009379C4">
        <w:rPr>
          <w:rFonts w:ascii="Book Antiqua" w:hAnsi="Book Antiqua"/>
        </w:rPr>
        <w:t xml:space="preserve"> that were</w:t>
      </w:r>
      <w:r w:rsidR="000A675E">
        <w:rPr>
          <w:rFonts w:ascii="Book Antiqua" w:hAnsi="Book Antiqua"/>
        </w:rPr>
        <w:t xml:space="preserve"> exempt from </w:t>
      </w:r>
      <w:r w:rsidR="006B0BFD">
        <w:rPr>
          <w:rFonts w:ascii="Book Antiqua" w:hAnsi="Book Antiqua"/>
        </w:rPr>
        <w:t xml:space="preserve">universal service </w:t>
      </w:r>
      <w:r w:rsidR="000A675E">
        <w:rPr>
          <w:rFonts w:ascii="Book Antiqua" w:hAnsi="Book Antiqua"/>
        </w:rPr>
        <w:t>surcharges</w:t>
      </w:r>
      <w:r w:rsidR="002C7D65">
        <w:rPr>
          <w:rFonts w:ascii="Book Antiqua" w:hAnsi="Book Antiqua"/>
        </w:rPr>
        <w:t>.  While the Commission</w:t>
      </w:r>
      <w:r w:rsidR="009379C4">
        <w:rPr>
          <w:rFonts w:ascii="Book Antiqua" w:hAnsi="Book Antiqua"/>
        </w:rPr>
        <w:t xml:space="preserve"> </w:t>
      </w:r>
      <w:r w:rsidR="00312D6F">
        <w:rPr>
          <w:rFonts w:ascii="Book Antiqua" w:hAnsi="Book Antiqua"/>
        </w:rPr>
        <w:t>explicitly exe</w:t>
      </w:r>
      <w:r w:rsidR="00457294">
        <w:rPr>
          <w:rFonts w:ascii="Book Antiqua" w:hAnsi="Book Antiqua"/>
        </w:rPr>
        <w:t>m</w:t>
      </w:r>
      <w:r w:rsidR="00312D6F">
        <w:rPr>
          <w:rFonts w:ascii="Book Antiqua" w:hAnsi="Book Antiqua"/>
        </w:rPr>
        <w:t>pted</w:t>
      </w:r>
      <w:r w:rsidR="009379C4">
        <w:rPr>
          <w:rFonts w:ascii="Book Antiqua" w:hAnsi="Book Antiqua"/>
        </w:rPr>
        <w:t xml:space="preserve"> </w:t>
      </w:r>
      <w:r w:rsidR="000A675E">
        <w:rPr>
          <w:rFonts w:ascii="Book Antiqua" w:hAnsi="Book Antiqua"/>
        </w:rPr>
        <w:t>d</w:t>
      </w:r>
      <w:r w:rsidRPr="009D4C80">
        <w:rPr>
          <w:rFonts w:ascii="Book Antiqua" w:hAnsi="Book Antiqua"/>
        </w:rPr>
        <w:t>irectory advertising</w:t>
      </w:r>
      <w:r w:rsidR="002C7D65">
        <w:rPr>
          <w:rFonts w:ascii="Book Antiqua" w:hAnsi="Book Antiqua"/>
        </w:rPr>
        <w:t>,</w:t>
      </w:r>
      <w:r w:rsidR="000A675E">
        <w:rPr>
          <w:rStyle w:val="FootnoteReference"/>
          <w:rFonts w:ascii="Book Antiqua" w:hAnsi="Book Antiqua"/>
        </w:rPr>
        <w:footnoteReference w:id="57"/>
      </w:r>
      <w:r w:rsidRPr="009D4C80">
        <w:rPr>
          <w:rFonts w:ascii="Book Antiqua" w:hAnsi="Book Antiqua"/>
        </w:rPr>
        <w:t xml:space="preserve"> </w:t>
      </w:r>
      <w:r w:rsidR="006B0BFD">
        <w:rPr>
          <w:rFonts w:ascii="Book Antiqua" w:hAnsi="Book Antiqua"/>
        </w:rPr>
        <w:t>the Commission</w:t>
      </w:r>
      <w:r w:rsidR="002C7D65">
        <w:rPr>
          <w:rFonts w:ascii="Book Antiqua" w:hAnsi="Book Antiqua"/>
        </w:rPr>
        <w:t xml:space="preserve"> </w:t>
      </w:r>
      <w:r w:rsidRPr="009D4C80">
        <w:rPr>
          <w:rFonts w:ascii="Book Antiqua" w:hAnsi="Book Antiqua"/>
        </w:rPr>
        <w:t xml:space="preserve">did </w:t>
      </w:r>
      <w:r w:rsidRPr="00944C4F">
        <w:rPr>
          <w:rFonts w:ascii="Book Antiqua" w:hAnsi="Book Antiqua"/>
          <w:u w:val="single"/>
        </w:rPr>
        <w:t>not</w:t>
      </w:r>
      <w:r w:rsidRPr="009D4C80">
        <w:rPr>
          <w:rFonts w:ascii="Book Antiqua" w:hAnsi="Book Antiqua"/>
        </w:rPr>
        <w:t xml:space="preserve"> </w:t>
      </w:r>
      <w:r w:rsidR="00A37CC8">
        <w:rPr>
          <w:rFonts w:ascii="Book Antiqua" w:hAnsi="Book Antiqua"/>
        </w:rPr>
        <w:t xml:space="preserve">explicitly exempt </w:t>
      </w:r>
      <w:r w:rsidRPr="009D4C80">
        <w:rPr>
          <w:rFonts w:ascii="Book Antiqua" w:hAnsi="Book Antiqua"/>
        </w:rPr>
        <w:t>directory listings</w:t>
      </w:r>
      <w:r w:rsidR="009763CD">
        <w:rPr>
          <w:rFonts w:ascii="Book Antiqua" w:hAnsi="Book Antiqua"/>
        </w:rPr>
        <w:t xml:space="preserve"> or directory assistance services</w:t>
      </w:r>
      <w:r w:rsidRPr="009D4C80">
        <w:rPr>
          <w:rFonts w:ascii="Book Antiqua" w:hAnsi="Book Antiqua"/>
        </w:rPr>
        <w:t>, which w</w:t>
      </w:r>
      <w:r w:rsidR="009763CD">
        <w:rPr>
          <w:rFonts w:ascii="Book Antiqua" w:hAnsi="Book Antiqua"/>
        </w:rPr>
        <w:t>ere</w:t>
      </w:r>
      <w:r w:rsidRPr="009D4C80">
        <w:rPr>
          <w:rFonts w:ascii="Book Antiqua" w:hAnsi="Book Antiqua"/>
        </w:rPr>
        <w:t xml:space="preserve"> tariffed service</w:t>
      </w:r>
      <w:r w:rsidR="009763CD">
        <w:rPr>
          <w:rFonts w:ascii="Book Antiqua" w:hAnsi="Book Antiqua"/>
        </w:rPr>
        <w:t>s</w:t>
      </w:r>
      <w:r w:rsidR="00DD11AE">
        <w:rPr>
          <w:rFonts w:ascii="Book Antiqua" w:hAnsi="Book Antiqua"/>
        </w:rPr>
        <w:t xml:space="preserve"> subject to Commission regulation</w:t>
      </w:r>
      <w:r w:rsidR="00D409F7">
        <w:rPr>
          <w:rFonts w:ascii="Book Antiqua" w:hAnsi="Book Antiqua"/>
        </w:rPr>
        <w:t xml:space="preserve">.  </w:t>
      </w:r>
      <w:r w:rsidR="00753020">
        <w:rPr>
          <w:rFonts w:ascii="Book Antiqua" w:hAnsi="Book Antiqua"/>
        </w:rPr>
        <w:t>T</w:t>
      </w:r>
      <w:r w:rsidR="00EB544C">
        <w:rPr>
          <w:rFonts w:ascii="Book Antiqua" w:hAnsi="Book Antiqua"/>
        </w:rPr>
        <w:t>h</w:t>
      </w:r>
      <w:r w:rsidR="003D0163">
        <w:rPr>
          <w:rFonts w:ascii="Book Antiqua" w:hAnsi="Book Antiqua"/>
        </w:rPr>
        <w:t>e</w:t>
      </w:r>
      <w:r w:rsidR="00EB544C">
        <w:rPr>
          <w:rFonts w:ascii="Book Antiqua" w:hAnsi="Book Antiqua"/>
        </w:rPr>
        <w:t xml:space="preserve">se </w:t>
      </w:r>
      <w:r w:rsidR="009C53A8">
        <w:rPr>
          <w:rFonts w:ascii="Book Antiqua" w:hAnsi="Book Antiqua"/>
        </w:rPr>
        <w:t xml:space="preserve">other types of directory </w:t>
      </w:r>
      <w:r w:rsidR="00EB544C">
        <w:rPr>
          <w:rFonts w:ascii="Book Antiqua" w:hAnsi="Book Antiqua"/>
        </w:rPr>
        <w:t xml:space="preserve">services </w:t>
      </w:r>
      <w:r w:rsidR="00753020">
        <w:rPr>
          <w:rFonts w:ascii="Book Antiqua" w:hAnsi="Book Antiqua"/>
        </w:rPr>
        <w:t xml:space="preserve">thus </w:t>
      </w:r>
      <w:r w:rsidR="009763CD">
        <w:rPr>
          <w:rFonts w:ascii="Book Antiqua" w:hAnsi="Book Antiqua"/>
        </w:rPr>
        <w:t xml:space="preserve">remained </w:t>
      </w:r>
      <w:r w:rsidRPr="009D4C80">
        <w:rPr>
          <w:rFonts w:ascii="Book Antiqua" w:hAnsi="Book Antiqua"/>
        </w:rPr>
        <w:t>subject to surcharge</w:t>
      </w:r>
      <w:r w:rsidR="0060538F">
        <w:rPr>
          <w:rFonts w:ascii="Book Antiqua" w:hAnsi="Book Antiqua"/>
        </w:rPr>
        <w:t xml:space="preserve"> as a component of basic service</w:t>
      </w:r>
      <w:r w:rsidRPr="009D4C80">
        <w:rPr>
          <w:rFonts w:ascii="Book Antiqua" w:hAnsi="Book Antiqua"/>
        </w:rPr>
        <w:t>.</w:t>
      </w:r>
      <w:r>
        <w:rPr>
          <w:rFonts w:ascii="Book Antiqua" w:hAnsi="Book Antiqua"/>
        </w:rPr>
        <w:t xml:space="preserve">  </w:t>
      </w:r>
      <w:r w:rsidR="00457294">
        <w:rPr>
          <w:rFonts w:ascii="Book Antiqua" w:hAnsi="Book Antiqua"/>
        </w:rPr>
        <w:t xml:space="preserve">Indeed, </w:t>
      </w:r>
      <w:r w:rsidR="006868B4">
        <w:rPr>
          <w:rFonts w:ascii="Book Antiqua" w:hAnsi="Book Antiqua"/>
        </w:rPr>
        <w:t xml:space="preserve">Cox acknowledges that directory assistance service is subject to surcharge and the CPUC </w:t>
      </w:r>
      <w:r w:rsidR="001E70B7">
        <w:rPr>
          <w:rFonts w:ascii="Book Antiqua" w:hAnsi="Book Antiqua"/>
        </w:rPr>
        <w:t>U</w:t>
      </w:r>
      <w:r w:rsidR="006868B4">
        <w:rPr>
          <w:rFonts w:ascii="Book Antiqua" w:hAnsi="Book Antiqua"/>
        </w:rPr>
        <w:t xml:space="preserve">ser </w:t>
      </w:r>
      <w:r w:rsidR="001E70B7">
        <w:rPr>
          <w:rFonts w:ascii="Book Antiqua" w:hAnsi="Book Antiqua"/>
        </w:rPr>
        <w:t>F</w:t>
      </w:r>
      <w:r w:rsidR="006868B4">
        <w:rPr>
          <w:rFonts w:ascii="Book Antiqua" w:hAnsi="Book Antiqua"/>
        </w:rPr>
        <w:t>ee.</w:t>
      </w:r>
      <w:r w:rsidR="00866CDF">
        <w:rPr>
          <w:rStyle w:val="FootnoteReference"/>
          <w:rFonts w:ascii="Book Antiqua" w:hAnsi="Book Antiqua"/>
        </w:rPr>
        <w:footnoteReference w:id="58"/>
      </w:r>
      <w:r w:rsidR="00DD11AE">
        <w:rPr>
          <w:rFonts w:ascii="Book Antiqua" w:hAnsi="Book Antiqua"/>
        </w:rPr>
        <w:t xml:space="preserve"> </w:t>
      </w:r>
      <w:r w:rsidR="00576E1F">
        <w:rPr>
          <w:rFonts w:ascii="Book Antiqua" w:hAnsi="Book Antiqua"/>
        </w:rPr>
        <w:t xml:space="preserve">  </w:t>
      </w:r>
    </w:p>
    <w:p w:rsidR="00FB2859" w:rsidP="00840954" w:rsidRDefault="00FB2859" w14:paraId="48C82403" w14:textId="4F7A226F">
      <w:pPr>
        <w:tabs>
          <w:tab w:val="right" w:pos="10080"/>
        </w:tabs>
        <w:rPr>
          <w:rFonts w:ascii="Book Antiqua" w:hAnsi="Book Antiqua"/>
        </w:rPr>
      </w:pPr>
    </w:p>
    <w:p w:rsidR="00497940" w:rsidP="00840954" w:rsidRDefault="00497940" w14:paraId="1B87DE1C" w14:textId="6BC3C4E1">
      <w:pPr>
        <w:tabs>
          <w:tab w:val="right" w:pos="10080"/>
        </w:tabs>
        <w:rPr>
          <w:rFonts w:ascii="Book Antiqua" w:hAnsi="Book Antiqua"/>
          <w:bCs/>
        </w:rPr>
      </w:pPr>
      <w:r>
        <w:rPr>
          <w:rFonts w:ascii="Book Antiqua" w:hAnsi="Book Antiqua"/>
        </w:rPr>
        <w:t xml:space="preserve">We therefore find that Cox was obligated to collect and remit PPP surcharges and </w:t>
      </w:r>
      <w:r w:rsidR="00A039E3">
        <w:rPr>
          <w:rFonts w:ascii="Book Antiqua" w:hAnsi="Book Antiqua"/>
        </w:rPr>
        <w:t xml:space="preserve">CPUC </w:t>
      </w:r>
      <w:r>
        <w:rPr>
          <w:rFonts w:ascii="Book Antiqua" w:hAnsi="Book Antiqua"/>
        </w:rPr>
        <w:t xml:space="preserve">user fees for its </w:t>
      </w:r>
      <w:r>
        <w:rPr>
          <w:rFonts w:ascii="Book Antiqua" w:hAnsi="Book Antiqua"/>
          <w:bCs/>
        </w:rPr>
        <w:t xml:space="preserve">directory listings service, as set forth in the 2016 Audit Report and 2017 Analysis Report.  </w:t>
      </w:r>
    </w:p>
    <w:p w:rsidR="00497940" w:rsidP="00840954" w:rsidRDefault="00497940" w14:paraId="595C6FEA" w14:textId="77777777">
      <w:pPr>
        <w:tabs>
          <w:tab w:val="right" w:pos="10080"/>
        </w:tabs>
        <w:rPr>
          <w:rFonts w:ascii="Book Antiqua" w:hAnsi="Book Antiqua"/>
        </w:rPr>
      </w:pPr>
    </w:p>
    <w:p w:rsidRPr="00944C4F" w:rsidR="00893698" w:rsidP="00840954" w:rsidRDefault="00893698" w14:paraId="5863DA9F" w14:textId="4207CB85">
      <w:pPr>
        <w:pStyle w:val="ListParagraph"/>
        <w:numPr>
          <w:ilvl w:val="0"/>
          <w:numId w:val="33"/>
        </w:numPr>
        <w:tabs>
          <w:tab w:val="right" w:pos="10080"/>
        </w:tabs>
        <w:rPr>
          <w:rFonts w:ascii="Book Antiqua" w:hAnsi="Book Antiqua"/>
          <w:b/>
          <w:bCs/>
        </w:rPr>
      </w:pPr>
      <w:r w:rsidRPr="00944C4F">
        <w:rPr>
          <w:rFonts w:ascii="Book Antiqua" w:hAnsi="Book Antiqua"/>
          <w:b/>
          <w:bCs/>
        </w:rPr>
        <w:t xml:space="preserve">FCC </w:t>
      </w:r>
      <w:r w:rsidRPr="00944C4F" w:rsidR="00D30BA9">
        <w:rPr>
          <w:rFonts w:ascii="Book Antiqua" w:hAnsi="Book Antiqua"/>
          <w:b/>
          <w:bCs/>
        </w:rPr>
        <w:t>RULES DO NOT</w:t>
      </w:r>
      <w:r w:rsidRPr="00944C4F">
        <w:rPr>
          <w:rFonts w:ascii="Book Antiqua" w:hAnsi="Book Antiqua"/>
          <w:b/>
          <w:bCs/>
        </w:rPr>
        <w:t xml:space="preserve"> PROHIBIT STATES FROM SURCHARGING DIRECTORY LISTINGS SERVIC</w:t>
      </w:r>
      <w:r w:rsidRPr="00944C4F" w:rsidR="007839ED">
        <w:rPr>
          <w:rFonts w:ascii="Book Antiqua" w:hAnsi="Book Antiqua"/>
          <w:b/>
          <w:bCs/>
        </w:rPr>
        <w:t>ES</w:t>
      </w:r>
    </w:p>
    <w:p w:rsidR="008512F3" w:rsidP="009D4C80" w:rsidRDefault="008512F3" w14:paraId="2260BEDA" w14:textId="4D57C4BE">
      <w:pPr>
        <w:tabs>
          <w:tab w:val="right" w:pos="10080"/>
        </w:tabs>
        <w:rPr>
          <w:rFonts w:ascii="Book Antiqua" w:hAnsi="Book Antiqua"/>
        </w:rPr>
      </w:pPr>
    </w:p>
    <w:p w:rsidR="00B516B4" w:rsidP="009D4C80" w:rsidRDefault="0014341E" w14:paraId="0B94F138" w14:textId="50C6F7B8">
      <w:pPr>
        <w:tabs>
          <w:tab w:val="right" w:pos="10080"/>
        </w:tabs>
        <w:rPr>
          <w:rFonts w:ascii="Book Antiqua" w:hAnsi="Book Antiqua"/>
        </w:rPr>
      </w:pPr>
      <w:r>
        <w:rPr>
          <w:rFonts w:ascii="Book Antiqua" w:hAnsi="Book Antiqua"/>
        </w:rPr>
        <w:t xml:space="preserve">We also reject </w:t>
      </w:r>
      <w:r w:rsidR="009037C9">
        <w:rPr>
          <w:rFonts w:ascii="Book Antiqua" w:hAnsi="Book Antiqua"/>
        </w:rPr>
        <w:t>Cox’s</w:t>
      </w:r>
      <w:r w:rsidR="008207AA">
        <w:rPr>
          <w:rFonts w:ascii="Book Antiqua" w:hAnsi="Book Antiqua"/>
        </w:rPr>
        <w:t xml:space="preserve"> </w:t>
      </w:r>
      <w:r>
        <w:rPr>
          <w:rFonts w:ascii="Book Antiqua" w:hAnsi="Book Antiqua"/>
        </w:rPr>
        <w:t>contention that</w:t>
      </w:r>
      <w:r w:rsidR="008207AA">
        <w:rPr>
          <w:rFonts w:ascii="Book Antiqua" w:hAnsi="Book Antiqua"/>
        </w:rPr>
        <w:t xml:space="preserve"> </w:t>
      </w:r>
      <w:r w:rsidR="004E06D3">
        <w:rPr>
          <w:rFonts w:ascii="Book Antiqua" w:hAnsi="Book Antiqua"/>
        </w:rPr>
        <w:t xml:space="preserve">the Commission cannot subject directory listings to state universal service obligations because </w:t>
      </w:r>
      <w:r w:rsidRPr="008207AA" w:rsidR="008207AA">
        <w:rPr>
          <w:rFonts w:ascii="Book Antiqua" w:hAnsi="Book Antiqua"/>
        </w:rPr>
        <w:t xml:space="preserve">the </w:t>
      </w:r>
      <w:r w:rsidRPr="00840954" w:rsidR="004E06D3">
        <w:rPr>
          <w:rFonts w:ascii="Book Antiqua" w:hAnsi="Book Antiqua"/>
        </w:rPr>
        <w:t xml:space="preserve">FCC does not subject </w:t>
      </w:r>
      <w:r w:rsidR="004E06D3">
        <w:rPr>
          <w:rFonts w:ascii="Book Antiqua" w:hAnsi="Book Antiqua"/>
        </w:rPr>
        <w:t>directory listings</w:t>
      </w:r>
      <w:r w:rsidRPr="00840954" w:rsidR="004E06D3">
        <w:rPr>
          <w:rFonts w:ascii="Book Antiqua" w:hAnsi="Book Antiqua"/>
        </w:rPr>
        <w:t xml:space="preserve"> to federal universal service contributions</w:t>
      </w:r>
      <w:r w:rsidR="004E06D3">
        <w:rPr>
          <w:rFonts w:ascii="Book Antiqua" w:hAnsi="Book Antiqua"/>
        </w:rPr>
        <w:t xml:space="preserve">.  </w:t>
      </w:r>
      <w:r w:rsidR="00C739FB">
        <w:rPr>
          <w:rFonts w:ascii="Book Antiqua" w:hAnsi="Book Antiqua"/>
        </w:rPr>
        <w:t>T</w:t>
      </w:r>
      <w:r w:rsidRPr="009D4C80" w:rsidR="009D4C80">
        <w:rPr>
          <w:rFonts w:ascii="Book Antiqua" w:hAnsi="Book Antiqua"/>
        </w:rPr>
        <w:t xml:space="preserve">he FCC order that adopted the FCC </w:t>
      </w:r>
      <w:r w:rsidR="00A20176">
        <w:rPr>
          <w:rFonts w:ascii="Book Antiqua" w:hAnsi="Book Antiqua"/>
        </w:rPr>
        <w:t>F</w:t>
      </w:r>
      <w:r w:rsidRPr="009D4C80" w:rsidR="009D4C80">
        <w:rPr>
          <w:rFonts w:ascii="Book Antiqua" w:hAnsi="Book Antiqua"/>
        </w:rPr>
        <w:t xml:space="preserve">orm 499, </w:t>
      </w:r>
      <w:r w:rsidRPr="009D4C80" w:rsidR="009D4C80">
        <w:rPr>
          <w:rFonts w:ascii="Book Antiqua" w:hAnsi="Book Antiqua"/>
        </w:rPr>
        <w:lastRenderedPageBreak/>
        <w:t xml:space="preserve">which Cox cites in support of its position, is inapposite here.  </w:t>
      </w:r>
      <w:r w:rsidR="00B516B4">
        <w:rPr>
          <w:rFonts w:ascii="Book Antiqua" w:hAnsi="Book Antiqua"/>
        </w:rPr>
        <w:t xml:space="preserve">The FCC’s </w:t>
      </w:r>
      <w:r w:rsidR="00A20176">
        <w:rPr>
          <w:rFonts w:ascii="Book Antiqua" w:hAnsi="Book Antiqua"/>
        </w:rPr>
        <w:t>F</w:t>
      </w:r>
      <w:r w:rsidR="00B516B4">
        <w:rPr>
          <w:rFonts w:ascii="Book Antiqua" w:hAnsi="Book Antiqua"/>
        </w:rPr>
        <w:t>orm 499 instructions apply solely to carriers’ calculations of their federal universal service obligations.  Here, we are concerned with</w:t>
      </w:r>
      <w:r w:rsidR="00BD6B5E">
        <w:rPr>
          <w:rFonts w:ascii="Book Antiqua" w:hAnsi="Book Antiqua"/>
        </w:rPr>
        <w:t xml:space="preserve"> Cox’s </w:t>
      </w:r>
      <w:r w:rsidRPr="00944C4F" w:rsidR="00BD6B5E">
        <w:rPr>
          <w:rFonts w:ascii="Book Antiqua" w:hAnsi="Book Antiqua"/>
          <w:i/>
          <w:iCs/>
        </w:rPr>
        <w:t>state</w:t>
      </w:r>
      <w:r w:rsidR="00BD6B5E">
        <w:rPr>
          <w:rFonts w:ascii="Book Antiqua" w:hAnsi="Book Antiqua"/>
        </w:rPr>
        <w:t xml:space="preserve"> universal service obligations</w:t>
      </w:r>
      <w:r w:rsidR="00A20176">
        <w:rPr>
          <w:rFonts w:ascii="Book Antiqua" w:hAnsi="Book Antiqua"/>
        </w:rPr>
        <w:t xml:space="preserve"> and therefore are not bound by the FCC’s Form 499 instructions</w:t>
      </w:r>
      <w:r w:rsidR="00BD6B5E">
        <w:rPr>
          <w:rFonts w:ascii="Book Antiqua" w:hAnsi="Book Antiqua"/>
        </w:rPr>
        <w:t>.</w:t>
      </w:r>
      <w:r w:rsidR="009B7871">
        <w:rPr>
          <w:rStyle w:val="FootnoteReference"/>
          <w:rFonts w:ascii="Book Antiqua" w:hAnsi="Book Antiqua"/>
        </w:rPr>
        <w:footnoteReference w:id="59"/>
      </w:r>
      <w:r w:rsidR="00BD6B5E">
        <w:rPr>
          <w:rFonts w:ascii="Book Antiqua" w:hAnsi="Book Antiqua"/>
        </w:rPr>
        <w:t xml:space="preserve"> </w:t>
      </w:r>
      <w:r w:rsidR="00B516B4">
        <w:rPr>
          <w:rFonts w:ascii="Book Antiqua" w:hAnsi="Book Antiqua"/>
        </w:rPr>
        <w:t xml:space="preserve"> </w:t>
      </w:r>
    </w:p>
    <w:p w:rsidR="00B516B4" w:rsidP="009D4C80" w:rsidRDefault="00B516B4" w14:paraId="7037BCCB" w14:textId="77777777">
      <w:pPr>
        <w:tabs>
          <w:tab w:val="right" w:pos="10080"/>
        </w:tabs>
        <w:rPr>
          <w:rFonts w:ascii="Book Antiqua" w:hAnsi="Book Antiqua"/>
        </w:rPr>
      </w:pPr>
    </w:p>
    <w:p w:rsidRPr="00840954" w:rsidR="000A52CD" w:rsidP="00840954" w:rsidRDefault="009D4C80" w14:paraId="21D676BE" w14:textId="3FB1D3FF">
      <w:pPr>
        <w:tabs>
          <w:tab w:val="right" w:pos="10080"/>
        </w:tabs>
        <w:rPr>
          <w:rFonts w:ascii="Book Antiqua" w:hAnsi="Book Antiqua"/>
        </w:rPr>
      </w:pPr>
      <w:r w:rsidRPr="009D4C80">
        <w:rPr>
          <w:rFonts w:ascii="Book Antiqua" w:hAnsi="Book Antiqua"/>
        </w:rPr>
        <w:t xml:space="preserve">Contrary to Cox’s contention, </w:t>
      </w:r>
      <w:r w:rsidR="00EB55DE">
        <w:rPr>
          <w:rFonts w:ascii="Book Antiqua" w:hAnsi="Book Antiqua"/>
        </w:rPr>
        <w:t xml:space="preserve">the cited </w:t>
      </w:r>
      <w:r w:rsidRPr="009D4C80">
        <w:rPr>
          <w:rFonts w:ascii="Book Antiqua" w:hAnsi="Book Antiqua"/>
        </w:rPr>
        <w:t xml:space="preserve">order does not contain an explicit </w:t>
      </w:r>
      <w:r w:rsidR="00EB55DE">
        <w:rPr>
          <w:rFonts w:ascii="Book Antiqua" w:hAnsi="Book Antiqua"/>
        </w:rPr>
        <w:t xml:space="preserve">FCC </w:t>
      </w:r>
      <w:r w:rsidRPr="009D4C80">
        <w:rPr>
          <w:rFonts w:ascii="Book Antiqua" w:hAnsi="Book Antiqua"/>
        </w:rPr>
        <w:t xml:space="preserve">determination that directory listings service is not a telecommunications service, as the FCC has determined with </w:t>
      </w:r>
      <w:r w:rsidR="00C739FB">
        <w:rPr>
          <w:rFonts w:ascii="Book Antiqua" w:hAnsi="Book Antiqua"/>
        </w:rPr>
        <w:t>text messaging or voicemail</w:t>
      </w:r>
      <w:r w:rsidR="00AC013F">
        <w:rPr>
          <w:rFonts w:ascii="Book Antiqua" w:hAnsi="Book Antiqua"/>
        </w:rPr>
        <w:t xml:space="preserve"> services</w:t>
      </w:r>
      <w:r w:rsidRPr="009D4C80">
        <w:rPr>
          <w:rFonts w:ascii="Book Antiqua" w:hAnsi="Book Antiqua"/>
        </w:rPr>
        <w:t>, for instance.</w:t>
      </w:r>
      <w:r w:rsidR="00187335">
        <w:rPr>
          <w:rFonts w:ascii="Book Antiqua" w:hAnsi="Book Antiqua"/>
        </w:rPr>
        <w:t xml:space="preserve">  </w:t>
      </w:r>
      <w:r w:rsidR="00AF175F">
        <w:rPr>
          <w:rFonts w:ascii="Book Antiqua" w:hAnsi="Book Antiqua"/>
        </w:rPr>
        <w:t>A</w:t>
      </w:r>
      <w:r w:rsidRPr="009D4C80">
        <w:rPr>
          <w:rFonts w:ascii="Book Antiqua" w:hAnsi="Book Antiqua"/>
        </w:rPr>
        <w:t xml:space="preserve">bsent a similar </w:t>
      </w:r>
      <w:r w:rsidR="00530A66">
        <w:rPr>
          <w:rFonts w:ascii="Book Antiqua" w:hAnsi="Book Antiqua"/>
        </w:rPr>
        <w:t>explicit</w:t>
      </w:r>
      <w:r w:rsidRPr="009D4C80">
        <w:rPr>
          <w:rFonts w:ascii="Book Antiqua" w:hAnsi="Book Antiqua"/>
        </w:rPr>
        <w:t xml:space="preserve"> </w:t>
      </w:r>
      <w:r w:rsidR="000D0A12">
        <w:rPr>
          <w:rFonts w:ascii="Book Antiqua" w:hAnsi="Book Antiqua"/>
        </w:rPr>
        <w:t>finding</w:t>
      </w:r>
      <w:r w:rsidR="00B17875">
        <w:rPr>
          <w:rFonts w:ascii="Book Antiqua" w:hAnsi="Book Antiqua"/>
        </w:rPr>
        <w:t xml:space="preserve"> </w:t>
      </w:r>
      <w:r w:rsidRPr="009D4C80">
        <w:rPr>
          <w:rFonts w:ascii="Book Antiqua" w:hAnsi="Book Antiqua"/>
        </w:rPr>
        <w:t xml:space="preserve">from the FCC regarding </w:t>
      </w:r>
      <w:r w:rsidR="00F51C39">
        <w:rPr>
          <w:rFonts w:ascii="Book Antiqua" w:hAnsi="Book Antiqua"/>
        </w:rPr>
        <w:t xml:space="preserve">the classification of </w:t>
      </w:r>
      <w:r w:rsidRPr="009D4C80">
        <w:rPr>
          <w:rFonts w:ascii="Book Antiqua" w:hAnsi="Book Antiqua"/>
        </w:rPr>
        <w:t>directory listings</w:t>
      </w:r>
      <w:r w:rsidR="00F51C39">
        <w:rPr>
          <w:rFonts w:ascii="Book Antiqua" w:hAnsi="Book Antiqua"/>
        </w:rPr>
        <w:t xml:space="preserve"> service</w:t>
      </w:r>
      <w:r w:rsidRPr="009D4C80">
        <w:rPr>
          <w:rFonts w:ascii="Book Antiqua" w:hAnsi="Book Antiqua"/>
        </w:rPr>
        <w:t xml:space="preserve">, </w:t>
      </w:r>
      <w:r w:rsidR="00774332">
        <w:rPr>
          <w:rFonts w:ascii="Book Antiqua" w:hAnsi="Book Antiqua"/>
        </w:rPr>
        <w:t xml:space="preserve">the Commission’s treatment of </w:t>
      </w:r>
      <w:r w:rsidR="00FA5DAA">
        <w:rPr>
          <w:rFonts w:ascii="Book Antiqua" w:hAnsi="Book Antiqua"/>
        </w:rPr>
        <w:t xml:space="preserve">directory listings as set forth in </w:t>
      </w:r>
      <w:r w:rsidRPr="009D4C80">
        <w:rPr>
          <w:rFonts w:ascii="Book Antiqua" w:hAnsi="Book Antiqua"/>
        </w:rPr>
        <w:t>D.96-10-066</w:t>
      </w:r>
      <w:r w:rsidR="00DD4507">
        <w:rPr>
          <w:rFonts w:ascii="Book Antiqua" w:hAnsi="Book Antiqua"/>
        </w:rPr>
        <w:t xml:space="preserve"> and subsequent Commission decisions,</w:t>
      </w:r>
      <w:r w:rsidRPr="009D4C80">
        <w:rPr>
          <w:rFonts w:ascii="Book Antiqua" w:hAnsi="Book Antiqua"/>
        </w:rPr>
        <w:t xml:space="preserve"> </w:t>
      </w:r>
      <w:r w:rsidR="00FA5DAA">
        <w:rPr>
          <w:rFonts w:ascii="Book Antiqua" w:hAnsi="Book Antiqua"/>
        </w:rPr>
        <w:t xml:space="preserve">continues to </w:t>
      </w:r>
      <w:r w:rsidRPr="009D4C80">
        <w:rPr>
          <w:rFonts w:ascii="Book Antiqua" w:hAnsi="Book Antiqua"/>
        </w:rPr>
        <w:t>appl</w:t>
      </w:r>
      <w:r w:rsidR="00FA5DAA">
        <w:rPr>
          <w:rFonts w:ascii="Book Antiqua" w:hAnsi="Book Antiqua"/>
        </w:rPr>
        <w:t>y.</w:t>
      </w:r>
      <w:r w:rsidR="00AF175F">
        <w:rPr>
          <w:rFonts w:ascii="Book Antiqua" w:hAnsi="Book Antiqua"/>
        </w:rPr>
        <w:t xml:space="preserve">  Thus, the Commission’s </w:t>
      </w:r>
      <w:r w:rsidR="00894965">
        <w:rPr>
          <w:rFonts w:ascii="Book Antiqua" w:hAnsi="Book Antiqua"/>
        </w:rPr>
        <w:t xml:space="preserve">surcharge treatment for directory listings service is consistent with FCC orders. </w:t>
      </w:r>
    </w:p>
    <w:p w:rsidR="00452F7B" w:rsidP="006D4BE4" w:rsidRDefault="00452F7B" w14:paraId="20640128" w14:textId="77777777">
      <w:pPr>
        <w:tabs>
          <w:tab w:val="right" w:pos="10080"/>
        </w:tabs>
        <w:spacing w:after="120"/>
        <w:rPr>
          <w:rFonts w:ascii="Book Antiqua" w:hAnsi="Book Antiqua"/>
          <w:b/>
          <w:u w:val="single"/>
        </w:rPr>
      </w:pPr>
    </w:p>
    <w:p w:rsidR="00866CDF" w:rsidP="006D4BE4" w:rsidRDefault="005D6211" w14:paraId="3BF2EA2F" w14:textId="416A26EC">
      <w:pPr>
        <w:tabs>
          <w:tab w:val="right" w:pos="10080"/>
        </w:tabs>
        <w:spacing w:after="120"/>
        <w:rPr>
          <w:rFonts w:ascii="Book Antiqua" w:hAnsi="Book Antiqua"/>
          <w:b/>
          <w:u w:val="single"/>
        </w:rPr>
      </w:pPr>
      <w:r w:rsidRPr="00840954">
        <w:rPr>
          <w:rFonts w:ascii="Book Antiqua" w:hAnsi="Book Antiqua"/>
          <w:b/>
          <w:u w:val="single"/>
        </w:rPr>
        <w:t>CONCLUSION</w:t>
      </w:r>
    </w:p>
    <w:p w:rsidRPr="00840954" w:rsidR="000A52CD" w:rsidP="00944C4F" w:rsidRDefault="00C3612F" w14:paraId="069EFC5B" w14:textId="35D7A912">
      <w:pPr>
        <w:tabs>
          <w:tab w:val="right" w:pos="10080"/>
        </w:tabs>
        <w:spacing w:before="240" w:after="120"/>
        <w:rPr>
          <w:rFonts w:ascii="Book Antiqua" w:hAnsi="Book Antiqua"/>
          <w:bCs/>
        </w:rPr>
      </w:pPr>
      <w:r w:rsidRPr="00840954">
        <w:rPr>
          <w:rFonts w:ascii="Book Antiqua" w:hAnsi="Book Antiqua"/>
          <w:bCs/>
        </w:rPr>
        <w:t xml:space="preserve">Based on the foregoing, we </w:t>
      </w:r>
      <w:r w:rsidRPr="00840954" w:rsidR="006743A5">
        <w:rPr>
          <w:rFonts w:ascii="Book Antiqua" w:hAnsi="Book Antiqua"/>
          <w:bCs/>
        </w:rPr>
        <w:t xml:space="preserve">affirm the </w:t>
      </w:r>
      <w:r w:rsidRPr="00840954" w:rsidR="000D2D6C">
        <w:rPr>
          <w:rFonts w:ascii="Book Antiqua" w:hAnsi="Book Antiqua"/>
          <w:bCs/>
        </w:rPr>
        <w:t xml:space="preserve">2016 </w:t>
      </w:r>
      <w:r w:rsidRPr="00840954" w:rsidR="006743A5">
        <w:rPr>
          <w:rFonts w:ascii="Book Antiqua" w:hAnsi="Book Antiqua"/>
          <w:bCs/>
        </w:rPr>
        <w:t xml:space="preserve">Audit Report </w:t>
      </w:r>
      <w:r w:rsidRPr="00840954" w:rsidR="000D2D6C">
        <w:rPr>
          <w:rFonts w:ascii="Book Antiqua" w:hAnsi="Book Antiqua"/>
          <w:bCs/>
        </w:rPr>
        <w:t>and 201</w:t>
      </w:r>
      <w:r w:rsidR="006959D7">
        <w:rPr>
          <w:rFonts w:ascii="Book Antiqua" w:hAnsi="Book Antiqua"/>
          <w:bCs/>
        </w:rPr>
        <w:t>7</w:t>
      </w:r>
      <w:r w:rsidRPr="00840954" w:rsidR="000D2D6C">
        <w:rPr>
          <w:rFonts w:ascii="Book Antiqua" w:hAnsi="Book Antiqua"/>
          <w:bCs/>
        </w:rPr>
        <w:t xml:space="preserve"> Analysis Report </w:t>
      </w:r>
      <w:r w:rsidRPr="00840954" w:rsidR="006743A5">
        <w:rPr>
          <w:rFonts w:ascii="Book Antiqua" w:hAnsi="Book Antiqua"/>
          <w:bCs/>
        </w:rPr>
        <w:t>findings</w:t>
      </w:r>
      <w:r w:rsidRPr="00840954" w:rsidR="000D2D6C">
        <w:rPr>
          <w:rFonts w:ascii="Book Antiqua" w:hAnsi="Book Antiqua"/>
          <w:bCs/>
        </w:rPr>
        <w:t>, collectiv</w:t>
      </w:r>
      <w:r w:rsidRPr="00840954" w:rsidR="00740E86">
        <w:rPr>
          <w:rFonts w:ascii="Book Antiqua" w:hAnsi="Book Antiqua"/>
          <w:bCs/>
        </w:rPr>
        <w:t>ely</w:t>
      </w:r>
      <w:r w:rsidRPr="00840954" w:rsidR="006743A5">
        <w:rPr>
          <w:rFonts w:ascii="Book Antiqua" w:hAnsi="Book Antiqua"/>
          <w:bCs/>
        </w:rPr>
        <w:t xml:space="preserve"> for fiscal years </w:t>
      </w:r>
      <w:r w:rsidRPr="008620AF" w:rsidR="00A1723F">
        <w:rPr>
          <w:rFonts w:ascii="Book Antiqua" w:hAnsi="Book Antiqua"/>
          <w:bCs/>
        </w:rPr>
        <w:t>2012</w:t>
      </w:r>
      <w:r w:rsidR="00A1723F">
        <w:rPr>
          <w:rFonts w:ascii="Book Antiqua" w:hAnsi="Book Antiqua"/>
          <w:bCs/>
        </w:rPr>
        <w:t>-2013, 2013-2014, and 2014</w:t>
      </w:r>
      <w:r w:rsidRPr="008620AF" w:rsidR="00A1723F">
        <w:rPr>
          <w:rFonts w:ascii="Book Antiqua" w:hAnsi="Book Antiqua"/>
          <w:bCs/>
        </w:rPr>
        <w:t>-2015</w:t>
      </w:r>
      <w:r w:rsidRPr="00840954" w:rsidR="006743A5">
        <w:rPr>
          <w:rFonts w:ascii="Book Antiqua" w:hAnsi="Book Antiqua"/>
          <w:bCs/>
        </w:rPr>
        <w:t xml:space="preserve"> related to Cox’s obligation to remit CPUC </w:t>
      </w:r>
      <w:r w:rsidR="00E372C4">
        <w:rPr>
          <w:rFonts w:ascii="Book Antiqua" w:hAnsi="Book Antiqua"/>
          <w:bCs/>
        </w:rPr>
        <w:t>P</w:t>
      </w:r>
      <w:r w:rsidRPr="00840954" w:rsidR="006743A5">
        <w:rPr>
          <w:rFonts w:ascii="Book Antiqua" w:hAnsi="Book Antiqua"/>
          <w:bCs/>
        </w:rPr>
        <w:t xml:space="preserve">ublic </w:t>
      </w:r>
      <w:r w:rsidR="00E372C4">
        <w:rPr>
          <w:rFonts w:ascii="Book Antiqua" w:hAnsi="Book Antiqua"/>
          <w:bCs/>
        </w:rPr>
        <w:t>P</w:t>
      </w:r>
      <w:r w:rsidRPr="00840954" w:rsidR="006743A5">
        <w:rPr>
          <w:rFonts w:ascii="Book Antiqua" w:hAnsi="Book Antiqua"/>
          <w:bCs/>
        </w:rPr>
        <w:t xml:space="preserve">urpose </w:t>
      </w:r>
      <w:r w:rsidR="00E372C4">
        <w:rPr>
          <w:rFonts w:ascii="Book Antiqua" w:hAnsi="Book Antiqua"/>
          <w:bCs/>
        </w:rPr>
        <w:t>P</w:t>
      </w:r>
      <w:r w:rsidRPr="00840954" w:rsidR="006743A5">
        <w:rPr>
          <w:rFonts w:ascii="Book Antiqua" w:hAnsi="Book Antiqua"/>
          <w:bCs/>
        </w:rPr>
        <w:t>rogram</w:t>
      </w:r>
      <w:r w:rsidR="00C52B5A">
        <w:rPr>
          <w:rFonts w:ascii="Book Antiqua" w:hAnsi="Book Antiqua"/>
          <w:bCs/>
        </w:rPr>
        <w:t>s</w:t>
      </w:r>
      <w:r w:rsidRPr="00840954" w:rsidR="006743A5">
        <w:rPr>
          <w:rFonts w:ascii="Book Antiqua" w:hAnsi="Book Antiqua"/>
          <w:bCs/>
        </w:rPr>
        <w:t xml:space="preserve"> surcharges and </w:t>
      </w:r>
      <w:r w:rsidR="00E372C4">
        <w:rPr>
          <w:rFonts w:ascii="Book Antiqua" w:hAnsi="Book Antiqua"/>
          <w:bCs/>
        </w:rPr>
        <w:t xml:space="preserve">CPUC </w:t>
      </w:r>
      <w:r w:rsidRPr="00840954" w:rsidR="006743A5">
        <w:rPr>
          <w:rFonts w:ascii="Book Antiqua" w:hAnsi="Book Antiqua"/>
          <w:bCs/>
        </w:rPr>
        <w:t xml:space="preserve">user fees for its directory listings service </w:t>
      </w:r>
      <w:r w:rsidR="00AA0582">
        <w:rPr>
          <w:rFonts w:ascii="Book Antiqua" w:hAnsi="Book Antiqua"/>
          <w:bCs/>
        </w:rPr>
        <w:t xml:space="preserve">intrastate </w:t>
      </w:r>
      <w:r w:rsidRPr="00840954" w:rsidR="006743A5">
        <w:rPr>
          <w:rFonts w:ascii="Book Antiqua" w:hAnsi="Book Antiqua"/>
          <w:bCs/>
        </w:rPr>
        <w:t xml:space="preserve">revenue.  </w:t>
      </w:r>
      <w:r w:rsidR="00A1723F">
        <w:rPr>
          <w:rFonts w:ascii="Book Antiqua" w:hAnsi="Book Antiqua"/>
          <w:bCs/>
        </w:rPr>
        <w:t>In turn, w</w:t>
      </w:r>
      <w:r w:rsidRPr="00840954" w:rsidR="006743A5">
        <w:rPr>
          <w:rFonts w:ascii="Book Antiqua" w:hAnsi="Book Antiqua"/>
          <w:bCs/>
        </w:rPr>
        <w:t>e also affirm CD’s efforts to secure compliance with the</w:t>
      </w:r>
      <w:r w:rsidRPr="00840954" w:rsidR="0007655A">
        <w:rPr>
          <w:rFonts w:ascii="Book Antiqua" w:hAnsi="Book Antiqua"/>
          <w:bCs/>
        </w:rPr>
        <w:t>se</w:t>
      </w:r>
      <w:r w:rsidRPr="00840954" w:rsidR="00A861CE">
        <w:rPr>
          <w:rFonts w:ascii="Book Antiqua" w:hAnsi="Book Antiqua"/>
          <w:bCs/>
        </w:rPr>
        <w:t xml:space="preserve"> findings</w:t>
      </w:r>
      <w:r w:rsidRPr="00840954" w:rsidR="006743A5">
        <w:rPr>
          <w:rFonts w:ascii="Book Antiqua" w:hAnsi="Book Antiqua"/>
          <w:bCs/>
        </w:rPr>
        <w:t>.</w:t>
      </w:r>
      <w:r w:rsidR="00D16493">
        <w:rPr>
          <w:rFonts w:ascii="Book Antiqua" w:hAnsi="Book Antiqua"/>
          <w:bCs/>
        </w:rPr>
        <w:t xml:space="preserve">  </w:t>
      </w:r>
      <w:r w:rsidRPr="00840954" w:rsidR="00C70054">
        <w:rPr>
          <w:rFonts w:ascii="Book Antiqua" w:hAnsi="Book Antiqua"/>
          <w:bCs/>
        </w:rPr>
        <w:t xml:space="preserve">We reject Cox’s </w:t>
      </w:r>
      <w:r w:rsidRPr="00E372C4" w:rsidR="00C70054">
        <w:rPr>
          <w:rFonts w:ascii="Book Antiqua" w:hAnsi="Book Antiqua"/>
          <w:bCs/>
        </w:rPr>
        <w:t>claims that directory listings service is not a telecommunications service</w:t>
      </w:r>
      <w:r w:rsidRPr="00020452" w:rsidR="00C70054">
        <w:rPr>
          <w:rFonts w:ascii="Book Antiqua" w:hAnsi="Book Antiqua"/>
          <w:bCs/>
        </w:rPr>
        <w:t xml:space="preserve"> for</w:t>
      </w:r>
      <w:r w:rsidRPr="00840954" w:rsidR="00C70054">
        <w:rPr>
          <w:rFonts w:ascii="Book Antiqua" w:hAnsi="Book Antiqua"/>
          <w:bCs/>
        </w:rPr>
        <w:t xml:space="preserve"> purposes of the CPUC’s </w:t>
      </w:r>
      <w:r w:rsidR="00CA58E0">
        <w:rPr>
          <w:rFonts w:ascii="Book Antiqua" w:hAnsi="Book Antiqua"/>
          <w:bCs/>
        </w:rPr>
        <w:t>Public Purpose Program</w:t>
      </w:r>
      <w:r w:rsidR="00C52B5A">
        <w:rPr>
          <w:rFonts w:ascii="Book Antiqua" w:hAnsi="Book Antiqua"/>
          <w:bCs/>
        </w:rPr>
        <w:t>s</w:t>
      </w:r>
      <w:r w:rsidR="00CA58E0">
        <w:rPr>
          <w:rFonts w:ascii="Book Antiqua" w:hAnsi="Book Antiqua"/>
          <w:bCs/>
        </w:rPr>
        <w:t xml:space="preserve"> </w:t>
      </w:r>
      <w:r w:rsidRPr="00840954" w:rsidR="00C70054">
        <w:rPr>
          <w:rFonts w:ascii="Book Antiqua" w:hAnsi="Book Antiqua"/>
          <w:bCs/>
        </w:rPr>
        <w:t xml:space="preserve">surcharges and </w:t>
      </w:r>
      <w:r w:rsidR="00C52B5A">
        <w:rPr>
          <w:rFonts w:ascii="Book Antiqua" w:hAnsi="Book Antiqua"/>
          <w:bCs/>
        </w:rPr>
        <w:t xml:space="preserve">CPUC </w:t>
      </w:r>
      <w:r w:rsidR="00CA58E0">
        <w:rPr>
          <w:rFonts w:ascii="Book Antiqua" w:hAnsi="Book Antiqua"/>
          <w:bCs/>
        </w:rPr>
        <w:t>U</w:t>
      </w:r>
      <w:r w:rsidRPr="00840954" w:rsidR="00C70054">
        <w:rPr>
          <w:rFonts w:ascii="Book Antiqua" w:hAnsi="Book Antiqua"/>
          <w:bCs/>
        </w:rPr>
        <w:t xml:space="preserve">ser </w:t>
      </w:r>
      <w:r w:rsidR="00CA58E0">
        <w:rPr>
          <w:rFonts w:ascii="Book Antiqua" w:hAnsi="Book Antiqua"/>
          <w:bCs/>
        </w:rPr>
        <w:t>F</w:t>
      </w:r>
      <w:r w:rsidRPr="00840954" w:rsidR="00C70054">
        <w:rPr>
          <w:rFonts w:ascii="Book Antiqua" w:hAnsi="Book Antiqua"/>
          <w:bCs/>
        </w:rPr>
        <w:t>ee remittances</w:t>
      </w:r>
      <w:r w:rsidRPr="00840954" w:rsidR="00D3465F">
        <w:rPr>
          <w:rFonts w:ascii="Book Antiqua" w:hAnsi="Book Antiqua"/>
          <w:bCs/>
        </w:rPr>
        <w:t xml:space="preserve">.  </w:t>
      </w:r>
      <w:r w:rsidRPr="00840954" w:rsidR="00C70054">
        <w:rPr>
          <w:rFonts w:ascii="Book Antiqua" w:hAnsi="Book Antiqua"/>
          <w:bCs/>
        </w:rPr>
        <w:t xml:space="preserve">  </w:t>
      </w:r>
      <w:r w:rsidRPr="00840954" w:rsidR="006743A5">
        <w:rPr>
          <w:rFonts w:ascii="Book Antiqua" w:hAnsi="Book Antiqua"/>
          <w:bCs/>
        </w:rPr>
        <w:t xml:space="preserve">   </w:t>
      </w:r>
      <w:r w:rsidRPr="00840954" w:rsidR="004C3B69">
        <w:rPr>
          <w:rFonts w:ascii="Book Antiqua" w:hAnsi="Book Antiqua"/>
          <w:bCs/>
        </w:rPr>
        <w:t xml:space="preserve"> </w:t>
      </w:r>
    </w:p>
    <w:p w:rsidR="00866CDF" w:rsidP="00521155" w:rsidRDefault="00866CDF" w14:paraId="0244F197" w14:textId="77777777">
      <w:pPr>
        <w:tabs>
          <w:tab w:val="right" w:pos="10080"/>
        </w:tabs>
        <w:jc w:val="both"/>
        <w:rPr>
          <w:rFonts w:ascii="Book Antiqua" w:hAnsi="Book Antiqua"/>
          <w:b/>
          <w:u w:val="single"/>
        </w:rPr>
      </w:pPr>
    </w:p>
    <w:p w:rsidRPr="00840954" w:rsidR="00521155" w:rsidP="00521155" w:rsidRDefault="00521155" w14:paraId="228E1BDA" w14:textId="0535F6AD">
      <w:pPr>
        <w:tabs>
          <w:tab w:val="right" w:pos="10080"/>
        </w:tabs>
        <w:jc w:val="both"/>
        <w:rPr>
          <w:rFonts w:ascii="Book Antiqua" w:hAnsi="Book Antiqua"/>
          <w:b/>
          <w:u w:val="single"/>
        </w:rPr>
      </w:pPr>
      <w:r w:rsidRPr="00840954">
        <w:rPr>
          <w:rFonts w:ascii="Book Antiqua" w:hAnsi="Book Antiqua"/>
          <w:b/>
          <w:u w:val="single"/>
        </w:rPr>
        <w:t>SAFETY CONSIDERATIONS</w:t>
      </w:r>
    </w:p>
    <w:p w:rsidRPr="00840954" w:rsidR="00521155" w:rsidP="00521155" w:rsidRDefault="00521155" w14:paraId="40CF4A25" w14:textId="77777777">
      <w:pPr>
        <w:tabs>
          <w:tab w:val="right" w:pos="10080"/>
        </w:tabs>
        <w:jc w:val="both"/>
        <w:rPr>
          <w:rFonts w:ascii="Book Antiqua" w:hAnsi="Book Antiqua"/>
          <w:b/>
          <w:u w:val="single"/>
        </w:rPr>
      </w:pPr>
    </w:p>
    <w:p w:rsidRPr="00840954" w:rsidR="00E00F59" w:rsidP="006D4BE4" w:rsidRDefault="00521155" w14:paraId="6B5C4003" w14:textId="77777777">
      <w:pPr>
        <w:tabs>
          <w:tab w:val="right" w:pos="10080"/>
        </w:tabs>
        <w:rPr>
          <w:rFonts w:ascii="Book Antiqua" w:hAnsi="Book Antiqua"/>
          <w:b/>
          <w:u w:val="single"/>
        </w:rPr>
      </w:pPr>
      <w:r w:rsidRPr="00840954">
        <w:rPr>
          <w:rFonts w:ascii="Book Antiqua" w:hAnsi="Book Antiqua"/>
        </w:rPr>
        <w:t xml:space="preserve">This resolution bears no significant impact on safety </w:t>
      </w:r>
      <w:r w:rsidRPr="00840954" w:rsidR="00345300">
        <w:rPr>
          <w:rFonts w:ascii="Book Antiqua" w:hAnsi="Book Antiqua"/>
        </w:rPr>
        <w:t xml:space="preserve">issues.  However, the additional surcharge and user fee revenue paid to support Commission programs positively impacts the provision of </w:t>
      </w:r>
      <w:r w:rsidRPr="00840954" w:rsidR="00FE6847">
        <w:rPr>
          <w:rFonts w:ascii="Book Antiqua" w:hAnsi="Book Antiqua"/>
        </w:rPr>
        <w:t xml:space="preserve">access to </w:t>
      </w:r>
      <w:r w:rsidRPr="00840954" w:rsidR="00345300">
        <w:rPr>
          <w:rFonts w:ascii="Book Antiqua" w:hAnsi="Book Antiqua"/>
        </w:rPr>
        <w:t xml:space="preserve">quality telecommunications service which supports public safety. </w:t>
      </w:r>
    </w:p>
    <w:p w:rsidRPr="00840954" w:rsidR="00E00F59" w:rsidP="003B1DBD" w:rsidRDefault="00E00F59" w14:paraId="4D10935F" w14:textId="77777777">
      <w:pPr>
        <w:tabs>
          <w:tab w:val="right" w:pos="10080"/>
        </w:tabs>
        <w:jc w:val="both"/>
        <w:rPr>
          <w:rFonts w:ascii="Book Antiqua" w:hAnsi="Book Antiqua"/>
          <w:b/>
          <w:u w:val="single"/>
        </w:rPr>
      </w:pPr>
    </w:p>
    <w:p w:rsidRPr="00840954" w:rsidR="003B1DBD" w:rsidP="003B1DBD" w:rsidRDefault="003B1DBD" w14:paraId="0FF28D17" w14:textId="77777777">
      <w:pPr>
        <w:tabs>
          <w:tab w:val="right" w:pos="10080"/>
        </w:tabs>
        <w:jc w:val="both"/>
        <w:rPr>
          <w:rFonts w:ascii="Book Antiqua" w:hAnsi="Book Antiqua"/>
          <w:b/>
          <w:u w:val="single"/>
        </w:rPr>
      </w:pPr>
      <w:r w:rsidRPr="00840954">
        <w:rPr>
          <w:rFonts w:ascii="Book Antiqua" w:hAnsi="Book Antiqua"/>
          <w:b/>
          <w:u w:val="single"/>
        </w:rPr>
        <w:t>COMMENTS</w:t>
      </w:r>
    </w:p>
    <w:p w:rsidRPr="00840954" w:rsidR="003B1DBD" w:rsidP="003B1DBD" w:rsidRDefault="003B1DBD" w14:paraId="671B5C35" w14:textId="77777777">
      <w:pPr>
        <w:tabs>
          <w:tab w:val="right" w:pos="10080"/>
        </w:tabs>
        <w:jc w:val="both"/>
        <w:rPr>
          <w:rFonts w:ascii="Book Antiqua" w:hAnsi="Book Antiqua"/>
          <w:sz w:val="20"/>
          <w:highlight w:val="yellow"/>
        </w:rPr>
      </w:pPr>
    </w:p>
    <w:p w:rsidRPr="00D62934" w:rsidR="00793223" w:rsidP="00D62934" w:rsidRDefault="003B1DBD" w14:paraId="5876B024" w14:textId="660E59E6">
      <w:pPr>
        <w:tabs>
          <w:tab w:val="right" w:pos="10080"/>
        </w:tabs>
        <w:rPr>
          <w:rFonts w:ascii="Book Antiqua" w:hAnsi="Book Antiqua"/>
          <w:color w:val="0000FF"/>
        </w:rPr>
      </w:pPr>
      <w:r w:rsidRPr="00840954">
        <w:rPr>
          <w:rFonts w:ascii="Book Antiqua" w:hAnsi="Book Antiqua"/>
        </w:rPr>
        <w:t xml:space="preserve">Public Utilities Code </w:t>
      </w:r>
      <w:r w:rsidRPr="00840954" w:rsidR="009F372A">
        <w:rPr>
          <w:rFonts w:ascii="Book Antiqua" w:hAnsi="Book Antiqua" w:cs="Vrinda"/>
        </w:rPr>
        <w:t>§</w:t>
      </w:r>
      <w:r w:rsidRPr="00840954" w:rsidR="009F372A">
        <w:rPr>
          <w:rFonts w:ascii="Book Antiqua" w:hAnsi="Book Antiqua"/>
        </w:rPr>
        <w:t xml:space="preserve"> </w:t>
      </w:r>
      <w:r w:rsidRPr="00840954">
        <w:rPr>
          <w:rFonts w:ascii="Book Antiqua" w:hAnsi="Book Antiqua"/>
        </w:rPr>
        <w:t xml:space="preserve">311(g)(1) requires that a draft resolution be served on all parties and be subject to a public review and comment period of 30 days or more, prior to a vote of the Commission on the resolution.  </w:t>
      </w:r>
      <w:r w:rsidRPr="00840954" w:rsidR="009F372A">
        <w:rPr>
          <w:rFonts w:ascii="Book Antiqua" w:hAnsi="Book Antiqua"/>
        </w:rPr>
        <w:t xml:space="preserve">In compliance with P.U. Code </w:t>
      </w:r>
      <w:r w:rsidRPr="00840954" w:rsidR="009F372A">
        <w:rPr>
          <w:rFonts w:ascii="Book Antiqua" w:hAnsi="Book Antiqua" w:cs="Vrinda"/>
        </w:rPr>
        <w:t>§</w:t>
      </w:r>
      <w:r w:rsidRPr="00840954" w:rsidR="009F372A">
        <w:rPr>
          <w:rFonts w:ascii="Book Antiqua" w:hAnsi="Book Antiqua"/>
        </w:rPr>
        <w:t xml:space="preserve"> 311(g)(1), the Commission emailed a notice letter on </w:t>
      </w:r>
      <w:r w:rsidR="007D1833">
        <w:rPr>
          <w:rFonts w:ascii="Book Antiqua" w:hAnsi="Book Antiqua"/>
        </w:rPr>
        <w:t xml:space="preserve">April </w:t>
      </w:r>
      <w:r w:rsidR="00450DA6">
        <w:rPr>
          <w:rFonts w:ascii="Book Antiqua" w:hAnsi="Book Antiqua"/>
        </w:rPr>
        <w:t>2</w:t>
      </w:r>
      <w:r w:rsidRPr="0012054A" w:rsidR="009F372A">
        <w:rPr>
          <w:rFonts w:ascii="Book Antiqua" w:hAnsi="Book Antiqua"/>
        </w:rPr>
        <w:t>,</w:t>
      </w:r>
      <w:r w:rsidRPr="00840954" w:rsidR="009F372A">
        <w:rPr>
          <w:rFonts w:ascii="Book Antiqua" w:hAnsi="Book Antiqua"/>
        </w:rPr>
        <w:t xml:space="preserve"> 20</w:t>
      </w:r>
      <w:r w:rsidRPr="00840954" w:rsidR="00B61445">
        <w:rPr>
          <w:rFonts w:ascii="Book Antiqua" w:hAnsi="Book Antiqua"/>
        </w:rPr>
        <w:t>20</w:t>
      </w:r>
      <w:r w:rsidRPr="00840954" w:rsidR="00747AE0">
        <w:rPr>
          <w:rFonts w:ascii="Book Antiqua" w:hAnsi="Book Antiqua"/>
        </w:rPr>
        <w:t>,</w:t>
      </w:r>
      <w:r w:rsidRPr="00840954" w:rsidR="009F372A">
        <w:rPr>
          <w:rFonts w:ascii="Book Antiqua" w:hAnsi="Book Antiqua"/>
        </w:rPr>
        <w:t xml:space="preserve"> informing</w:t>
      </w:r>
      <w:r w:rsidRPr="00840954" w:rsidR="00B61445">
        <w:rPr>
          <w:rFonts w:ascii="Book Antiqua" w:hAnsi="Book Antiqua"/>
        </w:rPr>
        <w:t xml:space="preserve"> Cox Communications, LLC</w:t>
      </w:r>
      <w:r w:rsidRPr="00840954" w:rsidR="009F372A">
        <w:rPr>
          <w:rFonts w:ascii="Book Antiqua" w:hAnsi="Book Antiqua"/>
        </w:rPr>
        <w:t>,</w:t>
      </w:r>
      <w:r w:rsidRPr="00840954" w:rsidR="00AF24E8">
        <w:rPr>
          <w:rFonts w:ascii="Book Antiqua" w:hAnsi="Book Antiqua"/>
        </w:rPr>
        <w:t xml:space="preserve"> and</w:t>
      </w:r>
      <w:r w:rsidRPr="00840954" w:rsidR="00751AFB">
        <w:rPr>
          <w:rFonts w:ascii="Book Antiqua" w:hAnsi="Book Antiqua"/>
        </w:rPr>
        <w:t xml:space="preserve"> the</w:t>
      </w:r>
      <w:r w:rsidRPr="00840954" w:rsidR="00AF24E8">
        <w:rPr>
          <w:rFonts w:ascii="Book Antiqua" w:hAnsi="Book Antiqua"/>
        </w:rPr>
        <w:t xml:space="preserve"> service list in A.19-01-014</w:t>
      </w:r>
      <w:r w:rsidRPr="00840954" w:rsidR="009F372A">
        <w:rPr>
          <w:rFonts w:ascii="Book Antiqua" w:hAnsi="Book Antiqua"/>
        </w:rPr>
        <w:t xml:space="preserve"> </w:t>
      </w:r>
      <w:r w:rsidRPr="00840954">
        <w:rPr>
          <w:rFonts w:ascii="Book Antiqua" w:hAnsi="Book Antiqua"/>
        </w:rPr>
        <w:t xml:space="preserve">of </w:t>
      </w:r>
      <w:r w:rsidRPr="00840954" w:rsidR="009F372A">
        <w:rPr>
          <w:rFonts w:ascii="Book Antiqua" w:hAnsi="Book Antiqua"/>
        </w:rPr>
        <w:t>the availability of this draft  resolution for comments, as well as the availability of the conf</w:t>
      </w:r>
      <w:r w:rsidRPr="00840954" w:rsidR="00343E67">
        <w:rPr>
          <w:rFonts w:ascii="Book Antiqua" w:hAnsi="Book Antiqua"/>
        </w:rPr>
        <w:t>o</w:t>
      </w:r>
      <w:r w:rsidRPr="00840954" w:rsidR="009F372A">
        <w:rPr>
          <w:rFonts w:ascii="Book Antiqua" w:hAnsi="Book Antiqua"/>
        </w:rPr>
        <w:t xml:space="preserve">rmed resolution, if adopted by the Commission, on the Commission’s website </w:t>
      </w:r>
      <w:hyperlink w:history="1" r:id="rId11">
        <w:r w:rsidRPr="00840954" w:rsidR="00622EFD">
          <w:rPr>
            <w:rStyle w:val="Hyperlink"/>
            <w:rFonts w:ascii="Book Antiqua" w:hAnsi="Book Antiqua"/>
          </w:rPr>
          <w:t>http://www.cpuc.ca.gov</w:t>
        </w:r>
      </w:hyperlink>
      <w:r w:rsidRPr="00840954" w:rsidR="0035081A">
        <w:rPr>
          <w:rFonts w:ascii="Book Antiqua" w:hAnsi="Book Antiqua"/>
        </w:rPr>
        <w:t>.</w:t>
      </w:r>
    </w:p>
    <w:p w:rsidRPr="00840954" w:rsidR="003B1DBD" w:rsidP="003B1DBD" w:rsidRDefault="003B1DBD" w14:paraId="5C5029AC" w14:textId="77777777">
      <w:pPr>
        <w:tabs>
          <w:tab w:val="right" w:pos="10080"/>
        </w:tabs>
        <w:jc w:val="both"/>
        <w:rPr>
          <w:rFonts w:ascii="Book Antiqua" w:hAnsi="Book Antiqua"/>
          <w:b/>
          <w:u w:val="single"/>
        </w:rPr>
      </w:pPr>
      <w:r w:rsidRPr="00840954">
        <w:rPr>
          <w:rFonts w:ascii="Book Antiqua" w:hAnsi="Book Antiqua"/>
          <w:b/>
          <w:u w:val="single"/>
        </w:rPr>
        <w:lastRenderedPageBreak/>
        <w:t>FINDINGS</w:t>
      </w:r>
    </w:p>
    <w:p w:rsidRPr="00840954" w:rsidR="003B1DBD" w:rsidP="003B1DBD" w:rsidRDefault="003B1DBD" w14:paraId="0A5B8819" w14:textId="77777777">
      <w:pPr>
        <w:tabs>
          <w:tab w:val="right" w:pos="10080"/>
        </w:tabs>
        <w:jc w:val="both"/>
        <w:rPr>
          <w:rFonts w:ascii="Book Antiqua" w:hAnsi="Book Antiqua"/>
          <w:u w:val="single"/>
        </w:rPr>
      </w:pPr>
    </w:p>
    <w:p w:rsidRPr="00840954" w:rsidR="006C5C2B" w:rsidP="0008677A" w:rsidRDefault="00FE309C" w14:paraId="7480EE09" w14:textId="7DAE0C8D">
      <w:pPr>
        <w:numPr>
          <w:ilvl w:val="0"/>
          <w:numId w:val="20"/>
        </w:numPr>
        <w:spacing w:after="120"/>
        <w:rPr>
          <w:rFonts w:ascii="Book Antiqua" w:hAnsi="Book Antiqua"/>
        </w:rPr>
      </w:pPr>
      <w:r w:rsidRPr="00840954">
        <w:rPr>
          <w:rFonts w:ascii="Book Antiqua" w:hAnsi="Book Antiqua"/>
        </w:rPr>
        <w:t xml:space="preserve">The Commission collects and distributes funds to support six </w:t>
      </w:r>
      <w:r w:rsidR="00FB2B33">
        <w:rPr>
          <w:rFonts w:ascii="Book Antiqua" w:hAnsi="Book Antiqua"/>
        </w:rPr>
        <w:t>P</w:t>
      </w:r>
      <w:r w:rsidRPr="00840954">
        <w:rPr>
          <w:rFonts w:ascii="Book Antiqua" w:hAnsi="Book Antiqua"/>
        </w:rPr>
        <w:t xml:space="preserve">ublic </w:t>
      </w:r>
      <w:r w:rsidR="00FB2B33">
        <w:rPr>
          <w:rFonts w:ascii="Book Antiqua" w:hAnsi="Book Antiqua"/>
        </w:rPr>
        <w:t>P</w:t>
      </w:r>
      <w:r w:rsidRPr="00840954">
        <w:rPr>
          <w:rFonts w:ascii="Book Antiqua" w:hAnsi="Book Antiqua"/>
        </w:rPr>
        <w:t xml:space="preserve">urpose </w:t>
      </w:r>
      <w:r w:rsidR="00FB2B33">
        <w:rPr>
          <w:rFonts w:ascii="Book Antiqua" w:hAnsi="Book Antiqua"/>
        </w:rPr>
        <w:t>P</w:t>
      </w:r>
      <w:r w:rsidRPr="00840954">
        <w:rPr>
          <w:rFonts w:ascii="Book Antiqua" w:hAnsi="Book Antiqua"/>
        </w:rPr>
        <w:t xml:space="preserve">rograms </w:t>
      </w:r>
      <w:r w:rsidR="00A2427E">
        <w:rPr>
          <w:rFonts w:ascii="Book Antiqua" w:hAnsi="Book Antiqua"/>
        </w:rPr>
        <w:t xml:space="preserve">(PPP) </w:t>
      </w:r>
      <w:r w:rsidRPr="00840954">
        <w:rPr>
          <w:rFonts w:ascii="Book Antiqua" w:hAnsi="Book Antiqua"/>
        </w:rPr>
        <w:t xml:space="preserve">for the benefit of California ratepayers.  These programs are mandated by Public Utilities Code </w:t>
      </w:r>
      <w:r w:rsidRPr="00840954">
        <w:rPr>
          <w:rFonts w:ascii="Book Antiqua" w:hAnsi="Book Antiqua" w:cs="Vrinda"/>
        </w:rPr>
        <w:t>§§</w:t>
      </w:r>
      <w:r w:rsidRPr="00840954">
        <w:rPr>
          <w:rFonts w:ascii="Book Antiqua" w:hAnsi="Book Antiqua"/>
        </w:rPr>
        <w:t xml:space="preserve"> 270-278.5 and 280-281.</w:t>
      </w:r>
    </w:p>
    <w:p w:rsidR="003B1DBD" w:rsidP="0008677A" w:rsidRDefault="00793223" w14:paraId="1138D000" w14:textId="17DC48E8">
      <w:pPr>
        <w:numPr>
          <w:ilvl w:val="0"/>
          <w:numId w:val="20"/>
        </w:numPr>
        <w:spacing w:after="120"/>
        <w:rPr>
          <w:rFonts w:ascii="Book Antiqua" w:hAnsi="Book Antiqua"/>
        </w:rPr>
      </w:pPr>
      <w:r w:rsidRPr="00840954">
        <w:rPr>
          <w:rFonts w:ascii="Book Antiqua" w:hAnsi="Book Antiqua"/>
        </w:rPr>
        <w:t xml:space="preserve">The Commission collects funds as authorized by P.U.C. </w:t>
      </w:r>
      <w:r w:rsidRPr="00840954">
        <w:rPr>
          <w:rFonts w:ascii="Book Antiqua" w:hAnsi="Book Antiqua" w:cs="Vrinda"/>
        </w:rPr>
        <w:t>§§</w:t>
      </w:r>
      <w:r w:rsidRPr="00840954" w:rsidR="00605CDD">
        <w:rPr>
          <w:rFonts w:ascii="Book Antiqua" w:hAnsi="Book Antiqua"/>
        </w:rPr>
        <w:t xml:space="preserve"> 401</w:t>
      </w:r>
      <w:r w:rsidRPr="00840954" w:rsidR="00C70635">
        <w:rPr>
          <w:rFonts w:ascii="Book Antiqua" w:hAnsi="Book Antiqua"/>
        </w:rPr>
        <w:t>,</w:t>
      </w:r>
      <w:r w:rsidRPr="00840954" w:rsidR="00605CDD">
        <w:rPr>
          <w:rFonts w:ascii="Book Antiqua" w:hAnsi="Book Antiqua"/>
        </w:rPr>
        <w:t xml:space="preserve"> 402</w:t>
      </w:r>
      <w:r w:rsidRPr="00840954" w:rsidR="00C70635">
        <w:rPr>
          <w:rFonts w:ascii="Book Antiqua" w:hAnsi="Book Antiqua"/>
        </w:rPr>
        <w:t xml:space="preserve"> and 405</w:t>
      </w:r>
      <w:r w:rsidRPr="00840954">
        <w:rPr>
          <w:rFonts w:ascii="Book Antiqua" w:hAnsi="Book Antiqua"/>
        </w:rPr>
        <w:t xml:space="preserve"> as Public Utilities Commission Reimbursement Fees (</w:t>
      </w:r>
      <w:r w:rsidR="00487DFF">
        <w:rPr>
          <w:rFonts w:ascii="Book Antiqua" w:hAnsi="Book Antiqua"/>
        </w:rPr>
        <w:t>CPUC U</w:t>
      </w:r>
      <w:r w:rsidRPr="00840954">
        <w:rPr>
          <w:rFonts w:ascii="Book Antiqua" w:hAnsi="Book Antiqua"/>
        </w:rPr>
        <w:t xml:space="preserve">ser </w:t>
      </w:r>
      <w:r w:rsidR="00487DFF">
        <w:rPr>
          <w:rFonts w:ascii="Book Antiqua" w:hAnsi="Book Antiqua"/>
        </w:rPr>
        <w:t>F</w:t>
      </w:r>
      <w:r w:rsidRPr="00840954">
        <w:rPr>
          <w:rFonts w:ascii="Book Antiqua" w:hAnsi="Book Antiqua"/>
        </w:rPr>
        <w:t>ee), providing</w:t>
      </w:r>
      <w:r w:rsidR="00487DFF">
        <w:rPr>
          <w:rFonts w:ascii="Book Antiqua" w:hAnsi="Book Antiqua"/>
        </w:rPr>
        <w:t xml:space="preserve"> carriers</w:t>
      </w:r>
      <w:r w:rsidRPr="00840954">
        <w:rPr>
          <w:rFonts w:ascii="Book Antiqua" w:hAnsi="Book Antiqua"/>
        </w:rPr>
        <w:t xml:space="preserve"> the authority to collect these user fees from customers through </w:t>
      </w:r>
      <w:r w:rsidR="00051005">
        <w:rPr>
          <w:rFonts w:ascii="Book Antiqua" w:hAnsi="Book Antiqua"/>
        </w:rPr>
        <w:t>c</w:t>
      </w:r>
      <w:r w:rsidRPr="00840954">
        <w:rPr>
          <w:rFonts w:ascii="Book Antiqua" w:hAnsi="Book Antiqua"/>
        </w:rPr>
        <w:t xml:space="preserve">arriers’ billings.  Revenues collected </w:t>
      </w:r>
      <w:r w:rsidR="00487DFF">
        <w:rPr>
          <w:rFonts w:ascii="Book Antiqua" w:hAnsi="Book Antiqua"/>
        </w:rPr>
        <w:t>via</w:t>
      </w:r>
      <w:r w:rsidRPr="00840954">
        <w:rPr>
          <w:rFonts w:ascii="Book Antiqua" w:hAnsi="Book Antiqua"/>
        </w:rPr>
        <w:t xml:space="preserve"> this fee fund the operating budget of the Commission, which allows it to regulat</w:t>
      </w:r>
      <w:r w:rsidRPr="00840954" w:rsidR="006C5C2B">
        <w:rPr>
          <w:rFonts w:ascii="Book Antiqua" w:hAnsi="Book Antiqua"/>
        </w:rPr>
        <w:t xml:space="preserve">e </w:t>
      </w:r>
      <w:r w:rsidR="005F7FF4">
        <w:rPr>
          <w:rFonts w:ascii="Book Antiqua" w:hAnsi="Book Antiqua"/>
        </w:rPr>
        <w:t xml:space="preserve">public utilities, including </w:t>
      </w:r>
      <w:r w:rsidR="003772BB">
        <w:rPr>
          <w:rFonts w:ascii="Book Antiqua" w:hAnsi="Book Antiqua"/>
        </w:rPr>
        <w:t>telephone corporation</w:t>
      </w:r>
      <w:r w:rsidR="005F7FF4">
        <w:rPr>
          <w:rFonts w:ascii="Book Antiqua" w:hAnsi="Book Antiqua"/>
        </w:rPr>
        <w:t>s</w:t>
      </w:r>
      <w:r w:rsidRPr="00840954" w:rsidR="006C5C2B">
        <w:rPr>
          <w:rFonts w:ascii="Book Antiqua" w:hAnsi="Book Antiqua"/>
        </w:rPr>
        <w:t>.</w:t>
      </w:r>
    </w:p>
    <w:p w:rsidR="00BB15B9" w:rsidP="0008677A" w:rsidRDefault="0011303D" w14:paraId="6E977C8A" w14:textId="60DBBD86">
      <w:pPr>
        <w:numPr>
          <w:ilvl w:val="0"/>
          <w:numId w:val="20"/>
        </w:numPr>
        <w:spacing w:after="120"/>
        <w:rPr>
          <w:rFonts w:ascii="Book Antiqua" w:hAnsi="Book Antiqua"/>
        </w:rPr>
      </w:pPr>
      <w:r>
        <w:rPr>
          <w:rFonts w:ascii="Book Antiqua" w:hAnsi="Book Antiqua"/>
        </w:rPr>
        <w:t xml:space="preserve">The Commission’s audits of Cox </w:t>
      </w:r>
      <w:r w:rsidR="005B7250">
        <w:rPr>
          <w:rFonts w:ascii="Book Antiqua" w:hAnsi="Book Antiqua"/>
        </w:rPr>
        <w:t xml:space="preserve">Communications LLC </w:t>
      </w:r>
      <w:r>
        <w:rPr>
          <w:rFonts w:ascii="Book Antiqua" w:hAnsi="Book Antiqua"/>
        </w:rPr>
        <w:t xml:space="preserve">for fiscal years </w:t>
      </w:r>
      <w:r w:rsidR="002B3B74">
        <w:rPr>
          <w:rFonts w:ascii="Book Antiqua" w:hAnsi="Book Antiqua"/>
        </w:rPr>
        <w:t xml:space="preserve">2012-2013, 2013-2014, and </w:t>
      </w:r>
      <w:r>
        <w:rPr>
          <w:rFonts w:ascii="Book Antiqua" w:hAnsi="Book Antiqua"/>
        </w:rPr>
        <w:t>201</w:t>
      </w:r>
      <w:r w:rsidR="002B3B74">
        <w:rPr>
          <w:rFonts w:ascii="Book Antiqua" w:hAnsi="Book Antiqua"/>
        </w:rPr>
        <w:t>4</w:t>
      </w:r>
      <w:r>
        <w:rPr>
          <w:rFonts w:ascii="Book Antiqua" w:hAnsi="Book Antiqua"/>
        </w:rPr>
        <w:t>-2015, as detailed in this resolution, found that Cox failed to collect and remit PPP surcharges and CPUC user fees for Cox’s directory listings service</w:t>
      </w:r>
      <w:r w:rsidR="00DB15CF">
        <w:rPr>
          <w:rFonts w:ascii="Book Antiqua" w:hAnsi="Book Antiqua"/>
        </w:rPr>
        <w:t xml:space="preserve"> </w:t>
      </w:r>
      <w:r w:rsidR="00420764">
        <w:rPr>
          <w:rFonts w:ascii="Book Antiqua" w:hAnsi="Book Antiqua"/>
        </w:rPr>
        <w:t xml:space="preserve">intrastate revenue </w:t>
      </w:r>
      <w:r w:rsidR="00DB15CF">
        <w:rPr>
          <w:rFonts w:ascii="Book Antiqua" w:hAnsi="Book Antiqua"/>
        </w:rPr>
        <w:t xml:space="preserve">in violation of Commission decisions, including </w:t>
      </w:r>
      <w:r w:rsidR="001C5BA5">
        <w:rPr>
          <w:rFonts w:ascii="Book Antiqua" w:hAnsi="Book Antiqua"/>
        </w:rPr>
        <w:t xml:space="preserve">but not limited to </w:t>
      </w:r>
      <w:r w:rsidR="00DB15CF">
        <w:rPr>
          <w:rFonts w:ascii="Book Antiqua" w:hAnsi="Book Antiqua"/>
        </w:rPr>
        <w:t>D.96-10-066</w:t>
      </w:r>
      <w:r w:rsidR="0057268D">
        <w:rPr>
          <w:rFonts w:ascii="Book Antiqua" w:hAnsi="Book Antiqua"/>
        </w:rPr>
        <w:t xml:space="preserve">, and </w:t>
      </w:r>
      <w:r w:rsidR="002B3B74">
        <w:rPr>
          <w:rFonts w:ascii="Book Antiqua" w:hAnsi="Book Antiqua"/>
        </w:rPr>
        <w:t>C</w:t>
      </w:r>
      <w:r w:rsidR="00110C4F">
        <w:rPr>
          <w:rFonts w:ascii="Book Antiqua" w:hAnsi="Book Antiqua"/>
        </w:rPr>
        <w:t>ommission</w:t>
      </w:r>
      <w:r w:rsidR="00ED7768">
        <w:rPr>
          <w:rFonts w:ascii="Book Antiqua" w:hAnsi="Book Antiqua"/>
        </w:rPr>
        <w:t xml:space="preserve"> </w:t>
      </w:r>
      <w:r w:rsidR="0057268D">
        <w:rPr>
          <w:rFonts w:ascii="Book Antiqua" w:hAnsi="Book Antiqua"/>
        </w:rPr>
        <w:t>directive</w:t>
      </w:r>
      <w:r w:rsidR="00D7456B">
        <w:rPr>
          <w:rFonts w:ascii="Book Antiqua" w:hAnsi="Book Antiqua"/>
        </w:rPr>
        <w:t>s</w:t>
      </w:r>
      <w:r>
        <w:rPr>
          <w:rFonts w:ascii="Book Antiqua" w:hAnsi="Book Antiqua"/>
        </w:rPr>
        <w:t>.</w:t>
      </w:r>
    </w:p>
    <w:p w:rsidR="00BB15B9" w:rsidP="0008677A" w:rsidRDefault="00BB15B9" w14:paraId="66073CD8" w14:textId="4C958AA3">
      <w:pPr>
        <w:numPr>
          <w:ilvl w:val="0"/>
          <w:numId w:val="20"/>
        </w:numPr>
        <w:spacing w:after="120"/>
        <w:rPr>
          <w:rFonts w:ascii="Book Antiqua" w:hAnsi="Book Antiqua"/>
        </w:rPr>
      </w:pPr>
      <w:r>
        <w:rPr>
          <w:rFonts w:ascii="Book Antiqua" w:hAnsi="Book Antiqua"/>
        </w:rPr>
        <w:t>The Commission’s Communications Division sent Cox notices regarding its noncompliance as set forth in the 2016 Audit Report</w:t>
      </w:r>
      <w:r w:rsidR="000871D7">
        <w:rPr>
          <w:rFonts w:ascii="Book Antiqua" w:hAnsi="Book Antiqua"/>
        </w:rPr>
        <w:t xml:space="preserve"> described herein</w:t>
      </w:r>
      <w:r>
        <w:rPr>
          <w:rFonts w:ascii="Book Antiqua" w:hAnsi="Book Antiqua"/>
        </w:rPr>
        <w:t>.</w:t>
      </w:r>
    </w:p>
    <w:p w:rsidR="00BB15B9" w:rsidP="00BB15B9" w:rsidRDefault="00BB15B9" w14:paraId="2AA5C28C" w14:textId="434187A3">
      <w:pPr>
        <w:numPr>
          <w:ilvl w:val="0"/>
          <w:numId w:val="20"/>
        </w:numPr>
        <w:spacing w:after="120"/>
        <w:rPr>
          <w:rFonts w:ascii="Book Antiqua" w:hAnsi="Book Antiqua"/>
        </w:rPr>
      </w:pPr>
      <w:r>
        <w:rPr>
          <w:rFonts w:ascii="Book Antiqua" w:hAnsi="Book Antiqua"/>
        </w:rPr>
        <w:t>In letters submitted to the Communications Division, Cox disputed the 2016 Audit Report Findings regarding its noncompliance</w:t>
      </w:r>
      <w:r w:rsidR="00501F06">
        <w:rPr>
          <w:rFonts w:ascii="Book Antiqua" w:hAnsi="Book Antiqua"/>
        </w:rPr>
        <w:t xml:space="preserve">, including its obligation to collect and remit PPP surcharges and </w:t>
      </w:r>
      <w:r w:rsidR="00ED7768">
        <w:rPr>
          <w:rFonts w:ascii="Book Antiqua" w:hAnsi="Book Antiqua"/>
        </w:rPr>
        <w:t xml:space="preserve">CPUC </w:t>
      </w:r>
      <w:r w:rsidR="00501F06">
        <w:rPr>
          <w:rFonts w:ascii="Book Antiqua" w:hAnsi="Book Antiqua"/>
        </w:rPr>
        <w:t>user fees for its directory listings service</w:t>
      </w:r>
      <w:r>
        <w:rPr>
          <w:rFonts w:ascii="Book Antiqua" w:hAnsi="Book Antiqua"/>
        </w:rPr>
        <w:t xml:space="preserve">.  </w:t>
      </w:r>
    </w:p>
    <w:p w:rsidRPr="00BB15B9" w:rsidR="00BB15B9" w:rsidRDefault="00BB15B9" w14:paraId="50D4C57A" w14:textId="3C6A3BF1">
      <w:pPr>
        <w:numPr>
          <w:ilvl w:val="0"/>
          <w:numId w:val="20"/>
        </w:numPr>
        <w:spacing w:after="120"/>
        <w:rPr>
          <w:rFonts w:ascii="Book Antiqua" w:hAnsi="Book Antiqua"/>
        </w:rPr>
      </w:pPr>
      <w:r>
        <w:rPr>
          <w:rFonts w:ascii="Book Antiqua" w:hAnsi="Book Antiqua"/>
        </w:rPr>
        <w:t xml:space="preserve">In December 2016, Cox </w:t>
      </w:r>
      <w:r w:rsidRPr="00860C9C" w:rsidR="00D56006">
        <w:rPr>
          <w:rFonts w:ascii="Book Antiqua" w:hAnsi="Book Antiqua"/>
        </w:rPr>
        <w:t xml:space="preserve">submitted </w:t>
      </w:r>
      <w:r w:rsidR="00830A61">
        <w:rPr>
          <w:rFonts w:ascii="Book Antiqua" w:hAnsi="Book Antiqua"/>
        </w:rPr>
        <w:t xml:space="preserve">some of </w:t>
      </w:r>
      <w:r w:rsidRPr="00860C9C" w:rsidR="00D56006">
        <w:rPr>
          <w:rFonts w:ascii="Book Antiqua" w:hAnsi="Book Antiqua"/>
        </w:rPr>
        <w:t>the disputed surcharges, user fees, interest and penalty amounts identified in the 2016 Audit Report for FY 2012-2013</w:t>
      </w:r>
      <w:r w:rsidR="00D56006">
        <w:rPr>
          <w:rFonts w:ascii="Book Antiqua" w:hAnsi="Book Antiqua"/>
        </w:rPr>
        <w:t>.</w:t>
      </w:r>
      <w:r>
        <w:rPr>
          <w:rFonts w:ascii="Book Antiqua" w:hAnsi="Book Antiqua"/>
        </w:rPr>
        <w:t xml:space="preserve"> </w:t>
      </w:r>
    </w:p>
    <w:p w:rsidR="00BB15B9" w:rsidP="00BB15B9" w:rsidRDefault="00BB15B9" w14:paraId="76596C7F" w14:textId="21D5130A">
      <w:pPr>
        <w:numPr>
          <w:ilvl w:val="0"/>
          <w:numId w:val="20"/>
        </w:numPr>
        <w:spacing w:after="120"/>
        <w:rPr>
          <w:rFonts w:ascii="Book Antiqua" w:hAnsi="Book Antiqua"/>
        </w:rPr>
      </w:pPr>
      <w:r>
        <w:rPr>
          <w:rFonts w:ascii="Book Antiqua" w:hAnsi="Book Antiqua"/>
        </w:rPr>
        <w:t xml:space="preserve">The Commission’s Communications Division sent Cox notices regarding its noncompliance as set forth in the </w:t>
      </w:r>
      <w:r w:rsidRPr="00BB15B9">
        <w:rPr>
          <w:rFonts w:ascii="Book Antiqua" w:hAnsi="Book Antiqua"/>
        </w:rPr>
        <w:t>2017</w:t>
      </w:r>
      <w:r>
        <w:rPr>
          <w:rFonts w:ascii="Book Antiqua" w:hAnsi="Book Antiqua"/>
        </w:rPr>
        <w:t xml:space="preserve"> Analysis Report.</w:t>
      </w:r>
    </w:p>
    <w:p w:rsidRPr="00DB15CF" w:rsidR="00DB15CF" w:rsidRDefault="00DB15CF" w14:paraId="06483071" w14:textId="613D1E3E">
      <w:pPr>
        <w:numPr>
          <w:ilvl w:val="0"/>
          <w:numId w:val="20"/>
        </w:numPr>
        <w:spacing w:after="120"/>
        <w:rPr>
          <w:rFonts w:ascii="Book Antiqua" w:hAnsi="Book Antiqua"/>
        </w:rPr>
      </w:pPr>
      <w:r>
        <w:rPr>
          <w:rFonts w:ascii="Book Antiqua" w:hAnsi="Book Antiqua"/>
        </w:rPr>
        <w:t xml:space="preserve">In various letters submitted to the Communications Division, Executive Director and Legal Division, Cox disputed the 2017 Analysis Report Findings regarding its noncompliance, including its obligation to collect and remit </w:t>
      </w:r>
      <w:r w:rsidR="00501F06">
        <w:rPr>
          <w:rFonts w:ascii="Book Antiqua" w:hAnsi="Book Antiqua"/>
        </w:rPr>
        <w:t xml:space="preserve">PPP </w:t>
      </w:r>
      <w:r>
        <w:rPr>
          <w:rFonts w:ascii="Book Antiqua" w:hAnsi="Book Antiqua"/>
        </w:rPr>
        <w:t xml:space="preserve">surcharges </w:t>
      </w:r>
      <w:r w:rsidR="00501F06">
        <w:rPr>
          <w:rFonts w:ascii="Book Antiqua" w:hAnsi="Book Antiqua"/>
        </w:rPr>
        <w:t xml:space="preserve">and </w:t>
      </w:r>
      <w:r w:rsidR="00ED7768">
        <w:rPr>
          <w:rFonts w:ascii="Book Antiqua" w:hAnsi="Book Antiqua"/>
        </w:rPr>
        <w:t xml:space="preserve">CPUC </w:t>
      </w:r>
      <w:r w:rsidR="00501F06">
        <w:rPr>
          <w:rFonts w:ascii="Book Antiqua" w:hAnsi="Book Antiqua"/>
        </w:rPr>
        <w:t>user fees for its directory listings service</w:t>
      </w:r>
      <w:r>
        <w:rPr>
          <w:rFonts w:ascii="Book Antiqua" w:hAnsi="Book Antiqua"/>
        </w:rPr>
        <w:t xml:space="preserve">.  </w:t>
      </w:r>
    </w:p>
    <w:p w:rsidR="00F33897" w:rsidP="00F33897" w:rsidRDefault="00F33897" w14:paraId="21D6BF72" w14:textId="059B6100">
      <w:pPr>
        <w:pStyle w:val="ListParagraph"/>
        <w:numPr>
          <w:ilvl w:val="0"/>
          <w:numId w:val="20"/>
        </w:numPr>
        <w:tabs>
          <w:tab w:val="right" w:pos="10080"/>
        </w:tabs>
        <w:rPr>
          <w:rFonts w:ascii="Book Antiqua" w:hAnsi="Book Antiqua"/>
        </w:rPr>
      </w:pPr>
      <w:r w:rsidRPr="00F33897">
        <w:rPr>
          <w:rFonts w:ascii="Book Antiqua" w:hAnsi="Book Antiqua"/>
        </w:rPr>
        <w:t xml:space="preserve">On March 7, 2019, Cox </w:t>
      </w:r>
      <w:r w:rsidR="0057082E">
        <w:rPr>
          <w:rFonts w:ascii="Book Antiqua" w:hAnsi="Book Antiqua"/>
        </w:rPr>
        <w:t>submitted the disputed surcharges, user fees, interest and penalty amounts i</w:t>
      </w:r>
      <w:r w:rsidR="00FE4C49">
        <w:rPr>
          <w:rFonts w:ascii="Book Antiqua" w:hAnsi="Book Antiqua"/>
        </w:rPr>
        <w:t>dentified in the 2017 Analysis Report.</w:t>
      </w:r>
      <w:r w:rsidR="0057082E">
        <w:rPr>
          <w:rFonts w:ascii="Book Antiqua" w:hAnsi="Book Antiqua"/>
        </w:rPr>
        <w:t xml:space="preserve"> </w:t>
      </w:r>
      <w:r>
        <w:rPr>
          <w:rFonts w:ascii="Book Antiqua" w:hAnsi="Book Antiqua"/>
        </w:rPr>
        <w:t xml:space="preserve">  </w:t>
      </w:r>
    </w:p>
    <w:p w:rsidRPr="00F33897" w:rsidR="00D05D26" w:rsidP="00944C4F" w:rsidRDefault="00D05D26" w14:paraId="38246170" w14:textId="77777777">
      <w:pPr>
        <w:pStyle w:val="ListParagraph"/>
        <w:tabs>
          <w:tab w:val="right" w:pos="10080"/>
        </w:tabs>
        <w:ind w:left="900"/>
        <w:rPr>
          <w:rFonts w:ascii="Book Antiqua" w:hAnsi="Book Antiqua"/>
        </w:rPr>
      </w:pPr>
    </w:p>
    <w:p w:rsidRPr="00840954" w:rsidR="00AE0C76" w:rsidP="00AE0C76" w:rsidRDefault="00AE0C76" w14:paraId="310CFCE3" w14:textId="7B9F18BE">
      <w:pPr>
        <w:numPr>
          <w:ilvl w:val="0"/>
          <w:numId w:val="20"/>
        </w:numPr>
        <w:spacing w:after="120"/>
        <w:rPr>
          <w:rFonts w:ascii="Book Antiqua" w:hAnsi="Book Antiqua"/>
        </w:rPr>
      </w:pPr>
      <w:r w:rsidRPr="00840954">
        <w:rPr>
          <w:rFonts w:ascii="Book Antiqua" w:hAnsi="Book Antiqua"/>
        </w:rPr>
        <w:t xml:space="preserve">In compliance with P.U. Code </w:t>
      </w:r>
      <w:r w:rsidRPr="00840954">
        <w:rPr>
          <w:rFonts w:ascii="Book Antiqua" w:hAnsi="Book Antiqua" w:cs="Vrinda"/>
        </w:rPr>
        <w:t>§</w:t>
      </w:r>
      <w:r w:rsidRPr="00840954">
        <w:rPr>
          <w:rFonts w:ascii="Book Antiqua" w:hAnsi="Book Antiqua"/>
        </w:rPr>
        <w:t xml:space="preserve"> 311(g)(1), the Commission emailed a notice letter on </w:t>
      </w:r>
      <w:r w:rsidR="008E3740">
        <w:rPr>
          <w:rFonts w:ascii="Book Antiqua" w:hAnsi="Book Antiqua"/>
        </w:rPr>
        <w:t xml:space="preserve">April </w:t>
      </w:r>
      <w:r w:rsidR="008D0DD5">
        <w:rPr>
          <w:rFonts w:ascii="Book Antiqua" w:hAnsi="Book Antiqua"/>
        </w:rPr>
        <w:t>2</w:t>
      </w:r>
      <w:r w:rsidRPr="00183F22">
        <w:rPr>
          <w:rFonts w:ascii="Book Antiqua" w:hAnsi="Book Antiqua"/>
        </w:rPr>
        <w:t>, 20</w:t>
      </w:r>
      <w:r w:rsidRPr="00183F22" w:rsidR="00B61445">
        <w:rPr>
          <w:rFonts w:ascii="Book Antiqua" w:hAnsi="Book Antiqua"/>
        </w:rPr>
        <w:t>20</w:t>
      </w:r>
      <w:r w:rsidRPr="00183F22">
        <w:rPr>
          <w:rFonts w:ascii="Book Antiqua" w:hAnsi="Book Antiqua"/>
        </w:rPr>
        <w:t xml:space="preserve"> informing</w:t>
      </w:r>
      <w:r w:rsidRPr="00183F22" w:rsidR="00B61445">
        <w:rPr>
          <w:rFonts w:ascii="Book Antiqua" w:hAnsi="Book Antiqua"/>
        </w:rPr>
        <w:t xml:space="preserve"> Cox Communications, LLC</w:t>
      </w:r>
      <w:r w:rsidRPr="00183F22" w:rsidR="00E81D18">
        <w:rPr>
          <w:rFonts w:ascii="Book Antiqua" w:hAnsi="Book Antiqua"/>
        </w:rPr>
        <w:t xml:space="preserve"> and the service list in A.19-01-014</w:t>
      </w:r>
      <w:r w:rsidRPr="00840954">
        <w:rPr>
          <w:rFonts w:ascii="Book Antiqua" w:hAnsi="Book Antiqua"/>
        </w:rPr>
        <w:t xml:space="preserve"> of the availability of this draft  resolution for comments, as well </w:t>
      </w:r>
      <w:r w:rsidRPr="00840954">
        <w:rPr>
          <w:rFonts w:ascii="Book Antiqua" w:hAnsi="Book Antiqua"/>
        </w:rPr>
        <w:lastRenderedPageBreak/>
        <w:t xml:space="preserve">as the availability of the conformed resolution, if adopted by the Commission, on the Commission’s website </w:t>
      </w:r>
      <w:hyperlink w:history="1" r:id="rId12">
        <w:r w:rsidRPr="00840954" w:rsidR="00622EFD">
          <w:rPr>
            <w:rStyle w:val="Hyperlink"/>
            <w:rFonts w:ascii="Book Antiqua" w:hAnsi="Book Antiqua"/>
          </w:rPr>
          <w:t>http://www.cpuc.ca.gov</w:t>
        </w:r>
      </w:hyperlink>
      <w:r w:rsidRPr="00840954" w:rsidR="00B54B24">
        <w:rPr>
          <w:rFonts w:ascii="Book Antiqua" w:hAnsi="Book Antiqua"/>
        </w:rPr>
        <w:t>.</w:t>
      </w:r>
    </w:p>
    <w:p w:rsidRPr="00840954" w:rsidR="006D4BE4" w:rsidP="00B73F26" w:rsidRDefault="006D4BE4" w14:paraId="2E8AF907" w14:textId="77777777">
      <w:pPr>
        <w:tabs>
          <w:tab w:val="left" w:pos="240"/>
          <w:tab w:val="left" w:pos="720"/>
          <w:tab w:val="right" w:pos="10080"/>
        </w:tabs>
        <w:jc w:val="both"/>
        <w:rPr>
          <w:rFonts w:ascii="Book Antiqua" w:hAnsi="Book Antiqua"/>
          <w:b/>
        </w:rPr>
      </w:pPr>
    </w:p>
    <w:p w:rsidRPr="00840954" w:rsidR="0082558F" w:rsidP="00B73F26" w:rsidRDefault="0082558F" w14:paraId="31CDFC9A" w14:textId="2E6173DB">
      <w:pPr>
        <w:tabs>
          <w:tab w:val="left" w:pos="240"/>
          <w:tab w:val="left" w:pos="720"/>
          <w:tab w:val="right" w:pos="10080"/>
        </w:tabs>
        <w:jc w:val="both"/>
        <w:rPr>
          <w:rFonts w:ascii="Book Antiqua" w:hAnsi="Book Antiqua"/>
          <w:b/>
          <w:u w:val="single"/>
        </w:rPr>
      </w:pPr>
      <w:r w:rsidRPr="00840954">
        <w:rPr>
          <w:rFonts w:ascii="Book Antiqua" w:hAnsi="Book Antiqua"/>
          <w:b/>
          <w:u w:val="single"/>
        </w:rPr>
        <w:t>CONCLUSIONS OF LAW:</w:t>
      </w:r>
    </w:p>
    <w:p w:rsidRPr="00840954" w:rsidR="0082558F" w:rsidP="00B73F26" w:rsidRDefault="0082558F" w14:paraId="6BA67159" w14:textId="6B574689">
      <w:pPr>
        <w:tabs>
          <w:tab w:val="left" w:pos="240"/>
          <w:tab w:val="left" w:pos="720"/>
          <w:tab w:val="right" w:pos="10080"/>
        </w:tabs>
        <w:jc w:val="both"/>
        <w:rPr>
          <w:rFonts w:ascii="Book Antiqua" w:hAnsi="Book Antiqua"/>
          <w:b/>
          <w:u w:val="single"/>
        </w:rPr>
      </w:pPr>
    </w:p>
    <w:p w:rsidRPr="00840954" w:rsidR="000B21A0" w:rsidP="002B6F08" w:rsidRDefault="000B21A0" w14:paraId="1D386D26" w14:textId="1039EAB6">
      <w:pPr>
        <w:numPr>
          <w:ilvl w:val="0"/>
          <w:numId w:val="34"/>
        </w:numPr>
        <w:spacing w:after="120"/>
        <w:rPr>
          <w:rFonts w:ascii="Book Antiqua" w:hAnsi="Book Antiqua"/>
        </w:rPr>
      </w:pPr>
      <w:r w:rsidRPr="00840954">
        <w:rPr>
          <w:rFonts w:ascii="Book Antiqua" w:hAnsi="Book Antiqua"/>
        </w:rPr>
        <w:t xml:space="preserve">Directory </w:t>
      </w:r>
      <w:r w:rsidR="00DB7997">
        <w:rPr>
          <w:rFonts w:ascii="Book Antiqua" w:hAnsi="Book Antiqua"/>
        </w:rPr>
        <w:t>l</w:t>
      </w:r>
      <w:r w:rsidRPr="00840954">
        <w:rPr>
          <w:rFonts w:ascii="Book Antiqua" w:hAnsi="Book Antiqua"/>
        </w:rPr>
        <w:t xml:space="preserve">istings </w:t>
      </w:r>
      <w:r w:rsidR="00F0188B">
        <w:rPr>
          <w:rFonts w:ascii="Book Antiqua" w:hAnsi="Book Antiqua"/>
        </w:rPr>
        <w:t>s</w:t>
      </w:r>
      <w:r w:rsidRPr="00840954">
        <w:rPr>
          <w:rFonts w:ascii="Book Antiqua" w:hAnsi="Book Antiqua"/>
        </w:rPr>
        <w:t>ervice is a component of basic telephone service.</w:t>
      </w:r>
    </w:p>
    <w:p w:rsidR="00AE4F49" w:rsidP="002B6F08" w:rsidRDefault="00AE4F49" w14:paraId="07B1441B" w14:textId="3958B280">
      <w:pPr>
        <w:numPr>
          <w:ilvl w:val="0"/>
          <w:numId w:val="34"/>
        </w:numPr>
        <w:spacing w:after="120"/>
        <w:rPr>
          <w:rFonts w:ascii="Book Antiqua" w:hAnsi="Book Antiqua"/>
        </w:rPr>
      </w:pPr>
      <w:r>
        <w:rPr>
          <w:rFonts w:ascii="Book Antiqua" w:hAnsi="Book Antiqua"/>
        </w:rPr>
        <w:t>The Commission has not exempt</w:t>
      </w:r>
      <w:r w:rsidR="002B37C8">
        <w:rPr>
          <w:rFonts w:ascii="Book Antiqua" w:hAnsi="Book Antiqua"/>
        </w:rPr>
        <w:t>ed</w:t>
      </w:r>
      <w:r>
        <w:rPr>
          <w:rFonts w:ascii="Book Antiqua" w:hAnsi="Book Antiqua"/>
        </w:rPr>
        <w:t xml:space="preserve"> </w:t>
      </w:r>
      <w:r w:rsidRPr="009D4C80">
        <w:rPr>
          <w:rFonts w:ascii="Book Antiqua" w:hAnsi="Book Antiqua"/>
        </w:rPr>
        <w:t>directory listings</w:t>
      </w:r>
      <w:r>
        <w:rPr>
          <w:rFonts w:ascii="Book Antiqua" w:hAnsi="Book Antiqua"/>
        </w:rPr>
        <w:t xml:space="preserve"> service from CPUC P</w:t>
      </w:r>
      <w:r w:rsidR="008D2085">
        <w:rPr>
          <w:rFonts w:ascii="Book Antiqua" w:hAnsi="Book Antiqua"/>
        </w:rPr>
        <w:t xml:space="preserve">ublic </w:t>
      </w:r>
      <w:r>
        <w:rPr>
          <w:rFonts w:ascii="Book Antiqua" w:hAnsi="Book Antiqua"/>
        </w:rPr>
        <w:t>P</w:t>
      </w:r>
      <w:r w:rsidR="008D2085">
        <w:rPr>
          <w:rFonts w:ascii="Book Antiqua" w:hAnsi="Book Antiqua"/>
        </w:rPr>
        <w:t xml:space="preserve">urpose </w:t>
      </w:r>
      <w:r>
        <w:rPr>
          <w:rFonts w:ascii="Book Antiqua" w:hAnsi="Book Antiqua"/>
        </w:rPr>
        <w:t>P</w:t>
      </w:r>
      <w:r w:rsidR="008D2085">
        <w:rPr>
          <w:rFonts w:ascii="Book Antiqua" w:hAnsi="Book Antiqua"/>
        </w:rPr>
        <w:t>rogram</w:t>
      </w:r>
      <w:r w:rsidR="000009AD">
        <w:rPr>
          <w:rFonts w:ascii="Book Antiqua" w:hAnsi="Book Antiqua"/>
        </w:rPr>
        <w:t>s</w:t>
      </w:r>
      <w:r>
        <w:rPr>
          <w:rFonts w:ascii="Book Antiqua" w:hAnsi="Book Antiqua"/>
        </w:rPr>
        <w:t xml:space="preserve"> surcharges and CPUC </w:t>
      </w:r>
      <w:r w:rsidR="000009AD">
        <w:rPr>
          <w:rFonts w:ascii="Book Antiqua" w:hAnsi="Book Antiqua"/>
        </w:rPr>
        <w:t>U</w:t>
      </w:r>
      <w:r>
        <w:rPr>
          <w:rFonts w:ascii="Book Antiqua" w:hAnsi="Book Antiqua"/>
        </w:rPr>
        <w:t xml:space="preserve">ser </w:t>
      </w:r>
      <w:r w:rsidR="000009AD">
        <w:rPr>
          <w:rFonts w:ascii="Book Antiqua" w:hAnsi="Book Antiqua"/>
        </w:rPr>
        <w:t>F</w:t>
      </w:r>
      <w:r>
        <w:rPr>
          <w:rFonts w:ascii="Book Antiqua" w:hAnsi="Book Antiqua"/>
        </w:rPr>
        <w:t xml:space="preserve">ee obligations.  </w:t>
      </w:r>
    </w:p>
    <w:p w:rsidRPr="00840954" w:rsidR="008B2AA8" w:rsidP="002B6F08" w:rsidRDefault="009A1531" w14:paraId="749B5C70" w14:textId="70D186D9">
      <w:pPr>
        <w:numPr>
          <w:ilvl w:val="0"/>
          <w:numId w:val="34"/>
        </w:numPr>
        <w:spacing w:after="120"/>
        <w:rPr>
          <w:rFonts w:ascii="Book Antiqua" w:hAnsi="Book Antiqua"/>
        </w:rPr>
      </w:pPr>
      <w:r w:rsidRPr="00840954">
        <w:rPr>
          <w:rFonts w:ascii="Book Antiqua" w:hAnsi="Book Antiqua"/>
        </w:rPr>
        <w:t>As a component of basic telephone service, d</w:t>
      </w:r>
      <w:r w:rsidRPr="00840954" w:rsidR="000B21A0">
        <w:rPr>
          <w:rFonts w:ascii="Book Antiqua" w:hAnsi="Book Antiqua"/>
        </w:rPr>
        <w:t xml:space="preserve">irectory </w:t>
      </w:r>
      <w:r w:rsidRPr="00840954">
        <w:rPr>
          <w:rFonts w:ascii="Book Antiqua" w:hAnsi="Book Antiqua"/>
        </w:rPr>
        <w:t>l</w:t>
      </w:r>
      <w:r w:rsidRPr="00840954" w:rsidR="000B21A0">
        <w:rPr>
          <w:rFonts w:ascii="Book Antiqua" w:hAnsi="Book Antiqua"/>
        </w:rPr>
        <w:t xml:space="preserve">istings </w:t>
      </w:r>
      <w:r w:rsidRPr="00840954">
        <w:rPr>
          <w:rFonts w:ascii="Book Antiqua" w:hAnsi="Book Antiqua"/>
        </w:rPr>
        <w:t>s</w:t>
      </w:r>
      <w:r w:rsidRPr="00840954" w:rsidR="000B21A0">
        <w:rPr>
          <w:rFonts w:ascii="Book Antiqua" w:hAnsi="Book Antiqua"/>
        </w:rPr>
        <w:t>ervice is a telecommunications service</w:t>
      </w:r>
      <w:r w:rsidR="00592662">
        <w:rPr>
          <w:rFonts w:ascii="Book Antiqua" w:hAnsi="Book Antiqua"/>
        </w:rPr>
        <w:t xml:space="preserve"> for purposes of </w:t>
      </w:r>
      <w:r w:rsidRPr="00840954" w:rsidR="000B21A0">
        <w:rPr>
          <w:rFonts w:ascii="Book Antiqua" w:hAnsi="Book Antiqua"/>
        </w:rPr>
        <w:t xml:space="preserve">CPUC </w:t>
      </w:r>
      <w:r w:rsidR="00462E9B">
        <w:rPr>
          <w:rFonts w:ascii="Book Antiqua" w:hAnsi="Book Antiqua"/>
        </w:rPr>
        <w:t>P</w:t>
      </w:r>
      <w:r w:rsidRPr="00840954" w:rsidR="000B21A0">
        <w:rPr>
          <w:rFonts w:ascii="Book Antiqua" w:hAnsi="Book Antiqua"/>
        </w:rPr>
        <w:t xml:space="preserve">ublic </w:t>
      </w:r>
      <w:r w:rsidR="00462E9B">
        <w:rPr>
          <w:rFonts w:ascii="Book Antiqua" w:hAnsi="Book Antiqua"/>
        </w:rPr>
        <w:t>P</w:t>
      </w:r>
      <w:r w:rsidRPr="00840954" w:rsidR="000B21A0">
        <w:rPr>
          <w:rFonts w:ascii="Book Antiqua" w:hAnsi="Book Antiqua"/>
        </w:rPr>
        <w:t xml:space="preserve">urpose </w:t>
      </w:r>
      <w:r w:rsidR="00462E9B">
        <w:rPr>
          <w:rFonts w:ascii="Book Antiqua" w:hAnsi="Book Antiqua"/>
        </w:rPr>
        <w:t>P</w:t>
      </w:r>
      <w:r w:rsidRPr="00840954" w:rsidR="000B21A0">
        <w:rPr>
          <w:rFonts w:ascii="Book Antiqua" w:hAnsi="Book Antiqua"/>
        </w:rPr>
        <w:t xml:space="preserve">rogram surcharges and CPUC </w:t>
      </w:r>
      <w:r w:rsidR="00DC5EAC">
        <w:rPr>
          <w:rFonts w:ascii="Book Antiqua" w:hAnsi="Book Antiqua"/>
        </w:rPr>
        <w:t>U</w:t>
      </w:r>
      <w:r w:rsidRPr="00840954" w:rsidR="000B21A0">
        <w:rPr>
          <w:rFonts w:ascii="Book Antiqua" w:hAnsi="Book Antiqua"/>
        </w:rPr>
        <w:t xml:space="preserve">ser </w:t>
      </w:r>
      <w:r w:rsidR="00DC5EAC">
        <w:rPr>
          <w:rFonts w:ascii="Book Antiqua" w:hAnsi="Book Antiqua"/>
        </w:rPr>
        <w:t>F</w:t>
      </w:r>
      <w:r w:rsidRPr="00840954" w:rsidR="000B21A0">
        <w:rPr>
          <w:rFonts w:ascii="Book Antiqua" w:hAnsi="Book Antiqua"/>
        </w:rPr>
        <w:t>ee</w:t>
      </w:r>
      <w:r w:rsidR="00592662">
        <w:rPr>
          <w:rFonts w:ascii="Book Antiqua" w:hAnsi="Book Antiqua"/>
        </w:rPr>
        <w:t xml:space="preserve"> obligations</w:t>
      </w:r>
      <w:r w:rsidRPr="00840954" w:rsidR="000B21A0">
        <w:rPr>
          <w:rFonts w:ascii="Book Antiqua" w:hAnsi="Book Antiqua"/>
        </w:rPr>
        <w:t>.</w:t>
      </w:r>
    </w:p>
    <w:p w:rsidR="009E7AF1" w:rsidP="008B2AA8" w:rsidRDefault="009E7AF1" w14:paraId="5811890F" w14:textId="0AA4B6A1">
      <w:pPr>
        <w:numPr>
          <w:ilvl w:val="0"/>
          <w:numId w:val="34"/>
        </w:numPr>
        <w:spacing w:after="120"/>
        <w:rPr>
          <w:rFonts w:ascii="Book Antiqua" w:hAnsi="Book Antiqua"/>
        </w:rPr>
      </w:pPr>
      <w:r>
        <w:rPr>
          <w:rFonts w:ascii="Book Antiqua" w:hAnsi="Book Antiqua"/>
        </w:rPr>
        <w:t xml:space="preserve">The 2016 Audit Report finding related to Cox’s PPP surcharges and </w:t>
      </w:r>
      <w:r w:rsidR="004C7909">
        <w:rPr>
          <w:rFonts w:ascii="Book Antiqua" w:hAnsi="Book Antiqua"/>
        </w:rPr>
        <w:t xml:space="preserve">CPUC </w:t>
      </w:r>
      <w:r w:rsidR="00DC5EAC">
        <w:rPr>
          <w:rFonts w:ascii="Book Antiqua" w:hAnsi="Book Antiqua"/>
        </w:rPr>
        <w:t>U</w:t>
      </w:r>
      <w:r>
        <w:rPr>
          <w:rFonts w:ascii="Book Antiqua" w:hAnsi="Book Antiqua"/>
        </w:rPr>
        <w:t xml:space="preserve">ser </w:t>
      </w:r>
      <w:r w:rsidR="00DC5EAC">
        <w:rPr>
          <w:rFonts w:ascii="Book Antiqua" w:hAnsi="Book Antiqua"/>
        </w:rPr>
        <w:t>F</w:t>
      </w:r>
      <w:r>
        <w:rPr>
          <w:rFonts w:ascii="Book Antiqua" w:hAnsi="Book Antiqua"/>
        </w:rPr>
        <w:t>ee obligations were based on a correct application of Commission decisions, including</w:t>
      </w:r>
      <w:r w:rsidR="00D300DC">
        <w:rPr>
          <w:rFonts w:ascii="Book Antiqua" w:hAnsi="Book Antiqua"/>
        </w:rPr>
        <w:t xml:space="preserve"> but not limited to </w:t>
      </w:r>
      <w:r>
        <w:rPr>
          <w:rFonts w:ascii="Book Antiqua" w:hAnsi="Book Antiqua"/>
        </w:rPr>
        <w:t xml:space="preserve">D.96-10-066.  </w:t>
      </w:r>
    </w:p>
    <w:p w:rsidRPr="002B3F4D" w:rsidR="002B3F4D" w:rsidRDefault="002B3F4D" w14:paraId="36D3B850" w14:textId="3C8D12BD">
      <w:pPr>
        <w:numPr>
          <w:ilvl w:val="0"/>
          <w:numId w:val="34"/>
        </w:numPr>
        <w:spacing w:after="120"/>
        <w:rPr>
          <w:rFonts w:ascii="Book Antiqua" w:hAnsi="Book Antiqua"/>
        </w:rPr>
      </w:pPr>
      <w:r>
        <w:rPr>
          <w:rFonts w:ascii="Book Antiqua" w:hAnsi="Book Antiqua"/>
        </w:rPr>
        <w:t xml:space="preserve">The 2017 Analysis Report finding related to Cox’s PPP surcharges and </w:t>
      </w:r>
      <w:r w:rsidR="00096BAD">
        <w:rPr>
          <w:rFonts w:ascii="Book Antiqua" w:hAnsi="Book Antiqua"/>
        </w:rPr>
        <w:t xml:space="preserve">CPUC </w:t>
      </w:r>
      <w:r w:rsidR="00F4483B">
        <w:rPr>
          <w:rFonts w:ascii="Book Antiqua" w:hAnsi="Book Antiqua"/>
        </w:rPr>
        <w:t>U</w:t>
      </w:r>
      <w:r>
        <w:rPr>
          <w:rFonts w:ascii="Book Antiqua" w:hAnsi="Book Antiqua"/>
        </w:rPr>
        <w:t xml:space="preserve">ser </w:t>
      </w:r>
      <w:r w:rsidR="00F4483B">
        <w:rPr>
          <w:rFonts w:ascii="Book Antiqua" w:hAnsi="Book Antiqua"/>
        </w:rPr>
        <w:t>F</w:t>
      </w:r>
      <w:r>
        <w:rPr>
          <w:rFonts w:ascii="Book Antiqua" w:hAnsi="Book Antiqua"/>
        </w:rPr>
        <w:t>ee obligations were based on a correct application of Commission decisions, including</w:t>
      </w:r>
      <w:r w:rsidR="00D300DC">
        <w:rPr>
          <w:rFonts w:ascii="Book Antiqua" w:hAnsi="Book Antiqua"/>
        </w:rPr>
        <w:t xml:space="preserve"> but not limited to</w:t>
      </w:r>
      <w:r>
        <w:rPr>
          <w:rFonts w:ascii="Book Antiqua" w:hAnsi="Book Antiqua"/>
        </w:rPr>
        <w:t xml:space="preserve"> D.96-10-066</w:t>
      </w:r>
      <w:r w:rsidR="00C3193D">
        <w:rPr>
          <w:rFonts w:ascii="Book Antiqua" w:hAnsi="Book Antiqua"/>
        </w:rPr>
        <w:t>.</w:t>
      </w:r>
      <w:r>
        <w:rPr>
          <w:rFonts w:ascii="Book Antiqua" w:hAnsi="Book Antiqua"/>
        </w:rPr>
        <w:t xml:space="preserve"> </w:t>
      </w:r>
    </w:p>
    <w:p w:rsidRPr="00840954" w:rsidR="008B2AA8" w:rsidP="008B2AA8" w:rsidRDefault="008B2AA8" w14:paraId="3CE87AE6" w14:textId="22D7408A">
      <w:pPr>
        <w:numPr>
          <w:ilvl w:val="0"/>
          <w:numId w:val="34"/>
        </w:numPr>
        <w:spacing w:after="120"/>
        <w:rPr>
          <w:rFonts w:ascii="Book Antiqua" w:hAnsi="Book Antiqua"/>
        </w:rPr>
      </w:pPr>
      <w:r w:rsidRPr="00840954">
        <w:rPr>
          <w:rFonts w:ascii="Book Antiqua" w:hAnsi="Book Antiqua"/>
        </w:rPr>
        <w:t xml:space="preserve">Communications Division’s compliance efforts, as described in this resolution, were reasonable. </w:t>
      </w:r>
    </w:p>
    <w:p w:rsidR="00137C15" w:rsidRDefault="00137C15" w14:paraId="64B4C807" w14:textId="65066382">
      <w:pPr>
        <w:numPr>
          <w:ilvl w:val="0"/>
          <w:numId w:val="34"/>
        </w:numPr>
        <w:spacing w:after="120"/>
        <w:rPr>
          <w:rFonts w:ascii="Book Antiqua" w:hAnsi="Book Antiqua"/>
        </w:rPr>
      </w:pPr>
      <w:r>
        <w:rPr>
          <w:rFonts w:ascii="Book Antiqua" w:hAnsi="Book Antiqua"/>
        </w:rPr>
        <w:t xml:space="preserve">Federal law does not preempt states from imposing state universal service surcharges and fees on a </w:t>
      </w:r>
      <w:r w:rsidR="00761254">
        <w:rPr>
          <w:rFonts w:ascii="Book Antiqua" w:hAnsi="Book Antiqua"/>
        </w:rPr>
        <w:t xml:space="preserve">telecommunications carrier’s or a </w:t>
      </w:r>
      <w:r>
        <w:rPr>
          <w:rFonts w:ascii="Book Antiqua" w:hAnsi="Book Antiqua"/>
        </w:rPr>
        <w:t xml:space="preserve">telephone corporation’s </w:t>
      </w:r>
      <w:r w:rsidR="00C46465">
        <w:rPr>
          <w:rFonts w:ascii="Book Antiqua" w:hAnsi="Book Antiqua"/>
        </w:rPr>
        <w:t xml:space="preserve">intrastate </w:t>
      </w:r>
      <w:r>
        <w:rPr>
          <w:rFonts w:ascii="Book Antiqua" w:hAnsi="Book Antiqua"/>
        </w:rPr>
        <w:t xml:space="preserve">directory listings service </w:t>
      </w:r>
      <w:r w:rsidR="00172498">
        <w:rPr>
          <w:rFonts w:ascii="Book Antiqua" w:hAnsi="Book Antiqua"/>
        </w:rPr>
        <w:t xml:space="preserve">intrastate </w:t>
      </w:r>
      <w:r>
        <w:rPr>
          <w:rFonts w:ascii="Book Antiqua" w:hAnsi="Book Antiqua"/>
        </w:rPr>
        <w:t xml:space="preserve">revenue. </w:t>
      </w:r>
    </w:p>
    <w:p w:rsidRPr="00840954" w:rsidR="0082558F" w:rsidP="00840954" w:rsidRDefault="00FA6FD5" w14:paraId="0E39E27E" w14:textId="409116D2">
      <w:pPr>
        <w:numPr>
          <w:ilvl w:val="0"/>
          <w:numId w:val="34"/>
        </w:numPr>
        <w:spacing w:after="120"/>
        <w:rPr>
          <w:rFonts w:ascii="Book Antiqua" w:hAnsi="Book Antiqua"/>
        </w:rPr>
      </w:pPr>
      <w:r w:rsidRPr="00840954">
        <w:rPr>
          <w:rFonts w:ascii="Book Antiqua" w:hAnsi="Book Antiqua"/>
        </w:rPr>
        <w:t>The F</w:t>
      </w:r>
      <w:r w:rsidR="003321FE">
        <w:rPr>
          <w:rFonts w:ascii="Book Antiqua" w:hAnsi="Book Antiqua"/>
        </w:rPr>
        <w:t xml:space="preserve">ederal </w:t>
      </w:r>
      <w:r w:rsidRPr="00840954">
        <w:rPr>
          <w:rFonts w:ascii="Book Antiqua" w:hAnsi="Book Antiqua"/>
        </w:rPr>
        <w:t>C</w:t>
      </w:r>
      <w:r w:rsidR="003321FE">
        <w:rPr>
          <w:rFonts w:ascii="Book Antiqua" w:hAnsi="Book Antiqua"/>
        </w:rPr>
        <w:t xml:space="preserve">ommunications </w:t>
      </w:r>
      <w:r w:rsidRPr="00840954">
        <w:rPr>
          <w:rFonts w:ascii="Book Antiqua" w:hAnsi="Book Antiqua"/>
        </w:rPr>
        <w:t>C</w:t>
      </w:r>
      <w:r w:rsidR="003321FE">
        <w:rPr>
          <w:rFonts w:ascii="Book Antiqua" w:hAnsi="Book Antiqua"/>
        </w:rPr>
        <w:t>ommission</w:t>
      </w:r>
      <w:r w:rsidRPr="00840954">
        <w:rPr>
          <w:rFonts w:ascii="Book Antiqua" w:hAnsi="Book Antiqua"/>
        </w:rPr>
        <w:t xml:space="preserve"> has not preempted states from imposing state </w:t>
      </w:r>
      <w:r w:rsidR="00FA71FC">
        <w:rPr>
          <w:rFonts w:ascii="Book Antiqua" w:hAnsi="Book Antiqua"/>
        </w:rPr>
        <w:t xml:space="preserve">universal service </w:t>
      </w:r>
      <w:r w:rsidRPr="00840954">
        <w:rPr>
          <w:rFonts w:ascii="Book Antiqua" w:hAnsi="Book Antiqua"/>
        </w:rPr>
        <w:t xml:space="preserve">surcharges and fees on a </w:t>
      </w:r>
      <w:r w:rsidR="00761254">
        <w:rPr>
          <w:rFonts w:ascii="Book Antiqua" w:hAnsi="Book Antiqua"/>
        </w:rPr>
        <w:t xml:space="preserve">telecommunications carrier’s or a </w:t>
      </w:r>
      <w:r w:rsidRPr="00840954">
        <w:rPr>
          <w:rFonts w:ascii="Book Antiqua" w:hAnsi="Book Antiqua"/>
        </w:rPr>
        <w:t>telephone corporation’s</w:t>
      </w:r>
      <w:r w:rsidR="00531FA2">
        <w:rPr>
          <w:rFonts w:ascii="Book Antiqua" w:hAnsi="Book Antiqua"/>
        </w:rPr>
        <w:t xml:space="preserve"> intrastate</w:t>
      </w:r>
      <w:r w:rsidRPr="00840954">
        <w:rPr>
          <w:rFonts w:ascii="Book Antiqua" w:hAnsi="Book Antiqua"/>
        </w:rPr>
        <w:t xml:space="preserve"> directory listings service </w:t>
      </w:r>
      <w:r w:rsidR="006D3A20">
        <w:rPr>
          <w:rFonts w:ascii="Book Antiqua" w:hAnsi="Book Antiqua"/>
        </w:rPr>
        <w:t xml:space="preserve">intrastate </w:t>
      </w:r>
      <w:r w:rsidRPr="00840954">
        <w:rPr>
          <w:rFonts w:ascii="Book Antiqua" w:hAnsi="Book Antiqua"/>
        </w:rPr>
        <w:t xml:space="preserve">revenue. </w:t>
      </w:r>
      <w:r w:rsidRPr="00840954" w:rsidR="00F21245">
        <w:rPr>
          <w:rFonts w:ascii="Book Antiqua" w:hAnsi="Book Antiqua"/>
        </w:rPr>
        <w:t xml:space="preserve">  </w:t>
      </w:r>
      <w:r w:rsidRPr="00840954" w:rsidR="00B05968">
        <w:rPr>
          <w:rFonts w:ascii="Book Antiqua" w:hAnsi="Book Antiqua"/>
        </w:rPr>
        <w:t xml:space="preserve"> </w:t>
      </w:r>
      <w:r w:rsidRPr="00840954" w:rsidR="008E2478">
        <w:rPr>
          <w:rFonts w:ascii="Book Antiqua" w:hAnsi="Book Antiqua"/>
        </w:rPr>
        <w:t xml:space="preserve"> </w:t>
      </w:r>
      <w:r w:rsidRPr="00840954" w:rsidR="000B21A0">
        <w:rPr>
          <w:rFonts w:ascii="Book Antiqua" w:hAnsi="Book Antiqua"/>
        </w:rPr>
        <w:t xml:space="preserve">   </w:t>
      </w:r>
    </w:p>
    <w:p w:rsidRPr="00840954" w:rsidR="0082558F" w:rsidP="00B73F26" w:rsidRDefault="0082558F" w14:paraId="2E35D6AD" w14:textId="627986A2">
      <w:pPr>
        <w:tabs>
          <w:tab w:val="left" w:pos="240"/>
          <w:tab w:val="left" w:pos="720"/>
          <w:tab w:val="right" w:pos="10080"/>
        </w:tabs>
        <w:jc w:val="both"/>
        <w:rPr>
          <w:rFonts w:ascii="Book Antiqua" w:hAnsi="Book Antiqua"/>
          <w:b/>
          <w:u w:val="single"/>
        </w:rPr>
      </w:pPr>
    </w:p>
    <w:p w:rsidRPr="00840954" w:rsidR="0082558F" w:rsidP="00B73F26" w:rsidRDefault="0082558F" w14:paraId="6B2EE23F" w14:textId="2F5C5E76">
      <w:pPr>
        <w:tabs>
          <w:tab w:val="left" w:pos="240"/>
          <w:tab w:val="left" w:pos="720"/>
          <w:tab w:val="right" w:pos="10080"/>
        </w:tabs>
        <w:jc w:val="both"/>
        <w:rPr>
          <w:rFonts w:ascii="Book Antiqua" w:hAnsi="Book Antiqua"/>
          <w:b/>
          <w:u w:val="single"/>
        </w:rPr>
      </w:pPr>
      <w:r w:rsidRPr="00840954">
        <w:rPr>
          <w:rFonts w:ascii="Book Antiqua" w:hAnsi="Book Antiqua"/>
          <w:b/>
          <w:u w:val="single"/>
        </w:rPr>
        <w:t>ORDERING PARAGRAPHS</w:t>
      </w:r>
      <w:r w:rsidRPr="00840954" w:rsidR="002B6F08">
        <w:rPr>
          <w:rFonts w:ascii="Book Antiqua" w:hAnsi="Book Antiqua"/>
          <w:b/>
          <w:u w:val="single"/>
        </w:rPr>
        <w:t xml:space="preserve">: </w:t>
      </w:r>
    </w:p>
    <w:p w:rsidRPr="00840954" w:rsidR="0082558F" w:rsidP="00B73F26" w:rsidRDefault="0082558F" w14:paraId="7DAB8B82" w14:textId="05A08F2A">
      <w:pPr>
        <w:tabs>
          <w:tab w:val="left" w:pos="240"/>
          <w:tab w:val="left" w:pos="720"/>
          <w:tab w:val="right" w:pos="10080"/>
        </w:tabs>
        <w:jc w:val="both"/>
        <w:rPr>
          <w:rFonts w:ascii="Book Antiqua" w:hAnsi="Book Antiqua"/>
          <w:b/>
        </w:rPr>
      </w:pPr>
    </w:p>
    <w:p w:rsidR="002B5EA4" w:rsidP="001F7EE1" w:rsidRDefault="00F21245" w14:paraId="02E94B8F" w14:textId="5E54447E">
      <w:pPr>
        <w:numPr>
          <w:ilvl w:val="0"/>
          <w:numId w:val="35"/>
        </w:numPr>
        <w:spacing w:after="120"/>
        <w:rPr>
          <w:rFonts w:ascii="Book Antiqua" w:hAnsi="Book Antiqua"/>
        </w:rPr>
      </w:pPr>
      <w:r w:rsidRPr="00840954">
        <w:rPr>
          <w:rFonts w:ascii="Book Antiqua" w:hAnsi="Book Antiqua"/>
        </w:rPr>
        <w:t>Co</w:t>
      </w:r>
      <w:r w:rsidRPr="00840954" w:rsidR="00A606D9">
        <w:rPr>
          <w:rFonts w:ascii="Book Antiqua" w:hAnsi="Book Antiqua"/>
        </w:rPr>
        <w:t>x</w:t>
      </w:r>
      <w:r w:rsidR="00404268">
        <w:rPr>
          <w:rFonts w:ascii="Book Antiqua" w:hAnsi="Book Antiqua"/>
        </w:rPr>
        <w:t xml:space="preserve"> was obligated to collect and remit </w:t>
      </w:r>
      <w:r w:rsidR="008E45FA">
        <w:rPr>
          <w:rFonts w:ascii="Book Antiqua" w:hAnsi="Book Antiqua"/>
        </w:rPr>
        <w:t xml:space="preserve">CPUC </w:t>
      </w:r>
      <w:r w:rsidR="00F64E50">
        <w:rPr>
          <w:rFonts w:ascii="Book Antiqua" w:hAnsi="Book Antiqua"/>
        </w:rPr>
        <w:t>Public Purpose Program</w:t>
      </w:r>
      <w:r w:rsidR="00C96C77">
        <w:rPr>
          <w:rFonts w:ascii="Book Antiqua" w:hAnsi="Book Antiqua"/>
        </w:rPr>
        <w:t>s</w:t>
      </w:r>
      <w:r w:rsidR="00F64E50">
        <w:rPr>
          <w:rFonts w:ascii="Book Antiqua" w:hAnsi="Book Antiqua"/>
        </w:rPr>
        <w:t xml:space="preserve"> </w:t>
      </w:r>
      <w:r w:rsidRPr="00840954" w:rsidR="00A606D9">
        <w:rPr>
          <w:rFonts w:ascii="Book Antiqua" w:hAnsi="Book Antiqua"/>
        </w:rPr>
        <w:t xml:space="preserve">surcharges and </w:t>
      </w:r>
      <w:r w:rsidR="008E45FA">
        <w:rPr>
          <w:rFonts w:ascii="Book Antiqua" w:hAnsi="Book Antiqua"/>
        </w:rPr>
        <w:t xml:space="preserve">CPUC </w:t>
      </w:r>
      <w:r w:rsidRPr="00840954" w:rsidR="00A606D9">
        <w:rPr>
          <w:rFonts w:ascii="Book Antiqua" w:hAnsi="Book Antiqua"/>
        </w:rPr>
        <w:t xml:space="preserve">user fees on its intrastate directory listings service </w:t>
      </w:r>
      <w:r w:rsidR="006606C7">
        <w:rPr>
          <w:rFonts w:ascii="Book Antiqua" w:hAnsi="Book Antiqua"/>
        </w:rPr>
        <w:t xml:space="preserve">intrastate </w:t>
      </w:r>
      <w:r w:rsidRPr="00840954" w:rsidR="00A606D9">
        <w:rPr>
          <w:rFonts w:ascii="Book Antiqua" w:hAnsi="Book Antiqua"/>
        </w:rPr>
        <w:t xml:space="preserve">revenue </w:t>
      </w:r>
      <w:r w:rsidR="001E5A35">
        <w:rPr>
          <w:rFonts w:ascii="Book Antiqua" w:hAnsi="Book Antiqua"/>
        </w:rPr>
        <w:t>for fiscal years 2012-20</w:t>
      </w:r>
      <w:r w:rsidR="00FE0535">
        <w:rPr>
          <w:rFonts w:ascii="Book Antiqua" w:hAnsi="Book Antiqua"/>
        </w:rPr>
        <w:t>1</w:t>
      </w:r>
      <w:r w:rsidR="001E5A35">
        <w:rPr>
          <w:rFonts w:ascii="Book Antiqua" w:hAnsi="Book Antiqua"/>
        </w:rPr>
        <w:t xml:space="preserve">3, 2013-2014, and 2014-2015, </w:t>
      </w:r>
      <w:r w:rsidR="00404268">
        <w:rPr>
          <w:rFonts w:ascii="Book Antiqua" w:hAnsi="Book Antiqua"/>
        </w:rPr>
        <w:t>as set forth in the 2016 Audit Report and 2017 Analysis Report</w:t>
      </w:r>
      <w:r w:rsidRPr="00840954" w:rsidR="00A606D9">
        <w:rPr>
          <w:rFonts w:ascii="Book Antiqua" w:hAnsi="Book Antiqua"/>
        </w:rPr>
        <w:t>.</w:t>
      </w:r>
    </w:p>
    <w:p w:rsidRPr="00840954" w:rsidR="0082558F" w:rsidP="00B73F26" w:rsidRDefault="0082558F" w14:paraId="4D758B67" w14:textId="77777777">
      <w:pPr>
        <w:tabs>
          <w:tab w:val="left" w:pos="240"/>
          <w:tab w:val="left" w:pos="720"/>
          <w:tab w:val="right" w:pos="10080"/>
        </w:tabs>
        <w:jc w:val="both"/>
        <w:rPr>
          <w:rFonts w:ascii="Book Antiqua" w:hAnsi="Book Antiqua"/>
          <w:b/>
        </w:rPr>
      </w:pPr>
    </w:p>
    <w:p w:rsidRPr="00840954" w:rsidR="00C82F38" w:rsidP="00B73F26" w:rsidRDefault="003B1DBD" w14:paraId="6EB80653" w14:textId="081697B3">
      <w:pPr>
        <w:tabs>
          <w:tab w:val="left" w:pos="240"/>
          <w:tab w:val="left" w:pos="720"/>
          <w:tab w:val="right" w:pos="10080"/>
        </w:tabs>
        <w:jc w:val="both"/>
        <w:rPr>
          <w:rFonts w:ascii="Book Antiqua" w:hAnsi="Book Antiqua"/>
        </w:rPr>
      </w:pPr>
      <w:r w:rsidRPr="00840954">
        <w:rPr>
          <w:rFonts w:ascii="Book Antiqua" w:hAnsi="Book Antiqua"/>
          <w:b/>
        </w:rPr>
        <w:t xml:space="preserve">THERFORE, IT IS ORDERED </w:t>
      </w:r>
      <w:r w:rsidRPr="00840954">
        <w:rPr>
          <w:rFonts w:ascii="Book Antiqua" w:hAnsi="Book Antiqua"/>
        </w:rPr>
        <w:t>that:</w:t>
      </w:r>
      <w:r w:rsidR="00C16B46">
        <w:rPr>
          <w:rFonts w:ascii="Book Antiqua" w:hAnsi="Book Antiqua"/>
        </w:rPr>
        <w:t xml:space="preserve"> </w:t>
      </w:r>
    </w:p>
    <w:p w:rsidRPr="00840954" w:rsidR="00AB0AC0" w:rsidP="00840954" w:rsidRDefault="00AB0AC0" w14:paraId="6C42D67D" w14:textId="77777777">
      <w:pPr>
        <w:tabs>
          <w:tab w:val="left" w:pos="240"/>
          <w:tab w:val="left" w:pos="720"/>
          <w:tab w:val="right" w:pos="10080"/>
        </w:tabs>
        <w:jc w:val="both"/>
        <w:rPr>
          <w:rFonts w:ascii="Book Antiqua" w:hAnsi="Book Antiqua"/>
        </w:rPr>
      </w:pPr>
    </w:p>
    <w:p w:rsidRPr="00840954" w:rsidR="003B1DBD" w:rsidP="003B1DBD" w:rsidRDefault="003B1DBD" w14:paraId="5B2B7C29" w14:textId="77777777">
      <w:pPr>
        <w:tabs>
          <w:tab w:val="left" w:pos="240"/>
          <w:tab w:val="left" w:pos="720"/>
          <w:tab w:val="right" w:pos="10080"/>
        </w:tabs>
        <w:jc w:val="both"/>
        <w:rPr>
          <w:rFonts w:ascii="Book Antiqua" w:hAnsi="Book Antiqua"/>
        </w:rPr>
      </w:pPr>
      <w:r w:rsidRPr="00840954">
        <w:rPr>
          <w:rFonts w:ascii="Book Antiqua" w:hAnsi="Book Antiqua"/>
        </w:rPr>
        <w:t>This resolution is effective today.</w:t>
      </w:r>
    </w:p>
    <w:p w:rsidRPr="00840954" w:rsidR="003B1DBD" w:rsidP="003B1DBD" w:rsidRDefault="003B1DBD" w14:paraId="2E470963" w14:textId="77777777">
      <w:pPr>
        <w:tabs>
          <w:tab w:val="left" w:pos="240"/>
          <w:tab w:val="left" w:pos="720"/>
          <w:tab w:val="right" w:pos="10080"/>
        </w:tabs>
        <w:jc w:val="both"/>
        <w:rPr>
          <w:rFonts w:ascii="Book Antiqua" w:hAnsi="Book Antiqua"/>
        </w:rPr>
      </w:pPr>
    </w:p>
    <w:p w:rsidRPr="00840954" w:rsidR="003B1DBD" w:rsidP="003B1DBD" w:rsidRDefault="003B1DBD" w14:paraId="763FE24B" w14:textId="219CB30C">
      <w:pPr>
        <w:tabs>
          <w:tab w:val="left" w:pos="240"/>
          <w:tab w:val="left" w:pos="720"/>
          <w:tab w:val="right" w:pos="10080"/>
        </w:tabs>
        <w:rPr>
          <w:rFonts w:ascii="Book Antiqua" w:hAnsi="Book Antiqua"/>
        </w:rPr>
      </w:pPr>
      <w:r w:rsidRPr="00840954">
        <w:rPr>
          <w:rFonts w:ascii="Book Antiqua" w:hAnsi="Book Antiqua"/>
        </w:rPr>
        <w:lastRenderedPageBreak/>
        <w:t>I certify that the foregoing resolution was duly introduced, passed, and adopted at a conference of the Public Utilities Commission of the State of California held on</w:t>
      </w:r>
      <w:r w:rsidR="00B258B4">
        <w:rPr>
          <w:rFonts w:ascii="Book Antiqua" w:hAnsi="Book Antiqua"/>
        </w:rPr>
        <w:t xml:space="preserve"> </w:t>
      </w:r>
      <w:r w:rsidR="00356032">
        <w:rPr>
          <w:rFonts w:ascii="Book Antiqua" w:hAnsi="Book Antiqua"/>
        </w:rPr>
        <w:t>__________________</w:t>
      </w:r>
      <w:r w:rsidRPr="00840954">
        <w:rPr>
          <w:rFonts w:ascii="Book Antiqua" w:hAnsi="Book Antiqua"/>
        </w:rPr>
        <w:t>, the following Commissioners voting favorable thereon:</w:t>
      </w:r>
    </w:p>
    <w:p w:rsidRPr="00840954" w:rsidR="0090767B" w:rsidP="003B1DBD" w:rsidRDefault="0090767B" w14:paraId="0BD95474" w14:textId="77777777">
      <w:pPr>
        <w:tabs>
          <w:tab w:val="left" w:pos="240"/>
          <w:tab w:val="left" w:pos="720"/>
          <w:tab w:val="right" w:pos="10080"/>
        </w:tabs>
        <w:rPr>
          <w:rFonts w:ascii="Book Antiqua" w:hAnsi="Book Antiqua"/>
        </w:rPr>
      </w:pPr>
    </w:p>
    <w:p w:rsidRPr="00840954" w:rsidR="0090767B" w:rsidP="003B1DBD" w:rsidRDefault="0090767B" w14:paraId="2B89ADB3" w14:textId="77777777">
      <w:pPr>
        <w:tabs>
          <w:tab w:val="left" w:pos="240"/>
          <w:tab w:val="left" w:pos="720"/>
          <w:tab w:val="right" w:pos="10080"/>
        </w:tabs>
        <w:rPr>
          <w:rFonts w:ascii="Book Antiqua" w:hAnsi="Book Antiqua"/>
        </w:rPr>
      </w:pPr>
    </w:p>
    <w:p w:rsidRPr="00840954" w:rsidR="0090767B" w:rsidP="003B1DBD" w:rsidRDefault="0090767B" w14:paraId="5BD97169" w14:textId="77777777">
      <w:pPr>
        <w:tabs>
          <w:tab w:val="left" w:pos="240"/>
          <w:tab w:val="left" w:pos="720"/>
          <w:tab w:val="right" w:pos="10080"/>
        </w:tabs>
        <w:rPr>
          <w:rFonts w:ascii="Book Antiqua" w:hAnsi="Book Antiqua"/>
        </w:rPr>
      </w:pPr>
    </w:p>
    <w:p w:rsidRPr="00840954" w:rsidR="00797580" w:rsidP="00797580" w:rsidRDefault="00A56CD7" w14:paraId="3FE0AAA0" w14:textId="77777777">
      <w:pPr>
        <w:pStyle w:val="ListParagraph"/>
        <w:rPr>
          <w:rFonts w:ascii="Book Antiqua" w:hAnsi="Book Antiqua"/>
        </w:rPr>
      </w:pPr>
      <w:r w:rsidRPr="00840954">
        <w:rPr>
          <w:rStyle w:val="BookTitle"/>
          <w:rFonts w:ascii="Book Antiqua" w:hAnsi="Book Antiqua"/>
        </w:rPr>
        <w:t xml:space="preserve">                                                                                    </w:t>
      </w:r>
    </w:p>
    <w:tbl>
      <w:tblPr>
        <w:tblW w:w="0" w:type="auto"/>
        <w:tblInd w:w="4428" w:type="dxa"/>
        <w:tblLayout w:type="fixed"/>
        <w:tblLook w:val="0000" w:firstRow="0" w:lastRow="0" w:firstColumn="0" w:lastColumn="0" w:noHBand="0" w:noVBand="0"/>
      </w:tblPr>
      <w:tblGrid>
        <w:gridCol w:w="3780"/>
      </w:tblGrid>
      <w:tr w:rsidRPr="001257AA" w:rsidR="00797580" w:rsidTr="00CC7AC1" w14:paraId="4B9AC195" w14:textId="77777777">
        <w:tc>
          <w:tcPr>
            <w:tcW w:w="3780" w:type="dxa"/>
            <w:tcBorders>
              <w:bottom w:val="single" w:color="auto" w:sz="6" w:space="0"/>
            </w:tcBorders>
          </w:tcPr>
          <w:p w:rsidRPr="00840954" w:rsidR="00797580" w:rsidP="00CC7AC1" w:rsidRDefault="00797580" w14:paraId="28FEA207" w14:textId="1534C5F0">
            <w:pPr>
              <w:jc w:val="center"/>
              <w:rPr>
                <w:rFonts w:ascii="Book Antiqua" w:hAnsi="Book Antiqua"/>
              </w:rPr>
            </w:pPr>
          </w:p>
        </w:tc>
      </w:tr>
      <w:tr w:rsidRPr="001257AA" w:rsidR="00797580" w:rsidTr="00CC7AC1" w14:paraId="140A90C3" w14:textId="77777777">
        <w:tc>
          <w:tcPr>
            <w:tcW w:w="3780" w:type="dxa"/>
          </w:tcPr>
          <w:p w:rsidRPr="00840954" w:rsidR="00C70635" w:rsidP="00CC7AC1" w:rsidRDefault="00C70635" w14:paraId="27133032" w14:textId="77777777">
            <w:pPr>
              <w:jc w:val="center"/>
              <w:rPr>
                <w:rFonts w:ascii="Book Antiqua" w:hAnsi="Book Antiqua"/>
              </w:rPr>
            </w:pPr>
            <w:r w:rsidRPr="00840954">
              <w:rPr>
                <w:rFonts w:ascii="Book Antiqua" w:hAnsi="Book Antiqua"/>
              </w:rPr>
              <w:t xml:space="preserve">Alice Stebbins </w:t>
            </w:r>
          </w:p>
          <w:p w:rsidRPr="00840954" w:rsidR="00797580" w:rsidP="00CC7AC1" w:rsidRDefault="00797580" w14:paraId="49E29212" w14:textId="6E9D6406">
            <w:pPr>
              <w:jc w:val="center"/>
              <w:rPr>
                <w:rFonts w:ascii="Book Antiqua" w:hAnsi="Book Antiqua"/>
              </w:rPr>
            </w:pPr>
            <w:r w:rsidRPr="00840954">
              <w:rPr>
                <w:rFonts w:ascii="Book Antiqua" w:hAnsi="Book Antiqua"/>
              </w:rPr>
              <w:t>Executive Director</w:t>
            </w:r>
          </w:p>
        </w:tc>
      </w:tr>
    </w:tbl>
    <w:p w:rsidRPr="00840954" w:rsidR="008E6E9A" w:rsidP="00797580" w:rsidRDefault="008E6E9A" w14:paraId="7460429B" w14:textId="50C49BF9">
      <w:pPr>
        <w:pStyle w:val="ListParagraph"/>
        <w:rPr>
          <w:rFonts w:ascii="Book Antiqua" w:hAnsi="Book Antiqua"/>
        </w:rPr>
      </w:pPr>
    </w:p>
    <w:p w:rsidRPr="00840954" w:rsidR="00EA6E4B" w:rsidP="00797580" w:rsidRDefault="00EA6E4B" w14:paraId="21A07D32" w14:textId="24EFA38F">
      <w:pPr>
        <w:pStyle w:val="ListParagraph"/>
        <w:rPr>
          <w:rFonts w:ascii="Book Antiqua" w:hAnsi="Book Antiqua"/>
        </w:rPr>
      </w:pPr>
    </w:p>
    <w:p w:rsidRPr="00840954" w:rsidR="00EA6E4B" w:rsidP="00797580" w:rsidRDefault="00EA6E4B" w14:paraId="186267DD" w14:textId="123744A2">
      <w:pPr>
        <w:pStyle w:val="ListParagraph"/>
        <w:rPr>
          <w:rFonts w:ascii="Book Antiqua" w:hAnsi="Book Antiqua"/>
        </w:rPr>
      </w:pPr>
    </w:p>
    <w:p w:rsidRPr="00840954" w:rsidR="00EA6E4B" w:rsidP="00797580" w:rsidRDefault="00EA6E4B" w14:paraId="6D50A8EE" w14:textId="4A6DA780">
      <w:pPr>
        <w:pStyle w:val="ListParagraph"/>
        <w:rPr>
          <w:rFonts w:ascii="Book Antiqua" w:hAnsi="Book Antiqua"/>
        </w:rPr>
      </w:pPr>
    </w:p>
    <w:p w:rsidRPr="00840954" w:rsidR="00EA6E4B" w:rsidP="00797580" w:rsidRDefault="00EA6E4B" w14:paraId="7686CAC0" w14:textId="2C1D1586">
      <w:pPr>
        <w:pStyle w:val="ListParagraph"/>
        <w:rPr>
          <w:rFonts w:ascii="Book Antiqua" w:hAnsi="Book Antiqua"/>
        </w:rPr>
      </w:pPr>
    </w:p>
    <w:p w:rsidRPr="00840954" w:rsidR="00EA6E4B" w:rsidRDefault="00EA6E4B" w14:paraId="49543BE1" w14:textId="77777777">
      <w:pPr>
        <w:rPr>
          <w:rFonts w:ascii="Book Antiqua" w:hAnsi="Book Antiqua"/>
        </w:rPr>
      </w:pPr>
    </w:p>
    <w:sectPr w:rsidRPr="00840954" w:rsidR="00EA6E4B" w:rsidSect="006C5C2B">
      <w:headerReference w:type="default"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0396FC" w14:textId="77777777" w:rsidR="00C278E2" w:rsidRDefault="00C278E2">
      <w:r>
        <w:separator/>
      </w:r>
    </w:p>
  </w:endnote>
  <w:endnote w:type="continuationSeparator" w:id="0">
    <w:p w14:paraId="1D95A218" w14:textId="77777777" w:rsidR="00C278E2" w:rsidRDefault="00C27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43BD7" w14:textId="77777777" w:rsidR="00285C6A" w:rsidRDefault="00285C6A" w:rsidP="003B1DBD">
    <w:pPr>
      <w:pStyle w:val="Footer"/>
      <w:rPr>
        <w:rFonts w:ascii="Palatino" w:hAnsi="Palatino" w:cs="Tahoma"/>
        <w:sz w:val="17"/>
        <w:szCs w:val="17"/>
      </w:rPr>
    </w:pPr>
  </w:p>
  <w:p w14:paraId="1DC86A05" w14:textId="77777777" w:rsidR="00285C6A" w:rsidRPr="002E107C" w:rsidRDefault="00285C6A" w:rsidP="003B1DBD">
    <w:pPr>
      <w:pStyle w:val="Footer"/>
      <w:rPr>
        <w:rFonts w:ascii="Palatino" w:hAnsi="Palatino"/>
      </w:rPr>
    </w:pPr>
    <w:r>
      <w:tab/>
    </w:r>
    <w:r w:rsidRPr="002E107C">
      <w:rPr>
        <w:rStyle w:val="PageNumber"/>
        <w:rFonts w:ascii="Palatino" w:hAnsi="Palatino"/>
      </w:rPr>
      <w:fldChar w:fldCharType="begin"/>
    </w:r>
    <w:r w:rsidRPr="002E107C">
      <w:rPr>
        <w:rStyle w:val="PageNumber"/>
        <w:rFonts w:ascii="Palatino" w:hAnsi="Palatino"/>
      </w:rPr>
      <w:instrText xml:space="preserve"> PAGE </w:instrText>
    </w:r>
    <w:r w:rsidRPr="002E107C">
      <w:rPr>
        <w:rStyle w:val="PageNumber"/>
        <w:rFonts w:ascii="Palatino" w:hAnsi="Palatino"/>
      </w:rPr>
      <w:fldChar w:fldCharType="separate"/>
    </w:r>
    <w:r>
      <w:rPr>
        <w:rStyle w:val="PageNumber"/>
        <w:rFonts w:ascii="Palatino" w:hAnsi="Palatino"/>
        <w:noProof/>
      </w:rPr>
      <w:t>2</w:t>
    </w:r>
    <w:r w:rsidRPr="002E107C">
      <w:rPr>
        <w:rStyle w:val="PageNumber"/>
        <w:rFonts w:ascii="Palatino" w:hAnsi="Palatin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291" w:type="pct"/>
      <w:tblCellSpacing w:w="0" w:type="dxa"/>
      <w:tblInd w:w="-90" w:type="dxa"/>
      <w:tblCellMar>
        <w:left w:w="0" w:type="dxa"/>
        <w:right w:w="0" w:type="dxa"/>
      </w:tblCellMar>
      <w:tblLook w:val="04A0" w:firstRow="1" w:lastRow="0" w:firstColumn="1" w:lastColumn="0" w:noHBand="0" w:noVBand="1"/>
    </w:tblPr>
    <w:tblGrid>
      <w:gridCol w:w="31"/>
      <w:gridCol w:w="8002"/>
    </w:tblGrid>
    <w:tr w:rsidR="00285C6A" w14:paraId="2D70BCCA" w14:textId="77777777" w:rsidTr="00393E04">
      <w:trPr>
        <w:tblCellSpacing w:w="0" w:type="dxa"/>
      </w:trPr>
      <w:tc>
        <w:tcPr>
          <w:tcW w:w="19" w:type="pct"/>
          <w:vAlign w:val="center"/>
          <w:hideMark/>
        </w:tcPr>
        <w:p w14:paraId="3AED13AC" w14:textId="77777777" w:rsidR="00285C6A" w:rsidRDefault="00285C6A">
          <w:pPr>
            <w:rPr>
              <w:rFonts w:ascii="Tahoma" w:hAnsi="Tahoma" w:cs="Tahoma"/>
              <w:noProof/>
              <w:sz w:val="17"/>
              <w:szCs w:val="17"/>
            </w:rPr>
          </w:pPr>
          <w:r>
            <w:rPr>
              <w:rFonts w:ascii="Tahoma" w:hAnsi="Tahoma" w:cs="Tahoma"/>
              <w:noProof/>
              <w:sz w:val="17"/>
              <w:szCs w:val="17"/>
            </w:rPr>
            <w:drawing>
              <wp:inline distT="0" distB="0" distL="0" distR="0" wp14:anchorId="3A64993E" wp14:editId="4057C281">
                <wp:extent cx="19050" cy="9525"/>
                <wp:effectExtent l="0" t="0" r="0" b="0"/>
                <wp:docPr id="3" name="Picture 3" descr="https://cs.cpuc.ca.gov/img/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s.cpuc.ca.gov/img/spacer.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inline>
            </w:drawing>
          </w:r>
        </w:p>
      </w:tc>
      <w:tc>
        <w:tcPr>
          <w:tcW w:w="4981" w:type="pct"/>
          <w:noWrap/>
          <w:tcMar>
            <w:top w:w="75" w:type="dxa"/>
            <w:left w:w="75" w:type="dxa"/>
            <w:bottom w:w="75" w:type="dxa"/>
            <w:right w:w="75" w:type="dxa"/>
          </w:tcMar>
          <w:vAlign w:val="center"/>
        </w:tcPr>
        <w:p w14:paraId="3418909E" w14:textId="4A72EDAF" w:rsidR="00285C6A" w:rsidRPr="00085508" w:rsidRDefault="00285C6A">
          <w:pPr>
            <w:rPr>
              <w:rFonts w:ascii="Palatino" w:hAnsi="Palatino" w:cs="Tahoma"/>
              <w:sz w:val="16"/>
              <w:szCs w:val="16"/>
            </w:rPr>
          </w:pPr>
          <w:r w:rsidRPr="00FA0D01">
            <w:rPr>
              <w:rFonts w:ascii="Tahoma" w:hAnsi="Tahoma" w:cs="Tahoma"/>
              <w:sz w:val="20"/>
              <w:szCs w:val="20"/>
            </w:rPr>
            <w:t xml:space="preserve"> </w:t>
          </w:r>
          <w:r w:rsidR="00085508" w:rsidRPr="00085508">
            <w:rPr>
              <w:rFonts w:ascii="Tahoma" w:hAnsi="Tahoma" w:cs="Tahoma"/>
              <w:sz w:val="16"/>
              <w:szCs w:val="16"/>
            </w:rPr>
            <w:t xml:space="preserve">331353908 </w:t>
          </w:r>
          <w:r w:rsidRPr="00085508">
            <w:rPr>
              <w:rFonts w:ascii="Tahoma" w:hAnsi="Tahoma" w:cs="Tahoma"/>
              <w:noProof/>
              <w:vanish/>
              <w:sz w:val="16"/>
              <w:szCs w:val="16"/>
            </w:rPr>
            <w:drawing>
              <wp:inline distT="0" distB="0" distL="0" distR="0" wp14:anchorId="01CDA6AF" wp14:editId="731965BA">
                <wp:extent cx="914400" cy="228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noFill/>
                        <a:ln>
                          <a:noFill/>
                        </a:ln>
                      </pic:spPr>
                    </pic:pic>
                  </a:graphicData>
                </a:graphic>
              </wp:inline>
            </w:drawing>
          </w:r>
          <w:r w:rsidRPr="00085508">
            <w:rPr>
              <w:rFonts w:ascii="Tahoma" w:hAnsi="Tahoma" w:cs="Tahoma"/>
              <w:noProof/>
              <w:vanish/>
              <w:sz w:val="16"/>
              <w:szCs w:val="16"/>
            </w:rPr>
            <w:drawing>
              <wp:inline distT="0" distB="0" distL="0" distR="0" wp14:anchorId="4980368E" wp14:editId="2B2B5CD1">
                <wp:extent cx="914400" cy="228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noFill/>
                        <a:ln>
                          <a:noFill/>
                        </a:ln>
                      </pic:spPr>
                    </pic:pic>
                  </a:graphicData>
                </a:graphic>
              </wp:inline>
            </w:drawing>
          </w:r>
        </w:p>
      </w:tc>
    </w:tr>
  </w:tbl>
  <w:p w14:paraId="59075E7C" w14:textId="77777777" w:rsidR="00285C6A" w:rsidRPr="00936165" w:rsidRDefault="00285C6A" w:rsidP="00336168">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7A7487" w14:textId="77777777" w:rsidR="00C278E2" w:rsidRDefault="00C278E2">
      <w:r>
        <w:separator/>
      </w:r>
    </w:p>
  </w:footnote>
  <w:footnote w:type="continuationSeparator" w:id="0">
    <w:p w14:paraId="390292A3" w14:textId="77777777" w:rsidR="00C278E2" w:rsidRDefault="00C278E2">
      <w:r>
        <w:continuationSeparator/>
      </w:r>
    </w:p>
  </w:footnote>
  <w:footnote w:id="1">
    <w:p w14:paraId="0D4580FB" w14:textId="29FCEC97" w:rsidR="00285C6A" w:rsidRDefault="00285C6A">
      <w:pPr>
        <w:pStyle w:val="FootnoteText"/>
      </w:pPr>
      <w:r>
        <w:rPr>
          <w:rStyle w:val="FootnoteReference"/>
        </w:rPr>
        <w:footnoteRef/>
      </w:r>
      <w:r>
        <w:t xml:space="preserve"> See </w:t>
      </w:r>
      <w:r w:rsidRPr="00840954">
        <w:rPr>
          <w:rFonts w:ascii="Book Antiqua" w:hAnsi="Book Antiqua"/>
        </w:rPr>
        <w:t>Pub</w:t>
      </w:r>
      <w:r>
        <w:rPr>
          <w:rFonts w:ascii="Book Antiqua" w:hAnsi="Book Antiqua"/>
        </w:rPr>
        <w:t>.</w:t>
      </w:r>
      <w:r w:rsidRPr="00840954">
        <w:rPr>
          <w:rFonts w:ascii="Book Antiqua" w:hAnsi="Book Antiqua"/>
        </w:rPr>
        <w:t xml:space="preserve"> Util</w:t>
      </w:r>
      <w:r>
        <w:rPr>
          <w:rFonts w:ascii="Book Antiqua" w:hAnsi="Book Antiqua"/>
        </w:rPr>
        <w:t>.</w:t>
      </w:r>
      <w:r w:rsidRPr="00840954">
        <w:rPr>
          <w:rFonts w:ascii="Book Antiqua" w:hAnsi="Book Antiqua"/>
        </w:rPr>
        <w:t xml:space="preserve"> Code </w:t>
      </w:r>
      <w:r w:rsidRPr="00840954">
        <w:rPr>
          <w:rFonts w:ascii="Book Antiqua" w:hAnsi="Book Antiqua" w:cs="Vrinda"/>
        </w:rPr>
        <w:t>§§</w:t>
      </w:r>
      <w:r w:rsidRPr="00840954">
        <w:rPr>
          <w:rFonts w:ascii="Book Antiqua" w:hAnsi="Book Antiqua"/>
        </w:rPr>
        <w:t xml:space="preserve"> 270-278.5 and</w:t>
      </w:r>
      <w:r>
        <w:rPr>
          <w:rFonts w:ascii="Book Antiqua" w:hAnsi="Book Antiqua"/>
        </w:rPr>
        <w:t xml:space="preserve"> </w:t>
      </w:r>
      <w:r w:rsidRPr="00840954">
        <w:rPr>
          <w:rFonts w:ascii="Book Antiqua" w:hAnsi="Book Antiqua"/>
        </w:rPr>
        <w:t>280-281.</w:t>
      </w:r>
    </w:p>
  </w:footnote>
  <w:footnote w:id="2">
    <w:p w14:paraId="36833BD3" w14:textId="3EEF53D3" w:rsidR="00285C6A" w:rsidRDefault="00285C6A">
      <w:pPr>
        <w:pStyle w:val="FootnoteText"/>
      </w:pPr>
      <w:r>
        <w:rPr>
          <w:rStyle w:val="FootnoteReference"/>
        </w:rPr>
        <w:footnoteRef/>
      </w:r>
      <w:r>
        <w:t xml:space="preserve"> Pub. Util. Code § 275.</w:t>
      </w:r>
    </w:p>
  </w:footnote>
  <w:footnote w:id="3">
    <w:p w14:paraId="37A3DD8A" w14:textId="1B29B7BE" w:rsidR="00285C6A" w:rsidRDefault="00285C6A">
      <w:pPr>
        <w:pStyle w:val="FootnoteText"/>
      </w:pPr>
      <w:r>
        <w:rPr>
          <w:rStyle w:val="FootnoteReference"/>
        </w:rPr>
        <w:footnoteRef/>
      </w:r>
      <w:r>
        <w:t xml:space="preserve"> Pub. Util. Code § 276.</w:t>
      </w:r>
    </w:p>
  </w:footnote>
  <w:footnote w:id="4">
    <w:p w14:paraId="1CB11D5A" w14:textId="3ED4A709" w:rsidR="00285C6A" w:rsidRDefault="00285C6A">
      <w:pPr>
        <w:pStyle w:val="FootnoteText"/>
      </w:pPr>
      <w:r>
        <w:rPr>
          <w:rStyle w:val="FootnoteReference"/>
        </w:rPr>
        <w:footnoteRef/>
      </w:r>
      <w:r>
        <w:t xml:space="preserve"> Pub. Util. Code § 277.</w:t>
      </w:r>
    </w:p>
  </w:footnote>
  <w:footnote w:id="5">
    <w:p w14:paraId="12FABBEA" w14:textId="4D9567C1" w:rsidR="00285C6A" w:rsidRDefault="00285C6A">
      <w:pPr>
        <w:pStyle w:val="FootnoteText"/>
      </w:pPr>
      <w:r>
        <w:rPr>
          <w:rStyle w:val="FootnoteReference"/>
        </w:rPr>
        <w:footnoteRef/>
      </w:r>
      <w:r>
        <w:t xml:space="preserve"> Pub. Util. Code § 278</w:t>
      </w:r>
    </w:p>
  </w:footnote>
  <w:footnote w:id="6">
    <w:p w14:paraId="09616A05" w14:textId="370D67AE" w:rsidR="00285C6A" w:rsidRDefault="00285C6A">
      <w:pPr>
        <w:pStyle w:val="FootnoteText"/>
      </w:pPr>
      <w:r>
        <w:rPr>
          <w:rStyle w:val="FootnoteReference"/>
        </w:rPr>
        <w:footnoteRef/>
      </w:r>
      <w:r>
        <w:t xml:space="preserve"> Pub. Util. Code § 280</w:t>
      </w:r>
    </w:p>
  </w:footnote>
  <w:footnote w:id="7">
    <w:p w14:paraId="5E08D286" w14:textId="6151FEB3" w:rsidR="00285C6A" w:rsidRDefault="00285C6A">
      <w:pPr>
        <w:pStyle w:val="FootnoteText"/>
      </w:pPr>
      <w:r>
        <w:rPr>
          <w:rStyle w:val="FootnoteReference"/>
        </w:rPr>
        <w:footnoteRef/>
      </w:r>
      <w:r>
        <w:t xml:space="preserve"> Pub. Util. Code § 281.</w:t>
      </w:r>
    </w:p>
  </w:footnote>
  <w:footnote w:id="8">
    <w:p w14:paraId="56B9BB28" w14:textId="228A49D6" w:rsidR="00285C6A" w:rsidRPr="00E853EA" w:rsidRDefault="00285C6A" w:rsidP="00E853EA">
      <w:pPr>
        <w:pStyle w:val="FootnoteText"/>
      </w:pPr>
      <w:r>
        <w:rPr>
          <w:rStyle w:val="FootnoteReference"/>
        </w:rPr>
        <w:footnoteRef/>
      </w:r>
      <w:r>
        <w:t xml:space="preserve"> See </w:t>
      </w:r>
      <w:r w:rsidRPr="00840954">
        <w:rPr>
          <w:rFonts w:ascii="Book Antiqua" w:hAnsi="Book Antiqua"/>
        </w:rPr>
        <w:t>P</w:t>
      </w:r>
      <w:r>
        <w:rPr>
          <w:rFonts w:ascii="Book Antiqua" w:hAnsi="Book Antiqua"/>
        </w:rPr>
        <w:t>ub</w:t>
      </w:r>
      <w:r w:rsidRPr="00840954">
        <w:rPr>
          <w:rFonts w:ascii="Book Antiqua" w:hAnsi="Book Antiqua"/>
        </w:rPr>
        <w:t>.</w:t>
      </w:r>
      <w:r>
        <w:rPr>
          <w:rFonts w:ascii="Book Antiqua" w:hAnsi="Book Antiqua"/>
        </w:rPr>
        <w:t xml:space="preserve"> </w:t>
      </w:r>
      <w:r w:rsidRPr="00840954">
        <w:rPr>
          <w:rFonts w:ascii="Book Antiqua" w:hAnsi="Book Antiqua"/>
        </w:rPr>
        <w:t>U</w:t>
      </w:r>
      <w:r>
        <w:rPr>
          <w:rFonts w:ascii="Book Antiqua" w:hAnsi="Book Antiqua"/>
        </w:rPr>
        <w:t>til</w:t>
      </w:r>
      <w:r w:rsidRPr="00840954">
        <w:rPr>
          <w:rFonts w:ascii="Book Antiqua" w:hAnsi="Book Antiqua"/>
        </w:rPr>
        <w:t xml:space="preserve">. Code </w:t>
      </w:r>
      <w:r w:rsidRPr="00840954">
        <w:rPr>
          <w:rFonts w:ascii="Book Antiqua" w:hAnsi="Book Antiqua" w:cs="Vrinda"/>
        </w:rPr>
        <w:t>§§</w:t>
      </w:r>
      <w:r w:rsidRPr="00840954">
        <w:rPr>
          <w:rFonts w:ascii="Book Antiqua" w:hAnsi="Book Antiqua"/>
        </w:rPr>
        <w:t xml:space="preserve"> 401, 402</w:t>
      </w:r>
      <w:r>
        <w:rPr>
          <w:rFonts w:ascii="Book Antiqua" w:hAnsi="Book Antiqua"/>
        </w:rPr>
        <w:t>,</w:t>
      </w:r>
      <w:r w:rsidRPr="00840954">
        <w:rPr>
          <w:rFonts w:ascii="Book Antiqua" w:hAnsi="Book Antiqua"/>
        </w:rPr>
        <w:t xml:space="preserve"> and 405</w:t>
      </w:r>
      <w:r>
        <w:rPr>
          <w:rFonts w:ascii="Book Antiqua" w:hAnsi="Book Antiqua"/>
        </w:rPr>
        <w:t xml:space="preserve">.   </w:t>
      </w:r>
      <w:r>
        <w:t>The CPUC User Fee is deposited into the California Utilities Reimbursement Account.  See Pub. Util. Code § 402.  Pub. Util. Code § 285 obligates VoIP providers to collect and remit surcharges, but they are not required to collect and remit the CPUC User Fee.</w:t>
      </w:r>
    </w:p>
  </w:footnote>
  <w:footnote w:id="9">
    <w:p w14:paraId="2CF48F60" w14:textId="7B08EB2E" w:rsidR="00285C6A" w:rsidRDefault="00285C6A">
      <w:pPr>
        <w:pStyle w:val="FootnoteText"/>
      </w:pPr>
      <w:r>
        <w:rPr>
          <w:rStyle w:val="FootnoteReference"/>
        </w:rPr>
        <w:footnoteRef/>
      </w:r>
      <w:r>
        <w:t xml:space="preserve"> See Pub. Util. Code § 274.  The Commission must also “conduct a financial and compliance audit of program-related costs and activities at least once every three years.”  </w:t>
      </w:r>
      <w:r w:rsidRPr="007A5819">
        <w:rPr>
          <w:i/>
          <w:iCs/>
        </w:rPr>
        <w:t>Ibid</w:t>
      </w:r>
      <w:r>
        <w:t xml:space="preserve">.  See also </w:t>
      </w:r>
      <w:r w:rsidRPr="00650957">
        <w:t xml:space="preserve">Pub. Util. Code § 314.5 </w:t>
      </w:r>
      <w:r>
        <w:t>(</w:t>
      </w:r>
      <w:r w:rsidRPr="00650957">
        <w:t>require</w:t>
      </w:r>
      <w:r>
        <w:t>s</w:t>
      </w:r>
      <w:r w:rsidRPr="00650957">
        <w:t xml:space="preserve"> the Commission to inspect carriers’ books and records for regulatory purpose</w:t>
      </w:r>
      <w:r>
        <w:t xml:space="preserve">s every 3 or five years and to post reports of the reviews and audits on the Commission’s internet website).  </w:t>
      </w:r>
      <w:r w:rsidRPr="00650957">
        <w:t xml:space="preserve">  </w:t>
      </w:r>
      <w:r>
        <w:t xml:space="preserve">    </w:t>
      </w:r>
    </w:p>
  </w:footnote>
  <w:footnote w:id="10">
    <w:p w14:paraId="52BC16A5" w14:textId="2E0ABAE1" w:rsidR="00285C6A" w:rsidRDefault="00285C6A">
      <w:pPr>
        <w:pStyle w:val="FootnoteText"/>
      </w:pPr>
      <w:r>
        <w:rPr>
          <w:rStyle w:val="FootnoteReference"/>
        </w:rPr>
        <w:footnoteRef/>
      </w:r>
      <w:r>
        <w:t xml:space="preserve"> As of January 1, 2020, </w:t>
      </w:r>
      <w:r w:rsidRPr="00FB79E7">
        <w:t>UACFB is known as the Utility Audits, Risk and Compliance Division (UARCD) and is a part of the Commission’s Executive Division.</w:t>
      </w:r>
      <w:r>
        <w:t xml:space="preserve"> </w:t>
      </w:r>
    </w:p>
  </w:footnote>
  <w:footnote w:id="11">
    <w:p w14:paraId="2D8543A0" w14:textId="34DA19D0" w:rsidR="00285C6A" w:rsidRDefault="00285C6A">
      <w:pPr>
        <w:pStyle w:val="FootnoteText"/>
      </w:pPr>
      <w:r>
        <w:rPr>
          <w:rStyle w:val="FootnoteReference"/>
        </w:rPr>
        <w:footnoteRef/>
      </w:r>
      <w:r>
        <w:t xml:space="preserve"> See Res. T-17601, p.3 and Appendix A.</w:t>
      </w:r>
    </w:p>
  </w:footnote>
  <w:footnote w:id="12">
    <w:p w14:paraId="69D28962" w14:textId="164ECC99" w:rsidR="00285C6A" w:rsidRDefault="00285C6A">
      <w:pPr>
        <w:pStyle w:val="FootnoteText"/>
      </w:pPr>
      <w:r>
        <w:rPr>
          <w:rStyle w:val="FootnoteReference"/>
        </w:rPr>
        <w:footnoteRef/>
      </w:r>
      <w:r>
        <w:t xml:space="preserve"> </w:t>
      </w:r>
      <w:r w:rsidRPr="00840954">
        <w:rPr>
          <w:i/>
          <w:iCs/>
        </w:rPr>
        <w:t>Ibid</w:t>
      </w:r>
      <w:r>
        <w:t xml:space="preserve">.  Pursuant to Pub. Util. Code § 234, the CPUC licenses “telephone corporations.”  However, the Commission also uses the term “telecommunications carrier” to refer to providers of communications services.  For purposes of this resolution, we use the terms interchangeably.   </w:t>
      </w:r>
    </w:p>
  </w:footnote>
  <w:footnote w:id="13">
    <w:p w14:paraId="766819E8" w14:textId="77832127" w:rsidR="00285C6A" w:rsidRDefault="00285C6A">
      <w:pPr>
        <w:pStyle w:val="FootnoteText"/>
      </w:pPr>
      <w:r>
        <w:rPr>
          <w:rStyle w:val="FootnoteReference"/>
        </w:rPr>
        <w:footnoteRef/>
      </w:r>
      <w:r>
        <w:t xml:space="preserve"> This is </w:t>
      </w:r>
      <w:r w:rsidRPr="00840954">
        <w:rPr>
          <w:rFonts w:ascii="Book Antiqua" w:hAnsi="Book Antiqua"/>
        </w:rPr>
        <w:t xml:space="preserve">a </w:t>
      </w:r>
      <w:r>
        <w:rPr>
          <w:rFonts w:ascii="Book Antiqua" w:hAnsi="Book Antiqua"/>
        </w:rPr>
        <w:t xml:space="preserve">Cox </w:t>
      </w:r>
      <w:r w:rsidRPr="00840954">
        <w:rPr>
          <w:rFonts w:ascii="Book Antiqua" w:hAnsi="Book Antiqua"/>
        </w:rPr>
        <w:t xml:space="preserve">service </w:t>
      </w:r>
      <w:r>
        <w:rPr>
          <w:rFonts w:ascii="Book Antiqua" w:hAnsi="Book Antiqua"/>
        </w:rPr>
        <w:t>that</w:t>
      </w:r>
      <w:r w:rsidRPr="00840954">
        <w:rPr>
          <w:rFonts w:ascii="Book Antiqua" w:hAnsi="Book Antiqua"/>
        </w:rPr>
        <w:t xml:space="preserve"> remove</w:t>
      </w:r>
      <w:r>
        <w:rPr>
          <w:rFonts w:ascii="Book Antiqua" w:hAnsi="Book Antiqua"/>
        </w:rPr>
        <w:t>s</w:t>
      </w:r>
      <w:r w:rsidRPr="00840954">
        <w:rPr>
          <w:rFonts w:ascii="Book Antiqua" w:hAnsi="Book Antiqua"/>
        </w:rPr>
        <w:t xml:space="preserve"> a customer’s telephone number from directory listing and the White Pages.</w:t>
      </w:r>
    </w:p>
  </w:footnote>
  <w:footnote w:id="14">
    <w:p w14:paraId="433AB636" w14:textId="169B0598" w:rsidR="00285C6A" w:rsidRDefault="00285C6A">
      <w:pPr>
        <w:pStyle w:val="FootnoteText"/>
      </w:pPr>
      <w:r>
        <w:rPr>
          <w:rStyle w:val="FootnoteReference"/>
        </w:rPr>
        <w:footnoteRef/>
      </w:r>
      <w:r>
        <w:t xml:space="preserve"> See </w:t>
      </w:r>
      <w:r>
        <w:rPr>
          <w:rFonts w:ascii="Palatino" w:hAnsi="Palatino"/>
          <w:i/>
          <w:iCs/>
        </w:rPr>
        <w:t>Examination Report: California Telecommunications Public Purpose Program (PPP) Surcharge and User Fee Compliance Examination of Cox Communications</w:t>
      </w:r>
      <w:r>
        <w:rPr>
          <w:rFonts w:ascii="Palatino" w:hAnsi="Palatino"/>
        </w:rPr>
        <w:t xml:space="preserve">, dated June 10, 2016 (2016 Audit Report), pp. 4, 17-19; see also </w:t>
      </w:r>
      <w:r w:rsidRPr="00840954">
        <w:rPr>
          <w:rFonts w:ascii="Palatino" w:hAnsi="Palatino"/>
          <w:i/>
          <w:iCs/>
        </w:rPr>
        <w:t>Id</w:t>
      </w:r>
      <w:r>
        <w:rPr>
          <w:rFonts w:ascii="Palatino" w:hAnsi="Palatino"/>
        </w:rPr>
        <w:t>, Appendix B, Carrier Responses, dated May 12, 2016, pp. 32-33 (Cox Responses to Finding 3).</w:t>
      </w:r>
      <w:r>
        <w:t xml:space="preserve"> </w:t>
      </w:r>
    </w:p>
  </w:footnote>
  <w:footnote w:id="15">
    <w:p w14:paraId="19A47420" w14:textId="4E67B612" w:rsidR="00285C6A" w:rsidRDefault="00285C6A">
      <w:pPr>
        <w:pStyle w:val="FootnoteText"/>
      </w:pPr>
      <w:r>
        <w:rPr>
          <w:rStyle w:val="FootnoteReference"/>
        </w:rPr>
        <w:footnoteRef/>
      </w:r>
      <w:r>
        <w:t xml:space="preserve"> </w:t>
      </w:r>
      <w:r w:rsidRPr="00840954">
        <w:rPr>
          <w:i/>
          <w:iCs/>
        </w:rPr>
        <w:t>Id</w:t>
      </w:r>
      <w:r>
        <w:t>., p. 17.</w:t>
      </w:r>
    </w:p>
  </w:footnote>
  <w:footnote w:id="16">
    <w:p w14:paraId="3A4E9030" w14:textId="4E462709" w:rsidR="00285C6A" w:rsidRDefault="00285C6A">
      <w:pPr>
        <w:pStyle w:val="FootnoteText"/>
      </w:pPr>
      <w:r>
        <w:rPr>
          <w:rStyle w:val="FootnoteReference"/>
        </w:rPr>
        <w:footnoteRef/>
      </w:r>
      <w:r>
        <w:t xml:space="preserve"> </w:t>
      </w:r>
      <w:r w:rsidRPr="00840954">
        <w:rPr>
          <w:i/>
          <w:iCs/>
        </w:rPr>
        <w:t>Id</w:t>
      </w:r>
      <w:r>
        <w:t>., Appendix B, p. 32.</w:t>
      </w:r>
    </w:p>
  </w:footnote>
  <w:footnote w:id="17">
    <w:p w14:paraId="516DC10B" w14:textId="1B12A453" w:rsidR="00285C6A" w:rsidRDefault="00285C6A">
      <w:pPr>
        <w:pStyle w:val="FootnoteText"/>
      </w:pPr>
      <w:r>
        <w:rPr>
          <w:rStyle w:val="FootnoteReference"/>
        </w:rPr>
        <w:footnoteRef/>
      </w:r>
      <w:r>
        <w:t xml:space="preserve"> </w:t>
      </w:r>
      <w:r w:rsidRPr="00D73B1A">
        <w:t>See CD Demand Letter to Cox</w:t>
      </w:r>
      <w:r>
        <w:t xml:space="preserve"> Concerning 2016 Audit Report</w:t>
      </w:r>
      <w:r w:rsidRPr="00D73B1A">
        <w:t>,</w:t>
      </w:r>
      <w:r>
        <w:t xml:space="preserve"> </w:t>
      </w:r>
      <w:r w:rsidRPr="00D73B1A">
        <w:t>November 22, 2016</w:t>
      </w:r>
      <w:r>
        <w:t xml:space="preserve">, available in A.19-01-014, Consumer Protection and Enforcement Division (“CPED”) Protest, Attachment 2 </w:t>
      </w:r>
      <w:hyperlink r:id="rId1" w:history="1">
        <w:r w:rsidRPr="001B19CD">
          <w:rPr>
            <w:rStyle w:val="Hyperlink"/>
          </w:rPr>
          <w:t>http://docs.cpuc.ca.gov/SearchRes.aspx?DocFormat=ALL&amp;DocID=283492569</w:t>
        </w:r>
      </w:hyperlink>
      <w:r>
        <w:t xml:space="preserve"> (last visited </w:t>
      </w:r>
      <w:r w:rsidR="0070238F">
        <w:t>3</w:t>
      </w:r>
      <w:r>
        <w:t xml:space="preserve">/19/20).   </w:t>
      </w:r>
    </w:p>
  </w:footnote>
  <w:footnote w:id="18">
    <w:p w14:paraId="356705E5" w14:textId="3CD3BACD" w:rsidR="00285C6A" w:rsidRDefault="00285C6A">
      <w:pPr>
        <w:pStyle w:val="FootnoteText"/>
      </w:pPr>
      <w:r>
        <w:rPr>
          <w:rStyle w:val="FootnoteReference"/>
        </w:rPr>
        <w:footnoteRef/>
      </w:r>
      <w:r>
        <w:t xml:space="preserve"> See CD Demand Letter to Cox Concerning 2016 Audit Report and 2017 Analysis Report, February 6, 2019, available in A.19-01-014, CPED Protest, Attachment 2 </w:t>
      </w:r>
      <w:hyperlink r:id="rId2" w:history="1">
        <w:r w:rsidRPr="001B19CD">
          <w:rPr>
            <w:rStyle w:val="Hyperlink"/>
          </w:rPr>
          <w:t>http://docs.cpuc.ca.gov/SearchRes.aspx?DocFormat=ALL&amp;DocID=283492569</w:t>
        </w:r>
      </w:hyperlink>
      <w:r>
        <w:t xml:space="preserve"> (last visited 3/19/20). </w:t>
      </w:r>
    </w:p>
  </w:footnote>
  <w:footnote w:id="19">
    <w:p w14:paraId="5DC1C41C" w14:textId="5B9AAFCC" w:rsidR="00285C6A" w:rsidRDefault="00285C6A">
      <w:pPr>
        <w:pStyle w:val="FootnoteText"/>
      </w:pPr>
      <w:r>
        <w:rPr>
          <w:rStyle w:val="FootnoteReference"/>
        </w:rPr>
        <w:footnoteRef/>
      </w:r>
      <w:r>
        <w:t xml:space="preserve"> </w:t>
      </w:r>
      <w:r w:rsidRPr="00A14283">
        <w:rPr>
          <w:rFonts w:ascii="Palatino" w:hAnsi="Palatino"/>
          <w:i/>
          <w:iCs/>
        </w:rPr>
        <w:t>Califor</w:t>
      </w:r>
      <w:r w:rsidRPr="001A3033">
        <w:rPr>
          <w:rFonts w:ascii="Palatino" w:hAnsi="Palatino"/>
          <w:i/>
          <w:iCs/>
        </w:rPr>
        <w:t xml:space="preserve">nia Telecommunications Public Purpose Program Surcharge and User Fee Analysis of Cox Communications </w:t>
      </w:r>
      <w:proofErr w:type="gramStart"/>
      <w:r w:rsidRPr="001A3033">
        <w:rPr>
          <w:rFonts w:ascii="Palatino" w:hAnsi="Palatino"/>
          <w:i/>
          <w:iCs/>
        </w:rPr>
        <w:t>For</w:t>
      </w:r>
      <w:proofErr w:type="gramEnd"/>
      <w:r w:rsidRPr="001A3033">
        <w:rPr>
          <w:rFonts w:ascii="Palatino" w:hAnsi="Palatino"/>
          <w:i/>
          <w:iCs/>
        </w:rPr>
        <w:t xml:space="preserve"> the Program Years Ended June 30, 2014 and June 30, 2015</w:t>
      </w:r>
      <w:r>
        <w:rPr>
          <w:rFonts w:ascii="Palatino" w:hAnsi="Palatino"/>
        </w:rPr>
        <w:t xml:space="preserve"> (2017 Analysis Report),</w:t>
      </w:r>
    </w:p>
  </w:footnote>
  <w:footnote w:id="20">
    <w:p w14:paraId="61E466F5" w14:textId="44CF237B" w:rsidR="00285C6A" w:rsidRDefault="00285C6A">
      <w:pPr>
        <w:pStyle w:val="FootnoteText"/>
      </w:pPr>
      <w:r>
        <w:rPr>
          <w:rStyle w:val="FootnoteReference"/>
        </w:rPr>
        <w:footnoteRef/>
      </w:r>
      <w:r>
        <w:t xml:space="preserve"> </w:t>
      </w:r>
      <w:r>
        <w:rPr>
          <w:rFonts w:ascii="Palatino" w:hAnsi="Palatino"/>
        </w:rPr>
        <w:t>2017 Analysis Report, p. 1.</w:t>
      </w:r>
    </w:p>
  </w:footnote>
  <w:footnote w:id="21">
    <w:p w14:paraId="3999FC04" w14:textId="6583511E" w:rsidR="00285C6A" w:rsidRDefault="00285C6A">
      <w:pPr>
        <w:pStyle w:val="FootnoteText"/>
      </w:pPr>
      <w:r>
        <w:rPr>
          <w:rStyle w:val="FootnoteReference"/>
        </w:rPr>
        <w:footnoteRef/>
      </w:r>
      <w:r>
        <w:t xml:space="preserve"> </w:t>
      </w:r>
      <w:r w:rsidRPr="00840954">
        <w:rPr>
          <w:i/>
          <w:iCs/>
        </w:rPr>
        <w:t>Ibid</w:t>
      </w:r>
      <w:r>
        <w:t xml:space="preserve">. </w:t>
      </w:r>
    </w:p>
  </w:footnote>
  <w:footnote w:id="22">
    <w:p w14:paraId="11B97846" w14:textId="5C01F5D8" w:rsidR="00285C6A" w:rsidRDefault="00285C6A">
      <w:pPr>
        <w:pStyle w:val="FootnoteText"/>
      </w:pPr>
      <w:r>
        <w:rPr>
          <w:rStyle w:val="FootnoteReference"/>
        </w:rPr>
        <w:footnoteRef/>
      </w:r>
      <w:r>
        <w:t xml:space="preserve"> </w:t>
      </w:r>
      <w:r w:rsidRPr="00840954">
        <w:rPr>
          <w:i/>
          <w:iCs/>
        </w:rPr>
        <w:t>Id</w:t>
      </w:r>
      <w:r>
        <w:t xml:space="preserve">., p.2. </w:t>
      </w:r>
    </w:p>
  </w:footnote>
  <w:footnote w:id="23">
    <w:p w14:paraId="401ECBA8" w14:textId="565C48C3" w:rsidR="00285C6A" w:rsidRDefault="00285C6A">
      <w:pPr>
        <w:pStyle w:val="FootnoteText"/>
      </w:pPr>
      <w:r>
        <w:rPr>
          <w:rStyle w:val="FootnoteReference"/>
        </w:rPr>
        <w:footnoteRef/>
      </w:r>
      <w:r>
        <w:t xml:space="preserve"> See </w:t>
      </w:r>
      <w:r w:rsidRPr="00840954">
        <w:rPr>
          <w:i/>
          <w:iCs/>
        </w:rPr>
        <w:t>id</w:t>
      </w:r>
      <w:r>
        <w:t xml:space="preserve">., pp. 1, 5-7. </w:t>
      </w:r>
    </w:p>
  </w:footnote>
  <w:footnote w:id="24">
    <w:p w14:paraId="595DDD47" w14:textId="7DD29FCB" w:rsidR="00285C6A" w:rsidRDefault="00285C6A">
      <w:pPr>
        <w:pStyle w:val="FootnoteText"/>
      </w:pPr>
      <w:r>
        <w:rPr>
          <w:rStyle w:val="FootnoteReference"/>
        </w:rPr>
        <w:footnoteRef/>
      </w:r>
      <w:r>
        <w:t xml:space="preserve"> </w:t>
      </w:r>
      <w:r w:rsidRPr="00971EE5">
        <w:t xml:space="preserve">Cox Response to 2017 Analysis Report, March 8, 2018. </w:t>
      </w:r>
      <w:r>
        <w:t xml:space="preserve"> </w:t>
      </w:r>
    </w:p>
  </w:footnote>
  <w:footnote w:id="25">
    <w:p w14:paraId="09BB9700" w14:textId="6BC9AEF4" w:rsidR="00285C6A" w:rsidRDefault="00285C6A">
      <w:pPr>
        <w:pStyle w:val="FootnoteText"/>
      </w:pPr>
      <w:r>
        <w:rPr>
          <w:rStyle w:val="FootnoteReference"/>
        </w:rPr>
        <w:footnoteRef/>
      </w:r>
      <w:r>
        <w:t xml:space="preserve"> </w:t>
      </w:r>
      <w:r w:rsidRPr="00971EE5">
        <w:rPr>
          <w:i/>
          <w:iCs/>
        </w:rPr>
        <w:t>Id</w:t>
      </w:r>
      <w:r>
        <w:t xml:space="preserve">., pp. 3-4.   </w:t>
      </w:r>
    </w:p>
  </w:footnote>
  <w:footnote w:id="26">
    <w:p w14:paraId="51E750E4" w14:textId="68CCE840" w:rsidR="00285C6A" w:rsidRDefault="00285C6A" w:rsidP="00CE3C18">
      <w:pPr>
        <w:pStyle w:val="FootnoteText"/>
      </w:pPr>
      <w:r>
        <w:rPr>
          <w:rStyle w:val="FootnoteReference"/>
        </w:rPr>
        <w:footnoteRef/>
      </w:r>
      <w:r>
        <w:t xml:space="preserve"> CD Demand Letter to Cox Concerning 2017 Analysis Report, April 5, 2018, available in A.19-01-014, CPED Protest, Attachment 2 </w:t>
      </w:r>
      <w:hyperlink r:id="rId3" w:history="1">
        <w:r w:rsidRPr="001B19CD">
          <w:rPr>
            <w:rStyle w:val="Hyperlink"/>
          </w:rPr>
          <w:t>http://docs.cpuc.ca.gov/SearchRes.aspx?DocFormat=ALL&amp;DocID=283492569</w:t>
        </w:r>
      </w:hyperlink>
      <w:r>
        <w:t xml:space="preserve"> (last visited 3/19/20). </w:t>
      </w:r>
    </w:p>
    <w:p w14:paraId="0B7C061C" w14:textId="32171D96" w:rsidR="00285C6A" w:rsidRDefault="00285C6A">
      <w:pPr>
        <w:pStyle w:val="FootnoteText"/>
      </w:pPr>
      <w:r>
        <w:t xml:space="preserve"> </w:t>
      </w:r>
    </w:p>
  </w:footnote>
  <w:footnote w:id="27">
    <w:p w14:paraId="1B009A5E" w14:textId="47291E73" w:rsidR="00285C6A" w:rsidRPr="00AD7818" w:rsidRDefault="00285C6A">
      <w:pPr>
        <w:pStyle w:val="FootnoteText"/>
      </w:pPr>
      <w:r w:rsidRPr="00AD7818">
        <w:rPr>
          <w:rStyle w:val="FootnoteReference"/>
        </w:rPr>
        <w:footnoteRef/>
      </w:r>
      <w:r w:rsidRPr="00AD7818">
        <w:t xml:space="preserve"> Cox Request for Reconsideration</w:t>
      </w:r>
      <w:r>
        <w:t xml:space="preserve"> of 2017 Analysis Report</w:t>
      </w:r>
      <w:r w:rsidRPr="00AD7818">
        <w:t xml:space="preserve"> Letter, May 2, 2018, p. 1. </w:t>
      </w:r>
    </w:p>
  </w:footnote>
  <w:footnote w:id="28">
    <w:p w14:paraId="3C748F69" w14:textId="061463D1" w:rsidR="00285C6A" w:rsidRDefault="00285C6A">
      <w:pPr>
        <w:pStyle w:val="FootnoteText"/>
      </w:pPr>
      <w:r w:rsidRPr="00AD7818">
        <w:rPr>
          <w:rStyle w:val="FootnoteReference"/>
        </w:rPr>
        <w:footnoteRef/>
      </w:r>
      <w:r w:rsidRPr="00AD7818">
        <w:t xml:space="preserve"> </w:t>
      </w:r>
      <w:r w:rsidRPr="004D20C3">
        <w:rPr>
          <w:i/>
          <w:iCs/>
        </w:rPr>
        <w:t>Id</w:t>
      </w:r>
      <w:r>
        <w:t xml:space="preserve">., </w:t>
      </w:r>
      <w:r w:rsidRPr="00AD7818">
        <w:t>p. 3.</w:t>
      </w:r>
    </w:p>
  </w:footnote>
  <w:footnote w:id="29">
    <w:p w14:paraId="7D2BDF3A" w14:textId="4A9AF725" w:rsidR="00285C6A" w:rsidRDefault="00285C6A">
      <w:pPr>
        <w:pStyle w:val="FootnoteText"/>
      </w:pPr>
      <w:r>
        <w:rPr>
          <w:rStyle w:val="FootnoteReference"/>
        </w:rPr>
        <w:footnoteRef/>
      </w:r>
      <w:r>
        <w:t xml:space="preserve"> </w:t>
      </w:r>
      <w:r>
        <w:rPr>
          <w:rStyle w:val="FootnoteReference"/>
        </w:rPr>
        <w:footnoteRef/>
      </w:r>
      <w:r>
        <w:t xml:space="preserve"> See CD Response and Demand Letter to Cox Request for Reconsideration of 2017 Analysis Report, October 8, 2018, available in A.19-01-014, CPED Protest, Attachment 2 </w:t>
      </w:r>
      <w:hyperlink r:id="rId4" w:history="1">
        <w:r w:rsidRPr="001B19CD">
          <w:rPr>
            <w:rStyle w:val="Hyperlink"/>
          </w:rPr>
          <w:t>http://docs.cpuc.ca.gov/SearchRes.aspx?DocFormat=ALL&amp;DocID=283492569</w:t>
        </w:r>
      </w:hyperlink>
      <w:r>
        <w:t xml:space="preserve"> (last visited 3/19/20).</w:t>
      </w:r>
    </w:p>
  </w:footnote>
  <w:footnote w:id="30">
    <w:p w14:paraId="3735E688" w14:textId="2CC03FDA" w:rsidR="00285C6A" w:rsidRDefault="00285C6A">
      <w:pPr>
        <w:pStyle w:val="FootnoteText"/>
      </w:pPr>
      <w:r>
        <w:rPr>
          <w:rStyle w:val="FootnoteReference"/>
        </w:rPr>
        <w:footnoteRef/>
      </w:r>
      <w:r>
        <w:t xml:space="preserve"> </w:t>
      </w:r>
      <w:r w:rsidRPr="00C24140">
        <w:t xml:space="preserve">Id., pp. 3-4, </w:t>
      </w:r>
      <w:r w:rsidRPr="00C24140">
        <w:rPr>
          <w:i/>
          <w:iCs/>
        </w:rPr>
        <w:t>citing</w:t>
      </w:r>
      <w:r w:rsidRPr="00C24140">
        <w:t xml:space="preserve"> D.96-10-066.</w:t>
      </w:r>
      <w:r>
        <w:t xml:space="preserve"> </w:t>
      </w:r>
    </w:p>
  </w:footnote>
  <w:footnote w:id="31">
    <w:p w14:paraId="6758A494" w14:textId="77E39980" w:rsidR="00285C6A" w:rsidRPr="00856DF9" w:rsidRDefault="00285C6A">
      <w:pPr>
        <w:pStyle w:val="FootnoteText"/>
      </w:pPr>
      <w:r w:rsidRPr="00856DF9">
        <w:rPr>
          <w:rStyle w:val="FootnoteReference"/>
        </w:rPr>
        <w:footnoteRef/>
      </w:r>
      <w:r w:rsidRPr="00856DF9">
        <w:t xml:space="preserve"> </w:t>
      </w:r>
      <w:r w:rsidRPr="00856DF9">
        <w:rPr>
          <w:i/>
          <w:iCs/>
        </w:rPr>
        <w:t>Ibid</w:t>
      </w:r>
      <w:r w:rsidRPr="00856DF9">
        <w:t xml:space="preserve">. </w:t>
      </w:r>
    </w:p>
  </w:footnote>
  <w:footnote w:id="32">
    <w:p w14:paraId="07D669FB" w14:textId="3D6F3153" w:rsidR="00285C6A" w:rsidRDefault="00285C6A">
      <w:pPr>
        <w:pStyle w:val="FootnoteText"/>
      </w:pPr>
      <w:r w:rsidRPr="00856DF9">
        <w:rPr>
          <w:rStyle w:val="FootnoteReference"/>
        </w:rPr>
        <w:footnoteRef/>
      </w:r>
      <w:r w:rsidRPr="00856DF9">
        <w:t xml:space="preserve"> </w:t>
      </w:r>
      <w:r w:rsidRPr="00856DF9">
        <w:rPr>
          <w:i/>
          <w:iCs/>
        </w:rPr>
        <w:t>Id</w:t>
      </w:r>
      <w:r w:rsidRPr="00856DF9">
        <w:t>., p. 6.</w:t>
      </w:r>
    </w:p>
  </w:footnote>
  <w:footnote w:id="33">
    <w:p w14:paraId="6CB3CBF3" w14:textId="01A75383" w:rsidR="00285C6A" w:rsidRDefault="00285C6A">
      <w:pPr>
        <w:pStyle w:val="FootnoteText"/>
      </w:pPr>
      <w:r>
        <w:rPr>
          <w:rStyle w:val="FootnoteReference"/>
        </w:rPr>
        <w:footnoteRef/>
      </w:r>
      <w:r>
        <w:t xml:space="preserve"> Cox Letter to CD Director and CPUC General Counsel, October 29, 2018.</w:t>
      </w:r>
    </w:p>
  </w:footnote>
  <w:footnote w:id="34">
    <w:p w14:paraId="5F168492" w14:textId="7B64C70D" w:rsidR="00285C6A" w:rsidRDefault="00285C6A">
      <w:pPr>
        <w:pStyle w:val="FootnoteText"/>
      </w:pPr>
      <w:r>
        <w:rPr>
          <w:rStyle w:val="FootnoteReference"/>
        </w:rPr>
        <w:footnoteRef/>
      </w:r>
      <w:r>
        <w:t xml:space="preserve"> See </w:t>
      </w:r>
      <w:r w:rsidRPr="00944C4F">
        <w:rPr>
          <w:i/>
          <w:iCs/>
        </w:rPr>
        <w:t>id</w:t>
      </w:r>
      <w:r>
        <w:t xml:space="preserve">., p. 2.  </w:t>
      </w:r>
    </w:p>
  </w:footnote>
  <w:footnote w:id="35">
    <w:p w14:paraId="5DC6F76A" w14:textId="1BFAD4C3" w:rsidR="00285C6A" w:rsidRDefault="00285C6A">
      <w:pPr>
        <w:pStyle w:val="FootnoteText"/>
      </w:pPr>
      <w:r>
        <w:rPr>
          <w:rStyle w:val="FootnoteReference"/>
        </w:rPr>
        <w:footnoteRef/>
      </w:r>
      <w:r>
        <w:t xml:space="preserve"> Cox Letter to Executive Director for Extension of Time to Pay Surcharge Amounts, December 7, 2018.</w:t>
      </w:r>
    </w:p>
  </w:footnote>
  <w:footnote w:id="36">
    <w:p w14:paraId="2A1451DC" w14:textId="46F36D13" w:rsidR="00285C6A" w:rsidRDefault="00285C6A">
      <w:pPr>
        <w:pStyle w:val="FootnoteText"/>
      </w:pPr>
      <w:r>
        <w:rPr>
          <w:rStyle w:val="FootnoteReference"/>
        </w:rPr>
        <w:footnoteRef/>
      </w:r>
      <w:r>
        <w:t xml:space="preserve"> </w:t>
      </w:r>
      <w:r w:rsidRPr="00840954">
        <w:rPr>
          <w:i/>
          <w:iCs/>
        </w:rPr>
        <w:t>Id</w:t>
      </w:r>
      <w:r>
        <w:t>., p. 3</w:t>
      </w:r>
    </w:p>
  </w:footnote>
  <w:footnote w:id="37">
    <w:p w14:paraId="1E1B61AB" w14:textId="5460FB18" w:rsidR="00285C6A" w:rsidRDefault="00285C6A">
      <w:pPr>
        <w:pStyle w:val="FootnoteText"/>
      </w:pPr>
      <w:r>
        <w:rPr>
          <w:rStyle w:val="FootnoteReference"/>
        </w:rPr>
        <w:footnoteRef/>
      </w:r>
      <w:r>
        <w:t xml:space="preserve"> </w:t>
      </w:r>
      <w:r w:rsidRPr="00840954">
        <w:rPr>
          <w:i/>
          <w:iCs/>
        </w:rPr>
        <w:t>Ibid</w:t>
      </w:r>
      <w:r>
        <w:t>.</w:t>
      </w:r>
    </w:p>
  </w:footnote>
  <w:footnote w:id="38">
    <w:p w14:paraId="7308C2A4" w14:textId="0B10718A" w:rsidR="00285C6A" w:rsidRDefault="00285C6A">
      <w:pPr>
        <w:pStyle w:val="FootnoteText"/>
      </w:pPr>
      <w:r>
        <w:rPr>
          <w:rStyle w:val="FootnoteReference"/>
        </w:rPr>
        <w:footnoteRef/>
      </w:r>
      <w:r>
        <w:t xml:space="preserve"> </w:t>
      </w:r>
      <w:bookmarkStart w:id="1" w:name="_Hlk29754109"/>
      <w:r w:rsidRPr="002B5AAE">
        <w:t xml:space="preserve">Executive Director Letter </w:t>
      </w:r>
      <w:r>
        <w:t xml:space="preserve">to Cox </w:t>
      </w:r>
      <w:r w:rsidRPr="002B5AAE">
        <w:t xml:space="preserve">Denying </w:t>
      </w:r>
      <w:r>
        <w:t xml:space="preserve">Request for </w:t>
      </w:r>
      <w:r w:rsidRPr="002B5AAE">
        <w:t xml:space="preserve">Extension </w:t>
      </w:r>
      <w:r>
        <w:t>of Time to Pay Surcharge Amounts</w:t>
      </w:r>
      <w:r w:rsidRPr="002B5AAE">
        <w:t>, December 21, 2018</w:t>
      </w:r>
      <w:r w:rsidRPr="00F4427B">
        <w:t>.</w:t>
      </w:r>
    </w:p>
    <w:bookmarkEnd w:id="1"/>
  </w:footnote>
  <w:footnote w:id="39">
    <w:p w14:paraId="2AD09318" w14:textId="123DC5C1" w:rsidR="00285C6A" w:rsidRDefault="00285C6A">
      <w:pPr>
        <w:pStyle w:val="FootnoteText"/>
      </w:pPr>
      <w:r>
        <w:rPr>
          <w:rStyle w:val="FootnoteReference"/>
        </w:rPr>
        <w:footnoteRef/>
      </w:r>
      <w:r>
        <w:t xml:space="preserve"> Cox Application (January 29, 2019), A.19-01-014, found at </w:t>
      </w:r>
      <w:hyperlink r:id="rId5" w:history="1">
        <w:r w:rsidRPr="00342E8B">
          <w:rPr>
            <w:rStyle w:val="Hyperlink"/>
          </w:rPr>
          <w:t>http://docs.cpuc.ca.gov/PublishedDocs/Efile/G000/M265/K820/265820389.PDF</w:t>
        </w:r>
      </w:hyperlink>
      <w:r>
        <w:t xml:space="preserve"> (last visited 3/19/20). </w:t>
      </w:r>
    </w:p>
  </w:footnote>
  <w:footnote w:id="40">
    <w:p w14:paraId="10299436" w14:textId="7EAB20A3" w:rsidR="00285C6A" w:rsidRDefault="00285C6A">
      <w:pPr>
        <w:pStyle w:val="FootnoteText"/>
      </w:pPr>
      <w:r>
        <w:rPr>
          <w:rStyle w:val="FootnoteReference"/>
        </w:rPr>
        <w:footnoteRef/>
      </w:r>
      <w:r>
        <w:t xml:space="preserve"> In this </w:t>
      </w:r>
      <w:r w:rsidRPr="00840954">
        <w:rPr>
          <w:rFonts w:ascii="Book Antiqua" w:hAnsi="Book Antiqua" w:cs="Arial"/>
          <w:color w:val="000000"/>
        </w:rPr>
        <w:t>Application, A.19-01-014,</w:t>
      </w:r>
      <w:r>
        <w:rPr>
          <w:rFonts w:ascii="Book Antiqua" w:hAnsi="Book Antiqua" w:cs="Arial"/>
          <w:color w:val="000000"/>
        </w:rPr>
        <w:t xml:space="preserve"> Cox</w:t>
      </w:r>
      <w:r w:rsidRPr="00840954">
        <w:rPr>
          <w:rFonts w:ascii="Book Antiqua" w:hAnsi="Book Antiqua" w:cs="Arial"/>
          <w:color w:val="000000"/>
        </w:rPr>
        <w:t xml:space="preserve"> request</w:t>
      </w:r>
      <w:r>
        <w:rPr>
          <w:rFonts w:ascii="Book Antiqua" w:hAnsi="Book Antiqua" w:cs="Arial"/>
          <w:color w:val="000000"/>
        </w:rPr>
        <w:t>s</w:t>
      </w:r>
      <w:r w:rsidRPr="00840954">
        <w:rPr>
          <w:rFonts w:ascii="Book Antiqua" w:hAnsi="Book Antiqua" w:cs="Arial"/>
          <w:color w:val="000000"/>
        </w:rPr>
        <w:t xml:space="preserve"> the Commission not require Cox to pay the disputed amounts for directory listings service identified in the 201</w:t>
      </w:r>
      <w:r>
        <w:rPr>
          <w:rFonts w:ascii="Book Antiqua" w:hAnsi="Book Antiqua" w:cs="Arial"/>
          <w:color w:val="000000"/>
        </w:rPr>
        <w:t>7</w:t>
      </w:r>
      <w:r w:rsidRPr="00840954">
        <w:rPr>
          <w:rFonts w:ascii="Book Antiqua" w:hAnsi="Book Antiqua" w:cs="Arial"/>
          <w:color w:val="000000"/>
        </w:rPr>
        <w:t xml:space="preserve"> Analysis Report for FY 2013-2014 and FY 2014-2015.  On March 14, 2019, the Commission’s Consumer Protection</w:t>
      </w:r>
      <w:r>
        <w:rPr>
          <w:rFonts w:ascii="Book Antiqua" w:hAnsi="Book Antiqua" w:cs="Arial"/>
          <w:color w:val="000000"/>
        </w:rPr>
        <w:t xml:space="preserve"> and</w:t>
      </w:r>
      <w:r w:rsidRPr="00840954">
        <w:rPr>
          <w:rFonts w:ascii="Book Antiqua" w:hAnsi="Book Antiqua" w:cs="Arial"/>
          <w:color w:val="000000"/>
        </w:rPr>
        <w:t xml:space="preserve"> Enforcement Division (CPED) filed a protest to Cox’s Application.  On March 18, 2019, The Utility Reform Network, Center for Accessible Technology, and The Greenlining Institute jointly filed a protest to Cox’s Application.</w:t>
      </w:r>
    </w:p>
  </w:footnote>
  <w:footnote w:id="41">
    <w:p w14:paraId="0221AD2C" w14:textId="6967CA63" w:rsidR="00285C6A" w:rsidRDefault="00285C6A" w:rsidP="00454555">
      <w:pPr>
        <w:pStyle w:val="FootnoteText"/>
      </w:pPr>
      <w:r>
        <w:rPr>
          <w:rStyle w:val="FootnoteReference"/>
        </w:rPr>
        <w:footnoteRef/>
      </w:r>
      <w:r>
        <w:t xml:space="preserve"> See CD Demand Letter to Cox Concerning 2016 Audit Report and 2017 Analysis Report, February 6, 2019.  </w:t>
      </w:r>
    </w:p>
  </w:footnote>
  <w:footnote w:id="42">
    <w:p w14:paraId="7BAD8006" w14:textId="0CB79E6A" w:rsidR="00285C6A" w:rsidRDefault="00285C6A">
      <w:pPr>
        <w:pStyle w:val="FootnoteText"/>
      </w:pPr>
      <w:r>
        <w:rPr>
          <w:rStyle w:val="FootnoteReference"/>
        </w:rPr>
        <w:footnoteRef/>
      </w:r>
      <w:r>
        <w:t xml:space="preserve"> Cox Amended Application (June 29, 2019), A.19-01-014, found at </w:t>
      </w:r>
      <w:hyperlink r:id="rId6" w:history="1">
        <w:r w:rsidRPr="00342E8B">
          <w:rPr>
            <w:rStyle w:val="Hyperlink"/>
          </w:rPr>
          <w:t>http://docs.cpuc.ca.gov/SearchRes.aspx?DocFormat=ALL&amp;DocID=309591818</w:t>
        </w:r>
      </w:hyperlink>
      <w:r>
        <w:t xml:space="preserve"> (last visited 3/19/20).   </w:t>
      </w:r>
    </w:p>
  </w:footnote>
  <w:footnote w:id="43">
    <w:p w14:paraId="4F65F464" w14:textId="67669BBF" w:rsidR="00285C6A" w:rsidRDefault="00285C6A">
      <w:pPr>
        <w:pStyle w:val="FootnoteText"/>
      </w:pPr>
      <w:r>
        <w:rPr>
          <w:rStyle w:val="FootnoteReference"/>
        </w:rPr>
        <w:footnoteRef/>
      </w:r>
      <w:r>
        <w:t xml:space="preserve"> See Cox Application (January 29, 2019), A.19-01-014, p. </w:t>
      </w:r>
    </w:p>
  </w:footnote>
  <w:footnote w:id="44">
    <w:p w14:paraId="56B18313" w14:textId="491CE6E8" w:rsidR="00285C6A" w:rsidRDefault="00285C6A" w:rsidP="006346D1">
      <w:pPr>
        <w:pStyle w:val="FootnoteText"/>
      </w:pPr>
      <w:r>
        <w:rPr>
          <w:rStyle w:val="FootnoteReference"/>
        </w:rPr>
        <w:footnoteRef/>
      </w:r>
      <w:r>
        <w:t xml:space="preserve"> Motion of Cox California Telecom, LLC (U-5684-C) To Hold Proceeding in Abeyance, April 19, 2019, A.19-01-014, found at </w:t>
      </w:r>
      <w:hyperlink r:id="rId7" w:history="1">
        <w:r w:rsidRPr="00342E8B">
          <w:rPr>
            <w:rStyle w:val="Hyperlink"/>
          </w:rPr>
          <w:t>http://docs.cpuc.ca.gov/SearchRes.aspx?DocFormat=ALL&amp;DocID=283563009</w:t>
        </w:r>
      </w:hyperlink>
      <w:r>
        <w:t xml:space="preserve"> (last visited 3/19/20). </w:t>
      </w:r>
    </w:p>
  </w:footnote>
  <w:footnote w:id="45">
    <w:p w14:paraId="1FECD4DF" w14:textId="32751EED" w:rsidR="00285C6A" w:rsidRDefault="00285C6A" w:rsidP="006346D1">
      <w:pPr>
        <w:pStyle w:val="FootnoteText"/>
      </w:pPr>
      <w:r>
        <w:rPr>
          <w:rStyle w:val="FootnoteReference"/>
        </w:rPr>
        <w:footnoteRef/>
      </w:r>
      <w:r>
        <w:t xml:space="preserve"> See ALJ Email Ruling Granting Motion to Hold Proceeding in Abeyance Pending Resolution of Cox California Telecom, LLC’s Claim Under the Government Claims Act (April 23, 2019), A.19-01-014, p. 2 (“This Email Ruling grants Cox California Telecom, LLC’s (Cox) motion, dated April 19, 2019, to hold this proceeding in abeyance pending resolution of Cox’s claim appealing payment of disputed surcharges for directory listing services under the Government Claims Act (GCA). The proceeding schedule shall be held in abeyance until June 30, 2019. Cox’s amended application shall be due by June 30, 2019.”)</w:t>
      </w:r>
    </w:p>
  </w:footnote>
  <w:footnote w:id="46">
    <w:p w14:paraId="7E324970" w14:textId="21D6AB07" w:rsidR="00285C6A" w:rsidRDefault="00285C6A" w:rsidP="00CB2E20">
      <w:pPr>
        <w:pStyle w:val="FootnoteText"/>
      </w:pPr>
      <w:r>
        <w:rPr>
          <w:rStyle w:val="FootnoteReference"/>
        </w:rPr>
        <w:footnoteRef/>
      </w:r>
      <w:r>
        <w:t xml:space="preserve"> See Cox Amended Application (June 29, 2019), A.19-01-014, found at </w:t>
      </w:r>
      <w:hyperlink r:id="rId8" w:history="1">
        <w:r w:rsidRPr="00342E8B">
          <w:rPr>
            <w:rStyle w:val="Hyperlink"/>
          </w:rPr>
          <w:t>http://docs.cpuc.ca.gov/SearchRes.aspx?DocFormat=ALL&amp;DocID=309591818</w:t>
        </w:r>
      </w:hyperlink>
      <w:r>
        <w:t xml:space="preserve"> (last visited 3/19/20).   </w:t>
      </w:r>
    </w:p>
  </w:footnote>
  <w:footnote w:id="47">
    <w:p w14:paraId="655866E2" w14:textId="17FD584B" w:rsidR="00285C6A" w:rsidRDefault="00285C6A" w:rsidP="00DE6C72">
      <w:pPr>
        <w:pStyle w:val="FootnoteText"/>
      </w:pPr>
      <w:r>
        <w:rPr>
          <w:rStyle w:val="FootnoteReference"/>
        </w:rPr>
        <w:footnoteRef/>
      </w:r>
      <w:r>
        <w:t xml:space="preserve"> </w:t>
      </w:r>
      <w:r w:rsidRPr="00FA7E64">
        <w:rPr>
          <w:i/>
          <w:iCs/>
        </w:rPr>
        <w:t>Ibid</w:t>
      </w:r>
      <w:r>
        <w:t xml:space="preserve">.  </w:t>
      </w:r>
    </w:p>
  </w:footnote>
  <w:footnote w:id="48">
    <w:p w14:paraId="6E2311C7" w14:textId="6097E0B3" w:rsidR="00285C6A" w:rsidRDefault="00285C6A" w:rsidP="00CB2E20">
      <w:pPr>
        <w:pStyle w:val="FootnoteText"/>
      </w:pPr>
      <w:r>
        <w:rPr>
          <w:rStyle w:val="FootnoteReference"/>
        </w:rPr>
        <w:footnoteRef/>
      </w:r>
      <w:r>
        <w:t xml:space="preserve"> See Cox Amended Application (June 29, 2019), A.19-01-014, p.1.  </w:t>
      </w:r>
    </w:p>
  </w:footnote>
  <w:footnote w:id="49">
    <w:p w14:paraId="526DE75E" w14:textId="032F4C44" w:rsidR="00285C6A" w:rsidRDefault="00285C6A" w:rsidP="00CB2E20">
      <w:pPr>
        <w:pStyle w:val="FootnoteText"/>
      </w:pPr>
      <w:r>
        <w:rPr>
          <w:rStyle w:val="FootnoteReference"/>
        </w:rPr>
        <w:footnoteRef/>
      </w:r>
      <w:r>
        <w:t xml:space="preserve"> Joint Consumer Groups consist of </w:t>
      </w:r>
      <w:r w:rsidRPr="008620AF">
        <w:rPr>
          <w:rFonts w:ascii="Book Antiqua" w:hAnsi="Book Antiqua" w:cs="Arial"/>
          <w:color w:val="000000"/>
        </w:rPr>
        <w:t>The Utility Reform Network, Center for Accessible Technology, and The Greenlining Institute</w:t>
      </w:r>
      <w:r>
        <w:rPr>
          <w:rFonts w:ascii="Book Antiqua" w:hAnsi="Book Antiqua" w:cs="Arial"/>
          <w:color w:val="000000"/>
        </w:rPr>
        <w:t>.</w:t>
      </w:r>
    </w:p>
  </w:footnote>
  <w:footnote w:id="50">
    <w:p w14:paraId="7C905689" w14:textId="592F2553" w:rsidR="00285C6A" w:rsidRDefault="00285C6A" w:rsidP="00325F43">
      <w:pPr>
        <w:pStyle w:val="FootnoteText"/>
        <w:rPr>
          <w:rFonts w:ascii="Palatino" w:hAnsi="Palatino"/>
          <w:szCs w:val="22"/>
        </w:rPr>
      </w:pPr>
      <w:r>
        <w:rPr>
          <w:rStyle w:val="FootnoteReference"/>
        </w:rPr>
        <w:footnoteRef/>
      </w:r>
      <w:r>
        <w:t xml:space="preserve"> D</w:t>
      </w:r>
      <w:r>
        <w:rPr>
          <w:szCs w:val="22"/>
        </w:rPr>
        <w:t>.95</w:t>
      </w:r>
      <w:r>
        <w:rPr>
          <w:szCs w:val="22"/>
        </w:rPr>
        <w:noBreakHyphen/>
        <w:t>07</w:t>
      </w:r>
      <w:r>
        <w:rPr>
          <w:szCs w:val="22"/>
        </w:rPr>
        <w:noBreakHyphen/>
        <w:t>050, p. 8.</w:t>
      </w:r>
    </w:p>
  </w:footnote>
  <w:footnote w:id="51">
    <w:p w14:paraId="4854B437" w14:textId="00B7B587" w:rsidR="00285C6A" w:rsidRDefault="00285C6A" w:rsidP="00325F43">
      <w:pPr>
        <w:pStyle w:val="FootnoteText"/>
        <w:rPr>
          <w:szCs w:val="22"/>
        </w:rPr>
      </w:pPr>
      <w:r>
        <w:rPr>
          <w:rStyle w:val="FootnoteReference"/>
        </w:rPr>
        <w:footnoteRef/>
      </w:r>
      <w:r>
        <w:t xml:space="preserve"> </w:t>
      </w:r>
      <w:r>
        <w:rPr>
          <w:i/>
          <w:szCs w:val="22"/>
        </w:rPr>
        <w:t>Id</w:t>
      </w:r>
      <w:r>
        <w:rPr>
          <w:szCs w:val="22"/>
        </w:rPr>
        <w:t>. at 21 (defining basic service as the minimum level of service customers have come to expect, or what services are essential to all residential telephone customers.)</w:t>
      </w:r>
    </w:p>
  </w:footnote>
  <w:footnote w:id="52">
    <w:p w14:paraId="37DB008D" w14:textId="488D7637" w:rsidR="00285C6A" w:rsidRDefault="00285C6A">
      <w:pPr>
        <w:pStyle w:val="FootnoteText"/>
      </w:pPr>
      <w:r>
        <w:rPr>
          <w:rStyle w:val="FootnoteReference"/>
        </w:rPr>
        <w:footnoteRef/>
      </w:r>
      <w:r>
        <w:t xml:space="preserve"> See D.19-01-029, pp. 3-4.</w:t>
      </w:r>
    </w:p>
  </w:footnote>
  <w:footnote w:id="53">
    <w:p w14:paraId="69A85224" w14:textId="399309E1" w:rsidR="00351584" w:rsidRDefault="00351584" w:rsidP="00351584">
      <w:pPr>
        <w:pStyle w:val="FootnoteText"/>
      </w:pPr>
      <w:r>
        <w:rPr>
          <w:rStyle w:val="FootnoteReference"/>
        </w:rPr>
        <w:footnoteRef/>
      </w:r>
      <w:r>
        <w:t xml:space="preserve"> See D.94-09-065, in I.87-11-033, In the Matter of Alternative Regulatory Frameworks for Local Exchange Carriers and Related Matters, </w:t>
      </w:r>
      <w:r w:rsidRPr="00351584">
        <w:t>1994 Cal. PUC LEXIS 681</w:t>
      </w:r>
      <w:r>
        <w:t xml:space="preserve">, </w:t>
      </w:r>
      <w:r w:rsidR="008900E7">
        <w:t>*</w:t>
      </w:r>
      <w:r w:rsidR="00EE018D">
        <w:t>128-131</w:t>
      </w:r>
      <w:r w:rsidR="007B05F2">
        <w:t>.</w:t>
      </w:r>
    </w:p>
  </w:footnote>
  <w:footnote w:id="54">
    <w:p w14:paraId="55645A1A" w14:textId="07069AE3" w:rsidR="00285C6A" w:rsidRDefault="00285C6A" w:rsidP="00325F43">
      <w:pPr>
        <w:pStyle w:val="FootnoteText"/>
        <w:rPr>
          <w:szCs w:val="22"/>
        </w:rPr>
      </w:pPr>
      <w:r>
        <w:rPr>
          <w:rStyle w:val="FootnoteReference"/>
          <w:szCs w:val="24"/>
        </w:rPr>
        <w:footnoteRef/>
      </w:r>
      <w:r>
        <w:rPr>
          <w:szCs w:val="24"/>
        </w:rPr>
        <w:t xml:space="preserve"> See </w:t>
      </w:r>
      <w:r>
        <w:rPr>
          <w:szCs w:val="22"/>
        </w:rPr>
        <w:t>D.94</w:t>
      </w:r>
      <w:r>
        <w:rPr>
          <w:szCs w:val="22"/>
        </w:rPr>
        <w:noBreakHyphen/>
        <w:t>09</w:t>
      </w:r>
      <w:r>
        <w:rPr>
          <w:szCs w:val="22"/>
        </w:rPr>
        <w:noBreakHyphen/>
        <w:t>065</w:t>
      </w:r>
      <w:r w:rsidR="00D818C2">
        <w:rPr>
          <w:szCs w:val="22"/>
        </w:rPr>
        <w:t xml:space="preserve">, </w:t>
      </w:r>
      <w:r w:rsidR="00D818C2" w:rsidRPr="00351584">
        <w:t>1994 Cal. PUC LEXIS 681</w:t>
      </w:r>
      <w:r w:rsidR="00351584">
        <w:rPr>
          <w:szCs w:val="22"/>
        </w:rPr>
        <w:t>; see also</w:t>
      </w:r>
      <w:r>
        <w:rPr>
          <w:szCs w:val="22"/>
        </w:rPr>
        <w:t xml:space="preserve"> D.96</w:t>
      </w:r>
      <w:r>
        <w:rPr>
          <w:szCs w:val="22"/>
        </w:rPr>
        <w:noBreakHyphen/>
        <w:t>10</w:t>
      </w:r>
      <w:r>
        <w:rPr>
          <w:szCs w:val="22"/>
        </w:rPr>
        <w:noBreakHyphen/>
        <w:t>066</w:t>
      </w:r>
      <w:r w:rsidR="00D818C2">
        <w:rPr>
          <w:szCs w:val="22"/>
        </w:rPr>
        <w:t xml:space="preserve">, </w:t>
      </w:r>
      <w:r w:rsidR="00D537A0" w:rsidRPr="00D65AC7">
        <w:t>1996</w:t>
      </w:r>
      <w:r w:rsidR="00D537A0" w:rsidRPr="00444C5A">
        <w:t xml:space="preserve"> Cal. PUC LEXIS 1046</w:t>
      </w:r>
      <w:r>
        <w:rPr>
          <w:szCs w:val="22"/>
        </w:rPr>
        <w:t>.</w:t>
      </w:r>
    </w:p>
  </w:footnote>
  <w:footnote w:id="55">
    <w:p w14:paraId="38BB73E9" w14:textId="28978024" w:rsidR="008900E7" w:rsidRDefault="008900E7" w:rsidP="008900E7">
      <w:pPr>
        <w:pStyle w:val="FootnoteText"/>
      </w:pPr>
      <w:r>
        <w:rPr>
          <w:rStyle w:val="FootnoteReference"/>
        </w:rPr>
        <w:footnoteRef/>
      </w:r>
      <w:r>
        <w:t xml:space="preserve"> D.94-09-065,</w:t>
      </w:r>
      <w:r w:rsidR="000E3C64">
        <w:t xml:space="preserve"> </w:t>
      </w:r>
      <w:r w:rsidR="000E3C64" w:rsidRPr="00351584">
        <w:t>1994 Cal. PUC LEXIS 681</w:t>
      </w:r>
      <w:r w:rsidR="000E3C64">
        <w:t xml:space="preserve">, *2 </w:t>
      </w:r>
      <w:r>
        <w:t>(</w:t>
      </w:r>
      <w:r w:rsidR="000E3C64">
        <w:t xml:space="preserve">updates </w:t>
      </w:r>
      <w:r>
        <w:t>classif</w:t>
      </w:r>
      <w:r w:rsidR="000E3C64">
        <w:t xml:space="preserve">ications of </w:t>
      </w:r>
      <w:r>
        <w:t>telecommunications services into three categories, Category I, II, and II, as first established in (D.) 89-10-031.  D.89-10-031 established the following</w:t>
      </w:r>
      <w:r w:rsidR="00A65BD9">
        <w:t xml:space="preserve"> categories</w:t>
      </w:r>
      <w:r>
        <w:t>: Category I - monopoly services for which no competition is authorized; Category II - discretionary or partially competitive services for which competition is authorized, with pricing flexibility between appropriate price ceilings and price floors; and Category III - fully competitive telecommunications services with full pricing flexibility and minimal tariff requirements. These three categories form the framework for the development and application of key pricing policies in this decision.)</w:t>
      </w:r>
      <w:r w:rsidR="00716FD1">
        <w:t xml:space="preserve">; see also </w:t>
      </w:r>
      <w:r w:rsidR="00716FD1" w:rsidRPr="00716FD1">
        <w:rPr>
          <w:i/>
          <w:iCs/>
        </w:rPr>
        <w:t>id</w:t>
      </w:r>
      <w:r w:rsidR="00716FD1">
        <w:t xml:space="preserve"> * </w:t>
      </w:r>
      <w:r w:rsidR="009941BB">
        <w:t xml:space="preserve">97-101 (classifying directory assistance and directory listings services as Category II </w:t>
      </w:r>
      <w:r w:rsidR="00096012">
        <w:t xml:space="preserve">telecommunications </w:t>
      </w:r>
      <w:r w:rsidR="009941BB">
        <w:t>services.)</w:t>
      </w:r>
    </w:p>
  </w:footnote>
  <w:footnote w:id="56">
    <w:p w14:paraId="7E9AD51D" w14:textId="5DB14D89" w:rsidR="00285C6A" w:rsidRDefault="00285C6A" w:rsidP="003469D6">
      <w:pPr>
        <w:pStyle w:val="FootnoteText"/>
      </w:pPr>
      <w:r>
        <w:rPr>
          <w:rStyle w:val="FootnoteReference"/>
        </w:rPr>
        <w:footnoteRef/>
      </w:r>
      <w:r>
        <w:t xml:space="preserve"> </w:t>
      </w:r>
      <w:r w:rsidRPr="00D65AC7">
        <w:t>See D.96-10-066, 1996</w:t>
      </w:r>
      <w:r w:rsidRPr="00444C5A">
        <w:t xml:space="preserve"> Cal. PUC LEXIS 1046, *45</w:t>
      </w:r>
      <w:r>
        <w:t xml:space="preserve">-46; see also </w:t>
      </w:r>
      <w:r w:rsidRPr="00285C6A">
        <w:rPr>
          <w:i/>
          <w:iCs/>
        </w:rPr>
        <w:t>id</w:t>
      </w:r>
      <w:r>
        <w:t xml:space="preserve">., </w:t>
      </w:r>
      <w:r w:rsidR="00AF5E6D">
        <w:t xml:space="preserve">Appendix B, </w:t>
      </w:r>
      <w:r>
        <w:t>Rule 4.A</w:t>
      </w:r>
      <w:r w:rsidR="00AF5E6D">
        <w:t>-B</w:t>
      </w:r>
      <w:r>
        <w:t xml:space="preserve"> (provides that all carriers that provide local exchange residential service shall provide all the service elements of basic service</w:t>
      </w:r>
      <w:r w:rsidR="00AF5E6D">
        <w:t>);</w:t>
      </w:r>
      <w:r>
        <w:t xml:space="preserve"> see also</w:t>
      </w:r>
      <w:r w:rsidR="00A96391">
        <w:t xml:space="preserve"> D12-12-038, Appendix A (updates definition of basic service, includes access to directory assistance and directory listings); see </w:t>
      </w:r>
      <w:r w:rsidR="00A96391" w:rsidRPr="007B63F9">
        <w:t>also</w:t>
      </w:r>
      <w:r w:rsidRPr="007B63F9">
        <w:t xml:space="preserve"> D.94-09-065, pp. 290-292</w:t>
      </w:r>
      <w:r w:rsidR="007B63F9" w:rsidRPr="007B63F9">
        <w:t>.</w:t>
      </w:r>
    </w:p>
  </w:footnote>
  <w:footnote w:id="57">
    <w:p w14:paraId="5A81285A" w14:textId="32C1B785" w:rsidR="00285C6A" w:rsidRDefault="00285C6A">
      <w:pPr>
        <w:pStyle w:val="FootnoteText"/>
      </w:pPr>
      <w:r>
        <w:rPr>
          <w:rStyle w:val="FootnoteReference"/>
        </w:rPr>
        <w:footnoteRef/>
      </w:r>
      <w:r>
        <w:t xml:space="preserve"> </w:t>
      </w:r>
      <w:r w:rsidRPr="008207AA">
        <w:t xml:space="preserve">See D.96-10-066, </w:t>
      </w:r>
      <w:r w:rsidR="00F41CB2" w:rsidRPr="00D65AC7">
        <w:t>1996</w:t>
      </w:r>
      <w:r w:rsidR="00F41CB2" w:rsidRPr="00444C5A">
        <w:t xml:space="preserve"> Cal. PUC LEXIS 1046, *</w:t>
      </w:r>
      <w:r w:rsidR="00F41CB2">
        <w:t>289</w:t>
      </w:r>
      <w:r w:rsidR="00BA7651">
        <w:t>, *415-146 (Conclusion of Law 125)</w:t>
      </w:r>
      <w:r>
        <w:t>.</w:t>
      </w:r>
    </w:p>
  </w:footnote>
  <w:footnote w:id="58">
    <w:p w14:paraId="3F9ECB28" w14:textId="697DBB97" w:rsidR="00285C6A" w:rsidRDefault="00285C6A">
      <w:pPr>
        <w:pStyle w:val="FootnoteText"/>
      </w:pPr>
      <w:r>
        <w:rPr>
          <w:rStyle w:val="FootnoteReference"/>
        </w:rPr>
        <w:footnoteRef/>
      </w:r>
      <w:r>
        <w:t xml:space="preserve"> See Cox Supplemental Data Request Response to Data Request No. 1 (December 5, 2019), p 4 (“</w:t>
      </w:r>
      <w:r w:rsidRPr="00714CF9">
        <w:t>Cox’s practice is to submit public policy program surcharges and user fees on directory assistance service revenues, and to the best of its knowledge, Cox submitted such remittances since 2012.</w:t>
      </w:r>
      <w:r>
        <w:t>”)</w:t>
      </w:r>
    </w:p>
  </w:footnote>
  <w:footnote w:id="59">
    <w:p w14:paraId="23022F79" w14:textId="1DFFC43B" w:rsidR="00285C6A" w:rsidRDefault="00285C6A">
      <w:pPr>
        <w:pStyle w:val="FootnoteText"/>
      </w:pPr>
      <w:r>
        <w:rPr>
          <w:rStyle w:val="FootnoteReference"/>
        </w:rPr>
        <w:footnoteRef/>
      </w:r>
      <w:r>
        <w:t xml:space="preserve"> States may establish </w:t>
      </w:r>
      <w:r w:rsidRPr="00306A5B">
        <w:rPr>
          <w:szCs w:val="28"/>
        </w:rPr>
        <w:t xml:space="preserve">their own universal service programs and rules, subject to some general guidelines. </w:t>
      </w:r>
      <w:r w:rsidRPr="00306A5B">
        <w:rPr>
          <w:i/>
          <w:iCs/>
          <w:szCs w:val="28"/>
        </w:rPr>
        <w:t xml:space="preserve">See </w:t>
      </w:r>
      <w:r w:rsidRPr="00306A5B">
        <w:rPr>
          <w:szCs w:val="28"/>
        </w:rPr>
        <w:t>47 U.S.C. § 254(f).</w:t>
      </w:r>
      <w:r>
        <w:rPr>
          <w:szCs w:val="2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C2F8C" w14:textId="73983474" w:rsidR="00285C6A" w:rsidRPr="006C5C2B" w:rsidRDefault="00285C6A" w:rsidP="006C5C2B">
    <w:pPr>
      <w:pStyle w:val="Header"/>
      <w:tabs>
        <w:tab w:val="clear" w:pos="4320"/>
        <w:tab w:val="clear" w:pos="8640"/>
        <w:tab w:val="left" w:pos="4410"/>
        <w:tab w:val="right" w:pos="9360"/>
      </w:tabs>
      <w:rPr>
        <w:rFonts w:ascii="Palatino" w:hAnsi="Palatino"/>
      </w:rPr>
    </w:pPr>
    <w:r w:rsidRPr="006C5C2B">
      <w:rPr>
        <w:rFonts w:ascii="Palatino" w:hAnsi="Palatino"/>
      </w:rPr>
      <w:t>Resolution T-17</w:t>
    </w:r>
    <w:r>
      <w:rPr>
        <w:rFonts w:ascii="Palatino" w:hAnsi="Palatino"/>
      </w:rPr>
      <w:t>685</w:t>
    </w:r>
    <w:r w:rsidRPr="006C5C2B">
      <w:rPr>
        <w:rFonts w:ascii="Palatino" w:hAnsi="Palatino"/>
      </w:rPr>
      <w:tab/>
    </w:r>
    <w:r w:rsidRPr="006C5C2B">
      <w:rPr>
        <w:rFonts w:ascii="Palatino" w:hAnsi="Palatino"/>
        <w:b/>
      </w:rPr>
      <w:tab/>
    </w:r>
    <w:r w:rsidR="00910247" w:rsidRPr="00910247">
      <w:rPr>
        <w:rFonts w:ascii="Palatino" w:hAnsi="Palatino"/>
        <w:bCs/>
      </w:rPr>
      <w:t>May 7, 2020</w:t>
    </w:r>
  </w:p>
  <w:p w14:paraId="6F5903CB" w14:textId="534F3E19" w:rsidR="00285C6A" w:rsidRDefault="00285C6A" w:rsidP="003B1DBD">
    <w:pPr>
      <w:pStyle w:val="Header"/>
      <w:tabs>
        <w:tab w:val="clear" w:pos="8640"/>
        <w:tab w:val="right" w:pos="9360"/>
      </w:tabs>
      <w:rPr>
        <w:rFonts w:ascii="Palatino" w:hAnsi="Palatino"/>
      </w:rPr>
    </w:pPr>
    <w:r w:rsidRPr="006C5C2B">
      <w:rPr>
        <w:rFonts w:ascii="Palatino" w:hAnsi="Palatino"/>
      </w:rPr>
      <w:t>CD/</w:t>
    </w:r>
    <w:r>
      <w:rPr>
        <w:rFonts w:ascii="Palatino" w:hAnsi="Palatino"/>
      </w:rPr>
      <w:t>DSC</w:t>
    </w:r>
  </w:p>
  <w:p w14:paraId="44F37F34" w14:textId="77777777" w:rsidR="00285C6A" w:rsidRDefault="00285C6A" w:rsidP="003B1DBD">
    <w:pPr>
      <w:pStyle w:val="Header"/>
      <w:tabs>
        <w:tab w:val="clear" w:pos="8640"/>
        <w:tab w:val="right" w:pos="9360"/>
      </w:tabs>
    </w:pPr>
    <w:r w:rsidRPr="006C5C2B">
      <w:rPr>
        <w:rFonts w:ascii="Palatino" w:hAnsi="Palatino"/>
      </w:rPr>
      <w:tab/>
    </w:r>
    <w:r w:rsidRPr="006C5C2B">
      <w:rPr>
        <w:rFonts w:ascii="Palatino" w:hAnsi="Palatino"/>
      </w:rPr>
      <w:tab/>
    </w:r>
    <w:r w:rsidRPr="006C5C2B">
      <w:rPr>
        <w:rFonts w:ascii="Palatino" w:hAnsi="Palatino"/>
      </w:rPr>
      <w:tab/>
    </w:r>
    <w:r w:rsidRPr="006C5C2B">
      <w:rPr>
        <w:rFonts w:ascii="Palatino" w:hAnsi="Palatino"/>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7E256" w14:textId="5DE17FA4" w:rsidR="00285C6A" w:rsidRPr="0008677A" w:rsidRDefault="00285C6A" w:rsidP="0008677A">
    <w:pPr>
      <w:pStyle w:val="Header"/>
      <w:tabs>
        <w:tab w:val="clear" w:pos="4320"/>
        <w:tab w:val="clear" w:pos="8640"/>
        <w:tab w:val="left" w:pos="4410"/>
        <w:tab w:val="right" w:pos="9360"/>
      </w:tabs>
      <w:rPr>
        <w:rFonts w:ascii="Palatino" w:hAnsi="Palatino"/>
      </w:rPr>
    </w:pPr>
    <w:r w:rsidRPr="0008677A">
      <w:rPr>
        <w:rFonts w:ascii="Palatino" w:hAnsi="Palatino"/>
      </w:rPr>
      <w:t>Resolution T-17</w:t>
    </w:r>
    <w:r>
      <w:rPr>
        <w:rFonts w:ascii="Palatino" w:hAnsi="Palatino"/>
      </w:rPr>
      <w:t>685</w:t>
    </w:r>
    <w:r w:rsidRPr="0008677A">
      <w:rPr>
        <w:rFonts w:ascii="Palatino" w:hAnsi="Palatino"/>
      </w:rPr>
      <w:tab/>
    </w:r>
    <w:r w:rsidR="00910247">
      <w:rPr>
        <w:rFonts w:ascii="Palatino" w:hAnsi="Palatino"/>
      </w:rPr>
      <w:t>DRAFT</w:t>
    </w:r>
    <w:r w:rsidRPr="0008677A">
      <w:rPr>
        <w:rFonts w:ascii="Palatino" w:hAnsi="Palatino"/>
      </w:rPr>
      <w:tab/>
    </w:r>
    <w:r w:rsidR="00910247">
      <w:rPr>
        <w:rFonts w:ascii="Palatino" w:hAnsi="Palatino"/>
      </w:rPr>
      <w:t xml:space="preserve">  </w:t>
    </w:r>
    <w:r w:rsidR="00085508">
      <w:rPr>
        <w:rFonts w:ascii="Palatino" w:hAnsi="Palatino"/>
      </w:rPr>
      <w:t>Agenda ID#: 18307</w:t>
    </w:r>
    <w:r>
      <w:rPr>
        <w:rFonts w:ascii="Palatino" w:hAnsi="Palatino"/>
      </w:rPr>
      <w:t xml:space="preserve"> </w:t>
    </w:r>
  </w:p>
  <w:p w14:paraId="3E12F248" w14:textId="69749828" w:rsidR="00285C6A" w:rsidRPr="0008677A" w:rsidRDefault="00285C6A" w:rsidP="00574A51">
    <w:pPr>
      <w:pStyle w:val="Header"/>
      <w:tabs>
        <w:tab w:val="clear" w:pos="4320"/>
        <w:tab w:val="clear" w:pos="8640"/>
        <w:tab w:val="left" w:pos="4410"/>
        <w:tab w:val="right" w:pos="9360"/>
      </w:tabs>
      <w:rPr>
        <w:rFonts w:ascii="Palatino" w:hAnsi="Palatino"/>
      </w:rPr>
    </w:pPr>
    <w:r w:rsidRPr="0008677A">
      <w:rPr>
        <w:rFonts w:ascii="Palatino" w:hAnsi="Palatino"/>
      </w:rPr>
      <w:t>CD/</w:t>
    </w:r>
    <w:r>
      <w:rPr>
        <w:rFonts w:ascii="Palatino" w:hAnsi="Palatino"/>
      </w:rPr>
      <w:t>DSC</w:t>
    </w:r>
    <w:r w:rsidRPr="0008677A">
      <w:rPr>
        <w:rFonts w:ascii="Palatino" w:hAnsi="Palatino"/>
      </w:rPr>
      <w:tab/>
    </w:r>
    <w:r>
      <w:rPr>
        <w:rFonts w:ascii="Palatino" w:hAnsi="Palatino"/>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F67BC"/>
    <w:multiLevelType w:val="hybridMultilevel"/>
    <w:tmpl w:val="E67EF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E609A"/>
    <w:multiLevelType w:val="hybridMultilevel"/>
    <w:tmpl w:val="7188F68A"/>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211AEE"/>
    <w:multiLevelType w:val="hybridMultilevel"/>
    <w:tmpl w:val="D0CEE69C"/>
    <w:lvl w:ilvl="0" w:tplc="F44C94EC">
      <w:start w:val="1"/>
      <w:numFmt w:val="decimal"/>
      <w:lvlText w:val="%1."/>
      <w:lvlJc w:val="left"/>
      <w:pPr>
        <w:tabs>
          <w:tab w:val="num" w:pos="240"/>
        </w:tabs>
        <w:ind w:left="240" w:hanging="60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9FE011D"/>
    <w:multiLevelType w:val="hybridMultilevel"/>
    <w:tmpl w:val="D1A2C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1A1B12"/>
    <w:multiLevelType w:val="hybridMultilevel"/>
    <w:tmpl w:val="BD527490"/>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09D7D6B"/>
    <w:multiLevelType w:val="hybridMultilevel"/>
    <w:tmpl w:val="7D301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A4061B"/>
    <w:multiLevelType w:val="hybridMultilevel"/>
    <w:tmpl w:val="381048E8"/>
    <w:lvl w:ilvl="0" w:tplc="58B8F582">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132F21E1"/>
    <w:multiLevelType w:val="hybridMultilevel"/>
    <w:tmpl w:val="E83C0CE8"/>
    <w:lvl w:ilvl="0" w:tplc="97284F6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FADBD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0A55C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F881B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1C9F8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64282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30C52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BC2A8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02EB3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1B67A86"/>
    <w:multiLevelType w:val="hybridMultilevel"/>
    <w:tmpl w:val="C1AEAFB6"/>
    <w:lvl w:ilvl="0" w:tplc="17C2B1B4">
      <w:start w:val="1"/>
      <w:numFmt w:val="bullet"/>
      <w:lvlText w:val="-"/>
      <w:lvlJc w:val="left"/>
      <w:pPr>
        <w:ind w:left="2160" w:hanging="360"/>
      </w:pPr>
      <w:rPr>
        <w:rFonts w:ascii="Palatino" w:eastAsia="Times New Roman" w:hAnsi="Palatino"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66C3BFA"/>
    <w:multiLevelType w:val="hybridMultilevel"/>
    <w:tmpl w:val="B538C634"/>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87B22DD"/>
    <w:multiLevelType w:val="hybridMultilevel"/>
    <w:tmpl w:val="372878F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DDA4B17"/>
    <w:multiLevelType w:val="hybridMultilevel"/>
    <w:tmpl w:val="059445B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2EC9079E"/>
    <w:multiLevelType w:val="hybridMultilevel"/>
    <w:tmpl w:val="F72AB9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5B524CD"/>
    <w:multiLevelType w:val="hybridMultilevel"/>
    <w:tmpl w:val="AE9C3A3E"/>
    <w:lvl w:ilvl="0" w:tplc="0409000F">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C30D39"/>
    <w:multiLevelType w:val="hybridMultilevel"/>
    <w:tmpl w:val="C832A7C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A72568D"/>
    <w:multiLevelType w:val="hybridMultilevel"/>
    <w:tmpl w:val="63FC49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E377945"/>
    <w:multiLevelType w:val="hybridMultilevel"/>
    <w:tmpl w:val="2BFE11B0"/>
    <w:lvl w:ilvl="0" w:tplc="9938A792">
      <w:start w:val="1"/>
      <w:numFmt w:val="decimal"/>
      <w:lvlText w:val="%1."/>
      <w:lvlJc w:val="left"/>
      <w:pPr>
        <w:tabs>
          <w:tab w:val="num" w:pos="600"/>
        </w:tabs>
        <w:ind w:left="600" w:hanging="60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40315BC8"/>
    <w:multiLevelType w:val="hybridMultilevel"/>
    <w:tmpl w:val="A8C2BBE8"/>
    <w:lvl w:ilvl="0" w:tplc="3B3CE01A">
      <w:start w:val="1"/>
      <w:numFmt w:val="lowerLetter"/>
      <w:lvlText w:val="%1."/>
      <w:lvlJc w:val="left"/>
      <w:pPr>
        <w:ind w:left="1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BAF214">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D6267C">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A07C52">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F6F3D6">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547F58">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523442">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40E000">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441868">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1465190"/>
    <w:multiLevelType w:val="hybridMultilevel"/>
    <w:tmpl w:val="8F541E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D55D28"/>
    <w:multiLevelType w:val="hybridMultilevel"/>
    <w:tmpl w:val="913659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3E746F"/>
    <w:multiLevelType w:val="hybridMultilevel"/>
    <w:tmpl w:val="BAD03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C41240"/>
    <w:multiLevelType w:val="hybridMultilevel"/>
    <w:tmpl w:val="C16839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9241F1D"/>
    <w:multiLevelType w:val="hybridMultilevel"/>
    <w:tmpl w:val="4F54D01E"/>
    <w:lvl w:ilvl="0" w:tplc="7270B6AE">
      <w:start w:val="1"/>
      <w:numFmt w:val="decimal"/>
      <w:pStyle w:val="1xx"/>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8378E7"/>
    <w:multiLevelType w:val="hybridMultilevel"/>
    <w:tmpl w:val="2CBA5B50"/>
    <w:lvl w:ilvl="0" w:tplc="0409000F">
      <w:start w:val="1"/>
      <w:numFmt w:val="decimal"/>
      <w:lvlText w:val="%1."/>
      <w:lvlJc w:val="left"/>
      <w:pPr>
        <w:ind w:left="108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4B2B0091"/>
    <w:multiLevelType w:val="hybridMultilevel"/>
    <w:tmpl w:val="6D085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C022A8"/>
    <w:multiLevelType w:val="hybridMultilevel"/>
    <w:tmpl w:val="AE9C3A3E"/>
    <w:lvl w:ilvl="0" w:tplc="0409000F">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421D22"/>
    <w:multiLevelType w:val="hybridMultilevel"/>
    <w:tmpl w:val="DB9A1DD8"/>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2984956"/>
    <w:multiLevelType w:val="hybridMultilevel"/>
    <w:tmpl w:val="52CA8168"/>
    <w:lvl w:ilvl="0" w:tplc="9ACCF3CA">
      <w:start w:val="1"/>
      <w:numFmt w:val="lowerLetter"/>
      <w:lvlText w:val="%1."/>
      <w:lvlJc w:val="left"/>
      <w:pPr>
        <w:ind w:left="9540" w:hanging="360"/>
      </w:pPr>
      <w:rPr>
        <w:rFonts w:hint="default"/>
      </w:rPr>
    </w:lvl>
    <w:lvl w:ilvl="1" w:tplc="04090019" w:tentative="1">
      <w:start w:val="1"/>
      <w:numFmt w:val="lowerLetter"/>
      <w:lvlText w:val="%2."/>
      <w:lvlJc w:val="left"/>
      <w:pPr>
        <w:ind w:left="10260" w:hanging="360"/>
      </w:pPr>
    </w:lvl>
    <w:lvl w:ilvl="2" w:tplc="0409001B" w:tentative="1">
      <w:start w:val="1"/>
      <w:numFmt w:val="lowerRoman"/>
      <w:lvlText w:val="%3."/>
      <w:lvlJc w:val="right"/>
      <w:pPr>
        <w:ind w:left="10980" w:hanging="180"/>
      </w:pPr>
    </w:lvl>
    <w:lvl w:ilvl="3" w:tplc="0409000F" w:tentative="1">
      <w:start w:val="1"/>
      <w:numFmt w:val="decimal"/>
      <w:lvlText w:val="%4."/>
      <w:lvlJc w:val="left"/>
      <w:pPr>
        <w:ind w:left="11700" w:hanging="360"/>
      </w:pPr>
    </w:lvl>
    <w:lvl w:ilvl="4" w:tplc="04090019" w:tentative="1">
      <w:start w:val="1"/>
      <w:numFmt w:val="lowerLetter"/>
      <w:lvlText w:val="%5."/>
      <w:lvlJc w:val="left"/>
      <w:pPr>
        <w:ind w:left="12420" w:hanging="360"/>
      </w:pPr>
    </w:lvl>
    <w:lvl w:ilvl="5" w:tplc="0409001B" w:tentative="1">
      <w:start w:val="1"/>
      <w:numFmt w:val="lowerRoman"/>
      <w:lvlText w:val="%6."/>
      <w:lvlJc w:val="right"/>
      <w:pPr>
        <w:ind w:left="13140" w:hanging="180"/>
      </w:pPr>
    </w:lvl>
    <w:lvl w:ilvl="6" w:tplc="0409000F" w:tentative="1">
      <w:start w:val="1"/>
      <w:numFmt w:val="decimal"/>
      <w:lvlText w:val="%7."/>
      <w:lvlJc w:val="left"/>
      <w:pPr>
        <w:ind w:left="13860" w:hanging="360"/>
      </w:pPr>
    </w:lvl>
    <w:lvl w:ilvl="7" w:tplc="04090019" w:tentative="1">
      <w:start w:val="1"/>
      <w:numFmt w:val="lowerLetter"/>
      <w:lvlText w:val="%8."/>
      <w:lvlJc w:val="left"/>
      <w:pPr>
        <w:ind w:left="14580" w:hanging="360"/>
      </w:pPr>
    </w:lvl>
    <w:lvl w:ilvl="8" w:tplc="0409001B" w:tentative="1">
      <w:start w:val="1"/>
      <w:numFmt w:val="lowerRoman"/>
      <w:lvlText w:val="%9."/>
      <w:lvlJc w:val="right"/>
      <w:pPr>
        <w:ind w:left="15300" w:hanging="180"/>
      </w:pPr>
    </w:lvl>
  </w:abstractNum>
  <w:abstractNum w:abstractNumId="28" w15:restartNumberingAfterBreak="0">
    <w:nsid w:val="536C2F7B"/>
    <w:multiLevelType w:val="hybridMultilevel"/>
    <w:tmpl w:val="5B3C93E4"/>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9" w15:restartNumberingAfterBreak="0">
    <w:nsid w:val="5866113A"/>
    <w:multiLevelType w:val="hybridMultilevel"/>
    <w:tmpl w:val="AE9C3A3E"/>
    <w:lvl w:ilvl="0" w:tplc="0409000F">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813B3B"/>
    <w:multiLevelType w:val="hybridMultilevel"/>
    <w:tmpl w:val="F9B2DA0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1" w15:restartNumberingAfterBreak="0">
    <w:nsid w:val="5E900120"/>
    <w:multiLevelType w:val="hybridMultilevel"/>
    <w:tmpl w:val="BF2C7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211FEC"/>
    <w:multiLevelType w:val="hybridMultilevel"/>
    <w:tmpl w:val="4D2C1F1E"/>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5345461"/>
    <w:multiLevelType w:val="hybridMultilevel"/>
    <w:tmpl w:val="AF0E3B0A"/>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15:restartNumberingAfterBreak="0">
    <w:nsid w:val="660D4967"/>
    <w:multiLevelType w:val="hybridMultilevel"/>
    <w:tmpl w:val="1A9292A8"/>
    <w:lvl w:ilvl="0" w:tplc="F768017A">
      <w:start w:val="2"/>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6EF2634"/>
    <w:multiLevelType w:val="hybridMultilevel"/>
    <w:tmpl w:val="AE9C3A3E"/>
    <w:lvl w:ilvl="0" w:tplc="0409000F">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252F6F"/>
    <w:multiLevelType w:val="hybridMultilevel"/>
    <w:tmpl w:val="D8466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574605"/>
    <w:multiLevelType w:val="hybridMultilevel"/>
    <w:tmpl w:val="F19C833C"/>
    <w:lvl w:ilvl="0" w:tplc="0409000F">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382489"/>
    <w:multiLevelType w:val="hybridMultilevel"/>
    <w:tmpl w:val="8E9673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8657DD0"/>
    <w:multiLevelType w:val="hybridMultilevel"/>
    <w:tmpl w:val="B538C634"/>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FD727FB"/>
    <w:multiLevelType w:val="hybridMultilevel"/>
    <w:tmpl w:val="4592406E"/>
    <w:lvl w:ilvl="0" w:tplc="C298FBAA">
      <w:start w:val="1"/>
      <w:numFmt w:val="decimal"/>
      <w:lvlText w:val="%1."/>
      <w:lvlJc w:val="left"/>
      <w:pPr>
        <w:ind w:left="720" w:hanging="360"/>
      </w:pPr>
      <w:rPr>
        <w:rFonts w:eastAsia="Calibri"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6"/>
  </w:num>
  <w:num w:numId="2">
    <w:abstractNumId w:val="2"/>
  </w:num>
  <w:num w:numId="3">
    <w:abstractNumId w:val="3"/>
  </w:num>
  <w:num w:numId="4">
    <w:abstractNumId w:val="38"/>
  </w:num>
  <w:num w:numId="5">
    <w:abstractNumId w:val="28"/>
  </w:num>
  <w:num w:numId="6">
    <w:abstractNumId w:val="36"/>
  </w:num>
  <w:num w:numId="7">
    <w:abstractNumId w:val="5"/>
  </w:num>
  <w:num w:numId="8">
    <w:abstractNumId w:val="0"/>
  </w:num>
  <w:num w:numId="9">
    <w:abstractNumId w:val="20"/>
  </w:num>
  <w:num w:numId="10">
    <w:abstractNumId w:val="1"/>
  </w:num>
  <w:num w:numId="11">
    <w:abstractNumId w:val="19"/>
  </w:num>
  <w:num w:numId="12">
    <w:abstractNumId w:val="18"/>
  </w:num>
  <w:num w:numId="13">
    <w:abstractNumId w:val="24"/>
  </w:num>
  <w:num w:numId="14">
    <w:abstractNumId w:val="12"/>
  </w:num>
  <w:num w:numId="15">
    <w:abstractNumId w:val="31"/>
  </w:num>
  <w:num w:numId="16">
    <w:abstractNumId w:val="30"/>
  </w:num>
  <w:num w:numId="17">
    <w:abstractNumId w:val="11"/>
  </w:num>
  <w:num w:numId="18">
    <w:abstractNumId w:val="33"/>
  </w:num>
  <w:num w:numId="19">
    <w:abstractNumId w:val="23"/>
  </w:num>
  <w:num w:numId="20">
    <w:abstractNumId w:val="35"/>
  </w:num>
  <w:num w:numId="21">
    <w:abstractNumId w:val="13"/>
  </w:num>
  <w:num w:numId="22">
    <w:abstractNumId w:val="37"/>
  </w:num>
  <w:num w:numId="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34"/>
  </w:num>
  <w:num w:numId="26">
    <w:abstractNumId w:val="7"/>
  </w:num>
  <w:num w:numId="27">
    <w:abstractNumId w:val="17"/>
  </w:num>
  <w:num w:numId="28">
    <w:abstractNumId w:val="27"/>
  </w:num>
  <w:num w:numId="29">
    <w:abstractNumId w:val="4"/>
  </w:num>
  <w:num w:numId="30">
    <w:abstractNumId w:val="32"/>
  </w:num>
  <w:num w:numId="31">
    <w:abstractNumId w:val="14"/>
  </w:num>
  <w:num w:numId="32">
    <w:abstractNumId w:val="26"/>
  </w:num>
  <w:num w:numId="33">
    <w:abstractNumId w:val="10"/>
  </w:num>
  <w:num w:numId="34">
    <w:abstractNumId w:val="25"/>
  </w:num>
  <w:num w:numId="35">
    <w:abstractNumId w:val="29"/>
  </w:num>
  <w:num w:numId="36">
    <w:abstractNumId w:val="9"/>
  </w:num>
  <w:num w:numId="37">
    <w:abstractNumId w:val="8"/>
  </w:num>
  <w:num w:numId="38">
    <w:abstractNumId w:val="22"/>
  </w:num>
  <w:num w:numId="39">
    <w:abstractNumId w:val="22"/>
    <w:lvlOverride w:ilvl="0">
      <w:startOverride w:val="1"/>
    </w:lvlOverride>
  </w:num>
  <w:num w:numId="40">
    <w:abstractNumId w:val="22"/>
  </w:num>
  <w:num w:numId="41">
    <w:abstractNumId w:val="39"/>
  </w:num>
  <w:num w:numId="42">
    <w:abstractNumId w:val="15"/>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DBD"/>
    <w:rsid w:val="00000347"/>
    <w:rsid w:val="000009AD"/>
    <w:rsid w:val="0000192C"/>
    <w:rsid w:val="00001CA6"/>
    <w:rsid w:val="00002676"/>
    <w:rsid w:val="00003B52"/>
    <w:rsid w:val="0000410B"/>
    <w:rsid w:val="00005A55"/>
    <w:rsid w:val="00007153"/>
    <w:rsid w:val="0001018F"/>
    <w:rsid w:val="00013029"/>
    <w:rsid w:val="00013DE0"/>
    <w:rsid w:val="00014683"/>
    <w:rsid w:val="000156EC"/>
    <w:rsid w:val="0001742D"/>
    <w:rsid w:val="00020452"/>
    <w:rsid w:val="00021AA1"/>
    <w:rsid w:val="00021BAB"/>
    <w:rsid w:val="00021C9C"/>
    <w:rsid w:val="00021D1D"/>
    <w:rsid w:val="0002260A"/>
    <w:rsid w:val="00023160"/>
    <w:rsid w:val="00023A7C"/>
    <w:rsid w:val="0002448A"/>
    <w:rsid w:val="00024AFF"/>
    <w:rsid w:val="00024BF7"/>
    <w:rsid w:val="000250F5"/>
    <w:rsid w:val="00025903"/>
    <w:rsid w:val="000268DB"/>
    <w:rsid w:val="000279D2"/>
    <w:rsid w:val="00033314"/>
    <w:rsid w:val="00033467"/>
    <w:rsid w:val="00033BB9"/>
    <w:rsid w:val="00035BFB"/>
    <w:rsid w:val="00036BFF"/>
    <w:rsid w:val="000373FD"/>
    <w:rsid w:val="000405FD"/>
    <w:rsid w:val="00040E04"/>
    <w:rsid w:val="000411B3"/>
    <w:rsid w:val="0004177E"/>
    <w:rsid w:val="00042335"/>
    <w:rsid w:val="0004277C"/>
    <w:rsid w:val="00043FAD"/>
    <w:rsid w:val="00045062"/>
    <w:rsid w:val="000451FE"/>
    <w:rsid w:val="000462B4"/>
    <w:rsid w:val="000462C5"/>
    <w:rsid w:val="00046798"/>
    <w:rsid w:val="00046AA8"/>
    <w:rsid w:val="00047D0F"/>
    <w:rsid w:val="00050277"/>
    <w:rsid w:val="00051005"/>
    <w:rsid w:val="0005118C"/>
    <w:rsid w:val="000517E8"/>
    <w:rsid w:val="00054187"/>
    <w:rsid w:val="00054725"/>
    <w:rsid w:val="000555EF"/>
    <w:rsid w:val="00055930"/>
    <w:rsid w:val="000559CD"/>
    <w:rsid w:val="00055A75"/>
    <w:rsid w:val="0006023A"/>
    <w:rsid w:val="00060B7B"/>
    <w:rsid w:val="00061C32"/>
    <w:rsid w:val="00061C68"/>
    <w:rsid w:val="00061D31"/>
    <w:rsid w:val="0006338B"/>
    <w:rsid w:val="00063659"/>
    <w:rsid w:val="00063B32"/>
    <w:rsid w:val="000648A3"/>
    <w:rsid w:val="00065463"/>
    <w:rsid w:val="00065CA3"/>
    <w:rsid w:val="0006628E"/>
    <w:rsid w:val="000667FA"/>
    <w:rsid w:val="00066B61"/>
    <w:rsid w:val="00067039"/>
    <w:rsid w:val="00067843"/>
    <w:rsid w:val="000709FC"/>
    <w:rsid w:val="000718CC"/>
    <w:rsid w:val="0007379A"/>
    <w:rsid w:val="00073EC5"/>
    <w:rsid w:val="00075B1E"/>
    <w:rsid w:val="00075FA1"/>
    <w:rsid w:val="00076162"/>
    <w:rsid w:val="0007632F"/>
    <w:rsid w:val="00076488"/>
    <w:rsid w:val="0007655A"/>
    <w:rsid w:val="00076B51"/>
    <w:rsid w:val="0007772B"/>
    <w:rsid w:val="00077CEE"/>
    <w:rsid w:val="000800CC"/>
    <w:rsid w:val="000801B7"/>
    <w:rsid w:val="00081197"/>
    <w:rsid w:val="0008123F"/>
    <w:rsid w:val="00082101"/>
    <w:rsid w:val="000827F0"/>
    <w:rsid w:val="00082817"/>
    <w:rsid w:val="00082E70"/>
    <w:rsid w:val="0008421C"/>
    <w:rsid w:val="00084C73"/>
    <w:rsid w:val="00085508"/>
    <w:rsid w:val="00085712"/>
    <w:rsid w:val="000859EC"/>
    <w:rsid w:val="00086481"/>
    <w:rsid w:val="0008677A"/>
    <w:rsid w:val="000871D7"/>
    <w:rsid w:val="00087431"/>
    <w:rsid w:val="00087AFA"/>
    <w:rsid w:val="0009023D"/>
    <w:rsid w:val="00090660"/>
    <w:rsid w:val="0009117A"/>
    <w:rsid w:val="00092868"/>
    <w:rsid w:val="00092F18"/>
    <w:rsid w:val="00093D96"/>
    <w:rsid w:val="00094AA8"/>
    <w:rsid w:val="00096012"/>
    <w:rsid w:val="00096581"/>
    <w:rsid w:val="00096AE5"/>
    <w:rsid w:val="00096BAD"/>
    <w:rsid w:val="00097D84"/>
    <w:rsid w:val="00097FDA"/>
    <w:rsid w:val="000A059A"/>
    <w:rsid w:val="000A08C2"/>
    <w:rsid w:val="000A1D41"/>
    <w:rsid w:val="000A1D9F"/>
    <w:rsid w:val="000A1F81"/>
    <w:rsid w:val="000A2206"/>
    <w:rsid w:val="000A23E6"/>
    <w:rsid w:val="000A2836"/>
    <w:rsid w:val="000A35F5"/>
    <w:rsid w:val="000A453A"/>
    <w:rsid w:val="000A4F38"/>
    <w:rsid w:val="000A5089"/>
    <w:rsid w:val="000A52CD"/>
    <w:rsid w:val="000A675E"/>
    <w:rsid w:val="000A77DF"/>
    <w:rsid w:val="000B0EC7"/>
    <w:rsid w:val="000B11C6"/>
    <w:rsid w:val="000B1A2E"/>
    <w:rsid w:val="000B1EDE"/>
    <w:rsid w:val="000B1FBA"/>
    <w:rsid w:val="000B21A0"/>
    <w:rsid w:val="000B4D28"/>
    <w:rsid w:val="000B57FA"/>
    <w:rsid w:val="000B5A0D"/>
    <w:rsid w:val="000B7070"/>
    <w:rsid w:val="000B7248"/>
    <w:rsid w:val="000C0B92"/>
    <w:rsid w:val="000C0BC3"/>
    <w:rsid w:val="000C11FF"/>
    <w:rsid w:val="000C12F0"/>
    <w:rsid w:val="000C2EB3"/>
    <w:rsid w:val="000C2FAB"/>
    <w:rsid w:val="000C6055"/>
    <w:rsid w:val="000C6592"/>
    <w:rsid w:val="000C6790"/>
    <w:rsid w:val="000C70EF"/>
    <w:rsid w:val="000C71B6"/>
    <w:rsid w:val="000C7CD6"/>
    <w:rsid w:val="000D0A12"/>
    <w:rsid w:val="000D0C22"/>
    <w:rsid w:val="000D110C"/>
    <w:rsid w:val="000D1240"/>
    <w:rsid w:val="000D1C66"/>
    <w:rsid w:val="000D2598"/>
    <w:rsid w:val="000D2D6C"/>
    <w:rsid w:val="000D2EF7"/>
    <w:rsid w:val="000D3AA5"/>
    <w:rsid w:val="000D4A96"/>
    <w:rsid w:val="000D55C3"/>
    <w:rsid w:val="000D5630"/>
    <w:rsid w:val="000D6701"/>
    <w:rsid w:val="000D6F8C"/>
    <w:rsid w:val="000E0402"/>
    <w:rsid w:val="000E0614"/>
    <w:rsid w:val="000E07A9"/>
    <w:rsid w:val="000E0AB2"/>
    <w:rsid w:val="000E15DF"/>
    <w:rsid w:val="000E26BE"/>
    <w:rsid w:val="000E3076"/>
    <w:rsid w:val="000E3926"/>
    <w:rsid w:val="000E3C64"/>
    <w:rsid w:val="000E3EDA"/>
    <w:rsid w:val="000E4644"/>
    <w:rsid w:val="000E4E55"/>
    <w:rsid w:val="000E66C0"/>
    <w:rsid w:val="000E75B5"/>
    <w:rsid w:val="000F0161"/>
    <w:rsid w:val="000F11B6"/>
    <w:rsid w:val="000F17FE"/>
    <w:rsid w:val="000F1B0A"/>
    <w:rsid w:val="000F29A9"/>
    <w:rsid w:val="000F32F8"/>
    <w:rsid w:val="000F3491"/>
    <w:rsid w:val="000F4223"/>
    <w:rsid w:val="000F4D2A"/>
    <w:rsid w:val="000F5608"/>
    <w:rsid w:val="000F5AEB"/>
    <w:rsid w:val="000F60ED"/>
    <w:rsid w:val="000F7B54"/>
    <w:rsid w:val="000F7CBA"/>
    <w:rsid w:val="00100396"/>
    <w:rsid w:val="001004C8"/>
    <w:rsid w:val="0010055A"/>
    <w:rsid w:val="00100C10"/>
    <w:rsid w:val="00100C5F"/>
    <w:rsid w:val="00100C91"/>
    <w:rsid w:val="001016FA"/>
    <w:rsid w:val="00102260"/>
    <w:rsid w:val="00102351"/>
    <w:rsid w:val="00102405"/>
    <w:rsid w:val="00103294"/>
    <w:rsid w:val="00103570"/>
    <w:rsid w:val="0010358E"/>
    <w:rsid w:val="0010392C"/>
    <w:rsid w:val="00104074"/>
    <w:rsid w:val="00104186"/>
    <w:rsid w:val="00105635"/>
    <w:rsid w:val="00110237"/>
    <w:rsid w:val="00110274"/>
    <w:rsid w:val="0011039E"/>
    <w:rsid w:val="00110B18"/>
    <w:rsid w:val="00110B51"/>
    <w:rsid w:val="00110C4F"/>
    <w:rsid w:val="00111671"/>
    <w:rsid w:val="0011192B"/>
    <w:rsid w:val="001124CF"/>
    <w:rsid w:val="0011277E"/>
    <w:rsid w:val="00112DBB"/>
    <w:rsid w:val="0011303D"/>
    <w:rsid w:val="001137DC"/>
    <w:rsid w:val="00113B18"/>
    <w:rsid w:val="0011409A"/>
    <w:rsid w:val="00115601"/>
    <w:rsid w:val="00115634"/>
    <w:rsid w:val="00116BAF"/>
    <w:rsid w:val="00116F74"/>
    <w:rsid w:val="00117B3E"/>
    <w:rsid w:val="00117ED0"/>
    <w:rsid w:val="001201C6"/>
    <w:rsid w:val="0012054A"/>
    <w:rsid w:val="00120E58"/>
    <w:rsid w:val="00121866"/>
    <w:rsid w:val="001220BC"/>
    <w:rsid w:val="001222D7"/>
    <w:rsid w:val="001229E3"/>
    <w:rsid w:val="00123C3B"/>
    <w:rsid w:val="00123E0D"/>
    <w:rsid w:val="001244D2"/>
    <w:rsid w:val="001257AA"/>
    <w:rsid w:val="0012630D"/>
    <w:rsid w:val="001269A2"/>
    <w:rsid w:val="001269D6"/>
    <w:rsid w:val="00126EF7"/>
    <w:rsid w:val="001273CE"/>
    <w:rsid w:val="001276D7"/>
    <w:rsid w:val="001305B0"/>
    <w:rsid w:val="00130A73"/>
    <w:rsid w:val="00130B42"/>
    <w:rsid w:val="00131DF2"/>
    <w:rsid w:val="00131F8D"/>
    <w:rsid w:val="001321E6"/>
    <w:rsid w:val="00132626"/>
    <w:rsid w:val="0013281E"/>
    <w:rsid w:val="00133A1C"/>
    <w:rsid w:val="00134546"/>
    <w:rsid w:val="0013479C"/>
    <w:rsid w:val="00135018"/>
    <w:rsid w:val="001354DD"/>
    <w:rsid w:val="00135C5C"/>
    <w:rsid w:val="00135FA2"/>
    <w:rsid w:val="00137C15"/>
    <w:rsid w:val="00137D67"/>
    <w:rsid w:val="00140679"/>
    <w:rsid w:val="00140B72"/>
    <w:rsid w:val="00140DAE"/>
    <w:rsid w:val="00141194"/>
    <w:rsid w:val="00141486"/>
    <w:rsid w:val="001423C6"/>
    <w:rsid w:val="001432BC"/>
    <w:rsid w:val="0014341E"/>
    <w:rsid w:val="00143642"/>
    <w:rsid w:val="00143A9F"/>
    <w:rsid w:val="00143BFA"/>
    <w:rsid w:val="0014408B"/>
    <w:rsid w:val="00145222"/>
    <w:rsid w:val="00145A6F"/>
    <w:rsid w:val="00145F08"/>
    <w:rsid w:val="0014628B"/>
    <w:rsid w:val="00146F8B"/>
    <w:rsid w:val="00147E7A"/>
    <w:rsid w:val="00151668"/>
    <w:rsid w:val="00151839"/>
    <w:rsid w:val="00153665"/>
    <w:rsid w:val="001566BE"/>
    <w:rsid w:val="0015670C"/>
    <w:rsid w:val="001569D2"/>
    <w:rsid w:val="001618B7"/>
    <w:rsid w:val="001618D4"/>
    <w:rsid w:val="001619EE"/>
    <w:rsid w:val="00162174"/>
    <w:rsid w:val="00162B96"/>
    <w:rsid w:val="00163250"/>
    <w:rsid w:val="001640E9"/>
    <w:rsid w:val="001662FB"/>
    <w:rsid w:val="00167762"/>
    <w:rsid w:val="00167A40"/>
    <w:rsid w:val="00167F18"/>
    <w:rsid w:val="00170070"/>
    <w:rsid w:val="0017032B"/>
    <w:rsid w:val="00170D0E"/>
    <w:rsid w:val="00171DC1"/>
    <w:rsid w:val="00172498"/>
    <w:rsid w:val="00174A2A"/>
    <w:rsid w:val="001751E6"/>
    <w:rsid w:val="00175499"/>
    <w:rsid w:val="001766F3"/>
    <w:rsid w:val="00176A2A"/>
    <w:rsid w:val="001772C5"/>
    <w:rsid w:val="00181A72"/>
    <w:rsid w:val="00181D00"/>
    <w:rsid w:val="00182371"/>
    <w:rsid w:val="00182DB2"/>
    <w:rsid w:val="00182EBA"/>
    <w:rsid w:val="00183D56"/>
    <w:rsid w:val="00183F22"/>
    <w:rsid w:val="001842E1"/>
    <w:rsid w:val="00184806"/>
    <w:rsid w:val="00185885"/>
    <w:rsid w:val="00185A5C"/>
    <w:rsid w:val="0018690A"/>
    <w:rsid w:val="00187335"/>
    <w:rsid w:val="001877FC"/>
    <w:rsid w:val="001902F6"/>
    <w:rsid w:val="00190B50"/>
    <w:rsid w:val="0019263F"/>
    <w:rsid w:val="00192D5B"/>
    <w:rsid w:val="00193202"/>
    <w:rsid w:val="00193DF5"/>
    <w:rsid w:val="001949F9"/>
    <w:rsid w:val="001950D8"/>
    <w:rsid w:val="00195919"/>
    <w:rsid w:val="00197F32"/>
    <w:rsid w:val="001A16B3"/>
    <w:rsid w:val="001A1B03"/>
    <w:rsid w:val="001A1E18"/>
    <w:rsid w:val="001A2DA4"/>
    <w:rsid w:val="001A3033"/>
    <w:rsid w:val="001A3192"/>
    <w:rsid w:val="001A3951"/>
    <w:rsid w:val="001A545E"/>
    <w:rsid w:val="001A57F1"/>
    <w:rsid w:val="001A62D9"/>
    <w:rsid w:val="001A6DE6"/>
    <w:rsid w:val="001A6F67"/>
    <w:rsid w:val="001B02C8"/>
    <w:rsid w:val="001B097A"/>
    <w:rsid w:val="001B0AF3"/>
    <w:rsid w:val="001B11E8"/>
    <w:rsid w:val="001B2E21"/>
    <w:rsid w:val="001B2F83"/>
    <w:rsid w:val="001B3E27"/>
    <w:rsid w:val="001B5BBA"/>
    <w:rsid w:val="001B60C6"/>
    <w:rsid w:val="001B63C8"/>
    <w:rsid w:val="001B7614"/>
    <w:rsid w:val="001C048B"/>
    <w:rsid w:val="001C06BD"/>
    <w:rsid w:val="001C10A6"/>
    <w:rsid w:val="001C306E"/>
    <w:rsid w:val="001C3FF9"/>
    <w:rsid w:val="001C445B"/>
    <w:rsid w:val="001C44DB"/>
    <w:rsid w:val="001C5BA5"/>
    <w:rsid w:val="001D0707"/>
    <w:rsid w:val="001D08A1"/>
    <w:rsid w:val="001D1AFD"/>
    <w:rsid w:val="001D2DE0"/>
    <w:rsid w:val="001D3C92"/>
    <w:rsid w:val="001D3D05"/>
    <w:rsid w:val="001D4042"/>
    <w:rsid w:val="001D4282"/>
    <w:rsid w:val="001D44F7"/>
    <w:rsid w:val="001D455B"/>
    <w:rsid w:val="001D4A9D"/>
    <w:rsid w:val="001D4B28"/>
    <w:rsid w:val="001D4CE3"/>
    <w:rsid w:val="001D4D97"/>
    <w:rsid w:val="001D4E19"/>
    <w:rsid w:val="001D5232"/>
    <w:rsid w:val="001D5A10"/>
    <w:rsid w:val="001D5F0A"/>
    <w:rsid w:val="001D6060"/>
    <w:rsid w:val="001D6334"/>
    <w:rsid w:val="001D672E"/>
    <w:rsid w:val="001D68DB"/>
    <w:rsid w:val="001D6FC1"/>
    <w:rsid w:val="001D749A"/>
    <w:rsid w:val="001D7503"/>
    <w:rsid w:val="001D75BC"/>
    <w:rsid w:val="001E03B0"/>
    <w:rsid w:val="001E09E8"/>
    <w:rsid w:val="001E0DF0"/>
    <w:rsid w:val="001E1080"/>
    <w:rsid w:val="001E12E9"/>
    <w:rsid w:val="001E4948"/>
    <w:rsid w:val="001E5083"/>
    <w:rsid w:val="001E5A35"/>
    <w:rsid w:val="001E703C"/>
    <w:rsid w:val="001E70B7"/>
    <w:rsid w:val="001F1A0F"/>
    <w:rsid w:val="001F306A"/>
    <w:rsid w:val="001F3E83"/>
    <w:rsid w:val="001F48E8"/>
    <w:rsid w:val="001F6234"/>
    <w:rsid w:val="001F7EE1"/>
    <w:rsid w:val="00200944"/>
    <w:rsid w:val="002012B2"/>
    <w:rsid w:val="00201892"/>
    <w:rsid w:val="00201D47"/>
    <w:rsid w:val="00201DE8"/>
    <w:rsid w:val="00202B68"/>
    <w:rsid w:val="00203F49"/>
    <w:rsid w:val="00204B0F"/>
    <w:rsid w:val="0020535F"/>
    <w:rsid w:val="0020584A"/>
    <w:rsid w:val="00206218"/>
    <w:rsid w:val="00206249"/>
    <w:rsid w:val="00206DA5"/>
    <w:rsid w:val="002072D7"/>
    <w:rsid w:val="002078AD"/>
    <w:rsid w:val="00207E5D"/>
    <w:rsid w:val="002103DF"/>
    <w:rsid w:val="00211391"/>
    <w:rsid w:val="00211DF2"/>
    <w:rsid w:val="00212562"/>
    <w:rsid w:val="002137DA"/>
    <w:rsid w:val="00213CB0"/>
    <w:rsid w:val="00214D4D"/>
    <w:rsid w:val="00214F8C"/>
    <w:rsid w:val="0021555D"/>
    <w:rsid w:val="002156E5"/>
    <w:rsid w:val="002160BC"/>
    <w:rsid w:val="00216FE5"/>
    <w:rsid w:val="0021777B"/>
    <w:rsid w:val="00217FDE"/>
    <w:rsid w:val="002207C0"/>
    <w:rsid w:val="002212D4"/>
    <w:rsid w:val="002215CC"/>
    <w:rsid w:val="00221771"/>
    <w:rsid w:val="00221A14"/>
    <w:rsid w:val="002238F1"/>
    <w:rsid w:val="0022406B"/>
    <w:rsid w:val="002240BF"/>
    <w:rsid w:val="00225478"/>
    <w:rsid w:val="002258A3"/>
    <w:rsid w:val="0022674E"/>
    <w:rsid w:val="00226EED"/>
    <w:rsid w:val="00227004"/>
    <w:rsid w:val="0022724F"/>
    <w:rsid w:val="00230610"/>
    <w:rsid w:val="00232130"/>
    <w:rsid w:val="00232764"/>
    <w:rsid w:val="0023425B"/>
    <w:rsid w:val="0023454A"/>
    <w:rsid w:val="002353F3"/>
    <w:rsid w:val="00236E8C"/>
    <w:rsid w:val="00237742"/>
    <w:rsid w:val="002402BC"/>
    <w:rsid w:val="002406D0"/>
    <w:rsid w:val="00240930"/>
    <w:rsid w:val="00240A6C"/>
    <w:rsid w:val="0024160D"/>
    <w:rsid w:val="0024264F"/>
    <w:rsid w:val="00242C36"/>
    <w:rsid w:val="00243241"/>
    <w:rsid w:val="00244AAB"/>
    <w:rsid w:val="00244B94"/>
    <w:rsid w:val="00246FD1"/>
    <w:rsid w:val="00247B09"/>
    <w:rsid w:val="00247D33"/>
    <w:rsid w:val="002502C6"/>
    <w:rsid w:val="002510C5"/>
    <w:rsid w:val="00251BF9"/>
    <w:rsid w:val="00251C41"/>
    <w:rsid w:val="00253F1A"/>
    <w:rsid w:val="00255A75"/>
    <w:rsid w:val="00255B68"/>
    <w:rsid w:val="002567B0"/>
    <w:rsid w:val="00260CDC"/>
    <w:rsid w:val="002615D2"/>
    <w:rsid w:val="0026237F"/>
    <w:rsid w:val="002636AD"/>
    <w:rsid w:val="0026393C"/>
    <w:rsid w:val="00264221"/>
    <w:rsid w:val="00264BA6"/>
    <w:rsid w:val="00264E2F"/>
    <w:rsid w:val="002662A0"/>
    <w:rsid w:val="002663AC"/>
    <w:rsid w:val="0026641C"/>
    <w:rsid w:val="00266D56"/>
    <w:rsid w:val="002677E7"/>
    <w:rsid w:val="00267E94"/>
    <w:rsid w:val="00270458"/>
    <w:rsid w:val="00270AC0"/>
    <w:rsid w:val="00270E32"/>
    <w:rsid w:val="00271F5A"/>
    <w:rsid w:val="00272CF9"/>
    <w:rsid w:val="00273955"/>
    <w:rsid w:val="00274665"/>
    <w:rsid w:val="00276C62"/>
    <w:rsid w:val="0028078D"/>
    <w:rsid w:val="00280A96"/>
    <w:rsid w:val="00281083"/>
    <w:rsid w:val="002810E1"/>
    <w:rsid w:val="002812D8"/>
    <w:rsid w:val="00281CB9"/>
    <w:rsid w:val="00282263"/>
    <w:rsid w:val="00282D23"/>
    <w:rsid w:val="002839FD"/>
    <w:rsid w:val="00283CB9"/>
    <w:rsid w:val="00283D09"/>
    <w:rsid w:val="00285C6A"/>
    <w:rsid w:val="00286995"/>
    <w:rsid w:val="00287025"/>
    <w:rsid w:val="00291118"/>
    <w:rsid w:val="00291E92"/>
    <w:rsid w:val="0029242F"/>
    <w:rsid w:val="0029356F"/>
    <w:rsid w:val="00294418"/>
    <w:rsid w:val="00294495"/>
    <w:rsid w:val="00295EF9"/>
    <w:rsid w:val="002965F6"/>
    <w:rsid w:val="00296AA4"/>
    <w:rsid w:val="00296B11"/>
    <w:rsid w:val="002A00FF"/>
    <w:rsid w:val="002A0255"/>
    <w:rsid w:val="002A1A48"/>
    <w:rsid w:val="002A2154"/>
    <w:rsid w:val="002A4593"/>
    <w:rsid w:val="002A47F1"/>
    <w:rsid w:val="002A59E5"/>
    <w:rsid w:val="002A6841"/>
    <w:rsid w:val="002A6A19"/>
    <w:rsid w:val="002A77D8"/>
    <w:rsid w:val="002A7D53"/>
    <w:rsid w:val="002B0A85"/>
    <w:rsid w:val="002B0E96"/>
    <w:rsid w:val="002B1046"/>
    <w:rsid w:val="002B1B55"/>
    <w:rsid w:val="002B1DF2"/>
    <w:rsid w:val="002B37C8"/>
    <w:rsid w:val="002B3819"/>
    <w:rsid w:val="002B3B74"/>
    <w:rsid w:val="002B3F4D"/>
    <w:rsid w:val="002B4810"/>
    <w:rsid w:val="002B5597"/>
    <w:rsid w:val="002B5AAE"/>
    <w:rsid w:val="002B5EA4"/>
    <w:rsid w:val="002B60AA"/>
    <w:rsid w:val="002B638E"/>
    <w:rsid w:val="002B6AD7"/>
    <w:rsid w:val="002B6F08"/>
    <w:rsid w:val="002C0464"/>
    <w:rsid w:val="002C051F"/>
    <w:rsid w:val="002C16C3"/>
    <w:rsid w:val="002C1CB2"/>
    <w:rsid w:val="002C2110"/>
    <w:rsid w:val="002C2D22"/>
    <w:rsid w:val="002C30BA"/>
    <w:rsid w:val="002C3563"/>
    <w:rsid w:val="002C4017"/>
    <w:rsid w:val="002C5018"/>
    <w:rsid w:val="002C5C4D"/>
    <w:rsid w:val="002C6527"/>
    <w:rsid w:val="002C68C5"/>
    <w:rsid w:val="002C6F65"/>
    <w:rsid w:val="002C6FDF"/>
    <w:rsid w:val="002C767E"/>
    <w:rsid w:val="002C7D65"/>
    <w:rsid w:val="002D0C25"/>
    <w:rsid w:val="002D10C7"/>
    <w:rsid w:val="002D1203"/>
    <w:rsid w:val="002D1F69"/>
    <w:rsid w:val="002D214C"/>
    <w:rsid w:val="002D226A"/>
    <w:rsid w:val="002D24F6"/>
    <w:rsid w:val="002D2758"/>
    <w:rsid w:val="002D32E8"/>
    <w:rsid w:val="002D3441"/>
    <w:rsid w:val="002D45BA"/>
    <w:rsid w:val="002D5B98"/>
    <w:rsid w:val="002D66FA"/>
    <w:rsid w:val="002D6FB4"/>
    <w:rsid w:val="002D7933"/>
    <w:rsid w:val="002E107C"/>
    <w:rsid w:val="002E1C8A"/>
    <w:rsid w:val="002E2076"/>
    <w:rsid w:val="002E2DFF"/>
    <w:rsid w:val="002E3409"/>
    <w:rsid w:val="002E4377"/>
    <w:rsid w:val="002E4D58"/>
    <w:rsid w:val="002E51FD"/>
    <w:rsid w:val="002E51FE"/>
    <w:rsid w:val="002E55CF"/>
    <w:rsid w:val="002E5842"/>
    <w:rsid w:val="002E600A"/>
    <w:rsid w:val="002E669B"/>
    <w:rsid w:val="002E6935"/>
    <w:rsid w:val="002E71FC"/>
    <w:rsid w:val="002E76AF"/>
    <w:rsid w:val="002F0E02"/>
    <w:rsid w:val="002F0E17"/>
    <w:rsid w:val="002F0FCC"/>
    <w:rsid w:val="002F1CB8"/>
    <w:rsid w:val="002F1D57"/>
    <w:rsid w:val="002F28FD"/>
    <w:rsid w:val="002F42C2"/>
    <w:rsid w:val="002F4305"/>
    <w:rsid w:val="002F43F6"/>
    <w:rsid w:val="002F5846"/>
    <w:rsid w:val="002F6362"/>
    <w:rsid w:val="002F6439"/>
    <w:rsid w:val="002F6CEC"/>
    <w:rsid w:val="002F6D15"/>
    <w:rsid w:val="002F7682"/>
    <w:rsid w:val="00300AEB"/>
    <w:rsid w:val="00302F30"/>
    <w:rsid w:val="003044BB"/>
    <w:rsid w:val="0030450D"/>
    <w:rsid w:val="0030501D"/>
    <w:rsid w:val="00305CEA"/>
    <w:rsid w:val="0030698B"/>
    <w:rsid w:val="00306E91"/>
    <w:rsid w:val="00307160"/>
    <w:rsid w:val="0030733F"/>
    <w:rsid w:val="00307C38"/>
    <w:rsid w:val="00310071"/>
    <w:rsid w:val="0031182A"/>
    <w:rsid w:val="00312D6F"/>
    <w:rsid w:val="00312F58"/>
    <w:rsid w:val="0031309C"/>
    <w:rsid w:val="003135A8"/>
    <w:rsid w:val="003141C7"/>
    <w:rsid w:val="0031463D"/>
    <w:rsid w:val="0031493C"/>
    <w:rsid w:val="00314BAB"/>
    <w:rsid w:val="00314C76"/>
    <w:rsid w:val="00316310"/>
    <w:rsid w:val="0032025F"/>
    <w:rsid w:val="00320CB3"/>
    <w:rsid w:val="00320F01"/>
    <w:rsid w:val="00322F3B"/>
    <w:rsid w:val="003240EA"/>
    <w:rsid w:val="00325D55"/>
    <w:rsid w:val="00325D76"/>
    <w:rsid w:val="00325F43"/>
    <w:rsid w:val="0032619B"/>
    <w:rsid w:val="0033037E"/>
    <w:rsid w:val="003307E5"/>
    <w:rsid w:val="003311F0"/>
    <w:rsid w:val="003315C0"/>
    <w:rsid w:val="003321FE"/>
    <w:rsid w:val="00332E3F"/>
    <w:rsid w:val="00332FF4"/>
    <w:rsid w:val="003336A4"/>
    <w:rsid w:val="00333AC3"/>
    <w:rsid w:val="003351B8"/>
    <w:rsid w:val="00335508"/>
    <w:rsid w:val="003358EB"/>
    <w:rsid w:val="00336168"/>
    <w:rsid w:val="00336A1D"/>
    <w:rsid w:val="00337591"/>
    <w:rsid w:val="0033784B"/>
    <w:rsid w:val="00337AAE"/>
    <w:rsid w:val="003425B6"/>
    <w:rsid w:val="00343BA7"/>
    <w:rsid w:val="00343E67"/>
    <w:rsid w:val="003450BC"/>
    <w:rsid w:val="0034514F"/>
    <w:rsid w:val="00345300"/>
    <w:rsid w:val="003456F9"/>
    <w:rsid w:val="00345A38"/>
    <w:rsid w:val="003468E9"/>
    <w:rsid w:val="003469D6"/>
    <w:rsid w:val="00346B30"/>
    <w:rsid w:val="0034711A"/>
    <w:rsid w:val="0035081A"/>
    <w:rsid w:val="00350A8D"/>
    <w:rsid w:val="00351584"/>
    <w:rsid w:val="003517FF"/>
    <w:rsid w:val="00353776"/>
    <w:rsid w:val="003543F5"/>
    <w:rsid w:val="00355703"/>
    <w:rsid w:val="003559B7"/>
    <w:rsid w:val="00356032"/>
    <w:rsid w:val="003566E2"/>
    <w:rsid w:val="00357CE7"/>
    <w:rsid w:val="00360C00"/>
    <w:rsid w:val="003617FD"/>
    <w:rsid w:val="0036307D"/>
    <w:rsid w:val="00364CDC"/>
    <w:rsid w:val="00365860"/>
    <w:rsid w:val="00365E36"/>
    <w:rsid w:val="00366372"/>
    <w:rsid w:val="003722A7"/>
    <w:rsid w:val="00372BE6"/>
    <w:rsid w:val="003731E7"/>
    <w:rsid w:val="00373599"/>
    <w:rsid w:val="0037361A"/>
    <w:rsid w:val="003746E6"/>
    <w:rsid w:val="00374D95"/>
    <w:rsid w:val="00375269"/>
    <w:rsid w:val="00375D0D"/>
    <w:rsid w:val="003772BB"/>
    <w:rsid w:val="00377A83"/>
    <w:rsid w:val="00377CE8"/>
    <w:rsid w:val="0038003B"/>
    <w:rsid w:val="00381032"/>
    <w:rsid w:val="00381DF2"/>
    <w:rsid w:val="00383F3E"/>
    <w:rsid w:val="003841F1"/>
    <w:rsid w:val="00384713"/>
    <w:rsid w:val="00384DE0"/>
    <w:rsid w:val="00384E20"/>
    <w:rsid w:val="0038504D"/>
    <w:rsid w:val="00385438"/>
    <w:rsid w:val="00385735"/>
    <w:rsid w:val="00385E91"/>
    <w:rsid w:val="0038649F"/>
    <w:rsid w:val="00387A36"/>
    <w:rsid w:val="00391833"/>
    <w:rsid w:val="00392B8A"/>
    <w:rsid w:val="00393248"/>
    <w:rsid w:val="00393E04"/>
    <w:rsid w:val="00394ACC"/>
    <w:rsid w:val="00394DE7"/>
    <w:rsid w:val="00394E03"/>
    <w:rsid w:val="00395AC5"/>
    <w:rsid w:val="0039660A"/>
    <w:rsid w:val="0039669C"/>
    <w:rsid w:val="003A0BC6"/>
    <w:rsid w:val="003A0DB5"/>
    <w:rsid w:val="003A1AF8"/>
    <w:rsid w:val="003A1DB8"/>
    <w:rsid w:val="003A3CF3"/>
    <w:rsid w:val="003A4A78"/>
    <w:rsid w:val="003A4AEA"/>
    <w:rsid w:val="003A5008"/>
    <w:rsid w:val="003A55F7"/>
    <w:rsid w:val="003A5CB0"/>
    <w:rsid w:val="003A6540"/>
    <w:rsid w:val="003A6BEF"/>
    <w:rsid w:val="003A6C2D"/>
    <w:rsid w:val="003A741F"/>
    <w:rsid w:val="003A7636"/>
    <w:rsid w:val="003B19EF"/>
    <w:rsid w:val="003B1B88"/>
    <w:rsid w:val="003B1DBD"/>
    <w:rsid w:val="003B2A63"/>
    <w:rsid w:val="003B4995"/>
    <w:rsid w:val="003B4E70"/>
    <w:rsid w:val="003B55C8"/>
    <w:rsid w:val="003B642F"/>
    <w:rsid w:val="003B69FE"/>
    <w:rsid w:val="003B6A48"/>
    <w:rsid w:val="003C327D"/>
    <w:rsid w:val="003C32C7"/>
    <w:rsid w:val="003C43C2"/>
    <w:rsid w:val="003C4421"/>
    <w:rsid w:val="003C45BE"/>
    <w:rsid w:val="003C5335"/>
    <w:rsid w:val="003C6F96"/>
    <w:rsid w:val="003C6FB3"/>
    <w:rsid w:val="003C6FFA"/>
    <w:rsid w:val="003D0163"/>
    <w:rsid w:val="003D059D"/>
    <w:rsid w:val="003D08E5"/>
    <w:rsid w:val="003D16A6"/>
    <w:rsid w:val="003D17C3"/>
    <w:rsid w:val="003D35EA"/>
    <w:rsid w:val="003D519C"/>
    <w:rsid w:val="003D547A"/>
    <w:rsid w:val="003D6CA2"/>
    <w:rsid w:val="003D7151"/>
    <w:rsid w:val="003D7FB4"/>
    <w:rsid w:val="003E0382"/>
    <w:rsid w:val="003E1466"/>
    <w:rsid w:val="003E15F1"/>
    <w:rsid w:val="003E17DC"/>
    <w:rsid w:val="003E2DFF"/>
    <w:rsid w:val="003E3266"/>
    <w:rsid w:val="003E3E24"/>
    <w:rsid w:val="003E3F4C"/>
    <w:rsid w:val="003E5143"/>
    <w:rsid w:val="003E5A4C"/>
    <w:rsid w:val="003E5B5F"/>
    <w:rsid w:val="003E63D3"/>
    <w:rsid w:val="003E7A0E"/>
    <w:rsid w:val="003F02D0"/>
    <w:rsid w:val="003F03F6"/>
    <w:rsid w:val="003F046E"/>
    <w:rsid w:val="003F1746"/>
    <w:rsid w:val="003F1ED0"/>
    <w:rsid w:val="003F28BC"/>
    <w:rsid w:val="003F32B9"/>
    <w:rsid w:val="003F6369"/>
    <w:rsid w:val="003F6B0C"/>
    <w:rsid w:val="003F726F"/>
    <w:rsid w:val="003F7B52"/>
    <w:rsid w:val="00400742"/>
    <w:rsid w:val="00401BE8"/>
    <w:rsid w:val="00401CF4"/>
    <w:rsid w:val="00401F80"/>
    <w:rsid w:val="0040352C"/>
    <w:rsid w:val="00403EA9"/>
    <w:rsid w:val="00404268"/>
    <w:rsid w:val="004043DE"/>
    <w:rsid w:val="004044CF"/>
    <w:rsid w:val="004049C6"/>
    <w:rsid w:val="0040641C"/>
    <w:rsid w:val="0040671E"/>
    <w:rsid w:val="0040798B"/>
    <w:rsid w:val="0041045E"/>
    <w:rsid w:val="00410CD8"/>
    <w:rsid w:val="00410D87"/>
    <w:rsid w:val="00411DCB"/>
    <w:rsid w:val="00411EF9"/>
    <w:rsid w:val="004122CC"/>
    <w:rsid w:val="00412F0C"/>
    <w:rsid w:val="0041396D"/>
    <w:rsid w:val="00413BBB"/>
    <w:rsid w:val="00413F83"/>
    <w:rsid w:val="00414329"/>
    <w:rsid w:val="004145C5"/>
    <w:rsid w:val="00415D66"/>
    <w:rsid w:val="00416BCE"/>
    <w:rsid w:val="0041718F"/>
    <w:rsid w:val="00420764"/>
    <w:rsid w:val="004208A4"/>
    <w:rsid w:val="004208A5"/>
    <w:rsid w:val="00420D70"/>
    <w:rsid w:val="004228AC"/>
    <w:rsid w:val="004228F6"/>
    <w:rsid w:val="00422970"/>
    <w:rsid w:val="00423CE7"/>
    <w:rsid w:val="00425ECD"/>
    <w:rsid w:val="00427DA2"/>
    <w:rsid w:val="00430F6B"/>
    <w:rsid w:val="004313BE"/>
    <w:rsid w:val="004318DE"/>
    <w:rsid w:val="00431E97"/>
    <w:rsid w:val="00432296"/>
    <w:rsid w:val="00432E27"/>
    <w:rsid w:val="00434F84"/>
    <w:rsid w:val="00437A54"/>
    <w:rsid w:val="00440032"/>
    <w:rsid w:val="004405C8"/>
    <w:rsid w:val="00441080"/>
    <w:rsid w:val="0044119F"/>
    <w:rsid w:val="004411D1"/>
    <w:rsid w:val="00442CB1"/>
    <w:rsid w:val="00443213"/>
    <w:rsid w:val="0044421F"/>
    <w:rsid w:val="00444234"/>
    <w:rsid w:val="00444C5A"/>
    <w:rsid w:val="00444DD1"/>
    <w:rsid w:val="00447354"/>
    <w:rsid w:val="0044745E"/>
    <w:rsid w:val="00447757"/>
    <w:rsid w:val="00450DA6"/>
    <w:rsid w:val="00451022"/>
    <w:rsid w:val="004525D5"/>
    <w:rsid w:val="00452F7B"/>
    <w:rsid w:val="0045345E"/>
    <w:rsid w:val="00453BE4"/>
    <w:rsid w:val="00453E7B"/>
    <w:rsid w:val="00454555"/>
    <w:rsid w:val="0045490E"/>
    <w:rsid w:val="00454F32"/>
    <w:rsid w:val="004565FD"/>
    <w:rsid w:val="00456C0B"/>
    <w:rsid w:val="00457294"/>
    <w:rsid w:val="00460586"/>
    <w:rsid w:val="00460A96"/>
    <w:rsid w:val="00461F9D"/>
    <w:rsid w:val="00462E9B"/>
    <w:rsid w:val="00464AA3"/>
    <w:rsid w:val="00467B5B"/>
    <w:rsid w:val="00467B9F"/>
    <w:rsid w:val="004709CF"/>
    <w:rsid w:val="00470B99"/>
    <w:rsid w:val="00471C19"/>
    <w:rsid w:val="0047228D"/>
    <w:rsid w:val="00473483"/>
    <w:rsid w:val="00474BE7"/>
    <w:rsid w:val="00475465"/>
    <w:rsid w:val="004756A6"/>
    <w:rsid w:val="00475CEF"/>
    <w:rsid w:val="00475D6D"/>
    <w:rsid w:val="004804B2"/>
    <w:rsid w:val="00480DAB"/>
    <w:rsid w:val="00481BE0"/>
    <w:rsid w:val="0048208B"/>
    <w:rsid w:val="00482377"/>
    <w:rsid w:val="004850E3"/>
    <w:rsid w:val="004867D8"/>
    <w:rsid w:val="0048741E"/>
    <w:rsid w:val="00487588"/>
    <w:rsid w:val="00487964"/>
    <w:rsid w:val="00487C1A"/>
    <w:rsid w:val="00487DFF"/>
    <w:rsid w:val="0049085A"/>
    <w:rsid w:val="00490D0D"/>
    <w:rsid w:val="004913DC"/>
    <w:rsid w:val="00491DF0"/>
    <w:rsid w:val="00491FA4"/>
    <w:rsid w:val="00493F9A"/>
    <w:rsid w:val="00496274"/>
    <w:rsid w:val="0049694E"/>
    <w:rsid w:val="00496A96"/>
    <w:rsid w:val="00497803"/>
    <w:rsid w:val="00497940"/>
    <w:rsid w:val="004A2B58"/>
    <w:rsid w:val="004A3320"/>
    <w:rsid w:val="004A4679"/>
    <w:rsid w:val="004A48B5"/>
    <w:rsid w:val="004A48B6"/>
    <w:rsid w:val="004A4A27"/>
    <w:rsid w:val="004A54EA"/>
    <w:rsid w:val="004A58DC"/>
    <w:rsid w:val="004A592E"/>
    <w:rsid w:val="004A60B3"/>
    <w:rsid w:val="004A61AF"/>
    <w:rsid w:val="004A674F"/>
    <w:rsid w:val="004A6E7F"/>
    <w:rsid w:val="004B0C43"/>
    <w:rsid w:val="004B0D49"/>
    <w:rsid w:val="004B1AE0"/>
    <w:rsid w:val="004B22FA"/>
    <w:rsid w:val="004B2C64"/>
    <w:rsid w:val="004B301D"/>
    <w:rsid w:val="004B3623"/>
    <w:rsid w:val="004B4716"/>
    <w:rsid w:val="004B540E"/>
    <w:rsid w:val="004B69B7"/>
    <w:rsid w:val="004B6E35"/>
    <w:rsid w:val="004B73AB"/>
    <w:rsid w:val="004C14DA"/>
    <w:rsid w:val="004C1E71"/>
    <w:rsid w:val="004C2098"/>
    <w:rsid w:val="004C22C4"/>
    <w:rsid w:val="004C2884"/>
    <w:rsid w:val="004C38FB"/>
    <w:rsid w:val="004C3B69"/>
    <w:rsid w:val="004C48C5"/>
    <w:rsid w:val="004C55AA"/>
    <w:rsid w:val="004C5D85"/>
    <w:rsid w:val="004C5F29"/>
    <w:rsid w:val="004C6833"/>
    <w:rsid w:val="004C68A0"/>
    <w:rsid w:val="004C6ABB"/>
    <w:rsid w:val="004C7909"/>
    <w:rsid w:val="004D0355"/>
    <w:rsid w:val="004D0EA2"/>
    <w:rsid w:val="004D1575"/>
    <w:rsid w:val="004D17C8"/>
    <w:rsid w:val="004D1A38"/>
    <w:rsid w:val="004D20C3"/>
    <w:rsid w:val="004D3628"/>
    <w:rsid w:val="004D4CD4"/>
    <w:rsid w:val="004D5247"/>
    <w:rsid w:val="004D56DA"/>
    <w:rsid w:val="004D5ACD"/>
    <w:rsid w:val="004D5FE9"/>
    <w:rsid w:val="004E017C"/>
    <w:rsid w:val="004E06D3"/>
    <w:rsid w:val="004E19CB"/>
    <w:rsid w:val="004E1FA1"/>
    <w:rsid w:val="004E1FCA"/>
    <w:rsid w:val="004E366D"/>
    <w:rsid w:val="004E366E"/>
    <w:rsid w:val="004E4057"/>
    <w:rsid w:val="004E5005"/>
    <w:rsid w:val="004E5209"/>
    <w:rsid w:val="004E6C92"/>
    <w:rsid w:val="004F0E91"/>
    <w:rsid w:val="004F140F"/>
    <w:rsid w:val="004F1B47"/>
    <w:rsid w:val="004F22EA"/>
    <w:rsid w:val="004F2392"/>
    <w:rsid w:val="004F37B0"/>
    <w:rsid w:val="004F4533"/>
    <w:rsid w:val="004F5439"/>
    <w:rsid w:val="004F5BD8"/>
    <w:rsid w:val="004F63CB"/>
    <w:rsid w:val="004F698E"/>
    <w:rsid w:val="004F6DE6"/>
    <w:rsid w:val="004F7125"/>
    <w:rsid w:val="004F7D34"/>
    <w:rsid w:val="0050056F"/>
    <w:rsid w:val="00501F06"/>
    <w:rsid w:val="00502078"/>
    <w:rsid w:val="00503723"/>
    <w:rsid w:val="00503F22"/>
    <w:rsid w:val="00504676"/>
    <w:rsid w:val="00504A6A"/>
    <w:rsid w:val="00504CA4"/>
    <w:rsid w:val="0050573D"/>
    <w:rsid w:val="00505B2E"/>
    <w:rsid w:val="00507515"/>
    <w:rsid w:val="005101E4"/>
    <w:rsid w:val="005105A4"/>
    <w:rsid w:val="00510E31"/>
    <w:rsid w:val="005119D4"/>
    <w:rsid w:val="00511A91"/>
    <w:rsid w:val="005125F9"/>
    <w:rsid w:val="00514C74"/>
    <w:rsid w:val="00515EE8"/>
    <w:rsid w:val="005171A0"/>
    <w:rsid w:val="00517716"/>
    <w:rsid w:val="0051799A"/>
    <w:rsid w:val="00520C68"/>
    <w:rsid w:val="00521155"/>
    <w:rsid w:val="005214D8"/>
    <w:rsid w:val="005216E0"/>
    <w:rsid w:val="00522680"/>
    <w:rsid w:val="00523A55"/>
    <w:rsid w:val="00525A45"/>
    <w:rsid w:val="0052655C"/>
    <w:rsid w:val="00530433"/>
    <w:rsid w:val="00530884"/>
    <w:rsid w:val="00530A66"/>
    <w:rsid w:val="00531FA2"/>
    <w:rsid w:val="00532A5E"/>
    <w:rsid w:val="00532A90"/>
    <w:rsid w:val="00532FBB"/>
    <w:rsid w:val="00535876"/>
    <w:rsid w:val="00535A0A"/>
    <w:rsid w:val="00536317"/>
    <w:rsid w:val="005364F2"/>
    <w:rsid w:val="0053734E"/>
    <w:rsid w:val="00537C73"/>
    <w:rsid w:val="00537DD0"/>
    <w:rsid w:val="00540977"/>
    <w:rsid w:val="00542117"/>
    <w:rsid w:val="00542D44"/>
    <w:rsid w:val="00542E7F"/>
    <w:rsid w:val="00544072"/>
    <w:rsid w:val="005444CD"/>
    <w:rsid w:val="005457A7"/>
    <w:rsid w:val="005457E1"/>
    <w:rsid w:val="005465B5"/>
    <w:rsid w:val="0054740C"/>
    <w:rsid w:val="005500D5"/>
    <w:rsid w:val="00550965"/>
    <w:rsid w:val="00554131"/>
    <w:rsid w:val="00554254"/>
    <w:rsid w:val="005542E8"/>
    <w:rsid w:val="00555C5A"/>
    <w:rsid w:val="00557681"/>
    <w:rsid w:val="00557C93"/>
    <w:rsid w:val="005602C2"/>
    <w:rsid w:val="0056037D"/>
    <w:rsid w:val="00560555"/>
    <w:rsid w:val="00562E55"/>
    <w:rsid w:val="0056563B"/>
    <w:rsid w:val="00565BE1"/>
    <w:rsid w:val="00566A90"/>
    <w:rsid w:val="0056702C"/>
    <w:rsid w:val="0057082E"/>
    <w:rsid w:val="00570A36"/>
    <w:rsid w:val="00571827"/>
    <w:rsid w:val="00571F3B"/>
    <w:rsid w:val="0057203C"/>
    <w:rsid w:val="0057268D"/>
    <w:rsid w:val="0057339F"/>
    <w:rsid w:val="00573E45"/>
    <w:rsid w:val="00574A51"/>
    <w:rsid w:val="00575067"/>
    <w:rsid w:val="005752AA"/>
    <w:rsid w:val="005754D4"/>
    <w:rsid w:val="00575BC4"/>
    <w:rsid w:val="00575EF1"/>
    <w:rsid w:val="0057671C"/>
    <w:rsid w:val="00576B9D"/>
    <w:rsid w:val="00576E1F"/>
    <w:rsid w:val="0057732C"/>
    <w:rsid w:val="0058004F"/>
    <w:rsid w:val="005803AE"/>
    <w:rsid w:val="00582907"/>
    <w:rsid w:val="00583768"/>
    <w:rsid w:val="00583885"/>
    <w:rsid w:val="005841B6"/>
    <w:rsid w:val="00584AE9"/>
    <w:rsid w:val="00585DA9"/>
    <w:rsid w:val="00586EE9"/>
    <w:rsid w:val="00587156"/>
    <w:rsid w:val="00590EA8"/>
    <w:rsid w:val="005911BA"/>
    <w:rsid w:val="00592662"/>
    <w:rsid w:val="00592EF8"/>
    <w:rsid w:val="005953D1"/>
    <w:rsid w:val="005957A6"/>
    <w:rsid w:val="00595D5B"/>
    <w:rsid w:val="005966E8"/>
    <w:rsid w:val="00597127"/>
    <w:rsid w:val="005A04F5"/>
    <w:rsid w:val="005A0672"/>
    <w:rsid w:val="005A11DF"/>
    <w:rsid w:val="005A2607"/>
    <w:rsid w:val="005A2BB3"/>
    <w:rsid w:val="005A4228"/>
    <w:rsid w:val="005A447C"/>
    <w:rsid w:val="005A4649"/>
    <w:rsid w:val="005A480F"/>
    <w:rsid w:val="005A4A84"/>
    <w:rsid w:val="005A5ED2"/>
    <w:rsid w:val="005A792A"/>
    <w:rsid w:val="005A7AAE"/>
    <w:rsid w:val="005A7B94"/>
    <w:rsid w:val="005B0D06"/>
    <w:rsid w:val="005B149E"/>
    <w:rsid w:val="005B1D49"/>
    <w:rsid w:val="005B2649"/>
    <w:rsid w:val="005B3BCE"/>
    <w:rsid w:val="005B485B"/>
    <w:rsid w:val="005B4D42"/>
    <w:rsid w:val="005B5118"/>
    <w:rsid w:val="005B5EDF"/>
    <w:rsid w:val="005B61DE"/>
    <w:rsid w:val="005B6756"/>
    <w:rsid w:val="005B7250"/>
    <w:rsid w:val="005B740E"/>
    <w:rsid w:val="005C0244"/>
    <w:rsid w:val="005C14FC"/>
    <w:rsid w:val="005C21A8"/>
    <w:rsid w:val="005C2F37"/>
    <w:rsid w:val="005C3120"/>
    <w:rsid w:val="005C31F9"/>
    <w:rsid w:val="005C3819"/>
    <w:rsid w:val="005C478D"/>
    <w:rsid w:val="005C5773"/>
    <w:rsid w:val="005C6667"/>
    <w:rsid w:val="005C6F06"/>
    <w:rsid w:val="005C7652"/>
    <w:rsid w:val="005C78B5"/>
    <w:rsid w:val="005D1839"/>
    <w:rsid w:val="005D2332"/>
    <w:rsid w:val="005D4DC2"/>
    <w:rsid w:val="005D5790"/>
    <w:rsid w:val="005D5D73"/>
    <w:rsid w:val="005D6211"/>
    <w:rsid w:val="005D6569"/>
    <w:rsid w:val="005D6F5C"/>
    <w:rsid w:val="005D7462"/>
    <w:rsid w:val="005E1491"/>
    <w:rsid w:val="005E15F4"/>
    <w:rsid w:val="005E18AA"/>
    <w:rsid w:val="005E2630"/>
    <w:rsid w:val="005E3816"/>
    <w:rsid w:val="005E4B08"/>
    <w:rsid w:val="005E4C33"/>
    <w:rsid w:val="005E5539"/>
    <w:rsid w:val="005F1004"/>
    <w:rsid w:val="005F25D1"/>
    <w:rsid w:val="005F481B"/>
    <w:rsid w:val="005F53EC"/>
    <w:rsid w:val="005F586A"/>
    <w:rsid w:val="005F5B86"/>
    <w:rsid w:val="005F5CA4"/>
    <w:rsid w:val="005F67F8"/>
    <w:rsid w:val="005F73CD"/>
    <w:rsid w:val="005F7FF4"/>
    <w:rsid w:val="006000AA"/>
    <w:rsid w:val="00600A68"/>
    <w:rsid w:val="00601112"/>
    <w:rsid w:val="006011D9"/>
    <w:rsid w:val="00601995"/>
    <w:rsid w:val="0060199A"/>
    <w:rsid w:val="00601FFA"/>
    <w:rsid w:val="00602629"/>
    <w:rsid w:val="0060266F"/>
    <w:rsid w:val="00602AD5"/>
    <w:rsid w:val="00603371"/>
    <w:rsid w:val="006047C8"/>
    <w:rsid w:val="00604D7F"/>
    <w:rsid w:val="00604FD5"/>
    <w:rsid w:val="0060538F"/>
    <w:rsid w:val="00605CDD"/>
    <w:rsid w:val="00606E0A"/>
    <w:rsid w:val="006076EC"/>
    <w:rsid w:val="006102BA"/>
    <w:rsid w:val="00611B10"/>
    <w:rsid w:val="00612BD0"/>
    <w:rsid w:val="00613A3B"/>
    <w:rsid w:val="00613BA2"/>
    <w:rsid w:val="00614E4B"/>
    <w:rsid w:val="006150A9"/>
    <w:rsid w:val="0061514C"/>
    <w:rsid w:val="006154DD"/>
    <w:rsid w:val="00615B1A"/>
    <w:rsid w:val="00620080"/>
    <w:rsid w:val="006204CF"/>
    <w:rsid w:val="00622EFD"/>
    <w:rsid w:val="006230BA"/>
    <w:rsid w:val="0062326A"/>
    <w:rsid w:val="006236BD"/>
    <w:rsid w:val="00623EA6"/>
    <w:rsid w:val="00624337"/>
    <w:rsid w:val="00624B7D"/>
    <w:rsid w:val="00625C79"/>
    <w:rsid w:val="00625DB3"/>
    <w:rsid w:val="006264FD"/>
    <w:rsid w:val="006265AF"/>
    <w:rsid w:val="006274CC"/>
    <w:rsid w:val="00630901"/>
    <w:rsid w:val="0063092E"/>
    <w:rsid w:val="006319A8"/>
    <w:rsid w:val="00632B48"/>
    <w:rsid w:val="006343E4"/>
    <w:rsid w:val="00634567"/>
    <w:rsid w:val="006346D1"/>
    <w:rsid w:val="0063606B"/>
    <w:rsid w:val="0063620F"/>
    <w:rsid w:val="006362B0"/>
    <w:rsid w:val="0063634A"/>
    <w:rsid w:val="006420F3"/>
    <w:rsid w:val="0064351B"/>
    <w:rsid w:val="006447F7"/>
    <w:rsid w:val="00644872"/>
    <w:rsid w:val="006459EC"/>
    <w:rsid w:val="0064661A"/>
    <w:rsid w:val="00646721"/>
    <w:rsid w:val="00647BE2"/>
    <w:rsid w:val="00650957"/>
    <w:rsid w:val="0065103A"/>
    <w:rsid w:val="00651642"/>
    <w:rsid w:val="00651727"/>
    <w:rsid w:val="00652FF6"/>
    <w:rsid w:val="00653237"/>
    <w:rsid w:val="00654010"/>
    <w:rsid w:val="0065487F"/>
    <w:rsid w:val="00654E65"/>
    <w:rsid w:val="00655D56"/>
    <w:rsid w:val="006602E7"/>
    <w:rsid w:val="006606C7"/>
    <w:rsid w:val="00660E44"/>
    <w:rsid w:val="00661E9E"/>
    <w:rsid w:val="00661F1B"/>
    <w:rsid w:val="00662D96"/>
    <w:rsid w:val="006632E7"/>
    <w:rsid w:val="00663A2D"/>
    <w:rsid w:val="00664C73"/>
    <w:rsid w:val="00666066"/>
    <w:rsid w:val="00667176"/>
    <w:rsid w:val="00670427"/>
    <w:rsid w:val="006722E7"/>
    <w:rsid w:val="00672310"/>
    <w:rsid w:val="00673BDC"/>
    <w:rsid w:val="006743A5"/>
    <w:rsid w:val="0067481D"/>
    <w:rsid w:val="00675476"/>
    <w:rsid w:val="0068148A"/>
    <w:rsid w:val="00684928"/>
    <w:rsid w:val="006861A1"/>
    <w:rsid w:val="006868B4"/>
    <w:rsid w:val="00686BEF"/>
    <w:rsid w:val="00686C01"/>
    <w:rsid w:val="00690387"/>
    <w:rsid w:val="00690E20"/>
    <w:rsid w:val="00690EBE"/>
    <w:rsid w:val="00691483"/>
    <w:rsid w:val="00692347"/>
    <w:rsid w:val="006929F6"/>
    <w:rsid w:val="006937C0"/>
    <w:rsid w:val="00693B4A"/>
    <w:rsid w:val="00694007"/>
    <w:rsid w:val="006944A8"/>
    <w:rsid w:val="006949FE"/>
    <w:rsid w:val="006959D7"/>
    <w:rsid w:val="00695ECC"/>
    <w:rsid w:val="00695F7D"/>
    <w:rsid w:val="00697798"/>
    <w:rsid w:val="006A0DEB"/>
    <w:rsid w:val="006A2199"/>
    <w:rsid w:val="006A21B1"/>
    <w:rsid w:val="006A2DC0"/>
    <w:rsid w:val="006A5A78"/>
    <w:rsid w:val="006A5AB4"/>
    <w:rsid w:val="006A69E8"/>
    <w:rsid w:val="006A7252"/>
    <w:rsid w:val="006A7798"/>
    <w:rsid w:val="006A7978"/>
    <w:rsid w:val="006A7D90"/>
    <w:rsid w:val="006B0BFD"/>
    <w:rsid w:val="006B329B"/>
    <w:rsid w:val="006B3FF8"/>
    <w:rsid w:val="006B4288"/>
    <w:rsid w:val="006B5441"/>
    <w:rsid w:val="006B56A9"/>
    <w:rsid w:val="006B5AC4"/>
    <w:rsid w:val="006B6E22"/>
    <w:rsid w:val="006B74FF"/>
    <w:rsid w:val="006B7867"/>
    <w:rsid w:val="006B7B58"/>
    <w:rsid w:val="006B7C55"/>
    <w:rsid w:val="006C03CE"/>
    <w:rsid w:val="006C125D"/>
    <w:rsid w:val="006C240B"/>
    <w:rsid w:val="006C26C0"/>
    <w:rsid w:val="006C3281"/>
    <w:rsid w:val="006C4293"/>
    <w:rsid w:val="006C56A9"/>
    <w:rsid w:val="006C56F2"/>
    <w:rsid w:val="006C5C2B"/>
    <w:rsid w:val="006C730B"/>
    <w:rsid w:val="006C7B18"/>
    <w:rsid w:val="006C7CB7"/>
    <w:rsid w:val="006D1659"/>
    <w:rsid w:val="006D31E9"/>
    <w:rsid w:val="006D382E"/>
    <w:rsid w:val="006D3A20"/>
    <w:rsid w:val="006D3C19"/>
    <w:rsid w:val="006D3CAE"/>
    <w:rsid w:val="006D424E"/>
    <w:rsid w:val="006D4373"/>
    <w:rsid w:val="006D4BE4"/>
    <w:rsid w:val="006D683E"/>
    <w:rsid w:val="006D72DA"/>
    <w:rsid w:val="006D748C"/>
    <w:rsid w:val="006D7C7C"/>
    <w:rsid w:val="006E23AA"/>
    <w:rsid w:val="006E2E6D"/>
    <w:rsid w:val="006E3152"/>
    <w:rsid w:val="006E38C7"/>
    <w:rsid w:val="006E41B1"/>
    <w:rsid w:val="006E7F40"/>
    <w:rsid w:val="006F05C2"/>
    <w:rsid w:val="006F0977"/>
    <w:rsid w:val="006F130E"/>
    <w:rsid w:val="006F23B8"/>
    <w:rsid w:val="006F2FE5"/>
    <w:rsid w:val="006F36FE"/>
    <w:rsid w:val="006F49F6"/>
    <w:rsid w:val="006F4ABA"/>
    <w:rsid w:val="006F4D57"/>
    <w:rsid w:val="006F52F1"/>
    <w:rsid w:val="006F5337"/>
    <w:rsid w:val="006F61F0"/>
    <w:rsid w:val="006F6321"/>
    <w:rsid w:val="006F6F3F"/>
    <w:rsid w:val="006F7068"/>
    <w:rsid w:val="006F7AB8"/>
    <w:rsid w:val="0070015F"/>
    <w:rsid w:val="00701539"/>
    <w:rsid w:val="0070238F"/>
    <w:rsid w:val="00702F81"/>
    <w:rsid w:val="0070434C"/>
    <w:rsid w:val="0070473A"/>
    <w:rsid w:val="00704901"/>
    <w:rsid w:val="00705825"/>
    <w:rsid w:val="00705856"/>
    <w:rsid w:val="00706A85"/>
    <w:rsid w:val="00706FC5"/>
    <w:rsid w:val="00707F4E"/>
    <w:rsid w:val="0071053C"/>
    <w:rsid w:val="007117FE"/>
    <w:rsid w:val="00714CF9"/>
    <w:rsid w:val="00714EB2"/>
    <w:rsid w:val="00715398"/>
    <w:rsid w:val="00716379"/>
    <w:rsid w:val="00716FD1"/>
    <w:rsid w:val="00716FEB"/>
    <w:rsid w:val="007175FE"/>
    <w:rsid w:val="00717889"/>
    <w:rsid w:val="0072071D"/>
    <w:rsid w:val="00720EEE"/>
    <w:rsid w:val="0072254B"/>
    <w:rsid w:val="00722E6C"/>
    <w:rsid w:val="00722F91"/>
    <w:rsid w:val="00723302"/>
    <w:rsid w:val="00723905"/>
    <w:rsid w:val="00726061"/>
    <w:rsid w:val="00726883"/>
    <w:rsid w:val="007277E7"/>
    <w:rsid w:val="00731394"/>
    <w:rsid w:val="007313ED"/>
    <w:rsid w:val="00732EAA"/>
    <w:rsid w:val="0073310E"/>
    <w:rsid w:val="007349B8"/>
    <w:rsid w:val="00734B44"/>
    <w:rsid w:val="00736790"/>
    <w:rsid w:val="00736F10"/>
    <w:rsid w:val="00740E86"/>
    <w:rsid w:val="0074116E"/>
    <w:rsid w:val="00742A4F"/>
    <w:rsid w:val="00743500"/>
    <w:rsid w:val="00743EA8"/>
    <w:rsid w:val="007447D0"/>
    <w:rsid w:val="00744A97"/>
    <w:rsid w:val="0074556C"/>
    <w:rsid w:val="00745B57"/>
    <w:rsid w:val="00745F39"/>
    <w:rsid w:val="0074602E"/>
    <w:rsid w:val="00746D9D"/>
    <w:rsid w:val="00747AE0"/>
    <w:rsid w:val="007500C0"/>
    <w:rsid w:val="00750EA5"/>
    <w:rsid w:val="007517E7"/>
    <w:rsid w:val="007517F8"/>
    <w:rsid w:val="00751AFB"/>
    <w:rsid w:val="0075279F"/>
    <w:rsid w:val="00753020"/>
    <w:rsid w:val="007543A9"/>
    <w:rsid w:val="007546BF"/>
    <w:rsid w:val="00755C16"/>
    <w:rsid w:val="007608A5"/>
    <w:rsid w:val="00760929"/>
    <w:rsid w:val="00760C19"/>
    <w:rsid w:val="00760F32"/>
    <w:rsid w:val="00761132"/>
    <w:rsid w:val="00761254"/>
    <w:rsid w:val="007627F3"/>
    <w:rsid w:val="00762859"/>
    <w:rsid w:val="00763199"/>
    <w:rsid w:val="00764279"/>
    <w:rsid w:val="007643A9"/>
    <w:rsid w:val="00765EB0"/>
    <w:rsid w:val="00767241"/>
    <w:rsid w:val="0076772F"/>
    <w:rsid w:val="00767CF4"/>
    <w:rsid w:val="00770D21"/>
    <w:rsid w:val="007711F6"/>
    <w:rsid w:val="00771247"/>
    <w:rsid w:val="00771F09"/>
    <w:rsid w:val="00773E6F"/>
    <w:rsid w:val="00774332"/>
    <w:rsid w:val="00774E0A"/>
    <w:rsid w:val="00776993"/>
    <w:rsid w:val="00776B20"/>
    <w:rsid w:val="007776E3"/>
    <w:rsid w:val="007778BE"/>
    <w:rsid w:val="00777D1C"/>
    <w:rsid w:val="00777FD1"/>
    <w:rsid w:val="007804B5"/>
    <w:rsid w:val="00780D14"/>
    <w:rsid w:val="007813FC"/>
    <w:rsid w:val="0078182B"/>
    <w:rsid w:val="00781EA1"/>
    <w:rsid w:val="00782075"/>
    <w:rsid w:val="00782C0A"/>
    <w:rsid w:val="00782D86"/>
    <w:rsid w:val="00783975"/>
    <w:rsid w:val="007839ED"/>
    <w:rsid w:val="00785630"/>
    <w:rsid w:val="00785B06"/>
    <w:rsid w:val="00786993"/>
    <w:rsid w:val="00786E2F"/>
    <w:rsid w:val="007875EF"/>
    <w:rsid w:val="007877BA"/>
    <w:rsid w:val="00787F74"/>
    <w:rsid w:val="007901C2"/>
    <w:rsid w:val="00790C13"/>
    <w:rsid w:val="00790DC8"/>
    <w:rsid w:val="007911DA"/>
    <w:rsid w:val="00791A95"/>
    <w:rsid w:val="00791FB4"/>
    <w:rsid w:val="00792928"/>
    <w:rsid w:val="00793223"/>
    <w:rsid w:val="0079326B"/>
    <w:rsid w:val="007932B4"/>
    <w:rsid w:val="007936EA"/>
    <w:rsid w:val="007942FD"/>
    <w:rsid w:val="007947D9"/>
    <w:rsid w:val="0079615A"/>
    <w:rsid w:val="007972AA"/>
    <w:rsid w:val="00797580"/>
    <w:rsid w:val="00797CB1"/>
    <w:rsid w:val="007A22B5"/>
    <w:rsid w:val="007A3D24"/>
    <w:rsid w:val="007A4C0A"/>
    <w:rsid w:val="007A5819"/>
    <w:rsid w:val="007A6044"/>
    <w:rsid w:val="007A6253"/>
    <w:rsid w:val="007A7030"/>
    <w:rsid w:val="007A71A0"/>
    <w:rsid w:val="007A7BF2"/>
    <w:rsid w:val="007B05F2"/>
    <w:rsid w:val="007B12DE"/>
    <w:rsid w:val="007B15FB"/>
    <w:rsid w:val="007B187C"/>
    <w:rsid w:val="007B36F7"/>
    <w:rsid w:val="007B376A"/>
    <w:rsid w:val="007B41CE"/>
    <w:rsid w:val="007B43E9"/>
    <w:rsid w:val="007B4CCE"/>
    <w:rsid w:val="007B5D39"/>
    <w:rsid w:val="007B6290"/>
    <w:rsid w:val="007B63F9"/>
    <w:rsid w:val="007B7C66"/>
    <w:rsid w:val="007C01F3"/>
    <w:rsid w:val="007C132B"/>
    <w:rsid w:val="007C1514"/>
    <w:rsid w:val="007C1B4E"/>
    <w:rsid w:val="007C1BE0"/>
    <w:rsid w:val="007C2985"/>
    <w:rsid w:val="007C29C1"/>
    <w:rsid w:val="007C345C"/>
    <w:rsid w:val="007C37EE"/>
    <w:rsid w:val="007C3BAA"/>
    <w:rsid w:val="007C4CEC"/>
    <w:rsid w:val="007C5062"/>
    <w:rsid w:val="007C514A"/>
    <w:rsid w:val="007C558F"/>
    <w:rsid w:val="007C66EC"/>
    <w:rsid w:val="007C6FEA"/>
    <w:rsid w:val="007C72F2"/>
    <w:rsid w:val="007D0184"/>
    <w:rsid w:val="007D098C"/>
    <w:rsid w:val="007D0B1F"/>
    <w:rsid w:val="007D0EF5"/>
    <w:rsid w:val="007D1833"/>
    <w:rsid w:val="007D2119"/>
    <w:rsid w:val="007D25B5"/>
    <w:rsid w:val="007D2897"/>
    <w:rsid w:val="007D2C67"/>
    <w:rsid w:val="007D3920"/>
    <w:rsid w:val="007D39C6"/>
    <w:rsid w:val="007D3C37"/>
    <w:rsid w:val="007D41EC"/>
    <w:rsid w:val="007D464D"/>
    <w:rsid w:val="007D4FD4"/>
    <w:rsid w:val="007D6A8F"/>
    <w:rsid w:val="007E0E3E"/>
    <w:rsid w:val="007E352D"/>
    <w:rsid w:val="007E380E"/>
    <w:rsid w:val="007E38B2"/>
    <w:rsid w:val="007E44D5"/>
    <w:rsid w:val="007E5026"/>
    <w:rsid w:val="007E5635"/>
    <w:rsid w:val="007E601D"/>
    <w:rsid w:val="007E7A20"/>
    <w:rsid w:val="007F02B3"/>
    <w:rsid w:val="007F16BB"/>
    <w:rsid w:val="007F1BE4"/>
    <w:rsid w:val="007F2398"/>
    <w:rsid w:val="007F4129"/>
    <w:rsid w:val="007F44AB"/>
    <w:rsid w:val="007F58E7"/>
    <w:rsid w:val="007F5B5F"/>
    <w:rsid w:val="007F5E6D"/>
    <w:rsid w:val="007F5FFD"/>
    <w:rsid w:val="007F7F69"/>
    <w:rsid w:val="008004CD"/>
    <w:rsid w:val="0080082A"/>
    <w:rsid w:val="008009B9"/>
    <w:rsid w:val="00801313"/>
    <w:rsid w:val="00801471"/>
    <w:rsid w:val="008019CB"/>
    <w:rsid w:val="008021DB"/>
    <w:rsid w:val="0080252A"/>
    <w:rsid w:val="0080435C"/>
    <w:rsid w:val="00804A0D"/>
    <w:rsid w:val="00804BD7"/>
    <w:rsid w:val="00804D5E"/>
    <w:rsid w:val="0080533D"/>
    <w:rsid w:val="00805512"/>
    <w:rsid w:val="00805CC8"/>
    <w:rsid w:val="00805E5E"/>
    <w:rsid w:val="0080628C"/>
    <w:rsid w:val="00806691"/>
    <w:rsid w:val="00807137"/>
    <w:rsid w:val="00812FA8"/>
    <w:rsid w:val="00814701"/>
    <w:rsid w:val="008149DA"/>
    <w:rsid w:val="00814E1E"/>
    <w:rsid w:val="00815068"/>
    <w:rsid w:val="0081604A"/>
    <w:rsid w:val="008207AA"/>
    <w:rsid w:val="0082082C"/>
    <w:rsid w:val="00823755"/>
    <w:rsid w:val="0082382B"/>
    <w:rsid w:val="00823D04"/>
    <w:rsid w:val="00823E9A"/>
    <w:rsid w:val="0082426B"/>
    <w:rsid w:val="00824315"/>
    <w:rsid w:val="008246B9"/>
    <w:rsid w:val="00824D51"/>
    <w:rsid w:val="00824FE2"/>
    <w:rsid w:val="00825039"/>
    <w:rsid w:val="0082558F"/>
    <w:rsid w:val="00826244"/>
    <w:rsid w:val="008273B9"/>
    <w:rsid w:val="00827D88"/>
    <w:rsid w:val="00830034"/>
    <w:rsid w:val="00830A61"/>
    <w:rsid w:val="00830F69"/>
    <w:rsid w:val="00832108"/>
    <w:rsid w:val="00833E06"/>
    <w:rsid w:val="00834A2A"/>
    <w:rsid w:val="00834C1F"/>
    <w:rsid w:val="00834C44"/>
    <w:rsid w:val="00835641"/>
    <w:rsid w:val="00835A29"/>
    <w:rsid w:val="00836861"/>
    <w:rsid w:val="0083724E"/>
    <w:rsid w:val="00840954"/>
    <w:rsid w:val="00840F1D"/>
    <w:rsid w:val="0084138D"/>
    <w:rsid w:val="00841DC2"/>
    <w:rsid w:val="00841EE8"/>
    <w:rsid w:val="008440E3"/>
    <w:rsid w:val="0084416A"/>
    <w:rsid w:val="00845104"/>
    <w:rsid w:val="0084637E"/>
    <w:rsid w:val="008469D5"/>
    <w:rsid w:val="00846F1F"/>
    <w:rsid w:val="008472AE"/>
    <w:rsid w:val="00847F9A"/>
    <w:rsid w:val="008505A1"/>
    <w:rsid w:val="00850C03"/>
    <w:rsid w:val="00851131"/>
    <w:rsid w:val="00851223"/>
    <w:rsid w:val="0085123B"/>
    <w:rsid w:val="008512D4"/>
    <w:rsid w:val="008512F3"/>
    <w:rsid w:val="008515F5"/>
    <w:rsid w:val="00851E96"/>
    <w:rsid w:val="008523BB"/>
    <w:rsid w:val="00852462"/>
    <w:rsid w:val="008531B4"/>
    <w:rsid w:val="008532CF"/>
    <w:rsid w:val="008552B4"/>
    <w:rsid w:val="00856159"/>
    <w:rsid w:val="0085653C"/>
    <w:rsid w:val="008565CA"/>
    <w:rsid w:val="00856B86"/>
    <w:rsid w:val="00856DF9"/>
    <w:rsid w:val="00860FFA"/>
    <w:rsid w:val="00861DF2"/>
    <w:rsid w:val="00862617"/>
    <w:rsid w:val="0086444A"/>
    <w:rsid w:val="00865756"/>
    <w:rsid w:val="008659B5"/>
    <w:rsid w:val="00865A63"/>
    <w:rsid w:val="00866CDF"/>
    <w:rsid w:val="00866FE3"/>
    <w:rsid w:val="00871312"/>
    <w:rsid w:val="0087174D"/>
    <w:rsid w:val="008722AB"/>
    <w:rsid w:val="0087386C"/>
    <w:rsid w:val="00874149"/>
    <w:rsid w:val="0087445F"/>
    <w:rsid w:val="008759B5"/>
    <w:rsid w:val="0087606D"/>
    <w:rsid w:val="0087653A"/>
    <w:rsid w:val="00876619"/>
    <w:rsid w:val="00877FB6"/>
    <w:rsid w:val="00880246"/>
    <w:rsid w:val="0088098E"/>
    <w:rsid w:val="008810E8"/>
    <w:rsid w:val="008811DC"/>
    <w:rsid w:val="00881DAD"/>
    <w:rsid w:val="00881EA8"/>
    <w:rsid w:val="00881FD0"/>
    <w:rsid w:val="00883764"/>
    <w:rsid w:val="008840D1"/>
    <w:rsid w:val="0088460C"/>
    <w:rsid w:val="0088475C"/>
    <w:rsid w:val="008849C5"/>
    <w:rsid w:val="00884F26"/>
    <w:rsid w:val="008855FD"/>
    <w:rsid w:val="00886148"/>
    <w:rsid w:val="00886625"/>
    <w:rsid w:val="0088693B"/>
    <w:rsid w:val="00886B6F"/>
    <w:rsid w:val="00887A5F"/>
    <w:rsid w:val="008900E7"/>
    <w:rsid w:val="00890C9D"/>
    <w:rsid w:val="00892E8F"/>
    <w:rsid w:val="00893698"/>
    <w:rsid w:val="00893952"/>
    <w:rsid w:val="00894491"/>
    <w:rsid w:val="00894965"/>
    <w:rsid w:val="00894A13"/>
    <w:rsid w:val="00894BFD"/>
    <w:rsid w:val="00895099"/>
    <w:rsid w:val="008964F2"/>
    <w:rsid w:val="008965EA"/>
    <w:rsid w:val="00896A6A"/>
    <w:rsid w:val="00897054"/>
    <w:rsid w:val="00897184"/>
    <w:rsid w:val="008A0BE7"/>
    <w:rsid w:val="008A16B2"/>
    <w:rsid w:val="008A204C"/>
    <w:rsid w:val="008A229E"/>
    <w:rsid w:val="008A2725"/>
    <w:rsid w:val="008A2E90"/>
    <w:rsid w:val="008A2EC4"/>
    <w:rsid w:val="008A3417"/>
    <w:rsid w:val="008A4A25"/>
    <w:rsid w:val="008A4B3E"/>
    <w:rsid w:val="008A5134"/>
    <w:rsid w:val="008A6A12"/>
    <w:rsid w:val="008A6E07"/>
    <w:rsid w:val="008B0916"/>
    <w:rsid w:val="008B0D65"/>
    <w:rsid w:val="008B1240"/>
    <w:rsid w:val="008B23E7"/>
    <w:rsid w:val="008B2AA8"/>
    <w:rsid w:val="008B37D9"/>
    <w:rsid w:val="008B3AF1"/>
    <w:rsid w:val="008B5171"/>
    <w:rsid w:val="008B5956"/>
    <w:rsid w:val="008B68DC"/>
    <w:rsid w:val="008B6E39"/>
    <w:rsid w:val="008B7E67"/>
    <w:rsid w:val="008C144F"/>
    <w:rsid w:val="008C17EF"/>
    <w:rsid w:val="008C1801"/>
    <w:rsid w:val="008C2532"/>
    <w:rsid w:val="008C2670"/>
    <w:rsid w:val="008C2FB0"/>
    <w:rsid w:val="008C3B07"/>
    <w:rsid w:val="008C48D3"/>
    <w:rsid w:val="008C5AB7"/>
    <w:rsid w:val="008C7435"/>
    <w:rsid w:val="008C7FE3"/>
    <w:rsid w:val="008D016C"/>
    <w:rsid w:val="008D0DD5"/>
    <w:rsid w:val="008D1410"/>
    <w:rsid w:val="008D1741"/>
    <w:rsid w:val="008D1887"/>
    <w:rsid w:val="008D1E4D"/>
    <w:rsid w:val="008D2085"/>
    <w:rsid w:val="008D25FF"/>
    <w:rsid w:val="008D2959"/>
    <w:rsid w:val="008D2F68"/>
    <w:rsid w:val="008D5A37"/>
    <w:rsid w:val="008D6E91"/>
    <w:rsid w:val="008D7269"/>
    <w:rsid w:val="008D73D9"/>
    <w:rsid w:val="008D747B"/>
    <w:rsid w:val="008D7A56"/>
    <w:rsid w:val="008E1487"/>
    <w:rsid w:val="008E2478"/>
    <w:rsid w:val="008E24AB"/>
    <w:rsid w:val="008E362A"/>
    <w:rsid w:val="008E3740"/>
    <w:rsid w:val="008E384C"/>
    <w:rsid w:val="008E44B5"/>
    <w:rsid w:val="008E45FA"/>
    <w:rsid w:val="008E5237"/>
    <w:rsid w:val="008E5927"/>
    <w:rsid w:val="008E6E9A"/>
    <w:rsid w:val="008E7123"/>
    <w:rsid w:val="008E74E6"/>
    <w:rsid w:val="008E77AC"/>
    <w:rsid w:val="008E79C3"/>
    <w:rsid w:val="008F1486"/>
    <w:rsid w:val="008F15C6"/>
    <w:rsid w:val="008F2023"/>
    <w:rsid w:val="008F303C"/>
    <w:rsid w:val="008F3E58"/>
    <w:rsid w:val="008F627F"/>
    <w:rsid w:val="008F7740"/>
    <w:rsid w:val="008F7AF4"/>
    <w:rsid w:val="00902BAF"/>
    <w:rsid w:val="009030CB"/>
    <w:rsid w:val="009034CB"/>
    <w:rsid w:val="00903695"/>
    <w:rsid w:val="009037C9"/>
    <w:rsid w:val="009039B3"/>
    <w:rsid w:val="009042D3"/>
    <w:rsid w:val="00904437"/>
    <w:rsid w:val="00904831"/>
    <w:rsid w:val="00904B1E"/>
    <w:rsid w:val="00904ED7"/>
    <w:rsid w:val="00905594"/>
    <w:rsid w:val="00905F9C"/>
    <w:rsid w:val="00905FF3"/>
    <w:rsid w:val="00906CD3"/>
    <w:rsid w:val="009071C7"/>
    <w:rsid w:val="0090767B"/>
    <w:rsid w:val="00907850"/>
    <w:rsid w:val="00910247"/>
    <w:rsid w:val="00911D7C"/>
    <w:rsid w:val="00911E2A"/>
    <w:rsid w:val="00912E43"/>
    <w:rsid w:val="0091327C"/>
    <w:rsid w:val="009132F6"/>
    <w:rsid w:val="0091353F"/>
    <w:rsid w:val="009145E2"/>
    <w:rsid w:val="00914F1A"/>
    <w:rsid w:val="0091519B"/>
    <w:rsid w:val="00917373"/>
    <w:rsid w:val="00920722"/>
    <w:rsid w:val="009209A6"/>
    <w:rsid w:val="00920B36"/>
    <w:rsid w:val="00921164"/>
    <w:rsid w:val="00921725"/>
    <w:rsid w:val="00922507"/>
    <w:rsid w:val="00922C60"/>
    <w:rsid w:val="00922C8E"/>
    <w:rsid w:val="00922DD2"/>
    <w:rsid w:val="00923C02"/>
    <w:rsid w:val="009253E5"/>
    <w:rsid w:val="00925A26"/>
    <w:rsid w:val="009262FF"/>
    <w:rsid w:val="0092662A"/>
    <w:rsid w:val="00926FCE"/>
    <w:rsid w:val="00927301"/>
    <w:rsid w:val="009275F3"/>
    <w:rsid w:val="009278BD"/>
    <w:rsid w:val="009279C8"/>
    <w:rsid w:val="00927DAF"/>
    <w:rsid w:val="00930BA0"/>
    <w:rsid w:val="00930F1C"/>
    <w:rsid w:val="00930F93"/>
    <w:rsid w:val="00931E77"/>
    <w:rsid w:val="00932D8C"/>
    <w:rsid w:val="00933608"/>
    <w:rsid w:val="00933728"/>
    <w:rsid w:val="009353AB"/>
    <w:rsid w:val="009358B4"/>
    <w:rsid w:val="00935E50"/>
    <w:rsid w:val="00936054"/>
    <w:rsid w:val="009360B7"/>
    <w:rsid w:val="00936165"/>
    <w:rsid w:val="00936508"/>
    <w:rsid w:val="009367A2"/>
    <w:rsid w:val="00936E19"/>
    <w:rsid w:val="00937820"/>
    <w:rsid w:val="009379C4"/>
    <w:rsid w:val="00940145"/>
    <w:rsid w:val="00940237"/>
    <w:rsid w:val="00940708"/>
    <w:rsid w:val="00940C4B"/>
    <w:rsid w:val="00941A31"/>
    <w:rsid w:val="00942CAB"/>
    <w:rsid w:val="00944092"/>
    <w:rsid w:val="00944152"/>
    <w:rsid w:val="0094449E"/>
    <w:rsid w:val="00944609"/>
    <w:rsid w:val="009447C8"/>
    <w:rsid w:val="00944C4F"/>
    <w:rsid w:val="00944FEA"/>
    <w:rsid w:val="00945324"/>
    <w:rsid w:val="00945345"/>
    <w:rsid w:val="009464B1"/>
    <w:rsid w:val="00946889"/>
    <w:rsid w:val="00947482"/>
    <w:rsid w:val="00950BBE"/>
    <w:rsid w:val="00951BC6"/>
    <w:rsid w:val="0095266D"/>
    <w:rsid w:val="00952E26"/>
    <w:rsid w:val="00952FC3"/>
    <w:rsid w:val="009530D6"/>
    <w:rsid w:val="009536E3"/>
    <w:rsid w:val="00954E74"/>
    <w:rsid w:val="00955123"/>
    <w:rsid w:val="00956000"/>
    <w:rsid w:val="009560AA"/>
    <w:rsid w:val="00956129"/>
    <w:rsid w:val="00956715"/>
    <w:rsid w:val="0095677D"/>
    <w:rsid w:val="00956990"/>
    <w:rsid w:val="00957494"/>
    <w:rsid w:val="00957EDD"/>
    <w:rsid w:val="00957F1E"/>
    <w:rsid w:val="00962A58"/>
    <w:rsid w:val="00962F7C"/>
    <w:rsid w:val="00964C6F"/>
    <w:rsid w:val="00964D03"/>
    <w:rsid w:val="009650D4"/>
    <w:rsid w:val="009653AA"/>
    <w:rsid w:val="0096594A"/>
    <w:rsid w:val="00966A5C"/>
    <w:rsid w:val="0096750E"/>
    <w:rsid w:val="0096772C"/>
    <w:rsid w:val="0097035C"/>
    <w:rsid w:val="00971EA1"/>
    <w:rsid w:val="00971EE5"/>
    <w:rsid w:val="00972B51"/>
    <w:rsid w:val="00972DEE"/>
    <w:rsid w:val="009741CA"/>
    <w:rsid w:val="00974B18"/>
    <w:rsid w:val="0097528D"/>
    <w:rsid w:val="00975C0E"/>
    <w:rsid w:val="00975ECF"/>
    <w:rsid w:val="00975EF2"/>
    <w:rsid w:val="00976396"/>
    <w:rsid w:val="009763CD"/>
    <w:rsid w:val="00976D5F"/>
    <w:rsid w:val="009770E5"/>
    <w:rsid w:val="009815F4"/>
    <w:rsid w:val="00982517"/>
    <w:rsid w:val="0098337A"/>
    <w:rsid w:val="009836CA"/>
    <w:rsid w:val="0098374E"/>
    <w:rsid w:val="00984CB9"/>
    <w:rsid w:val="009878CF"/>
    <w:rsid w:val="00987E10"/>
    <w:rsid w:val="009901D0"/>
    <w:rsid w:val="00990D5E"/>
    <w:rsid w:val="0099178D"/>
    <w:rsid w:val="00992861"/>
    <w:rsid w:val="00993DCC"/>
    <w:rsid w:val="009941BB"/>
    <w:rsid w:val="00994529"/>
    <w:rsid w:val="00994CE2"/>
    <w:rsid w:val="00994E11"/>
    <w:rsid w:val="00996963"/>
    <w:rsid w:val="009970C4"/>
    <w:rsid w:val="009979BA"/>
    <w:rsid w:val="00997B3C"/>
    <w:rsid w:val="009A0620"/>
    <w:rsid w:val="009A0643"/>
    <w:rsid w:val="009A1531"/>
    <w:rsid w:val="009A19CA"/>
    <w:rsid w:val="009A1CFF"/>
    <w:rsid w:val="009A1D08"/>
    <w:rsid w:val="009A1D50"/>
    <w:rsid w:val="009A1FD8"/>
    <w:rsid w:val="009A317A"/>
    <w:rsid w:val="009A3D15"/>
    <w:rsid w:val="009A5763"/>
    <w:rsid w:val="009A5C40"/>
    <w:rsid w:val="009A68B6"/>
    <w:rsid w:val="009A6A5E"/>
    <w:rsid w:val="009B096C"/>
    <w:rsid w:val="009B15A4"/>
    <w:rsid w:val="009B1FAF"/>
    <w:rsid w:val="009B2C5D"/>
    <w:rsid w:val="009B4950"/>
    <w:rsid w:val="009B49C7"/>
    <w:rsid w:val="009B4C1D"/>
    <w:rsid w:val="009B73E0"/>
    <w:rsid w:val="009B7871"/>
    <w:rsid w:val="009B7874"/>
    <w:rsid w:val="009B7BE3"/>
    <w:rsid w:val="009C0068"/>
    <w:rsid w:val="009C0A70"/>
    <w:rsid w:val="009C142A"/>
    <w:rsid w:val="009C1673"/>
    <w:rsid w:val="009C1E88"/>
    <w:rsid w:val="009C1F5C"/>
    <w:rsid w:val="009C2505"/>
    <w:rsid w:val="009C2757"/>
    <w:rsid w:val="009C3D7C"/>
    <w:rsid w:val="009C48E3"/>
    <w:rsid w:val="009C53A8"/>
    <w:rsid w:val="009C5BAE"/>
    <w:rsid w:val="009C5DF9"/>
    <w:rsid w:val="009D04F4"/>
    <w:rsid w:val="009D1C51"/>
    <w:rsid w:val="009D1D7D"/>
    <w:rsid w:val="009D2719"/>
    <w:rsid w:val="009D2B72"/>
    <w:rsid w:val="009D2DE8"/>
    <w:rsid w:val="009D447D"/>
    <w:rsid w:val="009D4C80"/>
    <w:rsid w:val="009D573D"/>
    <w:rsid w:val="009D6441"/>
    <w:rsid w:val="009E0132"/>
    <w:rsid w:val="009E0332"/>
    <w:rsid w:val="009E1427"/>
    <w:rsid w:val="009E1504"/>
    <w:rsid w:val="009E30B4"/>
    <w:rsid w:val="009E5238"/>
    <w:rsid w:val="009E61B1"/>
    <w:rsid w:val="009E794B"/>
    <w:rsid w:val="009E7AF1"/>
    <w:rsid w:val="009F0414"/>
    <w:rsid w:val="009F044A"/>
    <w:rsid w:val="009F1389"/>
    <w:rsid w:val="009F22E7"/>
    <w:rsid w:val="009F2B19"/>
    <w:rsid w:val="009F342E"/>
    <w:rsid w:val="009F372A"/>
    <w:rsid w:val="009F3B34"/>
    <w:rsid w:val="009F4374"/>
    <w:rsid w:val="009F47B7"/>
    <w:rsid w:val="009F5230"/>
    <w:rsid w:val="009F532F"/>
    <w:rsid w:val="00A005B0"/>
    <w:rsid w:val="00A0219F"/>
    <w:rsid w:val="00A02644"/>
    <w:rsid w:val="00A02865"/>
    <w:rsid w:val="00A02F99"/>
    <w:rsid w:val="00A0313D"/>
    <w:rsid w:val="00A039E3"/>
    <w:rsid w:val="00A03A76"/>
    <w:rsid w:val="00A04019"/>
    <w:rsid w:val="00A047BE"/>
    <w:rsid w:val="00A04C0E"/>
    <w:rsid w:val="00A05299"/>
    <w:rsid w:val="00A07995"/>
    <w:rsid w:val="00A10583"/>
    <w:rsid w:val="00A10C1D"/>
    <w:rsid w:val="00A112B6"/>
    <w:rsid w:val="00A11A44"/>
    <w:rsid w:val="00A1213F"/>
    <w:rsid w:val="00A124E3"/>
    <w:rsid w:val="00A13596"/>
    <w:rsid w:val="00A14283"/>
    <w:rsid w:val="00A16C01"/>
    <w:rsid w:val="00A1723F"/>
    <w:rsid w:val="00A20176"/>
    <w:rsid w:val="00A214ED"/>
    <w:rsid w:val="00A22C86"/>
    <w:rsid w:val="00A2416E"/>
    <w:rsid w:val="00A2427E"/>
    <w:rsid w:val="00A2612E"/>
    <w:rsid w:val="00A26345"/>
    <w:rsid w:val="00A274F0"/>
    <w:rsid w:val="00A304DB"/>
    <w:rsid w:val="00A308C0"/>
    <w:rsid w:val="00A30CB8"/>
    <w:rsid w:val="00A3147E"/>
    <w:rsid w:val="00A315B4"/>
    <w:rsid w:val="00A326B0"/>
    <w:rsid w:val="00A32E8C"/>
    <w:rsid w:val="00A32F76"/>
    <w:rsid w:val="00A334F4"/>
    <w:rsid w:val="00A339CF"/>
    <w:rsid w:val="00A34799"/>
    <w:rsid w:val="00A35255"/>
    <w:rsid w:val="00A36D77"/>
    <w:rsid w:val="00A36EFD"/>
    <w:rsid w:val="00A37945"/>
    <w:rsid w:val="00A37AFF"/>
    <w:rsid w:val="00A37CC8"/>
    <w:rsid w:val="00A37CDD"/>
    <w:rsid w:val="00A40BDC"/>
    <w:rsid w:val="00A4265A"/>
    <w:rsid w:val="00A42942"/>
    <w:rsid w:val="00A4390B"/>
    <w:rsid w:val="00A43D9C"/>
    <w:rsid w:val="00A451FD"/>
    <w:rsid w:val="00A5018C"/>
    <w:rsid w:val="00A50961"/>
    <w:rsid w:val="00A5131C"/>
    <w:rsid w:val="00A515AB"/>
    <w:rsid w:val="00A5184D"/>
    <w:rsid w:val="00A52C53"/>
    <w:rsid w:val="00A52EE0"/>
    <w:rsid w:val="00A539C9"/>
    <w:rsid w:val="00A547B0"/>
    <w:rsid w:val="00A54F67"/>
    <w:rsid w:val="00A56CD7"/>
    <w:rsid w:val="00A600B9"/>
    <w:rsid w:val="00A606D9"/>
    <w:rsid w:val="00A606F1"/>
    <w:rsid w:val="00A61631"/>
    <w:rsid w:val="00A616A3"/>
    <w:rsid w:val="00A62756"/>
    <w:rsid w:val="00A632DD"/>
    <w:rsid w:val="00A633DD"/>
    <w:rsid w:val="00A635D7"/>
    <w:rsid w:val="00A644F5"/>
    <w:rsid w:val="00A64E00"/>
    <w:rsid w:val="00A65404"/>
    <w:rsid w:val="00A65662"/>
    <w:rsid w:val="00A65BD9"/>
    <w:rsid w:val="00A67097"/>
    <w:rsid w:val="00A70342"/>
    <w:rsid w:val="00A70C00"/>
    <w:rsid w:val="00A70FB0"/>
    <w:rsid w:val="00A71FAD"/>
    <w:rsid w:val="00A72297"/>
    <w:rsid w:val="00A7282E"/>
    <w:rsid w:val="00A72B19"/>
    <w:rsid w:val="00A72D6E"/>
    <w:rsid w:val="00A734F8"/>
    <w:rsid w:val="00A743D9"/>
    <w:rsid w:val="00A745DB"/>
    <w:rsid w:val="00A750C8"/>
    <w:rsid w:val="00A7520A"/>
    <w:rsid w:val="00A752F3"/>
    <w:rsid w:val="00A75E46"/>
    <w:rsid w:val="00A8215B"/>
    <w:rsid w:val="00A82E29"/>
    <w:rsid w:val="00A8351A"/>
    <w:rsid w:val="00A837CA"/>
    <w:rsid w:val="00A84084"/>
    <w:rsid w:val="00A840AE"/>
    <w:rsid w:val="00A843E5"/>
    <w:rsid w:val="00A861CE"/>
    <w:rsid w:val="00A8710A"/>
    <w:rsid w:val="00A87A39"/>
    <w:rsid w:val="00A9088F"/>
    <w:rsid w:val="00A90A9A"/>
    <w:rsid w:val="00A90AFA"/>
    <w:rsid w:val="00A90B06"/>
    <w:rsid w:val="00A910BF"/>
    <w:rsid w:val="00A91472"/>
    <w:rsid w:val="00A939A6"/>
    <w:rsid w:val="00A93CA5"/>
    <w:rsid w:val="00A9425F"/>
    <w:rsid w:val="00A95450"/>
    <w:rsid w:val="00A96391"/>
    <w:rsid w:val="00A97CCA"/>
    <w:rsid w:val="00A97F81"/>
    <w:rsid w:val="00AA0582"/>
    <w:rsid w:val="00AA0E4F"/>
    <w:rsid w:val="00AA193E"/>
    <w:rsid w:val="00AA1F3B"/>
    <w:rsid w:val="00AA2180"/>
    <w:rsid w:val="00AA21AC"/>
    <w:rsid w:val="00AA31ED"/>
    <w:rsid w:val="00AA3843"/>
    <w:rsid w:val="00AA45AF"/>
    <w:rsid w:val="00AA6071"/>
    <w:rsid w:val="00AA60C1"/>
    <w:rsid w:val="00AA60ED"/>
    <w:rsid w:val="00AA7BDE"/>
    <w:rsid w:val="00AB01BE"/>
    <w:rsid w:val="00AB0AC0"/>
    <w:rsid w:val="00AB2438"/>
    <w:rsid w:val="00AB2508"/>
    <w:rsid w:val="00AB3556"/>
    <w:rsid w:val="00AB3838"/>
    <w:rsid w:val="00AB45AD"/>
    <w:rsid w:val="00AB59C6"/>
    <w:rsid w:val="00AB77A5"/>
    <w:rsid w:val="00AC013F"/>
    <w:rsid w:val="00AC0B4A"/>
    <w:rsid w:val="00AC1090"/>
    <w:rsid w:val="00AC11B1"/>
    <w:rsid w:val="00AC16E8"/>
    <w:rsid w:val="00AC34A4"/>
    <w:rsid w:val="00AC3FBE"/>
    <w:rsid w:val="00AC4885"/>
    <w:rsid w:val="00AC49F7"/>
    <w:rsid w:val="00AC533F"/>
    <w:rsid w:val="00AC6F36"/>
    <w:rsid w:val="00AD0B04"/>
    <w:rsid w:val="00AD0F72"/>
    <w:rsid w:val="00AD10F8"/>
    <w:rsid w:val="00AD29EB"/>
    <w:rsid w:val="00AD2DC9"/>
    <w:rsid w:val="00AD4848"/>
    <w:rsid w:val="00AD4B3C"/>
    <w:rsid w:val="00AD7818"/>
    <w:rsid w:val="00AD79F2"/>
    <w:rsid w:val="00AD7BDC"/>
    <w:rsid w:val="00AE00DF"/>
    <w:rsid w:val="00AE0C76"/>
    <w:rsid w:val="00AE19B1"/>
    <w:rsid w:val="00AE301E"/>
    <w:rsid w:val="00AE3F78"/>
    <w:rsid w:val="00AE4A24"/>
    <w:rsid w:val="00AE4CC2"/>
    <w:rsid w:val="00AE4F49"/>
    <w:rsid w:val="00AE541C"/>
    <w:rsid w:val="00AE5573"/>
    <w:rsid w:val="00AE6053"/>
    <w:rsid w:val="00AE61FB"/>
    <w:rsid w:val="00AE628A"/>
    <w:rsid w:val="00AE6929"/>
    <w:rsid w:val="00AE6C52"/>
    <w:rsid w:val="00AE720C"/>
    <w:rsid w:val="00AF011B"/>
    <w:rsid w:val="00AF0181"/>
    <w:rsid w:val="00AF1686"/>
    <w:rsid w:val="00AF171E"/>
    <w:rsid w:val="00AF175F"/>
    <w:rsid w:val="00AF24E8"/>
    <w:rsid w:val="00AF269B"/>
    <w:rsid w:val="00AF27CF"/>
    <w:rsid w:val="00AF2B07"/>
    <w:rsid w:val="00AF4A57"/>
    <w:rsid w:val="00AF4CB3"/>
    <w:rsid w:val="00AF50A0"/>
    <w:rsid w:val="00AF5E6D"/>
    <w:rsid w:val="00AF7658"/>
    <w:rsid w:val="00AF7C7E"/>
    <w:rsid w:val="00AF7D0A"/>
    <w:rsid w:val="00AF7F41"/>
    <w:rsid w:val="00B00A77"/>
    <w:rsid w:val="00B01586"/>
    <w:rsid w:val="00B03420"/>
    <w:rsid w:val="00B03431"/>
    <w:rsid w:val="00B03E3E"/>
    <w:rsid w:val="00B048CB"/>
    <w:rsid w:val="00B05968"/>
    <w:rsid w:val="00B0638C"/>
    <w:rsid w:val="00B10711"/>
    <w:rsid w:val="00B1251E"/>
    <w:rsid w:val="00B12DC7"/>
    <w:rsid w:val="00B13048"/>
    <w:rsid w:val="00B131FE"/>
    <w:rsid w:val="00B14050"/>
    <w:rsid w:val="00B15929"/>
    <w:rsid w:val="00B15BEE"/>
    <w:rsid w:val="00B17875"/>
    <w:rsid w:val="00B17D45"/>
    <w:rsid w:val="00B17FE8"/>
    <w:rsid w:val="00B207F1"/>
    <w:rsid w:val="00B20E13"/>
    <w:rsid w:val="00B212A8"/>
    <w:rsid w:val="00B21471"/>
    <w:rsid w:val="00B21A86"/>
    <w:rsid w:val="00B22338"/>
    <w:rsid w:val="00B22921"/>
    <w:rsid w:val="00B22B74"/>
    <w:rsid w:val="00B22D96"/>
    <w:rsid w:val="00B238C5"/>
    <w:rsid w:val="00B23E92"/>
    <w:rsid w:val="00B24BCF"/>
    <w:rsid w:val="00B24BD4"/>
    <w:rsid w:val="00B258B4"/>
    <w:rsid w:val="00B25B30"/>
    <w:rsid w:val="00B25EFF"/>
    <w:rsid w:val="00B26F14"/>
    <w:rsid w:val="00B27881"/>
    <w:rsid w:val="00B30EA8"/>
    <w:rsid w:val="00B31A5F"/>
    <w:rsid w:val="00B322F1"/>
    <w:rsid w:val="00B32347"/>
    <w:rsid w:val="00B33F21"/>
    <w:rsid w:val="00B34B5D"/>
    <w:rsid w:val="00B34C03"/>
    <w:rsid w:val="00B35B3A"/>
    <w:rsid w:val="00B35FC1"/>
    <w:rsid w:val="00B36491"/>
    <w:rsid w:val="00B36766"/>
    <w:rsid w:val="00B41A0A"/>
    <w:rsid w:val="00B43E05"/>
    <w:rsid w:val="00B45172"/>
    <w:rsid w:val="00B454A6"/>
    <w:rsid w:val="00B45710"/>
    <w:rsid w:val="00B45BE3"/>
    <w:rsid w:val="00B46D58"/>
    <w:rsid w:val="00B46EE4"/>
    <w:rsid w:val="00B475F5"/>
    <w:rsid w:val="00B47808"/>
    <w:rsid w:val="00B516B4"/>
    <w:rsid w:val="00B51E4D"/>
    <w:rsid w:val="00B53483"/>
    <w:rsid w:val="00B53FDA"/>
    <w:rsid w:val="00B54130"/>
    <w:rsid w:val="00B54B24"/>
    <w:rsid w:val="00B55BE4"/>
    <w:rsid w:val="00B560EC"/>
    <w:rsid w:val="00B56C70"/>
    <w:rsid w:val="00B5794B"/>
    <w:rsid w:val="00B60857"/>
    <w:rsid w:val="00B61445"/>
    <w:rsid w:val="00B61C31"/>
    <w:rsid w:val="00B626D4"/>
    <w:rsid w:val="00B63AFE"/>
    <w:rsid w:val="00B64AF2"/>
    <w:rsid w:val="00B65220"/>
    <w:rsid w:val="00B654F5"/>
    <w:rsid w:val="00B655B9"/>
    <w:rsid w:val="00B65841"/>
    <w:rsid w:val="00B65D45"/>
    <w:rsid w:val="00B6633D"/>
    <w:rsid w:val="00B66EB7"/>
    <w:rsid w:val="00B66F91"/>
    <w:rsid w:val="00B6734A"/>
    <w:rsid w:val="00B6739A"/>
    <w:rsid w:val="00B67B0D"/>
    <w:rsid w:val="00B71A03"/>
    <w:rsid w:val="00B72115"/>
    <w:rsid w:val="00B7212F"/>
    <w:rsid w:val="00B722CA"/>
    <w:rsid w:val="00B72F1B"/>
    <w:rsid w:val="00B7376E"/>
    <w:rsid w:val="00B73F26"/>
    <w:rsid w:val="00B75490"/>
    <w:rsid w:val="00B7583E"/>
    <w:rsid w:val="00B76176"/>
    <w:rsid w:val="00B761FB"/>
    <w:rsid w:val="00B762B2"/>
    <w:rsid w:val="00B76929"/>
    <w:rsid w:val="00B77B88"/>
    <w:rsid w:val="00B833B0"/>
    <w:rsid w:val="00B835BE"/>
    <w:rsid w:val="00B836FA"/>
    <w:rsid w:val="00B84BB3"/>
    <w:rsid w:val="00B85692"/>
    <w:rsid w:val="00B86E5C"/>
    <w:rsid w:val="00B87FA8"/>
    <w:rsid w:val="00B90CC6"/>
    <w:rsid w:val="00B922AA"/>
    <w:rsid w:val="00B924E4"/>
    <w:rsid w:val="00B928CB"/>
    <w:rsid w:val="00B953BD"/>
    <w:rsid w:val="00B969A0"/>
    <w:rsid w:val="00B97E53"/>
    <w:rsid w:val="00BA0134"/>
    <w:rsid w:val="00BA0B64"/>
    <w:rsid w:val="00BA1046"/>
    <w:rsid w:val="00BA2905"/>
    <w:rsid w:val="00BA39CE"/>
    <w:rsid w:val="00BA508B"/>
    <w:rsid w:val="00BA5AF8"/>
    <w:rsid w:val="00BA62B5"/>
    <w:rsid w:val="00BA63A3"/>
    <w:rsid w:val="00BA6453"/>
    <w:rsid w:val="00BA6844"/>
    <w:rsid w:val="00BA7264"/>
    <w:rsid w:val="00BA7651"/>
    <w:rsid w:val="00BB0A52"/>
    <w:rsid w:val="00BB0AC5"/>
    <w:rsid w:val="00BB0C66"/>
    <w:rsid w:val="00BB1356"/>
    <w:rsid w:val="00BB15B9"/>
    <w:rsid w:val="00BB461E"/>
    <w:rsid w:val="00BB7BDD"/>
    <w:rsid w:val="00BC151D"/>
    <w:rsid w:val="00BC19C1"/>
    <w:rsid w:val="00BC1C90"/>
    <w:rsid w:val="00BC1E3D"/>
    <w:rsid w:val="00BC206B"/>
    <w:rsid w:val="00BC2A99"/>
    <w:rsid w:val="00BC327C"/>
    <w:rsid w:val="00BC4072"/>
    <w:rsid w:val="00BC4ADD"/>
    <w:rsid w:val="00BC4E4B"/>
    <w:rsid w:val="00BC4EB8"/>
    <w:rsid w:val="00BC5913"/>
    <w:rsid w:val="00BC5A4F"/>
    <w:rsid w:val="00BC7A95"/>
    <w:rsid w:val="00BD00FA"/>
    <w:rsid w:val="00BD10B4"/>
    <w:rsid w:val="00BD3059"/>
    <w:rsid w:val="00BD3180"/>
    <w:rsid w:val="00BD3EF2"/>
    <w:rsid w:val="00BD5B72"/>
    <w:rsid w:val="00BD6B5E"/>
    <w:rsid w:val="00BE062A"/>
    <w:rsid w:val="00BE070D"/>
    <w:rsid w:val="00BE1518"/>
    <w:rsid w:val="00BE1D8E"/>
    <w:rsid w:val="00BE29BB"/>
    <w:rsid w:val="00BE2A3F"/>
    <w:rsid w:val="00BE2B95"/>
    <w:rsid w:val="00BE33FB"/>
    <w:rsid w:val="00BE348A"/>
    <w:rsid w:val="00BE3AC7"/>
    <w:rsid w:val="00BE4257"/>
    <w:rsid w:val="00BE4846"/>
    <w:rsid w:val="00BE4F58"/>
    <w:rsid w:val="00BE5E37"/>
    <w:rsid w:val="00BE64FE"/>
    <w:rsid w:val="00BE6751"/>
    <w:rsid w:val="00BE6B81"/>
    <w:rsid w:val="00BE6D93"/>
    <w:rsid w:val="00BE72C6"/>
    <w:rsid w:val="00BF0320"/>
    <w:rsid w:val="00BF0F49"/>
    <w:rsid w:val="00BF13CB"/>
    <w:rsid w:val="00BF1CE0"/>
    <w:rsid w:val="00BF27C9"/>
    <w:rsid w:val="00BF28A8"/>
    <w:rsid w:val="00BF326B"/>
    <w:rsid w:val="00BF3613"/>
    <w:rsid w:val="00BF379D"/>
    <w:rsid w:val="00BF47CE"/>
    <w:rsid w:val="00BF51B2"/>
    <w:rsid w:val="00BF5275"/>
    <w:rsid w:val="00BF5548"/>
    <w:rsid w:val="00BF59FD"/>
    <w:rsid w:val="00BF5D88"/>
    <w:rsid w:val="00BF69B7"/>
    <w:rsid w:val="00BF6A60"/>
    <w:rsid w:val="00BF6E06"/>
    <w:rsid w:val="00BF71E4"/>
    <w:rsid w:val="00BF7365"/>
    <w:rsid w:val="00BF7BE3"/>
    <w:rsid w:val="00C001E4"/>
    <w:rsid w:val="00C0032C"/>
    <w:rsid w:val="00C0047F"/>
    <w:rsid w:val="00C0092B"/>
    <w:rsid w:val="00C01229"/>
    <w:rsid w:val="00C01E03"/>
    <w:rsid w:val="00C02EAB"/>
    <w:rsid w:val="00C02EC0"/>
    <w:rsid w:val="00C0339B"/>
    <w:rsid w:val="00C04384"/>
    <w:rsid w:val="00C065D9"/>
    <w:rsid w:val="00C07BE2"/>
    <w:rsid w:val="00C07C32"/>
    <w:rsid w:val="00C10B48"/>
    <w:rsid w:val="00C115BE"/>
    <w:rsid w:val="00C11734"/>
    <w:rsid w:val="00C125BE"/>
    <w:rsid w:val="00C13190"/>
    <w:rsid w:val="00C13EB2"/>
    <w:rsid w:val="00C14CD7"/>
    <w:rsid w:val="00C16755"/>
    <w:rsid w:val="00C16ABC"/>
    <w:rsid w:val="00C16B46"/>
    <w:rsid w:val="00C17559"/>
    <w:rsid w:val="00C17959"/>
    <w:rsid w:val="00C17998"/>
    <w:rsid w:val="00C207B7"/>
    <w:rsid w:val="00C20A6D"/>
    <w:rsid w:val="00C21B6B"/>
    <w:rsid w:val="00C2281D"/>
    <w:rsid w:val="00C23A69"/>
    <w:rsid w:val="00C23BA3"/>
    <w:rsid w:val="00C23F43"/>
    <w:rsid w:val="00C24140"/>
    <w:rsid w:val="00C24388"/>
    <w:rsid w:val="00C24D1D"/>
    <w:rsid w:val="00C2516A"/>
    <w:rsid w:val="00C261DB"/>
    <w:rsid w:val="00C26C9B"/>
    <w:rsid w:val="00C272CA"/>
    <w:rsid w:val="00C2750E"/>
    <w:rsid w:val="00C27827"/>
    <w:rsid w:val="00C278E2"/>
    <w:rsid w:val="00C27C35"/>
    <w:rsid w:val="00C31233"/>
    <w:rsid w:val="00C31474"/>
    <w:rsid w:val="00C3193D"/>
    <w:rsid w:val="00C326E8"/>
    <w:rsid w:val="00C32B8B"/>
    <w:rsid w:val="00C32FE5"/>
    <w:rsid w:val="00C348F4"/>
    <w:rsid w:val="00C34B9C"/>
    <w:rsid w:val="00C34C23"/>
    <w:rsid w:val="00C35D87"/>
    <w:rsid w:val="00C36108"/>
    <w:rsid w:val="00C3612F"/>
    <w:rsid w:val="00C37B8C"/>
    <w:rsid w:val="00C40124"/>
    <w:rsid w:val="00C40C21"/>
    <w:rsid w:val="00C41363"/>
    <w:rsid w:val="00C43E2B"/>
    <w:rsid w:val="00C441A2"/>
    <w:rsid w:val="00C44D1E"/>
    <w:rsid w:val="00C45B92"/>
    <w:rsid w:val="00C45F01"/>
    <w:rsid w:val="00C46465"/>
    <w:rsid w:val="00C46FC1"/>
    <w:rsid w:val="00C4711D"/>
    <w:rsid w:val="00C47250"/>
    <w:rsid w:val="00C472F1"/>
    <w:rsid w:val="00C47677"/>
    <w:rsid w:val="00C47FBC"/>
    <w:rsid w:val="00C502AD"/>
    <w:rsid w:val="00C50CF1"/>
    <w:rsid w:val="00C51CF9"/>
    <w:rsid w:val="00C52B5A"/>
    <w:rsid w:val="00C537E8"/>
    <w:rsid w:val="00C5433D"/>
    <w:rsid w:val="00C5486E"/>
    <w:rsid w:val="00C54B0B"/>
    <w:rsid w:val="00C54D23"/>
    <w:rsid w:val="00C555F6"/>
    <w:rsid w:val="00C56731"/>
    <w:rsid w:val="00C57230"/>
    <w:rsid w:val="00C574EB"/>
    <w:rsid w:val="00C62631"/>
    <w:rsid w:val="00C627E4"/>
    <w:rsid w:val="00C63858"/>
    <w:rsid w:val="00C642A6"/>
    <w:rsid w:val="00C653F6"/>
    <w:rsid w:val="00C6637D"/>
    <w:rsid w:val="00C669E7"/>
    <w:rsid w:val="00C675E0"/>
    <w:rsid w:val="00C676FD"/>
    <w:rsid w:val="00C67712"/>
    <w:rsid w:val="00C67BE1"/>
    <w:rsid w:val="00C70054"/>
    <w:rsid w:val="00C70635"/>
    <w:rsid w:val="00C70A4E"/>
    <w:rsid w:val="00C70AF3"/>
    <w:rsid w:val="00C70D56"/>
    <w:rsid w:val="00C70DA2"/>
    <w:rsid w:val="00C70E9A"/>
    <w:rsid w:val="00C71333"/>
    <w:rsid w:val="00C714D1"/>
    <w:rsid w:val="00C714EC"/>
    <w:rsid w:val="00C720C2"/>
    <w:rsid w:val="00C72638"/>
    <w:rsid w:val="00C7293C"/>
    <w:rsid w:val="00C729AE"/>
    <w:rsid w:val="00C739FB"/>
    <w:rsid w:val="00C73DA6"/>
    <w:rsid w:val="00C74E95"/>
    <w:rsid w:val="00C75555"/>
    <w:rsid w:val="00C75FD8"/>
    <w:rsid w:val="00C76B58"/>
    <w:rsid w:val="00C76CCD"/>
    <w:rsid w:val="00C77022"/>
    <w:rsid w:val="00C773A4"/>
    <w:rsid w:val="00C81172"/>
    <w:rsid w:val="00C813B2"/>
    <w:rsid w:val="00C82AD8"/>
    <w:rsid w:val="00C82F38"/>
    <w:rsid w:val="00C83469"/>
    <w:rsid w:val="00C83687"/>
    <w:rsid w:val="00C83F0C"/>
    <w:rsid w:val="00C8550E"/>
    <w:rsid w:val="00C859A5"/>
    <w:rsid w:val="00C85E2B"/>
    <w:rsid w:val="00C86808"/>
    <w:rsid w:val="00C8699E"/>
    <w:rsid w:val="00C86C02"/>
    <w:rsid w:val="00C86F49"/>
    <w:rsid w:val="00C87049"/>
    <w:rsid w:val="00C87634"/>
    <w:rsid w:val="00C87A8B"/>
    <w:rsid w:val="00C90225"/>
    <w:rsid w:val="00C90FA8"/>
    <w:rsid w:val="00C91C6E"/>
    <w:rsid w:val="00C930EC"/>
    <w:rsid w:val="00C93390"/>
    <w:rsid w:val="00C93D65"/>
    <w:rsid w:val="00C93D78"/>
    <w:rsid w:val="00C950DE"/>
    <w:rsid w:val="00C95EAC"/>
    <w:rsid w:val="00C95F67"/>
    <w:rsid w:val="00C96B28"/>
    <w:rsid w:val="00C96C77"/>
    <w:rsid w:val="00C97385"/>
    <w:rsid w:val="00CA0FEA"/>
    <w:rsid w:val="00CA1EEF"/>
    <w:rsid w:val="00CA2305"/>
    <w:rsid w:val="00CA2659"/>
    <w:rsid w:val="00CA2728"/>
    <w:rsid w:val="00CA3675"/>
    <w:rsid w:val="00CA3A6F"/>
    <w:rsid w:val="00CA40B7"/>
    <w:rsid w:val="00CA43A4"/>
    <w:rsid w:val="00CA58E0"/>
    <w:rsid w:val="00CA5E08"/>
    <w:rsid w:val="00CA63F0"/>
    <w:rsid w:val="00CA64AC"/>
    <w:rsid w:val="00CA768C"/>
    <w:rsid w:val="00CA7B4F"/>
    <w:rsid w:val="00CA7DE3"/>
    <w:rsid w:val="00CA7E3B"/>
    <w:rsid w:val="00CB0466"/>
    <w:rsid w:val="00CB0954"/>
    <w:rsid w:val="00CB163F"/>
    <w:rsid w:val="00CB1FF0"/>
    <w:rsid w:val="00CB289E"/>
    <w:rsid w:val="00CB2E20"/>
    <w:rsid w:val="00CB2E34"/>
    <w:rsid w:val="00CB2F36"/>
    <w:rsid w:val="00CB3938"/>
    <w:rsid w:val="00CB5539"/>
    <w:rsid w:val="00CB5700"/>
    <w:rsid w:val="00CB5DFA"/>
    <w:rsid w:val="00CB5EC8"/>
    <w:rsid w:val="00CB6550"/>
    <w:rsid w:val="00CB678D"/>
    <w:rsid w:val="00CB6A76"/>
    <w:rsid w:val="00CB7109"/>
    <w:rsid w:val="00CB7206"/>
    <w:rsid w:val="00CB7813"/>
    <w:rsid w:val="00CC015D"/>
    <w:rsid w:val="00CC04C2"/>
    <w:rsid w:val="00CC10E9"/>
    <w:rsid w:val="00CC1394"/>
    <w:rsid w:val="00CC2DE2"/>
    <w:rsid w:val="00CC3944"/>
    <w:rsid w:val="00CC3EF6"/>
    <w:rsid w:val="00CC4974"/>
    <w:rsid w:val="00CC5971"/>
    <w:rsid w:val="00CC5B28"/>
    <w:rsid w:val="00CC5F1B"/>
    <w:rsid w:val="00CC7157"/>
    <w:rsid w:val="00CC7AC1"/>
    <w:rsid w:val="00CC7B38"/>
    <w:rsid w:val="00CD01E9"/>
    <w:rsid w:val="00CD0953"/>
    <w:rsid w:val="00CD0CCE"/>
    <w:rsid w:val="00CD2A77"/>
    <w:rsid w:val="00CD2DF4"/>
    <w:rsid w:val="00CD3C65"/>
    <w:rsid w:val="00CD4572"/>
    <w:rsid w:val="00CD464D"/>
    <w:rsid w:val="00CD51DF"/>
    <w:rsid w:val="00CD6099"/>
    <w:rsid w:val="00CD64C7"/>
    <w:rsid w:val="00CD6597"/>
    <w:rsid w:val="00CD7401"/>
    <w:rsid w:val="00CD7E73"/>
    <w:rsid w:val="00CE02B9"/>
    <w:rsid w:val="00CE072B"/>
    <w:rsid w:val="00CE08B4"/>
    <w:rsid w:val="00CE0A24"/>
    <w:rsid w:val="00CE2314"/>
    <w:rsid w:val="00CE36C6"/>
    <w:rsid w:val="00CE39E2"/>
    <w:rsid w:val="00CE3C18"/>
    <w:rsid w:val="00CE4C3C"/>
    <w:rsid w:val="00CE4D3A"/>
    <w:rsid w:val="00CE7678"/>
    <w:rsid w:val="00CF008F"/>
    <w:rsid w:val="00CF0654"/>
    <w:rsid w:val="00CF0BAA"/>
    <w:rsid w:val="00CF0C48"/>
    <w:rsid w:val="00CF0ECD"/>
    <w:rsid w:val="00CF1974"/>
    <w:rsid w:val="00CF220F"/>
    <w:rsid w:val="00CF33E0"/>
    <w:rsid w:val="00CF3551"/>
    <w:rsid w:val="00CF509F"/>
    <w:rsid w:val="00CF6D88"/>
    <w:rsid w:val="00D0027E"/>
    <w:rsid w:val="00D00781"/>
    <w:rsid w:val="00D01287"/>
    <w:rsid w:val="00D0158A"/>
    <w:rsid w:val="00D01CA0"/>
    <w:rsid w:val="00D0215D"/>
    <w:rsid w:val="00D02736"/>
    <w:rsid w:val="00D02961"/>
    <w:rsid w:val="00D02DA4"/>
    <w:rsid w:val="00D02FC6"/>
    <w:rsid w:val="00D05035"/>
    <w:rsid w:val="00D0512A"/>
    <w:rsid w:val="00D05825"/>
    <w:rsid w:val="00D05D26"/>
    <w:rsid w:val="00D066D8"/>
    <w:rsid w:val="00D06C1F"/>
    <w:rsid w:val="00D0731E"/>
    <w:rsid w:val="00D133EA"/>
    <w:rsid w:val="00D13B50"/>
    <w:rsid w:val="00D13B94"/>
    <w:rsid w:val="00D149D4"/>
    <w:rsid w:val="00D15098"/>
    <w:rsid w:val="00D1595F"/>
    <w:rsid w:val="00D16493"/>
    <w:rsid w:val="00D17420"/>
    <w:rsid w:val="00D1775C"/>
    <w:rsid w:val="00D2034C"/>
    <w:rsid w:val="00D207ED"/>
    <w:rsid w:val="00D21083"/>
    <w:rsid w:val="00D21306"/>
    <w:rsid w:val="00D21831"/>
    <w:rsid w:val="00D23411"/>
    <w:rsid w:val="00D23A75"/>
    <w:rsid w:val="00D24869"/>
    <w:rsid w:val="00D24D67"/>
    <w:rsid w:val="00D250E5"/>
    <w:rsid w:val="00D25179"/>
    <w:rsid w:val="00D261C3"/>
    <w:rsid w:val="00D26385"/>
    <w:rsid w:val="00D26C41"/>
    <w:rsid w:val="00D275F4"/>
    <w:rsid w:val="00D300DC"/>
    <w:rsid w:val="00D30BA9"/>
    <w:rsid w:val="00D312CD"/>
    <w:rsid w:val="00D3206B"/>
    <w:rsid w:val="00D320D6"/>
    <w:rsid w:val="00D33B86"/>
    <w:rsid w:val="00D3407F"/>
    <w:rsid w:val="00D3465F"/>
    <w:rsid w:val="00D34BD1"/>
    <w:rsid w:val="00D3536D"/>
    <w:rsid w:val="00D361BD"/>
    <w:rsid w:val="00D3639F"/>
    <w:rsid w:val="00D3659A"/>
    <w:rsid w:val="00D40243"/>
    <w:rsid w:val="00D405AC"/>
    <w:rsid w:val="00D409F7"/>
    <w:rsid w:val="00D40DBB"/>
    <w:rsid w:val="00D40F56"/>
    <w:rsid w:val="00D411D8"/>
    <w:rsid w:val="00D41616"/>
    <w:rsid w:val="00D41EEE"/>
    <w:rsid w:val="00D42848"/>
    <w:rsid w:val="00D43588"/>
    <w:rsid w:val="00D444E0"/>
    <w:rsid w:val="00D44D13"/>
    <w:rsid w:val="00D44EAD"/>
    <w:rsid w:val="00D45639"/>
    <w:rsid w:val="00D4579A"/>
    <w:rsid w:val="00D45963"/>
    <w:rsid w:val="00D45DD2"/>
    <w:rsid w:val="00D46CF1"/>
    <w:rsid w:val="00D475ED"/>
    <w:rsid w:val="00D477D1"/>
    <w:rsid w:val="00D5091E"/>
    <w:rsid w:val="00D51489"/>
    <w:rsid w:val="00D51A00"/>
    <w:rsid w:val="00D52232"/>
    <w:rsid w:val="00D525BD"/>
    <w:rsid w:val="00D52A27"/>
    <w:rsid w:val="00D53625"/>
    <w:rsid w:val="00D537A0"/>
    <w:rsid w:val="00D53805"/>
    <w:rsid w:val="00D53A13"/>
    <w:rsid w:val="00D53DCB"/>
    <w:rsid w:val="00D54C4D"/>
    <w:rsid w:val="00D54FAC"/>
    <w:rsid w:val="00D56006"/>
    <w:rsid w:val="00D56130"/>
    <w:rsid w:val="00D564BD"/>
    <w:rsid w:val="00D571F6"/>
    <w:rsid w:val="00D5749C"/>
    <w:rsid w:val="00D57714"/>
    <w:rsid w:val="00D6240A"/>
    <w:rsid w:val="00D62934"/>
    <w:rsid w:val="00D62955"/>
    <w:rsid w:val="00D62C70"/>
    <w:rsid w:val="00D62DA9"/>
    <w:rsid w:val="00D63652"/>
    <w:rsid w:val="00D64D06"/>
    <w:rsid w:val="00D64FC3"/>
    <w:rsid w:val="00D65617"/>
    <w:rsid w:val="00D657A3"/>
    <w:rsid w:val="00D657C4"/>
    <w:rsid w:val="00D65A9A"/>
    <w:rsid w:val="00D65AC7"/>
    <w:rsid w:val="00D65E65"/>
    <w:rsid w:val="00D66957"/>
    <w:rsid w:val="00D66B1C"/>
    <w:rsid w:val="00D66E25"/>
    <w:rsid w:val="00D6700E"/>
    <w:rsid w:val="00D6777B"/>
    <w:rsid w:val="00D7059B"/>
    <w:rsid w:val="00D70723"/>
    <w:rsid w:val="00D70B9E"/>
    <w:rsid w:val="00D71550"/>
    <w:rsid w:val="00D71ABC"/>
    <w:rsid w:val="00D71E8E"/>
    <w:rsid w:val="00D71F27"/>
    <w:rsid w:val="00D73B1A"/>
    <w:rsid w:val="00D744E3"/>
    <w:rsid w:val="00D7456B"/>
    <w:rsid w:val="00D753D8"/>
    <w:rsid w:val="00D75C91"/>
    <w:rsid w:val="00D76086"/>
    <w:rsid w:val="00D766C2"/>
    <w:rsid w:val="00D8043A"/>
    <w:rsid w:val="00D80D62"/>
    <w:rsid w:val="00D80F1C"/>
    <w:rsid w:val="00D818C2"/>
    <w:rsid w:val="00D8276C"/>
    <w:rsid w:val="00D8376E"/>
    <w:rsid w:val="00D840C3"/>
    <w:rsid w:val="00D85DC3"/>
    <w:rsid w:val="00D863D3"/>
    <w:rsid w:val="00D867A3"/>
    <w:rsid w:val="00D86D46"/>
    <w:rsid w:val="00D874C0"/>
    <w:rsid w:val="00D8764E"/>
    <w:rsid w:val="00D90311"/>
    <w:rsid w:val="00D90A93"/>
    <w:rsid w:val="00D90FD4"/>
    <w:rsid w:val="00D914B7"/>
    <w:rsid w:val="00D9251E"/>
    <w:rsid w:val="00D9294E"/>
    <w:rsid w:val="00D92BF9"/>
    <w:rsid w:val="00D93A70"/>
    <w:rsid w:val="00D93EAD"/>
    <w:rsid w:val="00D94314"/>
    <w:rsid w:val="00D960E6"/>
    <w:rsid w:val="00D96183"/>
    <w:rsid w:val="00D9693C"/>
    <w:rsid w:val="00D96A7C"/>
    <w:rsid w:val="00D96B5A"/>
    <w:rsid w:val="00D96F63"/>
    <w:rsid w:val="00D97E4A"/>
    <w:rsid w:val="00DA00CA"/>
    <w:rsid w:val="00DA068E"/>
    <w:rsid w:val="00DA1CE9"/>
    <w:rsid w:val="00DA47F4"/>
    <w:rsid w:val="00DA4CFC"/>
    <w:rsid w:val="00DA5C25"/>
    <w:rsid w:val="00DA6C03"/>
    <w:rsid w:val="00DA7B89"/>
    <w:rsid w:val="00DA7FCC"/>
    <w:rsid w:val="00DB1023"/>
    <w:rsid w:val="00DB1146"/>
    <w:rsid w:val="00DB128F"/>
    <w:rsid w:val="00DB15CF"/>
    <w:rsid w:val="00DB20C3"/>
    <w:rsid w:val="00DB303E"/>
    <w:rsid w:val="00DB39CA"/>
    <w:rsid w:val="00DB4294"/>
    <w:rsid w:val="00DB4E25"/>
    <w:rsid w:val="00DB7997"/>
    <w:rsid w:val="00DC081C"/>
    <w:rsid w:val="00DC1CFE"/>
    <w:rsid w:val="00DC219E"/>
    <w:rsid w:val="00DC2B68"/>
    <w:rsid w:val="00DC2CB8"/>
    <w:rsid w:val="00DC3BBC"/>
    <w:rsid w:val="00DC4011"/>
    <w:rsid w:val="00DC4164"/>
    <w:rsid w:val="00DC4196"/>
    <w:rsid w:val="00DC5D28"/>
    <w:rsid w:val="00DC5EAC"/>
    <w:rsid w:val="00DC6923"/>
    <w:rsid w:val="00DC6BAB"/>
    <w:rsid w:val="00DC7823"/>
    <w:rsid w:val="00DD056F"/>
    <w:rsid w:val="00DD0908"/>
    <w:rsid w:val="00DD0BF6"/>
    <w:rsid w:val="00DD0E49"/>
    <w:rsid w:val="00DD11AE"/>
    <w:rsid w:val="00DD139A"/>
    <w:rsid w:val="00DD1BDD"/>
    <w:rsid w:val="00DD1E1F"/>
    <w:rsid w:val="00DD205B"/>
    <w:rsid w:val="00DD2B50"/>
    <w:rsid w:val="00DD2EB5"/>
    <w:rsid w:val="00DD3076"/>
    <w:rsid w:val="00DD364A"/>
    <w:rsid w:val="00DD3EEF"/>
    <w:rsid w:val="00DD439B"/>
    <w:rsid w:val="00DD4507"/>
    <w:rsid w:val="00DD481F"/>
    <w:rsid w:val="00DD4FCE"/>
    <w:rsid w:val="00DD56F2"/>
    <w:rsid w:val="00DD62A3"/>
    <w:rsid w:val="00DD6BAA"/>
    <w:rsid w:val="00DE0E16"/>
    <w:rsid w:val="00DE1A4E"/>
    <w:rsid w:val="00DE2688"/>
    <w:rsid w:val="00DE31DE"/>
    <w:rsid w:val="00DE3D40"/>
    <w:rsid w:val="00DE3EA5"/>
    <w:rsid w:val="00DE571E"/>
    <w:rsid w:val="00DE5987"/>
    <w:rsid w:val="00DE5DAE"/>
    <w:rsid w:val="00DE63B3"/>
    <w:rsid w:val="00DE666F"/>
    <w:rsid w:val="00DE6C72"/>
    <w:rsid w:val="00DE7CEE"/>
    <w:rsid w:val="00DF074E"/>
    <w:rsid w:val="00DF1B96"/>
    <w:rsid w:val="00DF2B46"/>
    <w:rsid w:val="00DF37D8"/>
    <w:rsid w:val="00DF3D56"/>
    <w:rsid w:val="00DF4349"/>
    <w:rsid w:val="00DF4554"/>
    <w:rsid w:val="00DF491C"/>
    <w:rsid w:val="00DF5E26"/>
    <w:rsid w:val="00DF60AE"/>
    <w:rsid w:val="00DF6D3B"/>
    <w:rsid w:val="00DF76EC"/>
    <w:rsid w:val="00E00C66"/>
    <w:rsid w:val="00E00F59"/>
    <w:rsid w:val="00E0151C"/>
    <w:rsid w:val="00E049C8"/>
    <w:rsid w:val="00E05913"/>
    <w:rsid w:val="00E06623"/>
    <w:rsid w:val="00E066B1"/>
    <w:rsid w:val="00E0678C"/>
    <w:rsid w:val="00E06E9D"/>
    <w:rsid w:val="00E07F03"/>
    <w:rsid w:val="00E11DC2"/>
    <w:rsid w:val="00E12D15"/>
    <w:rsid w:val="00E12DF6"/>
    <w:rsid w:val="00E133F8"/>
    <w:rsid w:val="00E14504"/>
    <w:rsid w:val="00E1474E"/>
    <w:rsid w:val="00E15357"/>
    <w:rsid w:val="00E16CCE"/>
    <w:rsid w:val="00E1764E"/>
    <w:rsid w:val="00E17BE3"/>
    <w:rsid w:val="00E17CF9"/>
    <w:rsid w:val="00E17F73"/>
    <w:rsid w:val="00E2059B"/>
    <w:rsid w:val="00E209A5"/>
    <w:rsid w:val="00E22E65"/>
    <w:rsid w:val="00E22EB2"/>
    <w:rsid w:val="00E24D10"/>
    <w:rsid w:val="00E2551A"/>
    <w:rsid w:val="00E25CA3"/>
    <w:rsid w:val="00E27FE9"/>
    <w:rsid w:val="00E3029A"/>
    <w:rsid w:val="00E30E03"/>
    <w:rsid w:val="00E30FB3"/>
    <w:rsid w:val="00E31FC0"/>
    <w:rsid w:val="00E32273"/>
    <w:rsid w:val="00E32AE8"/>
    <w:rsid w:val="00E33039"/>
    <w:rsid w:val="00E330A5"/>
    <w:rsid w:val="00E34824"/>
    <w:rsid w:val="00E34CD8"/>
    <w:rsid w:val="00E35892"/>
    <w:rsid w:val="00E35906"/>
    <w:rsid w:val="00E3628A"/>
    <w:rsid w:val="00E36696"/>
    <w:rsid w:val="00E36B8A"/>
    <w:rsid w:val="00E36EEC"/>
    <w:rsid w:val="00E372C4"/>
    <w:rsid w:val="00E40949"/>
    <w:rsid w:val="00E41F18"/>
    <w:rsid w:val="00E4329E"/>
    <w:rsid w:val="00E43879"/>
    <w:rsid w:val="00E44D48"/>
    <w:rsid w:val="00E46CCD"/>
    <w:rsid w:val="00E47C10"/>
    <w:rsid w:val="00E50005"/>
    <w:rsid w:val="00E548A3"/>
    <w:rsid w:val="00E54D09"/>
    <w:rsid w:val="00E55E2B"/>
    <w:rsid w:val="00E561AC"/>
    <w:rsid w:val="00E5693B"/>
    <w:rsid w:val="00E57DCB"/>
    <w:rsid w:val="00E606A1"/>
    <w:rsid w:val="00E61098"/>
    <w:rsid w:val="00E625D2"/>
    <w:rsid w:val="00E62BDB"/>
    <w:rsid w:val="00E65C9A"/>
    <w:rsid w:val="00E67A7D"/>
    <w:rsid w:val="00E67C32"/>
    <w:rsid w:val="00E70EB7"/>
    <w:rsid w:val="00E71730"/>
    <w:rsid w:val="00E71BA4"/>
    <w:rsid w:val="00E7322D"/>
    <w:rsid w:val="00E73A34"/>
    <w:rsid w:val="00E73E4B"/>
    <w:rsid w:val="00E74E65"/>
    <w:rsid w:val="00E74F7E"/>
    <w:rsid w:val="00E74FE9"/>
    <w:rsid w:val="00E75305"/>
    <w:rsid w:val="00E76C03"/>
    <w:rsid w:val="00E76F0E"/>
    <w:rsid w:val="00E76FF6"/>
    <w:rsid w:val="00E77E37"/>
    <w:rsid w:val="00E8118E"/>
    <w:rsid w:val="00E81D18"/>
    <w:rsid w:val="00E826A2"/>
    <w:rsid w:val="00E82B8B"/>
    <w:rsid w:val="00E82E74"/>
    <w:rsid w:val="00E82EDC"/>
    <w:rsid w:val="00E8416F"/>
    <w:rsid w:val="00E844FF"/>
    <w:rsid w:val="00E8462A"/>
    <w:rsid w:val="00E84B06"/>
    <w:rsid w:val="00E853EA"/>
    <w:rsid w:val="00E86BB3"/>
    <w:rsid w:val="00E86C97"/>
    <w:rsid w:val="00E87D00"/>
    <w:rsid w:val="00E904BF"/>
    <w:rsid w:val="00E91C97"/>
    <w:rsid w:val="00E92997"/>
    <w:rsid w:val="00E934E1"/>
    <w:rsid w:val="00E93B63"/>
    <w:rsid w:val="00E946C8"/>
    <w:rsid w:val="00E95C05"/>
    <w:rsid w:val="00E95C8C"/>
    <w:rsid w:val="00E95ECE"/>
    <w:rsid w:val="00E96A2A"/>
    <w:rsid w:val="00E975C4"/>
    <w:rsid w:val="00EA0225"/>
    <w:rsid w:val="00EA068F"/>
    <w:rsid w:val="00EA0F20"/>
    <w:rsid w:val="00EA1BBA"/>
    <w:rsid w:val="00EA2CD2"/>
    <w:rsid w:val="00EA30C5"/>
    <w:rsid w:val="00EA5097"/>
    <w:rsid w:val="00EA50AF"/>
    <w:rsid w:val="00EA5B59"/>
    <w:rsid w:val="00EA5DCE"/>
    <w:rsid w:val="00EA6E4B"/>
    <w:rsid w:val="00EA76B5"/>
    <w:rsid w:val="00EA7B63"/>
    <w:rsid w:val="00EB00B6"/>
    <w:rsid w:val="00EB02FA"/>
    <w:rsid w:val="00EB215A"/>
    <w:rsid w:val="00EB402B"/>
    <w:rsid w:val="00EB49EA"/>
    <w:rsid w:val="00EB4BC9"/>
    <w:rsid w:val="00EB544C"/>
    <w:rsid w:val="00EB55DE"/>
    <w:rsid w:val="00EB5B64"/>
    <w:rsid w:val="00EB68D5"/>
    <w:rsid w:val="00EB6CB7"/>
    <w:rsid w:val="00EB7DD4"/>
    <w:rsid w:val="00EC00BC"/>
    <w:rsid w:val="00EC0996"/>
    <w:rsid w:val="00EC0DBD"/>
    <w:rsid w:val="00EC108C"/>
    <w:rsid w:val="00EC119F"/>
    <w:rsid w:val="00EC1504"/>
    <w:rsid w:val="00EC46A9"/>
    <w:rsid w:val="00EC5504"/>
    <w:rsid w:val="00EC5699"/>
    <w:rsid w:val="00EC5979"/>
    <w:rsid w:val="00EC66E8"/>
    <w:rsid w:val="00EC6A03"/>
    <w:rsid w:val="00EC6B1D"/>
    <w:rsid w:val="00EC6B4C"/>
    <w:rsid w:val="00EC6F2C"/>
    <w:rsid w:val="00ED0159"/>
    <w:rsid w:val="00ED0969"/>
    <w:rsid w:val="00ED0AAB"/>
    <w:rsid w:val="00ED1E4D"/>
    <w:rsid w:val="00ED362A"/>
    <w:rsid w:val="00ED3E98"/>
    <w:rsid w:val="00ED4A32"/>
    <w:rsid w:val="00ED537A"/>
    <w:rsid w:val="00ED5C51"/>
    <w:rsid w:val="00ED5E0D"/>
    <w:rsid w:val="00ED65D0"/>
    <w:rsid w:val="00ED6AD8"/>
    <w:rsid w:val="00ED7768"/>
    <w:rsid w:val="00EE018D"/>
    <w:rsid w:val="00EE05D7"/>
    <w:rsid w:val="00EE1468"/>
    <w:rsid w:val="00EE2F62"/>
    <w:rsid w:val="00EE3796"/>
    <w:rsid w:val="00EE4265"/>
    <w:rsid w:val="00EE4556"/>
    <w:rsid w:val="00EE4924"/>
    <w:rsid w:val="00EE4938"/>
    <w:rsid w:val="00EE4D09"/>
    <w:rsid w:val="00EE4F11"/>
    <w:rsid w:val="00EE5DC7"/>
    <w:rsid w:val="00EE6185"/>
    <w:rsid w:val="00EE64EC"/>
    <w:rsid w:val="00EE743D"/>
    <w:rsid w:val="00EF1499"/>
    <w:rsid w:val="00EF1812"/>
    <w:rsid w:val="00EF206A"/>
    <w:rsid w:val="00EF28C9"/>
    <w:rsid w:val="00EF2B88"/>
    <w:rsid w:val="00EF4640"/>
    <w:rsid w:val="00EF564C"/>
    <w:rsid w:val="00EF5812"/>
    <w:rsid w:val="00EF654A"/>
    <w:rsid w:val="00EF689B"/>
    <w:rsid w:val="00EF71AC"/>
    <w:rsid w:val="00EF7317"/>
    <w:rsid w:val="00F00097"/>
    <w:rsid w:val="00F0082E"/>
    <w:rsid w:val="00F012B7"/>
    <w:rsid w:val="00F0157E"/>
    <w:rsid w:val="00F0188B"/>
    <w:rsid w:val="00F0232C"/>
    <w:rsid w:val="00F029B1"/>
    <w:rsid w:val="00F02CCC"/>
    <w:rsid w:val="00F03620"/>
    <w:rsid w:val="00F0482E"/>
    <w:rsid w:val="00F04BDE"/>
    <w:rsid w:val="00F05E77"/>
    <w:rsid w:val="00F07939"/>
    <w:rsid w:val="00F13036"/>
    <w:rsid w:val="00F130B8"/>
    <w:rsid w:val="00F14D0F"/>
    <w:rsid w:val="00F1546E"/>
    <w:rsid w:val="00F156BA"/>
    <w:rsid w:val="00F16642"/>
    <w:rsid w:val="00F172F9"/>
    <w:rsid w:val="00F17392"/>
    <w:rsid w:val="00F17ECF"/>
    <w:rsid w:val="00F203ED"/>
    <w:rsid w:val="00F2068F"/>
    <w:rsid w:val="00F21245"/>
    <w:rsid w:val="00F21D94"/>
    <w:rsid w:val="00F223A5"/>
    <w:rsid w:val="00F22994"/>
    <w:rsid w:val="00F229D3"/>
    <w:rsid w:val="00F22BD9"/>
    <w:rsid w:val="00F233C4"/>
    <w:rsid w:val="00F24B00"/>
    <w:rsid w:val="00F24E25"/>
    <w:rsid w:val="00F25B10"/>
    <w:rsid w:val="00F25D8F"/>
    <w:rsid w:val="00F263D8"/>
    <w:rsid w:val="00F26BDC"/>
    <w:rsid w:val="00F3099B"/>
    <w:rsid w:val="00F31571"/>
    <w:rsid w:val="00F33897"/>
    <w:rsid w:val="00F33CAB"/>
    <w:rsid w:val="00F350C5"/>
    <w:rsid w:val="00F3540B"/>
    <w:rsid w:val="00F3751C"/>
    <w:rsid w:val="00F3757B"/>
    <w:rsid w:val="00F3764A"/>
    <w:rsid w:val="00F4081C"/>
    <w:rsid w:val="00F40843"/>
    <w:rsid w:val="00F40AD5"/>
    <w:rsid w:val="00F40E09"/>
    <w:rsid w:val="00F41CB2"/>
    <w:rsid w:val="00F42234"/>
    <w:rsid w:val="00F43D76"/>
    <w:rsid w:val="00F43DEC"/>
    <w:rsid w:val="00F43EA8"/>
    <w:rsid w:val="00F43EB7"/>
    <w:rsid w:val="00F4427B"/>
    <w:rsid w:val="00F4483B"/>
    <w:rsid w:val="00F44E31"/>
    <w:rsid w:val="00F44F00"/>
    <w:rsid w:val="00F45568"/>
    <w:rsid w:val="00F45897"/>
    <w:rsid w:val="00F461E0"/>
    <w:rsid w:val="00F47278"/>
    <w:rsid w:val="00F50563"/>
    <w:rsid w:val="00F50682"/>
    <w:rsid w:val="00F508DC"/>
    <w:rsid w:val="00F508DF"/>
    <w:rsid w:val="00F50E22"/>
    <w:rsid w:val="00F51C39"/>
    <w:rsid w:val="00F53B54"/>
    <w:rsid w:val="00F54F34"/>
    <w:rsid w:val="00F56D3E"/>
    <w:rsid w:val="00F570AE"/>
    <w:rsid w:val="00F57454"/>
    <w:rsid w:val="00F61362"/>
    <w:rsid w:val="00F616A7"/>
    <w:rsid w:val="00F622FE"/>
    <w:rsid w:val="00F62444"/>
    <w:rsid w:val="00F62F3D"/>
    <w:rsid w:val="00F631F4"/>
    <w:rsid w:val="00F64824"/>
    <w:rsid w:val="00F64E50"/>
    <w:rsid w:val="00F64F36"/>
    <w:rsid w:val="00F6531E"/>
    <w:rsid w:val="00F667C0"/>
    <w:rsid w:val="00F66A7D"/>
    <w:rsid w:val="00F66F51"/>
    <w:rsid w:val="00F6773A"/>
    <w:rsid w:val="00F67B28"/>
    <w:rsid w:val="00F67E95"/>
    <w:rsid w:val="00F72CB7"/>
    <w:rsid w:val="00F72E21"/>
    <w:rsid w:val="00F731FD"/>
    <w:rsid w:val="00F73737"/>
    <w:rsid w:val="00F73828"/>
    <w:rsid w:val="00F73F90"/>
    <w:rsid w:val="00F747C6"/>
    <w:rsid w:val="00F74833"/>
    <w:rsid w:val="00F756AB"/>
    <w:rsid w:val="00F757F8"/>
    <w:rsid w:val="00F76AFE"/>
    <w:rsid w:val="00F76BBE"/>
    <w:rsid w:val="00F80633"/>
    <w:rsid w:val="00F811B8"/>
    <w:rsid w:val="00F81273"/>
    <w:rsid w:val="00F81EBE"/>
    <w:rsid w:val="00F81F0E"/>
    <w:rsid w:val="00F82ADB"/>
    <w:rsid w:val="00F8458B"/>
    <w:rsid w:val="00F8496C"/>
    <w:rsid w:val="00F849F0"/>
    <w:rsid w:val="00F864FF"/>
    <w:rsid w:val="00F87605"/>
    <w:rsid w:val="00F8762A"/>
    <w:rsid w:val="00F87AC5"/>
    <w:rsid w:val="00F905F5"/>
    <w:rsid w:val="00F90839"/>
    <w:rsid w:val="00F91676"/>
    <w:rsid w:val="00F91CFA"/>
    <w:rsid w:val="00F92683"/>
    <w:rsid w:val="00F93199"/>
    <w:rsid w:val="00F95196"/>
    <w:rsid w:val="00F97097"/>
    <w:rsid w:val="00F9714B"/>
    <w:rsid w:val="00F97890"/>
    <w:rsid w:val="00F97AEF"/>
    <w:rsid w:val="00FA0C22"/>
    <w:rsid w:val="00FA0D01"/>
    <w:rsid w:val="00FA3534"/>
    <w:rsid w:val="00FA421F"/>
    <w:rsid w:val="00FA4621"/>
    <w:rsid w:val="00FA48EF"/>
    <w:rsid w:val="00FA4A50"/>
    <w:rsid w:val="00FA4B80"/>
    <w:rsid w:val="00FA5DAA"/>
    <w:rsid w:val="00FA6FD5"/>
    <w:rsid w:val="00FA71FC"/>
    <w:rsid w:val="00FA7B7B"/>
    <w:rsid w:val="00FA7E64"/>
    <w:rsid w:val="00FB0456"/>
    <w:rsid w:val="00FB048D"/>
    <w:rsid w:val="00FB1BF3"/>
    <w:rsid w:val="00FB2859"/>
    <w:rsid w:val="00FB2B33"/>
    <w:rsid w:val="00FB2F1F"/>
    <w:rsid w:val="00FB2F7A"/>
    <w:rsid w:val="00FB2FFC"/>
    <w:rsid w:val="00FB37B8"/>
    <w:rsid w:val="00FB401D"/>
    <w:rsid w:val="00FB45C3"/>
    <w:rsid w:val="00FB4657"/>
    <w:rsid w:val="00FB498F"/>
    <w:rsid w:val="00FB53E1"/>
    <w:rsid w:val="00FB5BA3"/>
    <w:rsid w:val="00FB63A8"/>
    <w:rsid w:val="00FB6B8A"/>
    <w:rsid w:val="00FB79E7"/>
    <w:rsid w:val="00FC04B0"/>
    <w:rsid w:val="00FC0A7C"/>
    <w:rsid w:val="00FC0F08"/>
    <w:rsid w:val="00FC1539"/>
    <w:rsid w:val="00FC1EA9"/>
    <w:rsid w:val="00FC25F0"/>
    <w:rsid w:val="00FC3380"/>
    <w:rsid w:val="00FC4A99"/>
    <w:rsid w:val="00FC4E58"/>
    <w:rsid w:val="00FC5381"/>
    <w:rsid w:val="00FC5AE4"/>
    <w:rsid w:val="00FC5F33"/>
    <w:rsid w:val="00FC6AE0"/>
    <w:rsid w:val="00FD0EB3"/>
    <w:rsid w:val="00FD14BE"/>
    <w:rsid w:val="00FD26ED"/>
    <w:rsid w:val="00FD6727"/>
    <w:rsid w:val="00FD692A"/>
    <w:rsid w:val="00FE0006"/>
    <w:rsid w:val="00FE0535"/>
    <w:rsid w:val="00FE0ACE"/>
    <w:rsid w:val="00FE1C1F"/>
    <w:rsid w:val="00FE1DD8"/>
    <w:rsid w:val="00FE253E"/>
    <w:rsid w:val="00FE26D2"/>
    <w:rsid w:val="00FE309C"/>
    <w:rsid w:val="00FE3865"/>
    <w:rsid w:val="00FE391E"/>
    <w:rsid w:val="00FE3979"/>
    <w:rsid w:val="00FE3988"/>
    <w:rsid w:val="00FE3A1B"/>
    <w:rsid w:val="00FE4C49"/>
    <w:rsid w:val="00FE4EF8"/>
    <w:rsid w:val="00FE512A"/>
    <w:rsid w:val="00FE5EC0"/>
    <w:rsid w:val="00FE6847"/>
    <w:rsid w:val="00FE7712"/>
    <w:rsid w:val="00FE795A"/>
    <w:rsid w:val="00FF0A2B"/>
    <w:rsid w:val="00FF10D4"/>
    <w:rsid w:val="00FF18C8"/>
    <w:rsid w:val="00FF1F24"/>
    <w:rsid w:val="00FF2469"/>
    <w:rsid w:val="00FF26F0"/>
    <w:rsid w:val="00FF429E"/>
    <w:rsid w:val="00FF5205"/>
    <w:rsid w:val="00FF6345"/>
    <w:rsid w:val="00FF6955"/>
    <w:rsid w:val="00FF7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6B09126"/>
  <w15:docId w15:val="{9122021B-DD38-43B6-9BA7-FBD449A30A81}"/>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1DBD"/>
    <w:rPr>
      <w:sz w:val="24"/>
      <w:szCs w:val="24"/>
    </w:rPr>
  </w:style>
  <w:style w:type="paragraph" w:styleId="Heading1">
    <w:name w:val="heading 1"/>
    <w:basedOn w:val="Normal"/>
    <w:next w:val="Normal"/>
    <w:link w:val="Heading1Char"/>
    <w:qFormat/>
    <w:rsid w:val="00A56CD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9B73E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B1DBD"/>
    <w:pPr>
      <w:tabs>
        <w:tab w:val="center" w:pos="4320"/>
        <w:tab w:val="right" w:pos="8640"/>
      </w:tabs>
    </w:pPr>
  </w:style>
  <w:style w:type="paragraph" w:styleId="Title">
    <w:name w:val="Title"/>
    <w:basedOn w:val="Normal"/>
    <w:qFormat/>
    <w:rsid w:val="003B1DBD"/>
    <w:pPr>
      <w:jc w:val="center"/>
    </w:pPr>
    <w:rPr>
      <w:rFonts w:ascii="Helvetica" w:hAnsi="Helvetica"/>
      <w:b/>
      <w:szCs w:val="20"/>
    </w:rPr>
  </w:style>
  <w:style w:type="paragraph" w:styleId="Footer">
    <w:name w:val="footer"/>
    <w:basedOn w:val="Normal"/>
    <w:link w:val="FooterChar"/>
    <w:uiPriority w:val="99"/>
    <w:rsid w:val="003B1DBD"/>
    <w:pPr>
      <w:tabs>
        <w:tab w:val="center" w:pos="4320"/>
        <w:tab w:val="right" w:pos="8640"/>
      </w:tabs>
    </w:pPr>
  </w:style>
  <w:style w:type="character" w:styleId="PageNumber">
    <w:name w:val="page number"/>
    <w:basedOn w:val="DefaultParagraphFont"/>
    <w:rsid w:val="003B1DBD"/>
  </w:style>
  <w:style w:type="paragraph" w:styleId="FootnoteText">
    <w:name w:val="footnote text"/>
    <w:aliases w:val="Car,Footnote Text Char2 Char,Footnote Text Char1 Char Char,Footnote Text Char Char Char Char,Footnote Text Char2 Char Char Char Char,Footnote Text Char1 Char1 Char1 Char Char Char,ft Char,fn,Footnote Text Char Char,ft"/>
    <w:basedOn w:val="Normal"/>
    <w:link w:val="FootnoteTextChar"/>
    <w:rsid w:val="00BA0B64"/>
    <w:rPr>
      <w:sz w:val="20"/>
      <w:szCs w:val="20"/>
    </w:rPr>
  </w:style>
  <w:style w:type="character" w:customStyle="1" w:styleId="FootnoteTextChar">
    <w:name w:val="Footnote Text Char"/>
    <w:aliases w:val="Car Char,Footnote Text Char2 Char Char,Footnote Text Char1 Char Char Char,Footnote Text Char Char Char Char Char,Footnote Text Char2 Char Char Char Char Char,Footnote Text Char1 Char1 Char1 Char Char Char Char,ft Char Char,fn Char"/>
    <w:basedOn w:val="DefaultParagraphFont"/>
    <w:link w:val="FootnoteText"/>
    <w:rsid w:val="00BA0B64"/>
  </w:style>
  <w:style w:type="character" w:styleId="FootnoteReference">
    <w:name w:val="footnote reference"/>
    <w:aliases w:val="o"/>
    <w:rsid w:val="00BA0B64"/>
    <w:rPr>
      <w:vertAlign w:val="superscript"/>
    </w:rPr>
  </w:style>
  <w:style w:type="paragraph" w:styleId="BalloonText">
    <w:name w:val="Balloon Text"/>
    <w:basedOn w:val="Normal"/>
    <w:link w:val="BalloonTextChar"/>
    <w:rsid w:val="00C4711D"/>
    <w:rPr>
      <w:rFonts w:ascii="Tahoma" w:hAnsi="Tahoma" w:cs="Tahoma"/>
      <w:sz w:val="16"/>
      <w:szCs w:val="16"/>
    </w:rPr>
  </w:style>
  <w:style w:type="character" w:customStyle="1" w:styleId="BalloonTextChar">
    <w:name w:val="Balloon Text Char"/>
    <w:link w:val="BalloonText"/>
    <w:rsid w:val="00C4711D"/>
    <w:rPr>
      <w:rFonts w:ascii="Tahoma" w:hAnsi="Tahoma" w:cs="Tahoma"/>
      <w:sz w:val="16"/>
      <w:szCs w:val="16"/>
    </w:rPr>
  </w:style>
  <w:style w:type="character" w:styleId="Hyperlink">
    <w:name w:val="Hyperlink"/>
    <w:rsid w:val="00764279"/>
    <w:rPr>
      <w:color w:val="0000FF"/>
      <w:u w:val="single"/>
    </w:rPr>
  </w:style>
  <w:style w:type="paragraph" w:styleId="ListParagraph">
    <w:name w:val="List Paragraph"/>
    <w:basedOn w:val="Normal"/>
    <w:uiPriority w:val="34"/>
    <w:qFormat/>
    <w:rsid w:val="00C63858"/>
    <w:pPr>
      <w:ind w:left="720"/>
    </w:pPr>
  </w:style>
  <w:style w:type="character" w:customStyle="1" w:styleId="FooterChar">
    <w:name w:val="Footer Char"/>
    <w:link w:val="Footer"/>
    <w:uiPriority w:val="99"/>
    <w:rsid w:val="00264BA6"/>
    <w:rPr>
      <w:sz w:val="24"/>
      <w:szCs w:val="24"/>
    </w:rPr>
  </w:style>
  <w:style w:type="character" w:styleId="CommentReference">
    <w:name w:val="annotation reference"/>
    <w:basedOn w:val="DefaultParagraphFont"/>
    <w:rsid w:val="006C3281"/>
    <w:rPr>
      <w:sz w:val="16"/>
      <w:szCs w:val="16"/>
    </w:rPr>
  </w:style>
  <w:style w:type="paragraph" w:styleId="CommentText">
    <w:name w:val="annotation text"/>
    <w:basedOn w:val="Normal"/>
    <w:link w:val="CommentTextChar"/>
    <w:rsid w:val="006C3281"/>
    <w:rPr>
      <w:sz w:val="20"/>
      <w:szCs w:val="20"/>
    </w:rPr>
  </w:style>
  <w:style w:type="character" w:customStyle="1" w:styleId="CommentTextChar">
    <w:name w:val="Comment Text Char"/>
    <w:basedOn w:val="DefaultParagraphFont"/>
    <w:link w:val="CommentText"/>
    <w:rsid w:val="006C3281"/>
  </w:style>
  <w:style w:type="paragraph" w:styleId="CommentSubject">
    <w:name w:val="annotation subject"/>
    <w:basedOn w:val="CommentText"/>
    <w:next w:val="CommentText"/>
    <w:link w:val="CommentSubjectChar"/>
    <w:rsid w:val="006C3281"/>
    <w:rPr>
      <w:b/>
      <w:bCs/>
    </w:rPr>
  </w:style>
  <w:style w:type="character" w:customStyle="1" w:styleId="CommentSubjectChar">
    <w:name w:val="Comment Subject Char"/>
    <w:basedOn w:val="CommentTextChar"/>
    <w:link w:val="CommentSubject"/>
    <w:rsid w:val="006C3281"/>
    <w:rPr>
      <w:b/>
      <w:bCs/>
    </w:rPr>
  </w:style>
  <w:style w:type="character" w:customStyle="1" w:styleId="Heading1Char">
    <w:name w:val="Heading 1 Char"/>
    <w:basedOn w:val="DefaultParagraphFont"/>
    <w:link w:val="Heading1"/>
    <w:rsid w:val="00A56CD7"/>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qFormat/>
    <w:rsid w:val="00A56CD7"/>
    <w:rPr>
      <w:i/>
      <w:iCs/>
    </w:rPr>
  </w:style>
  <w:style w:type="character" w:styleId="Strong">
    <w:name w:val="Strong"/>
    <w:basedOn w:val="DefaultParagraphFont"/>
    <w:qFormat/>
    <w:rsid w:val="00A56CD7"/>
    <w:rPr>
      <w:b/>
      <w:bCs/>
    </w:rPr>
  </w:style>
  <w:style w:type="paragraph" w:styleId="NoSpacing">
    <w:name w:val="No Spacing"/>
    <w:uiPriority w:val="1"/>
    <w:qFormat/>
    <w:rsid w:val="00A56CD7"/>
    <w:rPr>
      <w:sz w:val="24"/>
      <w:szCs w:val="24"/>
    </w:rPr>
  </w:style>
  <w:style w:type="character" w:styleId="BookTitle">
    <w:name w:val="Book Title"/>
    <w:basedOn w:val="DefaultParagraphFont"/>
    <w:uiPriority w:val="33"/>
    <w:qFormat/>
    <w:rsid w:val="00A56CD7"/>
    <w:rPr>
      <w:b/>
      <w:bCs/>
      <w:smallCaps/>
      <w:spacing w:val="5"/>
    </w:rPr>
  </w:style>
  <w:style w:type="character" w:customStyle="1" w:styleId="Heading2Char">
    <w:name w:val="Heading 2 Char"/>
    <w:basedOn w:val="DefaultParagraphFont"/>
    <w:link w:val="Heading2"/>
    <w:semiHidden/>
    <w:rsid w:val="009B73E0"/>
    <w:rPr>
      <w:rFonts w:asciiTheme="majorHAnsi" w:eastAsiaTheme="majorEastAsia" w:hAnsiTheme="majorHAnsi" w:cstheme="majorBidi"/>
      <w:color w:val="365F91" w:themeColor="accent1" w:themeShade="BF"/>
      <w:sz w:val="26"/>
      <w:szCs w:val="26"/>
    </w:rPr>
  </w:style>
  <w:style w:type="paragraph" w:styleId="BodyTextIndent">
    <w:name w:val="Body Text Indent"/>
    <w:basedOn w:val="Normal"/>
    <w:link w:val="BodyTextIndentChar"/>
    <w:rsid w:val="00AA193E"/>
    <w:pPr>
      <w:spacing w:after="120"/>
      <w:ind w:left="360"/>
    </w:pPr>
  </w:style>
  <w:style w:type="character" w:customStyle="1" w:styleId="BodyTextIndentChar">
    <w:name w:val="Body Text Indent Char"/>
    <w:basedOn w:val="DefaultParagraphFont"/>
    <w:link w:val="BodyTextIndent"/>
    <w:rsid w:val="00AA193E"/>
    <w:rPr>
      <w:sz w:val="24"/>
      <w:szCs w:val="24"/>
    </w:rPr>
  </w:style>
  <w:style w:type="paragraph" w:customStyle="1" w:styleId="CaseCaption2">
    <w:name w:val="Case Caption 2"/>
    <w:basedOn w:val="Normal"/>
    <w:uiPriority w:val="99"/>
    <w:rsid w:val="00AA193E"/>
    <w:pPr>
      <w:ind w:left="1440"/>
      <w:jc w:val="center"/>
    </w:pPr>
  </w:style>
  <w:style w:type="paragraph" w:customStyle="1" w:styleId="main">
    <w:name w:val="main"/>
    <w:basedOn w:val="Normal"/>
    <w:uiPriority w:val="99"/>
    <w:rsid w:val="00AA193E"/>
    <w:pPr>
      <w:ind w:left="1440"/>
      <w:jc w:val="center"/>
    </w:pPr>
    <w:rPr>
      <w:rFonts w:ascii="Helvetica" w:hAnsi="Helvetica" w:cs="Helvetica"/>
      <w:b/>
      <w:bCs/>
      <w:sz w:val="26"/>
      <w:szCs w:val="26"/>
    </w:rPr>
  </w:style>
  <w:style w:type="character" w:customStyle="1" w:styleId="highlight">
    <w:name w:val="highlight"/>
    <w:basedOn w:val="DefaultParagraphFont"/>
    <w:rsid w:val="00AA193E"/>
  </w:style>
  <w:style w:type="paragraph" w:customStyle="1" w:styleId="CroweBodyCopy">
    <w:name w:val="Crowe Body Copy"/>
    <w:basedOn w:val="Normal"/>
    <w:link w:val="CroweBodyCopyChar"/>
    <w:qFormat/>
    <w:rsid w:val="002078AD"/>
    <w:pPr>
      <w:widowControl w:val="0"/>
      <w:autoSpaceDE w:val="0"/>
      <w:autoSpaceDN w:val="0"/>
      <w:adjustRightInd w:val="0"/>
      <w:spacing w:after="120"/>
    </w:pPr>
    <w:rPr>
      <w:rFonts w:ascii="Arial" w:hAnsi="Arial"/>
      <w:sz w:val="20"/>
    </w:rPr>
  </w:style>
  <w:style w:type="character" w:customStyle="1" w:styleId="CroweBodyCopyChar">
    <w:name w:val="Crowe Body Copy Char"/>
    <w:basedOn w:val="DefaultParagraphFont"/>
    <w:link w:val="CroweBodyCopy"/>
    <w:locked/>
    <w:rsid w:val="002078AD"/>
    <w:rPr>
      <w:rFonts w:ascii="Arial" w:hAnsi="Arial"/>
      <w:szCs w:val="24"/>
    </w:rPr>
  </w:style>
  <w:style w:type="paragraph" w:customStyle="1" w:styleId="1xx">
    <w:name w:val="1. xx"/>
    <w:basedOn w:val="CroweBodyCopy"/>
    <w:qFormat/>
    <w:rsid w:val="002078AD"/>
    <w:pPr>
      <w:widowControl/>
      <w:numPr>
        <w:numId w:val="40"/>
      </w:numPr>
      <w:autoSpaceDE/>
      <w:autoSpaceDN/>
      <w:adjustRightInd/>
    </w:pPr>
    <w:rPr>
      <w:szCs w:val="20"/>
    </w:rPr>
  </w:style>
  <w:style w:type="table" w:styleId="TableGrid">
    <w:name w:val="Table Grid"/>
    <w:basedOn w:val="TableNormal"/>
    <w:uiPriority w:val="59"/>
    <w:rsid w:val="00140D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D5247"/>
    <w:rPr>
      <w:color w:val="605E5C"/>
      <w:shd w:val="clear" w:color="auto" w:fill="E1DFDD"/>
    </w:rPr>
  </w:style>
  <w:style w:type="character" w:customStyle="1" w:styleId="standardChar">
    <w:name w:val="standard Char"/>
    <w:link w:val="standard"/>
    <w:locked/>
    <w:rsid w:val="00325F43"/>
    <w:rPr>
      <w:rFonts w:ascii="Palatino" w:hAnsi="Palatino"/>
      <w:sz w:val="26"/>
    </w:rPr>
  </w:style>
  <w:style w:type="paragraph" w:customStyle="1" w:styleId="standard">
    <w:name w:val="standard"/>
    <w:basedOn w:val="Normal"/>
    <w:link w:val="standardChar"/>
    <w:rsid w:val="00325F43"/>
    <w:pPr>
      <w:spacing w:line="360" w:lineRule="auto"/>
      <w:ind w:firstLine="720"/>
    </w:pPr>
    <w:rPr>
      <w:rFonts w:ascii="Palatino" w:hAnsi="Palatino"/>
      <w:sz w:val="26"/>
      <w:szCs w:val="20"/>
    </w:rPr>
  </w:style>
  <w:style w:type="character" w:styleId="FollowedHyperlink">
    <w:name w:val="FollowedHyperlink"/>
    <w:basedOn w:val="DefaultParagraphFont"/>
    <w:semiHidden/>
    <w:unhideWhenUsed/>
    <w:rsid w:val="00AC16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682844">
      <w:bodyDiv w:val="1"/>
      <w:marLeft w:val="0"/>
      <w:marRight w:val="0"/>
      <w:marTop w:val="0"/>
      <w:marBottom w:val="0"/>
      <w:divBdr>
        <w:top w:val="none" w:sz="0" w:space="0" w:color="auto"/>
        <w:left w:val="none" w:sz="0" w:space="0" w:color="auto"/>
        <w:bottom w:val="none" w:sz="0" w:space="0" w:color="auto"/>
        <w:right w:val="none" w:sz="0" w:space="0" w:color="auto"/>
      </w:divBdr>
      <w:divsChild>
        <w:div w:id="136193778">
          <w:marLeft w:val="0"/>
          <w:marRight w:val="0"/>
          <w:marTop w:val="0"/>
          <w:marBottom w:val="0"/>
          <w:divBdr>
            <w:top w:val="none" w:sz="0" w:space="0" w:color="auto"/>
            <w:left w:val="none" w:sz="0" w:space="0" w:color="auto"/>
            <w:bottom w:val="none" w:sz="0" w:space="0" w:color="auto"/>
            <w:right w:val="none" w:sz="0" w:space="0" w:color="auto"/>
          </w:divBdr>
          <w:divsChild>
            <w:div w:id="1401978876">
              <w:marLeft w:val="0"/>
              <w:marRight w:val="0"/>
              <w:marTop w:val="0"/>
              <w:marBottom w:val="0"/>
              <w:divBdr>
                <w:top w:val="none" w:sz="0" w:space="0" w:color="auto"/>
                <w:left w:val="none" w:sz="0" w:space="0" w:color="auto"/>
                <w:bottom w:val="none" w:sz="0" w:space="0" w:color="auto"/>
                <w:right w:val="none" w:sz="0" w:space="0" w:color="auto"/>
              </w:divBdr>
              <w:divsChild>
                <w:div w:id="1108037856">
                  <w:marLeft w:val="0"/>
                  <w:marRight w:val="0"/>
                  <w:marTop w:val="0"/>
                  <w:marBottom w:val="0"/>
                  <w:divBdr>
                    <w:top w:val="none" w:sz="0" w:space="0" w:color="auto"/>
                    <w:left w:val="none" w:sz="0" w:space="0" w:color="auto"/>
                    <w:bottom w:val="none" w:sz="0" w:space="0" w:color="auto"/>
                    <w:right w:val="none" w:sz="0" w:space="0" w:color="auto"/>
                  </w:divBdr>
                  <w:divsChild>
                    <w:div w:id="999499807">
                      <w:marLeft w:val="0"/>
                      <w:marRight w:val="300"/>
                      <w:marTop w:val="0"/>
                      <w:marBottom w:val="0"/>
                      <w:divBdr>
                        <w:top w:val="none" w:sz="0" w:space="0" w:color="auto"/>
                        <w:left w:val="none" w:sz="0" w:space="0" w:color="auto"/>
                        <w:bottom w:val="none" w:sz="0" w:space="0" w:color="auto"/>
                        <w:right w:val="none" w:sz="0" w:space="0" w:color="auto"/>
                      </w:divBdr>
                      <w:divsChild>
                        <w:div w:id="1967199885">
                          <w:marLeft w:val="0"/>
                          <w:marRight w:val="300"/>
                          <w:marTop w:val="0"/>
                          <w:marBottom w:val="0"/>
                          <w:divBdr>
                            <w:top w:val="none" w:sz="0" w:space="0" w:color="auto"/>
                            <w:left w:val="none" w:sz="0" w:space="0" w:color="auto"/>
                            <w:bottom w:val="none" w:sz="0" w:space="0" w:color="auto"/>
                            <w:right w:val="none" w:sz="0" w:space="0" w:color="auto"/>
                          </w:divBdr>
                          <w:divsChild>
                            <w:div w:id="1804231096">
                              <w:marLeft w:val="0"/>
                              <w:marRight w:val="0"/>
                              <w:marTop w:val="0"/>
                              <w:marBottom w:val="0"/>
                              <w:divBdr>
                                <w:top w:val="none" w:sz="0" w:space="0" w:color="auto"/>
                                <w:left w:val="none" w:sz="0" w:space="0" w:color="auto"/>
                                <w:bottom w:val="none" w:sz="0" w:space="0" w:color="auto"/>
                                <w:right w:val="none" w:sz="0" w:space="0" w:color="auto"/>
                              </w:divBdr>
                              <w:divsChild>
                                <w:div w:id="2090348764">
                                  <w:marLeft w:val="0"/>
                                  <w:marRight w:val="0"/>
                                  <w:marTop w:val="0"/>
                                  <w:marBottom w:val="0"/>
                                  <w:divBdr>
                                    <w:top w:val="none" w:sz="0" w:space="0" w:color="auto"/>
                                    <w:left w:val="none" w:sz="0" w:space="0" w:color="auto"/>
                                    <w:bottom w:val="none" w:sz="0" w:space="0" w:color="auto"/>
                                    <w:right w:val="none" w:sz="0" w:space="0" w:color="auto"/>
                                  </w:divBdr>
                                  <w:divsChild>
                                    <w:div w:id="1983071210">
                                      <w:marLeft w:val="0"/>
                                      <w:marRight w:val="0"/>
                                      <w:marTop w:val="0"/>
                                      <w:marBottom w:val="0"/>
                                      <w:divBdr>
                                        <w:top w:val="none" w:sz="0" w:space="0" w:color="auto"/>
                                        <w:left w:val="none" w:sz="0" w:space="0" w:color="auto"/>
                                        <w:bottom w:val="none" w:sz="0" w:space="0" w:color="auto"/>
                                        <w:right w:val="none" w:sz="0" w:space="0" w:color="auto"/>
                                      </w:divBdr>
                                      <w:divsChild>
                                        <w:div w:id="1656107845">
                                          <w:marLeft w:val="3"/>
                                          <w:marRight w:val="3"/>
                                          <w:marTop w:val="1"/>
                                          <w:marBottom w:val="2"/>
                                          <w:divBdr>
                                            <w:top w:val="single" w:sz="6" w:space="6" w:color="CCCCCC"/>
                                            <w:left w:val="single" w:sz="6" w:space="6" w:color="CCCCCC"/>
                                            <w:bottom w:val="single" w:sz="6" w:space="6" w:color="CCCCCC"/>
                                            <w:right w:val="single" w:sz="6" w:space="6" w:color="CCCCCC"/>
                                          </w:divBdr>
                                        </w:div>
                                      </w:divsChild>
                                    </w:div>
                                  </w:divsChild>
                                </w:div>
                              </w:divsChild>
                            </w:div>
                          </w:divsChild>
                        </w:div>
                      </w:divsChild>
                    </w:div>
                  </w:divsChild>
                </w:div>
              </w:divsChild>
            </w:div>
          </w:divsChild>
        </w:div>
      </w:divsChild>
    </w:div>
    <w:div w:id="685904404">
      <w:bodyDiv w:val="1"/>
      <w:marLeft w:val="0"/>
      <w:marRight w:val="0"/>
      <w:marTop w:val="0"/>
      <w:marBottom w:val="0"/>
      <w:divBdr>
        <w:top w:val="none" w:sz="0" w:space="0" w:color="auto"/>
        <w:left w:val="none" w:sz="0" w:space="0" w:color="auto"/>
        <w:bottom w:val="none" w:sz="0" w:space="0" w:color="auto"/>
        <w:right w:val="none" w:sz="0" w:space="0" w:color="auto"/>
      </w:divBdr>
    </w:div>
    <w:div w:id="701856064">
      <w:bodyDiv w:val="1"/>
      <w:marLeft w:val="0"/>
      <w:marRight w:val="0"/>
      <w:marTop w:val="0"/>
      <w:marBottom w:val="0"/>
      <w:divBdr>
        <w:top w:val="none" w:sz="0" w:space="0" w:color="auto"/>
        <w:left w:val="none" w:sz="0" w:space="0" w:color="auto"/>
        <w:bottom w:val="none" w:sz="0" w:space="0" w:color="auto"/>
        <w:right w:val="none" w:sz="0" w:space="0" w:color="auto"/>
      </w:divBdr>
    </w:div>
    <w:div w:id="1141114752">
      <w:bodyDiv w:val="1"/>
      <w:marLeft w:val="0"/>
      <w:marRight w:val="0"/>
      <w:marTop w:val="0"/>
      <w:marBottom w:val="0"/>
      <w:divBdr>
        <w:top w:val="none" w:sz="0" w:space="0" w:color="auto"/>
        <w:left w:val="none" w:sz="0" w:space="0" w:color="auto"/>
        <w:bottom w:val="none" w:sz="0" w:space="0" w:color="auto"/>
        <w:right w:val="none" w:sz="0" w:space="0" w:color="auto"/>
      </w:divBdr>
    </w:div>
    <w:div w:id="1183208862">
      <w:bodyDiv w:val="1"/>
      <w:marLeft w:val="0"/>
      <w:marRight w:val="0"/>
      <w:marTop w:val="0"/>
      <w:marBottom w:val="0"/>
      <w:divBdr>
        <w:top w:val="none" w:sz="0" w:space="0" w:color="auto"/>
        <w:left w:val="none" w:sz="0" w:space="0" w:color="auto"/>
        <w:bottom w:val="none" w:sz="0" w:space="0" w:color="auto"/>
        <w:right w:val="none" w:sz="0" w:space="0" w:color="auto"/>
      </w:divBdr>
    </w:div>
    <w:div w:id="1440415780">
      <w:bodyDiv w:val="1"/>
      <w:marLeft w:val="0"/>
      <w:marRight w:val="0"/>
      <w:marTop w:val="0"/>
      <w:marBottom w:val="0"/>
      <w:divBdr>
        <w:top w:val="none" w:sz="0" w:space="0" w:color="auto"/>
        <w:left w:val="none" w:sz="0" w:space="0" w:color="auto"/>
        <w:bottom w:val="none" w:sz="0" w:space="0" w:color="auto"/>
        <w:right w:val="none" w:sz="0" w:space="0" w:color="auto"/>
      </w:divBdr>
    </w:div>
    <w:div w:id="1625773409">
      <w:bodyDiv w:val="1"/>
      <w:marLeft w:val="0"/>
      <w:marRight w:val="0"/>
      <w:marTop w:val="0"/>
      <w:marBottom w:val="0"/>
      <w:divBdr>
        <w:top w:val="none" w:sz="0" w:space="0" w:color="auto"/>
        <w:left w:val="none" w:sz="0" w:space="0" w:color="auto"/>
        <w:bottom w:val="none" w:sz="0" w:space="0" w:color="auto"/>
        <w:right w:val="none" w:sz="0" w:space="0" w:color="auto"/>
      </w:divBdr>
    </w:div>
    <w:div w:id="1733043028">
      <w:bodyDiv w:val="1"/>
      <w:marLeft w:val="0"/>
      <w:marRight w:val="0"/>
      <w:marTop w:val="0"/>
      <w:marBottom w:val="0"/>
      <w:divBdr>
        <w:top w:val="none" w:sz="0" w:space="0" w:color="auto"/>
        <w:left w:val="none" w:sz="0" w:space="0" w:color="auto"/>
        <w:bottom w:val="none" w:sz="0" w:space="0" w:color="auto"/>
        <w:right w:val="none" w:sz="0" w:space="0" w:color="auto"/>
      </w:divBdr>
    </w:div>
    <w:div w:id="1816870168">
      <w:bodyDiv w:val="1"/>
      <w:marLeft w:val="0"/>
      <w:marRight w:val="0"/>
      <w:marTop w:val="0"/>
      <w:marBottom w:val="0"/>
      <w:divBdr>
        <w:top w:val="none" w:sz="0" w:space="0" w:color="auto"/>
        <w:left w:val="none" w:sz="0" w:space="0" w:color="auto"/>
        <w:bottom w:val="none" w:sz="0" w:space="0" w:color="auto"/>
        <w:right w:val="none" w:sz="0" w:space="0" w:color="auto"/>
      </w:divBdr>
    </w:div>
    <w:div w:id="1914119881">
      <w:bodyDiv w:val="1"/>
      <w:marLeft w:val="0"/>
      <w:marRight w:val="0"/>
      <w:marTop w:val="0"/>
      <w:marBottom w:val="0"/>
      <w:divBdr>
        <w:top w:val="none" w:sz="0" w:space="0" w:color="auto"/>
        <w:left w:val="none" w:sz="0" w:space="0" w:color="auto"/>
        <w:bottom w:val="none" w:sz="0" w:space="0" w:color="auto"/>
        <w:right w:val="none" w:sz="0" w:space="0" w:color="auto"/>
      </w:divBdr>
      <w:divsChild>
        <w:div w:id="1237596921">
          <w:marLeft w:val="0"/>
          <w:marRight w:val="0"/>
          <w:marTop w:val="0"/>
          <w:marBottom w:val="0"/>
          <w:divBdr>
            <w:top w:val="none" w:sz="0" w:space="0" w:color="auto"/>
            <w:left w:val="none" w:sz="0" w:space="0" w:color="auto"/>
            <w:bottom w:val="none" w:sz="0" w:space="0" w:color="auto"/>
            <w:right w:val="none" w:sz="0" w:space="0" w:color="auto"/>
          </w:divBdr>
          <w:divsChild>
            <w:div w:id="545989413">
              <w:marLeft w:val="0"/>
              <w:marRight w:val="0"/>
              <w:marTop w:val="0"/>
              <w:marBottom w:val="0"/>
              <w:divBdr>
                <w:top w:val="none" w:sz="0" w:space="0" w:color="auto"/>
                <w:left w:val="none" w:sz="0" w:space="0" w:color="auto"/>
                <w:bottom w:val="none" w:sz="0" w:space="0" w:color="auto"/>
                <w:right w:val="none" w:sz="0" w:space="0" w:color="auto"/>
              </w:divBdr>
              <w:divsChild>
                <w:div w:id="1563561392">
                  <w:marLeft w:val="0"/>
                  <w:marRight w:val="0"/>
                  <w:marTop w:val="0"/>
                  <w:marBottom w:val="0"/>
                  <w:divBdr>
                    <w:top w:val="none" w:sz="0" w:space="0" w:color="auto"/>
                    <w:left w:val="none" w:sz="0" w:space="0" w:color="auto"/>
                    <w:bottom w:val="none" w:sz="0" w:space="0" w:color="auto"/>
                    <w:right w:val="none" w:sz="0" w:space="0" w:color="auto"/>
                  </w:divBdr>
                  <w:divsChild>
                    <w:div w:id="822234166">
                      <w:marLeft w:val="0"/>
                      <w:marRight w:val="300"/>
                      <w:marTop w:val="0"/>
                      <w:marBottom w:val="0"/>
                      <w:divBdr>
                        <w:top w:val="none" w:sz="0" w:space="0" w:color="auto"/>
                        <w:left w:val="none" w:sz="0" w:space="0" w:color="auto"/>
                        <w:bottom w:val="none" w:sz="0" w:space="0" w:color="auto"/>
                        <w:right w:val="none" w:sz="0" w:space="0" w:color="auto"/>
                      </w:divBdr>
                      <w:divsChild>
                        <w:div w:id="1316684124">
                          <w:marLeft w:val="0"/>
                          <w:marRight w:val="300"/>
                          <w:marTop w:val="0"/>
                          <w:marBottom w:val="0"/>
                          <w:divBdr>
                            <w:top w:val="none" w:sz="0" w:space="0" w:color="auto"/>
                            <w:left w:val="none" w:sz="0" w:space="0" w:color="auto"/>
                            <w:bottom w:val="none" w:sz="0" w:space="0" w:color="auto"/>
                            <w:right w:val="none" w:sz="0" w:space="0" w:color="auto"/>
                          </w:divBdr>
                          <w:divsChild>
                            <w:div w:id="1968657936">
                              <w:marLeft w:val="0"/>
                              <w:marRight w:val="0"/>
                              <w:marTop w:val="0"/>
                              <w:marBottom w:val="0"/>
                              <w:divBdr>
                                <w:top w:val="none" w:sz="0" w:space="0" w:color="auto"/>
                                <w:left w:val="none" w:sz="0" w:space="0" w:color="auto"/>
                                <w:bottom w:val="none" w:sz="0" w:space="0" w:color="auto"/>
                                <w:right w:val="none" w:sz="0" w:space="0" w:color="auto"/>
                              </w:divBdr>
                              <w:divsChild>
                                <w:div w:id="1282764434">
                                  <w:marLeft w:val="0"/>
                                  <w:marRight w:val="0"/>
                                  <w:marTop w:val="0"/>
                                  <w:marBottom w:val="0"/>
                                  <w:divBdr>
                                    <w:top w:val="none" w:sz="0" w:space="0" w:color="auto"/>
                                    <w:left w:val="none" w:sz="0" w:space="0" w:color="auto"/>
                                    <w:bottom w:val="none" w:sz="0" w:space="0" w:color="auto"/>
                                    <w:right w:val="none" w:sz="0" w:space="0" w:color="auto"/>
                                  </w:divBdr>
                                  <w:divsChild>
                                    <w:div w:id="57949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0252508">
      <w:bodyDiv w:val="1"/>
      <w:marLeft w:val="0"/>
      <w:marRight w:val="0"/>
      <w:marTop w:val="0"/>
      <w:marBottom w:val="0"/>
      <w:divBdr>
        <w:top w:val="none" w:sz="0" w:space="0" w:color="auto"/>
        <w:left w:val="none" w:sz="0" w:space="0" w:color="auto"/>
        <w:bottom w:val="none" w:sz="0" w:space="0" w:color="auto"/>
        <w:right w:val="none" w:sz="0" w:space="0" w:color="auto"/>
      </w:divBdr>
    </w:div>
    <w:div w:id="210187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puc.ca.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puc.ca.gov/"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gif"/></Relationships>
</file>

<file path=word/_rels/footnotes.xml.rels><?xml version="1.0" encoding="UTF-8" standalone="yes"?>
<Relationships xmlns="http://schemas.openxmlformats.org/package/2006/relationships"><Relationship Id="rId8" Type="http://schemas.openxmlformats.org/officeDocument/2006/relationships/hyperlink" Target="http://docs.cpuc.ca.gov/SearchRes.aspx?DocFormat=ALL&amp;DocID=309591818" TargetMode="External"/><Relationship Id="rId3" Type="http://schemas.openxmlformats.org/officeDocument/2006/relationships/hyperlink" Target="http://docs.cpuc.ca.gov/SearchRes.aspx?DocFormat=ALL&amp;DocID=283492569" TargetMode="External"/><Relationship Id="rId7" Type="http://schemas.openxmlformats.org/officeDocument/2006/relationships/hyperlink" Target="http://docs.cpuc.ca.gov/SearchRes.aspx?DocFormat=ALL&amp;DocID=283563009" TargetMode="External"/><Relationship Id="rId2" Type="http://schemas.openxmlformats.org/officeDocument/2006/relationships/hyperlink" Target="http://docs.cpuc.ca.gov/SearchRes.aspx?DocFormat=ALL&amp;DocID=283492569" TargetMode="External"/><Relationship Id="rId1" Type="http://schemas.openxmlformats.org/officeDocument/2006/relationships/hyperlink" Target="http://docs.cpuc.ca.gov/SearchRes.aspx?DocFormat=ALL&amp;DocID=283492569" TargetMode="External"/><Relationship Id="rId6" Type="http://schemas.openxmlformats.org/officeDocument/2006/relationships/hyperlink" Target="http://docs.cpuc.ca.gov/SearchRes.aspx?DocFormat=ALL&amp;DocID=309591818" TargetMode="External"/><Relationship Id="rId5" Type="http://schemas.openxmlformats.org/officeDocument/2006/relationships/hyperlink" Target="http://docs.cpuc.ca.gov/PublishedDocs/Efile/G000/M265/K820/265820389.PDF" TargetMode="External"/><Relationship Id="rId4" Type="http://schemas.openxmlformats.org/officeDocument/2006/relationships/hyperlink" Target="http://docs.cpuc.ca.gov/SearchRes.aspx?DocFormat=ALL&amp;DocID=2834925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0FFBBE0AC460F4AA4CC26C1F6896B31" ma:contentTypeVersion="7" ma:contentTypeDescription="Create a new document." ma:contentTypeScope="" ma:versionID="d414ba7d139d9a0d070d9cdce8f548bf">
  <xsd:schema xmlns:xsd="http://www.w3.org/2001/XMLSchema" xmlns:xs="http://www.w3.org/2001/XMLSchema" xmlns:p="http://schemas.microsoft.com/office/2006/metadata/properties" xmlns:ns3="d029ddf9-aa33-495e-b1b4-6d6821277222" xmlns:ns4="cfa8c6a1-a26a-4531-bba0-41196200a045" targetNamespace="http://schemas.microsoft.com/office/2006/metadata/properties" ma:root="true" ma:fieldsID="c71c01e4137c0bc0515703977cc1b2c7" ns3:_="" ns4:_="">
    <xsd:import namespace="d029ddf9-aa33-495e-b1b4-6d6821277222"/>
    <xsd:import namespace="cfa8c6a1-a26a-4531-bba0-41196200a04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29ddf9-aa33-495e-b1b4-6d68212772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a8c6a1-a26a-4531-bba0-41196200a04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EE3B5-8E88-4C35-A8AF-5A0724E8F9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79EE23-10CF-4BE7-822A-15AF80C80B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29ddf9-aa33-495e-b1b4-6d6821277222"/>
    <ds:schemaRef ds:uri="cfa8c6a1-a26a-4531-bba0-41196200a0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9C740D-DF0E-41EC-BBCE-8D7BDBA46232}">
  <ds:schemaRefs>
    <ds:schemaRef ds:uri="http://schemas.microsoft.com/sharepoint/v3/contenttype/forms"/>
  </ds:schemaRefs>
</ds:datastoreItem>
</file>

<file path=customXml/itemProps4.xml><?xml version="1.0" encoding="utf-8"?>
<ds:datastoreItem xmlns:ds="http://schemas.openxmlformats.org/officeDocument/2006/customXml" ds:itemID="{DB24655A-27DD-45A0-838D-16C0C19A9173}">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16</ap:Pages>
  <ap:Words>4384</ap:Words>
  <ap:Characters>25543</ap:Characters>
  <ap:Application>Microsoft Office Word</ap:Application>
  <ap:DocSecurity>0</ap:DocSecurity>
  <ap:Lines>212</ap:Lines>
  <ap:Paragraphs>59</ap:Paragraphs>
  <ap:ScaleCrop>false</ap:ScaleCrop>
  <ap:HeadingPairs>
    <vt:vector baseType="variant" size="2">
      <vt:variant>
        <vt:lpstr>Title</vt:lpstr>
      </vt:variant>
      <vt:variant>
        <vt:i4>1</vt:i4>
      </vt:variant>
    </vt:vector>
  </ap:HeadingPairs>
  <ap:TitlesOfParts>
    <vt:vector baseType="lpstr" size="1">
      <vt:lpstr>_</vt:lpstr>
    </vt:vector>
  </ap:TitlesOfParts>
  <ap:Manager/>
  <ap:Company/>
  <ap:LinksUpToDate>false</ap:LinksUpToDate>
  <ap:CharactersWithSpaces>29868</ap:CharactersWithSpaces>
  <ap:SharedDoc>false</ap:SharedDoc>
  <ap:HyperlinkBase/>
  <ap:HLinks>
    <vt:vector baseType="variant" size="18">
      <vt:variant>
        <vt:i4>6488161</vt:i4>
      </vt:variant>
      <vt:variant>
        <vt:i4>3</vt:i4>
      </vt:variant>
      <vt:variant>
        <vt:i4>0</vt:i4>
      </vt:variant>
      <vt:variant>
        <vt:i4>5</vt:i4>
      </vt:variant>
      <vt:variant>
        <vt:lpwstr>http://www.cpuc.ca.gov/</vt:lpwstr>
      </vt:variant>
      <vt:variant>
        <vt:lpwstr/>
      </vt:variant>
      <vt:variant>
        <vt:i4>6488161</vt:i4>
      </vt:variant>
      <vt:variant>
        <vt:i4>0</vt:i4>
      </vt:variant>
      <vt:variant>
        <vt:i4>0</vt:i4>
      </vt:variant>
      <vt:variant>
        <vt:i4>5</vt:i4>
      </vt:variant>
      <vt:variant>
        <vt:lpwstr>http://www.cpuc.ca.gov/</vt:lpwstr>
      </vt:variant>
      <vt:variant>
        <vt:lpwstr/>
      </vt:variant>
      <vt:variant>
        <vt:i4>3080246</vt:i4>
      </vt:variant>
      <vt:variant>
        <vt:i4>0</vt:i4>
      </vt:variant>
      <vt:variant>
        <vt:i4>0</vt:i4>
      </vt:variant>
      <vt:variant>
        <vt:i4>5</vt:i4>
      </vt:variant>
      <vt:variant>
        <vt:lpwstr>http://www.federalreserve.gov/</vt:lpwstr>
      </vt:variant>
      <vt:variant>
        <vt:lpwstr/>
      </vt:variant>
    </vt:vector>
  </ap:HLinks>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2020-04-01T18:52:00Z</cp:lastPrinted>
  <dcterms:created xsi:type="dcterms:W3CDTF">2020-04-02T10:45:58Z</dcterms:created>
  <dcterms:modified xsi:type="dcterms:W3CDTF">2020-04-02T10:45:58Z</dcterms:modified>
</cp:coreProperties>
</file>