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DE" w:rsidRDefault="00CF17DE" w14:paraId="70BEAF91" w14:textId="77777777">
      <w:pPr>
        <w:pStyle w:val="titlebar"/>
        <w:rPr>
          <w:sz w:val="24"/>
        </w:rPr>
      </w:pPr>
      <w:r>
        <w:rPr>
          <w:sz w:val="24"/>
        </w:rPr>
        <w:t>PUBLIC UTILITIES COMMISSION OF THE STATE OF CALIFORNIA</w:t>
      </w:r>
    </w:p>
    <w:p w:rsidR="00CF17DE" w:rsidRDefault="00CF17DE" w14:paraId="5E624470" w14:textId="77777777">
      <w:pPr>
        <w:suppressAutoHyphens/>
      </w:pPr>
    </w:p>
    <w:p w:rsidR="000235B4" w:rsidP="000235B4" w:rsidRDefault="00593807" w14:paraId="3CFB3E35" w14:textId="500D1148">
      <w:pPr>
        <w:rPr>
          <w:b/>
          <w:sz w:val="24"/>
        </w:rPr>
      </w:pPr>
      <w:r>
        <w:rPr>
          <w:b/>
          <w:sz w:val="24"/>
        </w:rPr>
        <w:t>ENERGY DIVISION</w:t>
      </w:r>
    </w:p>
    <w:p w:rsidR="000235B4" w:rsidP="000235B4" w:rsidRDefault="000235B4" w14:paraId="5F246DDC" w14:textId="1E06428E">
      <w:pPr>
        <w:jc w:val="center"/>
        <w:rPr>
          <w:b/>
          <w:sz w:val="24"/>
        </w:rPr>
      </w:pPr>
      <w:r>
        <w:rPr>
          <w:b/>
          <w:sz w:val="24"/>
        </w:rPr>
        <w:t xml:space="preserve">                                                                                                               AGENDA ID: </w:t>
      </w:r>
      <w:r w:rsidRPr="000235B4">
        <w:rPr>
          <w:b/>
          <w:sz w:val="24"/>
        </w:rPr>
        <w:t>18310</w:t>
      </w:r>
    </w:p>
    <w:p w:rsidR="00CF17DE" w:rsidP="000235B4" w:rsidRDefault="000235B4" w14:paraId="7AE852C7" w14:textId="720459E6">
      <w:pPr>
        <w:jc w:val="center"/>
        <w:rPr>
          <w:b/>
          <w:sz w:val="24"/>
        </w:rPr>
      </w:pPr>
      <w:r>
        <w:rPr>
          <w:b/>
          <w:sz w:val="24"/>
        </w:rPr>
        <w:t xml:space="preserve">                                                                                                                   </w:t>
      </w:r>
      <w:r w:rsidR="00CF17DE">
        <w:rPr>
          <w:b/>
          <w:sz w:val="24"/>
        </w:rPr>
        <w:t>RESOLUTION E-</w:t>
      </w:r>
      <w:r w:rsidR="005236FB">
        <w:rPr>
          <w:b/>
          <w:sz w:val="24"/>
        </w:rPr>
        <w:t>50</w:t>
      </w:r>
      <w:r w:rsidR="00A55268">
        <w:rPr>
          <w:b/>
          <w:sz w:val="24"/>
        </w:rPr>
        <w:t>5</w:t>
      </w:r>
      <w:r w:rsidR="00126E2B">
        <w:rPr>
          <w:b/>
          <w:sz w:val="24"/>
        </w:rPr>
        <w:t>4</w:t>
      </w:r>
    </w:p>
    <w:p w:rsidR="00CF17DE" w:rsidP="000235B4" w:rsidRDefault="000235B4" w14:paraId="3DBC912E" w14:textId="75AF267E">
      <w:pPr>
        <w:tabs>
          <w:tab w:val="right" w:pos="8910"/>
        </w:tabs>
        <w:jc w:val="center"/>
        <w:rPr>
          <w:b/>
          <w:sz w:val="24"/>
        </w:rPr>
      </w:pPr>
      <w:r>
        <w:rPr>
          <w:b/>
          <w:sz w:val="24"/>
        </w:rPr>
        <w:t xml:space="preserve">                                                                                                May 7, 2020</w:t>
      </w:r>
    </w:p>
    <w:p w:rsidR="00CF17DE" w:rsidRDefault="00CF17DE" w14:paraId="061A7957" w14:textId="77777777">
      <w:pPr>
        <w:tabs>
          <w:tab w:val="right" w:pos="8910"/>
        </w:tabs>
        <w:ind w:left="1440" w:firstLine="720"/>
        <w:rPr>
          <w:b/>
          <w:sz w:val="24"/>
        </w:rPr>
      </w:pPr>
    </w:p>
    <w:p w:rsidR="009E613F" w:rsidRDefault="009E613F" w14:paraId="0443E32A" w14:textId="77777777">
      <w:pPr>
        <w:pStyle w:val="mainex"/>
        <w:rPr>
          <w:u w:val="single"/>
        </w:rPr>
      </w:pPr>
      <w:bookmarkStart w:name="_Ref404993683" w:id="0"/>
    </w:p>
    <w:p w:rsidR="00CF17DE" w:rsidRDefault="00CF17DE" w14:paraId="40ADBA19" w14:textId="6C6BF286">
      <w:pPr>
        <w:pStyle w:val="mainex"/>
        <w:rPr>
          <w:u w:val="single"/>
        </w:rPr>
      </w:pPr>
      <w:r>
        <w:rPr>
          <w:u w:val="single"/>
        </w:rPr>
        <w:t>RESOLUTION</w:t>
      </w:r>
    </w:p>
    <w:p w:rsidR="00CF17DE" w:rsidRDefault="00CF17DE" w14:paraId="63C93376" w14:textId="77777777"/>
    <w:p w:rsidR="00B36670" w:rsidP="00785665" w:rsidRDefault="00B927B5" w14:paraId="6370C251" w14:textId="5EB0CC5F">
      <w:pPr>
        <w:pStyle w:val="Res-Caption"/>
      </w:pPr>
      <w:r>
        <w:t xml:space="preserve">Resolution </w:t>
      </w:r>
      <w:r w:rsidRPr="00126E2B">
        <w:t>E</w:t>
      </w:r>
      <w:r w:rsidRPr="00126E2B" w:rsidR="009D4244">
        <w:t>-</w:t>
      </w:r>
      <w:r w:rsidRPr="00126E2B" w:rsidR="005236FB">
        <w:t>50</w:t>
      </w:r>
      <w:r w:rsidRPr="00126E2B" w:rsidR="00A55268">
        <w:t>5</w:t>
      </w:r>
      <w:r w:rsidRPr="00126E2B" w:rsidR="00126E2B">
        <w:t>4</w:t>
      </w:r>
      <w:r w:rsidRPr="00126E2B">
        <w:t>.</w:t>
      </w:r>
      <w:r>
        <w:t xml:space="preserve">  </w:t>
      </w:r>
      <w:bookmarkStart w:name="_Hlk33097377" w:id="1"/>
      <w:r w:rsidRPr="00126E2B" w:rsidR="00126E2B">
        <w:t>Approval of the Center for Sustainable Energy’s (CSE) Proposed Revisions to the Solar On Multifamily Affordable Housing (SOMAH) Program Handbook.</w:t>
      </w:r>
      <w:bookmarkEnd w:id="1"/>
    </w:p>
    <w:p w:rsidR="00801D70" w:rsidP="008C38D9" w:rsidRDefault="00801D70" w14:paraId="70E6A3B4" w14:textId="77777777">
      <w:pPr>
        <w:pStyle w:val="Res-Caption"/>
        <w:ind w:left="0"/>
      </w:pPr>
    </w:p>
    <w:p w:rsidR="00142FB8" w:rsidP="007B54D6" w:rsidRDefault="00801D70" w14:paraId="6EF53595" w14:textId="20C630F1">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Pr="00E00BDB" w:rsidR="001B7F88" w:rsidP="001B7F88" w:rsidRDefault="001B7F88" w14:paraId="30565FB0" w14:textId="77777777">
      <w:pPr>
        <w:pStyle w:val="Res-Caption"/>
        <w:numPr>
          <w:ilvl w:val="0"/>
          <w:numId w:val="6"/>
        </w:numPr>
      </w:pPr>
      <w:r>
        <w:t>Approves the Center for Sustainable Energy’s proposed revisions to the SOMAH Program Handbook to limit participation of a photovoltaic (PV) project to either the SOMAH Program or the MASH Program.</w:t>
      </w:r>
    </w:p>
    <w:p w:rsidRPr="00165E09" w:rsidR="00165E09" w:rsidP="00165E09" w:rsidRDefault="00165E09" w14:paraId="615C72D8" w14:textId="4EB9BEA0">
      <w:pPr>
        <w:pStyle w:val="Res-Caption"/>
        <w:ind w:left="1440"/>
        <w:rPr>
          <w:rFonts w:ascii="Palatino Linotype" w:hAnsi="Palatino Linotype"/>
        </w:rPr>
      </w:pPr>
    </w:p>
    <w:p w:rsidR="00F51F8B" w:rsidRDefault="00F51F8B" w14:paraId="5348E825" w14:textId="4EB9BEA0">
      <w:pPr>
        <w:pStyle w:val="Res-Caption"/>
      </w:pPr>
      <w:r w:rsidRPr="00F51F8B">
        <w:t>SAFETY CONSIDERATIONS:</w:t>
      </w:r>
    </w:p>
    <w:p w:rsidR="00142FB8" w:rsidP="002A7EF5" w:rsidRDefault="003F6E5A" w14:paraId="2EFEBA52" w14:textId="4EB9BEA0">
      <w:pPr>
        <w:pStyle w:val="Res-Caption"/>
        <w:numPr>
          <w:ilvl w:val="0"/>
          <w:numId w:val="5"/>
        </w:numPr>
        <w:rPr>
          <w:rFonts w:ascii="Palatino Linotype" w:hAnsi="Palatino Linotype"/>
        </w:rPr>
      </w:pPr>
      <w:r>
        <w:t>There is no impact on safety.</w:t>
      </w:r>
    </w:p>
    <w:p w:rsidR="00801D70" w:rsidRDefault="00801D70" w14:paraId="664CBB61" w14:textId="4EB9BEA0">
      <w:pPr>
        <w:pStyle w:val="Res-Caption"/>
        <w:rPr>
          <w:rFonts w:ascii="Palatino Linotype" w:hAnsi="Palatino Linotype"/>
        </w:rPr>
      </w:pPr>
    </w:p>
    <w:p w:rsidR="00801D70" w:rsidRDefault="00801D70" w14:paraId="28BD615D" w14:textId="77777777">
      <w:pPr>
        <w:pStyle w:val="Res-Caption"/>
        <w:rPr>
          <w:rFonts w:ascii="Palatino Linotype" w:hAnsi="Palatino Linotype"/>
        </w:rPr>
      </w:pPr>
      <w:r w:rsidRPr="006B05EE">
        <w:t>ESTIMATED COST</w:t>
      </w:r>
      <w:r>
        <w:rPr>
          <w:rFonts w:ascii="Palatino Linotype" w:hAnsi="Palatino Linotype"/>
        </w:rPr>
        <w:t xml:space="preserve">:  </w:t>
      </w:r>
    </w:p>
    <w:p w:rsidR="009C456D" w:rsidP="002A7EF5" w:rsidRDefault="00C26533" w14:paraId="6DD6DD95" w14:textId="3DB5BB1A">
      <w:pPr>
        <w:pStyle w:val="Res-Caption"/>
        <w:numPr>
          <w:ilvl w:val="0"/>
          <w:numId w:val="5"/>
        </w:numPr>
      </w:pPr>
      <w:r>
        <w:t>There are no additional costs</w:t>
      </w:r>
      <w:r w:rsidR="00785665">
        <w:t>.</w:t>
      </w:r>
    </w:p>
    <w:p w:rsidR="00CF17DE" w:rsidRDefault="00CF17DE" w14:paraId="414B5F5B" w14:textId="77777777">
      <w:pPr>
        <w:pStyle w:val="Res-Caption"/>
      </w:pPr>
    </w:p>
    <w:p w:rsidR="001307E6" w:rsidP="007E0098" w:rsidRDefault="00CF17DE" w14:paraId="5380C291" w14:textId="570AFA3F">
      <w:pPr>
        <w:pStyle w:val="Res-Caption"/>
      </w:pPr>
      <w:r>
        <w:t xml:space="preserve">By </w:t>
      </w:r>
      <w:r w:rsidR="00785665">
        <w:t>CSE</w:t>
      </w:r>
      <w:r w:rsidR="001307E6">
        <w:t xml:space="preserve"> </w:t>
      </w:r>
      <w:r>
        <w:t xml:space="preserve">Advice Letter </w:t>
      </w:r>
      <w:r w:rsidR="00785665">
        <w:t xml:space="preserve">105-E </w:t>
      </w:r>
      <w:r w:rsidR="007E0098">
        <w:t xml:space="preserve">filed on </w:t>
      </w:r>
      <w:r w:rsidR="00785665">
        <w:t>December 16</w:t>
      </w:r>
      <w:r w:rsidR="007E0098">
        <w:t>, 2019.</w:t>
      </w:r>
    </w:p>
    <w:p w:rsidR="00CF17DE" w:rsidRDefault="00CF17DE" w14:paraId="2BFCF270" w14:textId="77777777">
      <w:pPr>
        <w:jc w:val="center"/>
      </w:pPr>
      <w:r>
        <w:t>__________________________________________________________</w:t>
      </w:r>
    </w:p>
    <w:p w:rsidR="00CF17DE" w:rsidRDefault="00CF17DE" w14:paraId="21ED6BB6" w14:textId="77777777">
      <w:pPr>
        <w:rPr>
          <w:b/>
        </w:rPr>
      </w:pPr>
    </w:p>
    <w:p w:rsidR="00CF17DE" w:rsidRDefault="00CF17DE" w14:paraId="2C49E15C" w14:textId="77777777">
      <w:pPr>
        <w:pStyle w:val="Heading1"/>
      </w:pPr>
      <w:r>
        <w:t>Summary</w:t>
      </w:r>
      <w:bookmarkEnd w:id="0"/>
    </w:p>
    <w:p w:rsidRPr="00AC2EE3" w:rsidR="00AC2EE3" w:rsidP="00765992" w:rsidRDefault="001B7F88" w14:paraId="3F10F6FB" w14:textId="2EBC3F4F">
      <w:pPr>
        <w:pStyle w:val="Res-Caption"/>
        <w:ind w:left="0"/>
      </w:pPr>
      <w:r w:rsidRPr="00705054">
        <w:t xml:space="preserve">This Resolution </w:t>
      </w:r>
      <w:r>
        <w:t>approves</w:t>
      </w:r>
      <w:r w:rsidRPr="00705054">
        <w:t xml:space="preserve"> </w:t>
      </w:r>
      <w:r>
        <w:t xml:space="preserve">proposed changes to the SOMAH Program Handbook to limit participation of a photovoltaic (PV) project to either the SOMAH Program or the </w:t>
      </w:r>
      <w:r w:rsidR="006A56F7">
        <w:t>Multifamily Affordable Solar Homes (</w:t>
      </w:r>
      <w:r>
        <w:t>MASH</w:t>
      </w:r>
      <w:r w:rsidR="006A56F7">
        <w:t>)</w:t>
      </w:r>
      <w:r>
        <w:t xml:space="preserve"> Program.</w:t>
      </w:r>
      <w:r w:rsidR="006F1B6F">
        <w:t xml:space="preserve"> </w:t>
      </w:r>
      <w:r w:rsidRPr="00765992" w:rsidR="00765992">
        <w:t>With the inclusion of</w:t>
      </w:r>
      <w:r w:rsidR="00765992">
        <w:t xml:space="preserve"> the approved</w:t>
      </w:r>
      <w:r w:rsidRPr="00765992" w:rsidR="00765992">
        <w:t xml:space="preserve"> </w:t>
      </w:r>
      <w:r w:rsidR="00765992">
        <w:t>modifications</w:t>
      </w:r>
      <w:r w:rsidRPr="00765992" w:rsidR="00765992">
        <w:t xml:space="preserve"> to the SOMAH </w:t>
      </w:r>
      <w:r w:rsidR="00765992">
        <w:t xml:space="preserve">Program </w:t>
      </w:r>
      <w:r w:rsidRPr="00765992" w:rsidR="00765992">
        <w:t>Handbook adopted here</w:t>
      </w:r>
      <w:r w:rsidR="00765992">
        <w:t>in</w:t>
      </w:r>
      <w:r w:rsidRPr="00765992" w:rsidR="00765992">
        <w:t>, we establish the SOMAH</w:t>
      </w:r>
      <w:r w:rsidR="00765992">
        <w:t xml:space="preserve"> Program</w:t>
      </w:r>
      <w:r w:rsidRPr="00765992" w:rsidR="00765992">
        <w:t xml:space="preserve"> Handbook Second Edition.</w:t>
      </w:r>
    </w:p>
    <w:p w:rsidR="00CF17DE" w:rsidRDefault="00CF17DE" w14:paraId="0BFDDE4C" w14:textId="77777777">
      <w:pPr>
        <w:pStyle w:val="Heading1"/>
      </w:pPr>
      <w:r w:rsidRPr="002F23B1">
        <w:lastRenderedPageBreak/>
        <w:t>Background</w:t>
      </w:r>
    </w:p>
    <w:p w:rsidR="00785665" w:rsidP="00785665" w:rsidRDefault="00785665" w14:paraId="422C78CB" w14:textId="06D57A37">
      <w:r>
        <w:t>Assembly Bill (AB) 693 (</w:t>
      </w:r>
      <w:proofErr w:type="spellStart"/>
      <w:r>
        <w:t>Eggman</w:t>
      </w:r>
      <w:proofErr w:type="spellEnd"/>
      <w:r>
        <w:t xml:space="preserve">), Stats. 2015, </w:t>
      </w:r>
      <w:proofErr w:type="spellStart"/>
      <w:r>
        <w:t>ch.</w:t>
      </w:r>
      <w:proofErr w:type="spellEnd"/>
      <w:r>
        <w:t xml:space="preserve"> 582, established the Multifamily Affordable Housing Solar Roofs Program, w</w:t>
      </w:r>
      <w:r w:rsidR="00917245">
        <w:t>hich reserves</w:t>
      </w:r>
      <w:r>
        <w:t xml:space="preserve"> up to $100,000,000 annually in funding from shares of greenhouse gas allowance (GHG) auction proceeds from Pacific Gas and Electric Company (PG&amp;E), San Diego Gas &amp; Electric Company (SDG&amp;E), Southern California Edison Company (SCE), Liberty Utilities Company, and PacifiCorp</w:t>
      </w:r>
      <w:r w:rsidR="00990F0C">
        <w:t xml:space="preserve"> (collectively, the investor owned utilities or IOUs)</w:t>
      </w:r>
      <w:r>
        <w:t xml:space="preserve">. The program provides incentives for the installation of solar distributed generation projects sited on existing multifamily affordable housing. </w:t>
      </w:r>
    </w:p>
    <w:p w:rsidR="006A56F7" w:rsidP="00785665" w:rsidRDefault="006A56F7" w14:paraId="46BE5284" w14:textId="0E70772F"/>
    <w:p w:rsidR="006A56F7" w:rsidP="00785665" w:rsidRDefault="006A56F7" w14:paraId="0B9908C4" w14:textId="7057B9C4">
      <w:r w:rsidRPr="005D716D">
        <w:t xml:space="preserve">The MASH Program provides solar incentives on qualifying affordable housing multifamily dwellings.  </w:t>
      </w:r>
      <w:r>
        <w:t>Prior to the creation of SOMAH, in 2015, pursuant to AB 217 (Bradford, 2013), the CPUC extended the MASH Program in D.15-01-027. In that Decision, the CPUC adopted a capacity target of 35 MW for the new MASH Program.</w:t>
      </w:r>
    </w:p>
    <w:p w:rsidRPr="00956FE1" w:rsidR="003C7B76" w:rsidP="0081485E" w:rsidRDefault="003C7B76" w14:paraId="47813EE2" w14:textId="77777777">
      <w:pPr>
        <w:pStyle w:val="ListParagraph"/>
      </w:pPr>
    </w:p>
    <w:p w:rsidR="001B7F88" w:rsidP="001B7F88" w:rsidRDefault="001B7F88" w14:paraId="6F0DCBA1" w14:textId="77777777">
      <w:r>
        <w:t xml:space="preserve">Pursuant to direction in D.17-12-022, a team consisting of the </w:t>
      </w:r>
      <w:r w:rsidRPr="00A30121">
        <w:t>Center for Sustainable Energy</w:t>
      </w:r>
      <w:r>
        <w:t xml:space="preserve"> (CSE), GRID Alternatives (GRID), the Association for Energy Affordability (AEA), and the California Housing Partnership Corporation (CHPC) was selected as the statewide program administrator (PA) following a competitive solicitation process. This team of nonprofit organizations provides a host of no cost services to maximize program participation and community benefit. These services include comprehensive technical and financial planning assistance for property owners and contractors, tenant education resources and job training opportunities.</w:t>
      </w:r>
    </w:p>
    <w:p w:rsidR="005D2A42" w:rsidP="00785665" w:rsidRDefault="005D2A42" w14:paraId="1729A0D1" w14:textId="77777777"/>
    <w:p w:rsidR="00990F0C" w:rsidP="00990F0C" w:rsidRDefault="00785665" w14:paraId="77299D35" w14:textId="24F25A6B">
      <w:r>
        <w:t xml:space="preserve">Pursuant to direction in </w:t>
      </w:r>
      <w:r w:rsidR="00990F0C">
        <w:t>D.17-12-022</w:t>
      </w:r>
      <w:r>
        <w:t xml:space="preserve">, a competitive solicitation for a statewide program administrator </w:t>
      </w:r>
      <w:r w:rsidR="004A0D7C">
        <w:t xml:space="preserve">(PA) </w:t>
      </w:r>
      <w:r>
        <w:t xml:space="preserve">was held and a team consisting of the </w:t>
      </w:r>
      <w:r w:rsidRPr="00A30121">
        <w:t>Center for Sustainable Energy</w:t>
      </w:r>
      <w:r>
        <w:t xml:space="preserve"> (CSE), GRID Alternatives (GRID), the Association for Energy Affordability (AEA), and the California Housing Partnership Corporation (CHPC) was selected. </w:t>
      </w:r>
      <w:r w:rsidR="00990F0C">
        <w:t xml:space="preserve">This team of nonprofit organizations </w:t>
      </w:r>
      <w:r w:rsidR="00E75299">
        <w:t>provides</w:t>
      </w:r>
      <w:r w:rsidR="00990F0C">
        <w:t xml:space="preserve"> a host of no cost services to maximize program participation and community benefit. These services include comprehensive technical and financial planning assistance for property owners and contractors, tenant education resources and job training opportunities.</w:t>
      </w:r>
    </w:p>
    <w:p w:rsidR="00990F0C" w:rsidP="00785665" w:rsidRDefault="00990F0C" w14:paraId="757A75D6" w14:textId="77777777"/>
    <w:p w:rsidR="00785665" w:rsidP="00785665" w:rsidRDefault="00785665" w14:paraId="2F64F598" w14:textId="5C8AD319">
      <w:r>
        <w:lastRenderedPageBreak/>
        <w:t xml:space="preserve">The </w:t>
      </w:r>
      <w:r w:rsidR="00B43F74">
        <w:t>SOMAH D</w:t>
      </w:r>
      <w:r>
        <w:t xml:space="preserve">ecision directed the statewide PA, once selected, to submit a Tier 3 </w:t>
      </w:r>
      <w:r w:rsidR="00990F0C">
        <w:t>Advice Letter (</w:t>
      </w:r>
      <w:r>
        <w:t>AL</w:t>
      </w:r>
      <w:r w:rsidR="00990F0C">
        <w:t>)</w:t>
      </w:r>
      <w:r>
        <w:t xml:space="preserve"> with </w:t>
      </w:r>
      <w:r w:rsidR="00230F0A">
        <w:t>a proposed</w:t>
      </w:r>
      <w:r>
        <w:t xml:space="preserve"> SOMAH Program</w:t>
      </w:r>
      <w:r w:rsidR="004A0D7C">
        <w:t xml:space="preserve"> Handbook</w:t>
      </w:r>
      <w:r>
        <w:t>.  Pursuant to this direction,</w:t>
      </w:r>
      <w:r w:rsidR="00604DFB">
        <w:t xml:space="preserve"> GRID</w:t>
      </w:r>
      <w:r w:rsidR="00990F0C">
        <w:t>,</w:t>
      </w:r>
      <w:r w:rsidR="00604DFB">
        <w:t xml:space="preserve"> on behalf of</w:t>
      </w:r>
      <w:r w:rsidRPr="002B32C4">
        <w:t xml:space="preserve"> </w:t>
      </w:r>
      <w:r>
        <w:t xml:space="preserve">the </w:t>
      </w:r>
      <w:r w:rsidRPr="002B32C4">
        <w:t xml:space="preserve">SOMAH </w:t>
      </w:r>
      <w:r w:rsidR="004A0D7C">
        <w:t>PA</w:t>
      </w:r>
      <w:r>
        <w:t xml:space="preserve"> team </w:t>
      </w:r>
      <w:r w:rsidRPr="002B32C4">
        <w:t>submitted</w:t>
      </w:r>
      <w:r>
        <w:t xml:space="preserve"> </w:t>
      </w:r>
      <w:r w:rsidRPr="00604DFB" w:rsidR="00604DFB">
        <w:t>GRID Advice Letter</w:t>
      </w:r>
      <w:r w:rsidR="00F73CD6">
        <w:t xml:space="preserve"> (AL)</w:t>
      </w:r>
      <w:r w:rsidRPr="00604DFB" w:rsidR="00604DFB">
        <w:t xml:space="preserve"> 11</w:t>
      </w:r>
      <w:r w:rsidR="00990F0C">
        <w:t>-E</w:t>
      </w:r>
      <w:r w:rsidRPr="00604DFB" w:rsidR="00604DFB">
        <w:t xml:space="preserve"> </w:t>
      </w:r>
      <w:r>
        <w:t>on October 1, 2018</w:t>
      </w:r>
      <w:r w:rsidR="00990F0C">
        <w:t>. The filing included a proposed</w:t>
      </w:r>
      <w:r>
        <w:t xml:space="preserve"> SOMAH Program Handbook.</w:t>
      </w:r>
      <w:r w:rsidR="005D2A42">
        <w:t xml:space="preserve"> </w:t>
      </w:r>
      <w:r w:rsidR="003E0D0C">
        <w:t>On April 2, 2019 AL</w:t>
      </w:r>
      <w:r w:rsidR="00FA0A8A">
        <w:t xml:space="preserve"> 11-E</w:t>
      </w:r>
      <w:r w:rsidR="003E0D0C">
        <w:t xml:space="preserve"> was approved via resolution E-4987.</w:t>
      </w:r>
    </w:p>
    <w:p w:rsidR="001B7F88" w:rsidP="00785665" w:rsidRDefault="001B7F88" w14:paraId="54D14F6E" w14:textId="77777777"/>
    <w:p w:rsidR="00785665" w:rsidP="004A0D7C" w:rsidRDefault="00785665" w14:paraId="762880D0" w14:textId="5583F2CB">
      <w:r>
        <w:t xml:space="preserve">The SOMAH Decision </w:t>
      </w:r>
      <w:r w:rsidR="00B43F74">
        <w:t xml:space="preserve">also </w:t>
      </w:r>
      <w:r w:rsidR="00230F0A">
        <w:t>directed</w:t>
      </w:r>
      <w:r>
        <w:t xml:space="preserve"> </w:t>
      </w:r>
      <w:r w:rsidR="004A0D7C">
        <w:t>that</w:t>
      </w:r>
      <w:r w:rsidR="001B7F88">
        <w:t xml:space="preserve"> after</w:t>
      </w:r>
      <w:r w:rsidR="004A0D7C">
        <w:t xml:space="preserve"> the SOMAH Program Handbook </w:t>
      </w:r>
      <w:r w:rsidR="009C08D9">
        <w:t>was</w:t>
      </w:r>
      <w:r w:rsidR="004A0D7C">
        <w:t xml:space="preserve"> adopted, the PA may propose program adjustments to </w:t>
      </w:r>
      <w:r w:rsidR="00CF66AE">
        <w:t>it</w:t>
      </w:r>
      <w:r w:rsidR="00BA0515">
        <w:t xml:space="preserve"> </w:t>
      </w:r>
      <w:r w:rsidR="004A0D7C">
        <w:t>via a Tier 2 Advice Letter.</w:t>
      </w:r>
    </w:p>
    <w:p w:rsidR="00785665" w:rsidP="00785665" w:rsidRDefault="00785665" w14:paraId="21EFB7C5" w14:textId="0469B206"/>
    <w:p w:rsidRPr="00BD771E" w:rsidR="00785665" w:rsidP="00785665" w:rsidRDefault="00785665" w14:paraId="082C3537" w14:textId="07FDB61F">
      <w:r w:rsidRPr="00BD771E">
        <w:t xml:space="preserve">The SOMAH Program Handbook </w:t>
      </w:r>
      <w:r>
        <w:t xml:space="preserve">is </w:t>
      </w:r>
      <w:r w:rsidRPr="00BD771E">
        <w:t xml:space="preserve">used by a wide variety of end-users including, but not limited to, developers, applicants, potential program participants, administrators, utilities and Energy Division </w:t>
      </w:r>
      <w:r w:rsidR="00B43F74">
        <w:t xml:space="preserve">(ED) </w:t>
      </w:r>
      <w:r w:rsidRPr="00BD771E">
        <w:t xml:space="preserve">staff. The </w:t>
      </w:r>
      <w:r w:rsidR="00273572">
        <w:t xml:space="preserve">SOMAH </w:t>
      </w:r>
      <w:r w:rsidRPr="00BD771E">
        <w:t>Handbook</w:t>
      </w:r>
      <w:r w:rsidR="002232F9">
        <w:t>,</w:t>
      </w:r>
      <w:r w:rsidRPr="00BD771E">
        <w:t xml:space="preserve"> act</w:t>
      </w:r>
      <w:r w:rsidR="002232F9">
        <w:t>ing</w:t>
      </w:r>
      <w:r w:rsidRPr="00BD771E">
        <w:t xml:space="preserve"> as the program ‘rule-book’</w:t>
      </w:r>
      <w:r w:rsidR="002232F9">
        <w:t>,</w:t>
      </w:r>
      <w:r w:rsidRPr="00BD771E">
        <w:t xml:space="preserve"> provides written standards and serves as a program resource outlining the policies and procedures for the program. </w:t>
      </w:r>
    </w:p>
    <w:p w:rsidR="00785665" w:rsidP="00785665" w:rsidRDefault="00785665" w14:paraId="10EAE258" w14:textId="7983A5E7"/>
    <w:p w:rsidR="004A0D7C" w:rsidP="004A0D7C" w:rsidRDefault="00230F0A" w14:paraId="4A808C46" w14:textId="6C6045C5">
      <w:r>
        <w:t>O</w:t>
      </w:r>
      <w:r w:rsidR="004A0D7C">
        <w:t>n July 1, 2019,</w:t>
      </w:r>
      <w:r>
        <w:t xml:space="preserve"> the SOMAH program officially launched</w:t>
      </w:r>
      <w:r w:rsidR="00C60862">
        <w:t xml:space="preserve"> and began accepting</w:t>
      </w:r>
      <w:r>
        <w:t xml:space="preserve"> incentive applications. At that time,</w:t>
      </w:r>
      <w:r w:rsidR="004A0D7C">
        <w:t xml:space="preserve"> several project applications were received </w:t>
      </w:r>
      <w:r w:rsidR="00990F0C">
        <w:t xml:space="preserve">by the SOMAH PA </w:t>
      </w:r>
      <w:r w:rsidR="004A0D7C">
        <w:t xml:space="preserve">for projects also leveraging incentives through the </w:t>
      </w:r>
      <w:r w:rsidR="007574B8">
        <w:t>MASH</w:t>
      </w:r>
      <w:r w:rsidR="004A0D7C">
        <w:t xml:space="preserve"> Program. Due to differences in program requirements between the SOMAH and MASH Programs, such as workforce development and job training requirements, the SOMAH PA notified </w:t>
      </w:r>
      <w:r w:rsidR="00B43F74">
        <w:t>ED</w:t>
      </w:r>
      <w:r w:rsidR="004A0D7C">
        <w:t xml:space="preserve"> and the MASH PAs to determine how best to handle any divergences between the two programs. After notification of these projects, </w:t>
      </w:r>
      <w:r w:rsidR="00B43F74">
        <w:t>ED</w:t>
      </w:r>
      <w:r w:rsidR="004A0D7C">
        <w:t xml:space="preserve"> </w:t>
      </w:r>
      <w:r w:rsidRPr="00B43F74" w:rsidR="00B43F74">
        <w:t xml:space="preserve">investigated </w:t>
      </w:r>
      <w:r w:rsidR="00990F0C">
        <w:t>the matter and</w:t>
      </w:r>
      <w:r w:rsidR="003E0D0C">
        <w:t xml:space="preserve"> </w:t>
      </w:r>
      <w:r w:rsidR="004A0D7C">
        <w:t>issu</w:t>
      </w:r>
      <w:r w:rsidR="00990F0C">
        <w:t>ed</w:t>
      </w:r>
      <w:r w:rsidR="004A0D7C">
        <w:t xml:space="preserve"> a</w:t>
      </w:r>
      <w:r w:rsidR="00B43F74">
        <w:t xml:space="preserve"> </w:t>
      </w:r>
      <w:r w:rsidR="004A0D7C">
        <w:t>letter to the SOMAH PA on November 14, 2019</w:t>
      </w:r>
      <w:r w:rsidR="00B43F74">
        <w:t>. Th</w:t>
      </w:r>
      <w:r w:rsidR="003E0D0C">
        <w:t>at</w:t>
      </w:r>
      <w:r w:rsidR="00B43F74">
        <w:t xml:space="preserve"> letter</w:t>
      </w:r>
      <w:r w:rsidR="004A0D7C">
        <w:t xml:space="preserve"> </w:t>
      </w:r>
      <w:r w:rsidR="00AA30C7">
        <w:t xml:space="preserve">stated </w:t>
      </w:r>
      <w:r w:rsidR="004A0D7C">
        <w:t>that a solar project may only participate in one, but not both, of the MASH and SOMAH Programs and thus could not receive an incentive from both</w:t>
      </w:r>
      <w:r w:rsidR="003E0D0C">
        <w:t xml:space="preserve"> programs.</w:t>
      </w:r>
    </w:p>
    <w:p w:rsidR="00851230" w:rsidP="00851230" w:rsidRDefault="00851230" w14:paraId="4936C525" w14:textId="68685952"/>
    <w:p w:rsidR="004A0D7C" w:rsidP="004A0D7C" w:rsidRDefault="00B43F74" w14:paraId="06379541" w14:textId="127EFEDE">
      <w:r>
        <w:t>ED’s</w:t>
      </w:r>
      <w:r w:rsidR="004A0D7C">
        <w:t xml:space="preserve"> letter to the SOMAH PA documented that the CPUC is directed under statute (Public Utilities Code § 913.7, 913.8, 2851 and 2870) to provide the Legislature with an annual assessment of both MASH and SOMAH program performance. As part of these reporting requirements, the</w:t>
      </w:r>
      <w:r w:rsidR="00990F0C">
        <w:t xml:space="preserve"> letter found that the</w:t>
      </w:r>
      <w:r w:rsidR="004A0D7C">
        <w:t xml:space="preserve"> CPUC must provide the Legislature with accurate program metrics linked to the </w:t>
      </w:r>
      <w:r w:rsidR="004A0D7C">
        <w:lastRenderedPageBreak/>
        <w:t>implementation of these programs.</w:t>
      </w:r>
      <w:r w:rsidR="004A0D7C">
        <w:rPr>
          <w:rStyle w:val="FootnoteReference"/>
        </w:rPr>
        <w:footnoteReference w:id="2"/>
      </w:r>
      <w:r w:rsidR="004A0D7C">
        <w:t xml:space="preserve"> </w:t>
      </w:r>
      <w:r w:rsidR="00990F0C">
        <w:t>Therefore, a</w:t>
      </w:r>
      <w:r w:rsidR="004A0D7C">
        <w:t xml:space="preserve">llowing a </w:t>
      </w:r>
      <w:r w:rsidR="001C7AEA">
        <w:t xml:space="preserve">solar </w:t>
      </w:r>
      <w:r w:rsidR="004A0D7C">
        <w:t>project to receive incentives</w:t>
      </w:r>
      <w:r w:rsidR="00990F0C">
        <w:t xml:space="preserve"> </w:t>
      </w:r>
      <w:r w:rsidR="004A0D7C">
        <w:t>from both the MASH Program and the SOMAH Program would inhibit precise fiscal</w:t>
      </w:r>
      <w:r w:rsidR="007574B8">
        <w:t xml:space="preserve"> </w:t>
      </w:r>
      <w:r w:rsidR="004A0D7C">
        <w:t xml:space="preserve">accounting and accurate attribution of solar generation capacity </w:t>
      </w:r>
      <w:r w:rsidR="00EC73ED">
        <w:t>a</w:t>
      </w:r>
      <w:r w:rsidR="00AD7AE5">
        <w:t xml:space="preserve">llocated </w:t>
      </w:r>
      <w:r w:rsidR="00431AFF">
        <w:t>to each</w:t>
      </w:r>
      <w:r w:rsidR="007574B8">
        <w:t xml:space="preserve"> </w:t>
      </w:r>
      <w:r w:rsidR="004A0D7C">
        <w:t xml:space="preserve">program. </w:t>
      </w:r>
      <w:r w:rsidR="00990F0C">
        <w:t xml:space="preserve">ED determined that should </w:t>
      </w:r>
      <w:r w:rsidR="003E0D0C">
        <w:t>the com</w:t>
      </w:r>
      <w:r w:rsidR="00990F0C">
        <w:t>m</w:t>
      </w:r>
      <w:r w:rsidR="003E0D0C">
        <w:t xml:space="preserve">ingling of incentives </w:t>
      </w:r>
      <w:r w:rsidR="00840507">
        <w:t>from</w:t>
      </w:r>
      <w:r w:rsidR="003E0D0C">
        <w:t xml:space="preserve"> both programs </w:t>
      </w:r>
      <w:r w:rsidR="00990F0C">
        <w:t>be</w:t>
      </w:r>
      <w:r w:rsidR="003E0D0C">
        <w:t xml:space="preserve"> permitted, the </w:t>
      </w:r>
      <w:r w:rsidR="004A0D7C">
        <w:t xml:space="preserve">CPUC would be unable to conclude whether </w:t>
      </w:r>
      <w:r w:rsidR="00230F0A">
        <w:t>the programs</w:t>
      </w:r>
      <w:r w:rsidR="004A0D7C">
        <w:t xml:space="preserve"> are </w:t>
      </w:r>
      <w:r w:rsidR="009A57AB">
        <w:t xml:space="preserve">on track to meet </w:t>
      </w:r>
      <w:r w:rsidR="004A0D7C">
        <w:t>the cumulative</w:t>
      </w:r>
      <w:r w:rsidR="007574B8">
        <w:t xml:space="preserve"> </w:t>
      </w:r>
      <w:r w:rsidR="004A0D7C">
        <w:t>installation goal of at least 335 MW for MASH (35 MW) and SOMAH (300+ MW).</w:t>
      </w:r>
    </w:p>
    <w:p w:rsidR="00B914AC" w:rsidP="004A0D7C" w:rsidRDefault="00B914AC" w14:paraId="2607CE56" w14:textId="77777777"/>
    <w:p w:rsidR="004A0D7C" w:rsidP="007574B8" w:rsidRDefault="007574B8" w14:paraId="5DA22284" w14:textId="15C06F6A">
      <w:r>
        <w:t xml:space="preserve">The ED letter further states that both the MASH and SOMAH Programs abide by </w:t>
      </w:r>
      <w:r w:rsidR="001B7F88">
        <w:t xml:space="preserve">the </w:t>
      </w:r>
      <w:r>
        <w:t xml:space="preserve">program </w:t>
      </w:r>
      <w:r w:rsidR="00BA5847">
        <w:t>h</w:t>
      </w:r>
      <w:r>
        <w:t xml:space="preserve">andbooks that govern the rules, processes, policies, and procedures for each program. While separate, these </w:t>
      </w:r>
      <w:r w:rsidR="00270FBB">
        <w:t>h</w:t>
      </w:r>
      <w:r>
        <w:t>andbooks (and programs) do not operate or exist in isolation. E</w:t>
      </w:r>
      <w:r w:rsidR="000E7D62">
        <w:t>D</w:t>
      </w:r>
      <w:r>
        <w:t xml:space="preserve"> reviewed the </w:t>
      </w:r>
      <w:r w:rsidRPr="00990F0C">
        <w:rPr>
          <w:i/>
          <w:iCs/>
        </w:rPr>
        <w:t>MASH Program Handbook Second Edition</w:t>
      </w:r>
      <w:r>
        <w:t xml:space="preserve"> (Section 3.3)</w:t>
      </w:r>
      <w:r w:rsidR="00186563">
        <w:t xml:space="preserve"> (MASH Handbook)</w:t>
      </w:r>
      <w:r>
        <w:t xml:space="preserve"> and determined that the </w:t>
      </w:r>
      <w:r w:rsidR="00B914AC">
        <w:t xml:space="preserve">MASH </w:t>
      </w:r>
      <w:r>
        <w:t>Handbook correctly addresse</w:t>
      </w:r>
      <w:r w:rsidR="00186563">
        <w:t>s</w:t>
      </w:r>
      <w:r>
        <w:t xml:space="preserve"> the issue of MASH projects that seek other incentives for the same PV system. The MASH Handbook states that for those “projects that receive ‘other incentives’ for the same generating equipment that are funded by California investor-owned utility ratepayers (e.g., utility or California Energy Commission public goods charge programs), the MASH incentive is discounted by the amount of the ‘other incentive.’”</w:t>
      </w:r>
      <w:r>
        <w:rPr>
          <w:rStyle w:val="FootnoteReference"/>
        </w:rPr>
        <w:footnoteReference w:id="3"/>
      </w:r>
      <w:r>
        <w:t xml:space="preserve"> While this program rule is enforceable </w:t>
      </w:r>
      <w:r w:rsidR="00E036BF">
        <w:t>in situations where</w:t>
      </w:r>
      <w:r>
        <w:t xml:space="preserve"> MASH incentives </w:t>
      </w:r>
      <w:r w:rsidR="00E036BF">
        <w:t>have not yet been</w:t>
      </w:r>
      <w:r>
        <w:t xml:space="preserve"> dispersed, </w:t>
      </w:r>
      <w:r w:rsidR="00990F0C">
        <w:t>ED identified that there is</w:t>
      </w:r>
      <w:r>
        <w:t xml:space="preserve"> not a clear process by which to ‘claw-back’ or adjust incentives </w:t>
      </w:r>
      <w:r w:rsidR="00990F0C">
        <w:t xml:space="preserve">which </w:t>
      </w:r>
      <w:r>
        <w:t>have already been paid.</w:t>
      </w:r>
    </w:p>
    <w:p w:rsidR="004A0D7C" w:rsidP="00851230" w:rsidRDefault="004A0D7C" w14:paraId="65C7F018" w14:textId="77777777"/>
    <w:p w:rsidR="00DC3477" w:rsidP="007574B8" w:rsidRDefault="007574B8" w14:paraId="5239996D" w14:textId="5CA8437C">
      <w:r>
        <w:t>To ensure that both programs comply with CPUC Decisions, statute, and adopted program handbooks, ED</w:t>
      </w:r>
      <w:r w:rsidR="00990F0C">
        <w:t>’s letter</w:t>
      </w:r>
      <w:r>
        <w:t xml:space="preserve"> determined that a PV project may only receive incentives under one, but not both, programs.</w:t>
      </w:r>
    </w:p>
    <w:p w:rsidR="007574B8" w:rsidP="007574B8" w:rsidRDefault="007574B8" w14:paraId="7E02A4B2" w14:textId="4675375A"/>
    <w:p w:rsidR="00B914AC" w:rsidP="00B914AC" w:rsidRDefault="00B914AC" w14:paraId="23E9DDAC" w14:textId="7D724FE3">
      <w:r>
        <w:t>In the November 14, 2019 letter, ED directed the SOMAH PA to:</w:t>
      </w:r>
    </w:p>
    <w:p w:rsidR="00B914AC" w:rsidP="00B914AC" w:rsidRDefault="00B914AC" w14:paraId="69EEFBE9" w14:textId="77777777"/>
    <w:p w:rsidR="00B914AC" w:rsidP="00B914AC" w:rsidRDefault="00B914AC" w14:paraId="2A97E488" w14:textId="16A3902F">
      <w:pPr>
        <w:pStyle w:val="ListParagraph"/>
        <w:numPr>
          <w:ilvl w:val="0"/>
          <w:numId w:val="5"/>
        </w:numPr>
      </w:pPr>
      <w:r>
        <w:t xml:space="preserve">Cancel SOMAH incentive applications that have already received </w:t>
      </w:r>
      <w:r w:rsidR="001B7F88">
        <w:t xml:space="preserve">CSI </w:t>
      </w:r>
      <w:r>
        <w:t>MASH incentives and return application fees;</w:t>
      </w:r>
    </w:p>
    <w:p w:rsidR="00B914AC" w:rsidP="00744E0A" w:rsidRDefault="00B914AC" w14:paraId="3F36CE5E" w14:textId="754E5813">
      <w:pPr>
        <w:pStyle w:val="ListParagraph"/>
        <w:numPr>
          <w:ilvl w:val="0"/>
          <w:numId w:val="5"/>
        </w:numPr>
      </w:pPr>
      <w:r>
        <w:t xml:space="preserve">Notify any SOMAH applicant identified as having an active </w:t>
      </w:r>
      <w:r w:rsidR="001B7F88">
        <w:t xml:space="preserve">CSI </w:t>
      </w:r>
      <w:r>
        <w:t>MASH application that in order to retain their SOMAH reservation, they</w:t>
      </w:r>
      <w:r w:rsidR="00B43F74">
        <w:t xml:space="preserve"> </w:t>
      </w:r>
      <w:r>
        <w:t xml:space="preserve"> must provide documentation indicating that their corresponding MASH reservations have been withdrawn or otherwise cancelled within 15 days of notification, or their SOMAH application will be cancelled and application fees returned; and</w:t>
      </w:r>
    </w:p>
    <w:p w:rsidR="00B914AC" w:rsidP="00744E0A" w:rsidRDefault="00B914AC" w14:paraId="61069811" w14:textId="201C4A3C">
      <w:pPr>
        <w:pStyle w:val="ListParagraph"/>
        <w:numPr>
          <w:ilvl w:val="0"/>
          <w:numId w:val="5"/>
        </w:numPr>
      </w:pPr>
      <w:r>
        <w:t xml:space="preserve">Submit a Tier 2 </w:t>
      </w:r>
      <w:r w:rsidR="00990F0C">
        <w:t>AL</w:t>
      </w:r>
      <w:r>
        <w:t xml:space="preserve"> to </w:t>
      </w:r>
      <w:r w:rsidR="00990F0C">
        <w:t>E</w:t>
      </w:r>
      <w:r w:rsidR="00627604">
        <w:t>D</w:t>
      </w:r>
      <w:r>
        <w:t xml:space="preserve"> revising the SOMAH Program Handbook to align with </w:t>
      </w:r>
      <w:r w:rsidR="00990F0C">
        <w:t>ED</w:t>
      </w:r>
      <w:r>
        <w:t xml:space="preserve"> direction</w:t>
      </w:r>
      <w:r w:rsidR="00990F0C">
        <w:t xml:space="preserve"> and findings</w:t>
      </w:r>
      <w:r>
        <w:t>.</w:t>
      </w:r>
    </w:p>
    <w:p w:rsidR="00B914AC" w:rsidP="00851230" w:rsidRDefault="00B914AC" w14:paraId="6E4127F6" w14:textId="3497AF49"/>
    <w:p w:rsidR="00230F0A" w:rsidP="00851230" w:rsidRDefault="00B914AC" w14:paraId="0F7E7566" w14:textId="3A4E501D">
      <w:r>
        <w:t xml:space="preserve">On December 11, 2019, CSE emailed a letter to ED’s Deputy Executive Director for Energy and Climate Policy/Director requesting to place a temporary hold on, rather than cancel, all </w:t>
      </w:r>
      <w:r w:rsidR="00AE1AEB">
        <w:t xml:space="preserve">identified </w:t>
      </w:r>
      <w:r>
        <w:t xml:space="preserve">SOMAH projects </w:t>
      </w:r>
      <w:r w:rsidR="00473B40">
        <w:t>that have applied for both</w:t>
      </w:r>
      <w:r>
        <w:t xml:space="preserve"> MASH and SOMAH Program incentives until after disposition of the issue. On December 12, 2019, CSE received a response from ED </w:t>
      </w:r>
      <w:r w:rsidR="00767D8D">
        <w:t xml:space="preserve">stating </w:t>
      </w:r>
      <w:r w:rsidR="00B43F74">
        <w:t xml:space="preserve">that </w:t>
      </w:r>
      <w:r w:rsidR="00884AE1">
        <w:t>it</w:t>
      </w:r>
      <w:r w:rsidR="00767D8D">
        <w:t xml:space="preserve"> </w:t>
      </w:r>
      <w:r>
        <w:t>was amenable to</w:t>
      </w:r>
      <w:r w:rsidR="00990F0C">
        <w:t xml:space="preserve"> </w:t>
      </w:r>
      <w:r>
        <w:t xml:space="preserve">placing identified projects into an indefinite suspension status until the issue </w:t>
      </w:r>
      <w:r w:rsidR="00AE1AEB">
        <w:t>was</w:t>
      </w:r>
      <w:r>
        <w:t xml:space="preserve"> formally disposed via the AL process.</w:t>
      </w:r>
      <w:r w:rsidR="00AE1AEB">
        <w:t xml:space="preserve"> </w:t>
      </w:r>
    </w:p>
    <w:p w:rsidR="00230F0A" w:rsidP="00851230" w:rsidRDefault="00230F0A" w14:paraId="7091D738" w14:textId="77777777"/>
    <w:p w:rsidR="006E4B6B" w:rsidP="00851230" w:rsidRDefault="00B914AC" w14:paraId="22E575F7" w14:textId="3FD86235">
      <w:r w:rsidRPr="00B914AC">
        <w:t xml:space="preserve">On December 16, 2019, in response to direction provided by </w:t>
      </w:r>
      <w:r>
        <w:t>ED</w:t>
      </w:r>
      <w:r w:rsidRPr="00B914AC">
        <w:t>, CSE filed AL 105-E to update the SOMAH Program Handbook</w:t>
      </w:r>
      <w:r>
        <w:t xml:space="preserve"> with</w:t>
      </w:r>
      <w:r w:rsidRPr="00B914AC">
        <w:t xml:space="preserve"> modifications </w:t>
      </w:r>
      <w:r w:rsidR="00950F37">
        <w:t>that include</w:t>
      </w:r>
      <w:r w:rsidRPr="00B914AC">
        <w:t xml:space="preserve"> explicit language clarifying that </w:t>
      </w:r>
      <w:r w:rsidR="00156B25">
        <w:t>solar</w:t>
      </w:r>
      <w:r w:rsidR="00AE1AEB">
        <w:t xml:space="preserve"> </w:t>
      </w:r>
      <w:r w:rsidRPr="00B914AC">
        <w:t xml:space="preserve">projects that have previously received a MASH Program incentive are ineligible to receive SOMAH Program incentives for the same system.  </w:t>
      </w:r>
    </w:p>
    <w:p w:rsidR="00B914AC" w:rsidP="00851230" w:rsidRDefault="00B914AC" w14:paraId="3CFB8326" w14:textId="77777777"/>
    <w:p w:rsidRPr="00143A5B" w:rsidR="00F71223" w:rsidP="00F71223" w:rsidRDefault="00475264" w14:paraId="72FD52EC" w14:textId="7F1F437B">
      <w:pPr>
        <w:rPr>
          <w:b/>
          <w:bCs/>
        </w:rPr>
      </w:pPr>
      <w:r>
        <w:t xml:space="preserve">The </w:t>
      </w:r>
      <w:r w:rsidR="005A6A6B">
        <w:t xml:space="preserve">AL </w:t>
      </w:r>
      <w:r>
        <w:t xml:space="preserve">updates SOMAH </w:t>
      </w:r>
      <w:r w:rsidR="00294D0D">
        <w:t xml:space="preserve">Program </w:t>
      </w:r>
      <w:r>
        <w:t xml:space="preserve">Handbook Section </w:t>
      </w:r>
      <w:r w:rsidRPr="00475264">
        <w:t>2.3.1</w:t>
      </w:r>
      <w:r>
        <w:t xml:space="preserve"> “</w:t>
      </w:r>
      <w:r w:rsidRPr="005A6A6B" w:rsidR="005A6A6B">
        <w:t>New Equipment, Not Pilot or Demonstration Systems</w:t>
      </w:r>
      <w:r>
        <w:t xml:space="preserve">” to include </w:t>
      </w:r>
      <w:r w:rsidR="005A6A6B">
        <w:t xml:space="preserve">a line that “Equipment that has received incentives from the Multifamily Affordable Solar Housing (MASH) program </w:t>
      </w:r>
      <w:r w:rsidR="003C6851">
        <w:t xml:space="preserve">is </w:t>
      </w:r>
      <w:r w:rsidR="005A6A6B">
        <w:t xml:space="preserve">not eligible to receive SOMAH incentives.” The AL further modifies SOMAH </w:t>
      </w:r>
      <w:r w:rsidR="003C6851">
        <w:t xml:space="preserve">Program </w:t>
      </w:r>
      <w:r w:rsidR="005A6A6B">
        <w:t>Handbook Section 3 “</w:t>
      </w:r>
      <w:r w:rsidRPr="005A6A6B" w:rsidR="005A6A6B">
        <w:t>SOMAH Incentive Structure</w:t>
      </w:r>
      <w:r w:rsidR="005A6A6B">
        <w:t xml:space="preserve">” to explicitly prohibit the </w:t>
      </w:r>
      <w:r w:rsidR="00552A83">
        <w:t xml:space="preserve">use </w:t>
      </w:r>
      <w:r w:rsidR="005A6A6B">
        <w:t xml:space="preserve">of MASH and SOMAH incentives for the same system. </w:t>
      </w:r>
    </w:p>
    <w:p w:rsidR="00C51016" w:rsidRDefault="00C51016" w14:paraId="1EC5CBDC" w14:textId="77777777">
      <w:pPr>
        <w:rPr>
          <w:b/>
          <w:u w:val="single"/>
        </w:rPr>
      </w:pPr>
    </w:p>
    <w:p w:rsidR="00CF17DE" w:rsidRDefault="00394B3A" w14:paraId="66788129" w14:textId="77777777">
      <w:pPr>
        <w:pStyle w:val="Heading1"/>
      </w:pPr>
      <w:r>
        <w:lastRenderedPageBreak/>
        <w:t>Notice</w:t>
      </w:r>
    </w:p>
    <w:p w:rsidR="00CF17DE" w:rsidRDefault="00CF17DE" w14:paraId="37FFE207" w14:textId="3D882E62">
      <w:r>
        <w:t xml:space="preserve">Notice of AL </w:t>
      </w:r>
      <w:r w:rsidR="005A6A6B">
        <w:t xml:space="preserve">CSE 105-E </w:t>
      </w:r>
      <w:r>
        <w:t xml:space="preserve">was made by publication in the Commission’s Daily Calendar.  </w:t>
      </w:r>
      <w:r w:rsidR="005A6A6B">
        <w:t>CSE</w:t>
      </w:r>
      <w:r>
        <w:t xml:space="preserve"> states that a copy of the Advice Letter was mailed and distributed in accordance with Sec</w:t>
      </w:r>
      <w:r w:rsidR="00A1526C">
        <w:t xml:space="preserve">tion </w:t>
      </w:r>
      <w:r w:rsidR="0069631C">
        <w:t>4</w:t>
      </w:r>
      <w:r w:rsidR="00E928CF">
        <w:t xml:space="preserve"> of General Order 96-B</w:t>
      </w:r>
      <w:r>
        <w:t xml:space="preserve">. </w:t>
      </w:r>
    </w:p>
    <w:p w:rsidR="00C91BF4" w:rsidRDefault="00C91BF4" w14:paraId="3BC34785" w14:textId="6BBFF314"/>
    <w:p w:rsidR="00F51265" w:rsidP="00BF1C76" w:rsidRDefault="00CF17DE" w14:paraId="297873F7" w14:textId="50222E4E">
      <w:pPr>
        <w:pStyle w:val="Heading1"/>
      </w:pPr>
      <w:r w:rsidRPr="002F23B1">
        <w:t>Protests</w:t>
      </w:r>
      <w:r w:rsidR="00D10E44">
        <w:t xml:space="preserve">, </w:t>
      </w:r>
      <w:r w:rsidR="005A6A6B">
        <w:t>responses</w:t>
      </w:r>
      <w:r w:rsidR="00D10E44">
        <w:t>, and Reply</w:t>
      </w:r>
    </w:p>
    <w:p w:rsidR="000C6793" w:rsidP="009D1950" w:rsidRDefault="00887318" w14:paraId="479B93AA" w14:textId="2C539A1E">
      <w:r>
        <w:t xml:space="preserve">On </w:t>
      </w:r>
      <w:r w:rsidR="005A6A6B">
        <w:t>January 3</w:t>
      </w:r>
      <w:r w:rsidR="00C21B6D">
        <w:t>, 20</w:t>
      </w:r>
      <w:r w:rsidR="005A6A6B">
        <w:t>20</w:t>
      </w:r>
      <w:r w:rsidR="00C21B6D">
        <w:t xml:space="preserve">, </w:t>
      </w:r>
      <w:r w:rsidRPr="005A6A6B" w:rsidR="005A6A6B">
        <w:t xml:space="preserve">Sunrun Inc. (“Sunrun”), </w:t>
      </w:r>
      <w:r w:rsidR="005A6A6B">
        <w:t>filed a time</w:t>
      </w:r>
      <w:r w:rsidR="00BF1C76">
        <w:t>ly</w:t>
      </w:r>
      <w:r w:rsidR="005A6A6B">
        <w:t xml:space="preserve"> </w:t>
      </w:r>
      <w:r w:rsidR="007512E0">
        <w:t>protest</w:t>
      </w:r>
      <w:r w:rsidR="005A6A6B">
        <w:t xml:space="preserve"> to CSE AL 105-E. </w:t>
      </w:r>
      <w:r w:rsidRPr="00BF1C76" w:rsidR="00BF1C76">
        <w:t xml:space="preserve">On January 6, 2020, the Public Advocates Office at the </w:t>
      </w:r>
      <w:r w:rsidR="00D60409">
        <w:t>CPUC</w:t>
      </w:r>
      <w:r w:rsidR="00BF1C76">
        <w:t xml:space="preserve"> (</w:t>
      </w:r>
      <w:proofErr w:type="spellStart"/>
      <w:r w:rsidR="00D60409">
        <w:t>CalPA</w:t>
      </w:r>
      <w:proofErr w:type="spellEnd"/>
      <w:r w:rsidR="00BF1C76">
        <w:t>)</w:t>
      </w:r>
      <w:r w:rsidRPr="00BF1C76" w:rsidR="00BF1C76">
        <w:t xml:space="preserve"> filed a timely response supporting the AL filing.</w:t>
      </w:r>
    </w:p>
    <w:p w:rsidR="009D1950" w:rsidP="009D1950" w:rsidRDefault="009D1950" w14:paraId="42994550" w14:textId="7FAD6775"/>
    <w:p w:rsidR="00BF1C76" w:rsidP="009D1950" w:rsidRDefault="00BF1C76" w14:paraId="3D3485E7" w14:textId="6640D5AC">
      <w:r>
        <w:t>CSE replied</w:t>
      </w:r>
      <w:r w:rsidR="00342B57">
        <w:t xml:space="preserve"> to the</w:t>
      </w:r>
      <w:r>
        <w:t xml:space="preserve"> </w:t>
      </w:r>
      <w:r w:rsidRPr="00BF1C76">
        <w:t>Protest and Response to CSE Advice Letter 105-E</w:t>
      </w:r>
      <w:r>
        <w:t xml:space="preserve"> on January 13, 2020.</w:t>
      </w:r>
    </w:p>
    <w:p w:rsidR="00BF1C76" w:rsidP="009D1950" w:rsidRDefault="00BF1C76" w14:paraId="6FFBF0AE" w14:textId="2F4D37F3"/>
    <w:p w:rsidR="00BF1C76" w:rsidP="009D1950" w:rsidRDefault="00BF1C76" w14:paraId="40683F1E" w14:textId="5995C9E9">
      <w:r w:rsidRPr="002F0ED1">
        <w:t>The following is a detailed summary of the issues raised in the protest and repl</w:t>
      </w:r>
      <w:r>
        <w:t>y</w:t>
      </w:r>
      <w:r w:rsidRPr="002F0ED1">
        <w:t xml:space="preserve">. </w:t>
      </w:r>
    </w:p>
    <w:p w:rsidR="00BF1C76" w:rsidP="009D1950" w:rsidRDefault="00BF1C76" w14:paraId="75B3AEF5" w14:textId="77777777"/>
    <w:p w:rsidRPr="005A6A6B" w:rsidR="00BF1C76" w:rsidP="00BF1C76" w:rsidRDefault="00BF1C76" w14:paraId="327E32AA" w14:textId="57FBE3BE">
      <w:pPr>
        <w:rPr>
          <w:b/>
          <w:bCs/>
        </w:rPr>
      </w:pPr>
      <w:r w:rsidRPr="005A6A6B">
        <w:rPr>
          <w:b/>
          <w:bCs/>
        </w:rPr>
        <w:t>Sunrun’s Protest of the SOMAH Program Handbook</w:t>
      </w:r>
      <w:r w:rsidR="00D808F0">
        <w:rPr>
          <w:b/>
          <w:bCs/>
        </w:rPr>
        <w:t xml:space="preserve"> AL</w:t>
      </w:r>
    </w:p>
    <w:p w:rsidR="00D808F0" w:rsidP="00D808F0" w:rsidRDefault="00D808F0" w14:paraId="1206B282" w14:textId="77777777"/>
    <w:p w:rsidR="00D808F0" w:rsidP="00D808F0" w:rsidRDefault="00BF1C76" w14:paraId="54AF1315" w14:textId="359F6402">
      <w:r>
        <w:t>Sunrun’s protest alleges that the AL’s proposed Handbook change is</w:t>
      </w:r>
      <w:r w:rsidR="00143A5B">
        <w:t xml:space="preserve"> </w:t>
      </w:r>
      <w:r>
        <w:t xml:space="preserve">not warranted, as the issue of combining </w:t>
      </w:r>
      <w:r w:rsidR="00E42354">
        <w:t>MASH and SOMAH incentives</w:t>
      </w:r>
      <w:r>
        <w:t xml:space="preserve"> was </w:t>
      </w:r>
      <w:r w:rsidR="00E42354">
        <w:t>“</w:t>
      </w:r>
      <w:r>
        <w:t>thoroughly vetted in the record and authorized as part of the Commission’s implementation of the program</w:t>
      </w:r>
      <w:r w:rsidR="00E42354">
        <w:t>.”</w:t>
      </w:r>
      <w:r w:rsidR="00143A5B">
        <w:t xml:space="preserve"> </w:t>
      </w:r>
      <w:r w:rsidR="00342B57">
        <w:t>The protest argues that the Advice Letter process is not the appropriate venue to institute a “retroactive and fundamental change to program eligibility requirements.”</w:t>
      </w:r>
    </w:p>
    <w:p w:rsidR="00D808F0" w:rsidP="00D808F0" w:rsidRDefault="00D808F0" w14:paraId="3B50DAC0" w14:textId="77777777"/>
    <w:p w:rsidR="00744E0A" w:rsidP="00D808F0" w:rsidRDefault="00744E0A" w14:paraId="660EAA0E" w14:textId="5B7BE6C4">
      <w:r>
        <w:t xml:space="preserve">The protest </w:t>
      </w:r>
      <w:r w:rsidR="00143A5B">
        <w:t>asserts that the rationale behind ED’s determination that the combining of both incentives would inhibit the precise fiscal accounting and accurate attribution of solar generation capacity resulting from participation in either program</w:t>
      </w:r>
      <w:r>
        <w:t xml:space="preserve"> is faulty</w:t>
      </w:r>
      <w:r w:rsidR="00313A24">
        <w:t xml:space="preserve">. </w:t>
      </w:r>
      <w:r w:rsidR="00D808F0">
        <w:t xml:space="preserve">Sunrun further </w:t>
      </w:r>
      <w:r>
        <w:t xml:space="preserve">claims that </w:t>
      </w:r>
      <w:r w:rsidR="00D808F0">
        <w:t xml:space="preserve">SOMAH is not funded by ratepayers as the program's funding comes via IOU </w:t>
      </w:r>
      <w:r>
        <w:t xml:space="preserve">greenhouse gas </w:t>
      </w:r>
      <w:r w:rsidR="00D808F0">
        <w:t xml:space="preserve">(GHG) </w:t>
      </w:r>
      <w:r>
        <w:t>allowance</w:t>
      </w:r>
      <w:r w:rsidR="00D808F0">
        <w:t xml:space="preserve"> proceeds</w:t>
      </w:r>
      <w:r>
        <w:t>.</w:t>
      </w:r>
      <w:r w:rsidR="00D808F0">
        <w:t xml:space="preserve"> </w:t>
      </w:r>
    </w:p>
    <w:p w:rsidR="00230F0A" w:rsidP="00143A5B" w:rsidRDefault="00230F0A" w14:paraId="2BC63B69" w14:textId="77777777"/>
    <w:p w:rsidR="00BF1C76" w:rsidP="00143A5B" w:rsidRDefault="00744E0A" w14:paraId="06F2A495" w14:textId="6D6CC62F">
      <w:r>
        <w:t>Sunrun</w:t>
      </w:r>
      <w:r w:rsidR="00230F0A">
        <w:t xml:space="preserve">’s protest </w:t>
      </w:r>
      <w:r w:rsidR="00E42354">
        <w:t>documents the</w:t>
      </w:r>
      <w:r w:rsidR="00BF1C76">
        <w:t xml:space="preserve"> adverse impacts </w:t>
      </w:r>
      <w:r w:rsidR="00143A5B">
        <w:t>the</w:t>
      </w:r>
      <w:r w:rsidR="00E42354">
        <w:t xml:space="preserve"> </w:t>
      </w:r>
      <w:r w:rsidR="00143A5B">
        <w:t>Handbook change</w:t>
      </w:r>
      <w:r w:rsidR="004B48DB">
        <w:t>s</w:t>
      </w:r>
      <w:r w:rsidR="008843A1">
        <w:t xml:space="preserve"> would have</w:t>
      </w:r>
      <w:r w:rsidR="00143A5B">
        <w:t xml:space="preserve"> on affected </w:t>
      </w:r>
      <w:r w:rsidR="00BF1C76">
        <w:t>affordable housing sponsors and tenants</w:t>
      </w:r>
      <w:r w:rsidR="00143A5B">
        <w:t xml:space="preserve">. </w:t>
      </w:r>
    </w:p>
    <w:p w:rsidR="00BF1C76" w:rsidP="00BF1C76" w:rsidRDefault="00BF1C76" w14:paraId="25A0911E" w14:textId="35227577"/>
    <w:p w:rsidRPr="005A6A6B" w:rsidR="00D808F0" w:rsidP="00D808F0" w:rsidRDefault="00D808F0" w14:paraId="0FB91C25" w14:textId="4A457784">
      <w:pPr>
        <w:rPr>
          <w:b/>
          <w:bCs/>
        </w:rPr>
      </w:pPr>
      <w:r w:rsidRPr="00D808F0">
        <w:rPr>
          <w:b/>
          <w:bCs/>
        </w:rPr>
        <w:t xml:space="preserve">The </w:t>
      </w:r>
      <w:r w:rsidR="00D60409">
        <w:rPr>
          <w:b/>
          <w:bCs/>
        </w:rPr>
        <w:t xml:space="preserve">CPUC </w:t>
      </w:r>
      <w:r w:rsidRPr="00D808F0">
        <w:rPr>
          <w:b/>
          <w:bCs/>
        </w:rPr>
        <w:t>Public Advocates Office</w:t>
      </w:r>
      <w:r w:rsidR="00D60409">
        <w:rPr>
          <w:b/>
          <w:bCs/>
        </w:rPr>
        <w:t xml:space="preserve"> (</w:t>
      </w:r>
      <w:proofErr w:type="spellStart"/>
      <w:r w:rsidR="00D60409">
        <w:rPr>
          <w:b/>
          <w:bCs/>
        </w:rPr>
        <w:t>CalPA</w:t>
      </w:r>
      <w:proofErr w:type="spellEnd"/>
      <w:r w:rsidR="00D60409">
        <w:rPr>
          <w:b/>
          <w:bCs/>
        </w:rPr>
        <w:t>)</w:t>
      </w:r>
      <w:r w:rsidRPr="00D808F0">
        <w:rPr>
          <w:b/>
          <w:bCs/>
        </w:rPr>
        <w:t xml:space="preserve"> </w:t>
      </w:r>
      <w:r w:rsidR="00D60409">
        <w:rPr>
          <w:b/>
          <w:bCs/>
        </w:rPr>
        <w:t>response</w:t>
      </w:r>
      <w:r w:rsidRPr="00232153" w:rsidR="00232153">
        <w:rPr>
          <w:b/>
          <w:bCs/>
        </w:rPr>
        <w:t xml:space="preserve"> </w:t>
      </w:r>
      <w:r w:rsidR="00232153">
        <w:rPr>
          <w:b/>
          <w:bCs/>
        </w:rPr>
        <w:t xml:space="preserve">to </w:t>
      </w:r>
      <w:r w:rsidRPr="005A6A6B" w:rsidR="00232153">
        <w:rPr>
          <w:b/>
          <w:bCs/>
        </w:rPr>
        <w:t>the SOMAH Program Handbook</w:t>
      </w:r>
      <w:r w:rsidR="00232153">
        <w:rPr>
          <w:b/>
          <w:bCs/>
        </w:rPr>
        <w:t xml:space="preserve"> AL</w:t>
      </w:r>
    </w:p>
    <w:p w:rsidR="00143A5B" w:rsidP="00BF1C76" w:rsidRDefault="00143A5B" w14:paraId="060114B9" w14:textId="7284C369"/>
    <w:p w:rsidR="00143A5B" w:rsidP="00D60409" w:rsidRDefault="00D60409" w14:paraId="6A499AEA" w14:textId="00FBE6B3">
      <w:proofErr w:type="spellStart"/>
      <w:r>
        <w:lastRenderedPageBreak/>
        <w:t>CalPA's</w:t>
      </w:r>
      <w:proofErr w:type="spellEnd"/>
      <w:r>
        <w:t xml:space="preserve"> response supports the proposed handbook changes, arguing th</w:t>
      </w:r>
      <w:r w:rsidR="00342B57">
        <w:t>at the</w:t>
      </w:r>
      <w:r>
        <w:t xml:space="preserve"> similarity in program objectives and successive nature of SOMAH’s foundation after MASH’s </w:t>
      </w:r>
      <w:r w:rsidR="00342B57">
        <w:t xml:space="preserve">sunsetting </w:t>
      </w:r>
      <w:r>
        <w:t>indicate th</w:t>
      </w:r>
      <w:r w:rsidR="00342B57">
        <w:t>at the</w:t>
      </w:r>
      <w:r>
        <w:t xml:space="preserve"> programs should be used in succession instead of concurrently for the same PV projects. The response notes that Public Utilities </w:t>
      </w:r>
      <w:r w:rsidR="00342B57">
        <w:t xml:space="preserve">(PU) </w:t>
      </w:r>
      <w:r w:rsidR="00230F0A">
        <w:t>Code §</w:t>
      </w:r>
      <w:r>
        <w:t xml:space="preserve"> 451 requires that all proposed utility rates and services must be both just and reasonable. </w:t>
      </w:r>
      <w:proofErr w:type="spellStart"/>
      <w:r w:rsidR="00230F0A">
        <w:t>CalPA</w:t>
      </w:r>
      <w:proofErr w:type="spellEnd"/>
      <w:r w:rsidR="00230F0A">
        <w:t xml:space="preserve"> argues that a</w:t>
      </w:r>
      <w:r>
        <w:t xml:space="preserve">llowing ratepayer money to be used to fund the same projects twice, through two separate Commission programs, is duplicative and contrary to the mandate </w:t>
      </w:r>
      <w:r w:rsidR="00342B57">
        <w:t>PU</w:t>
      </w:r>
      <w:r w:rsidR="00230F0A">
        <w:t xml:space="preserve"> Code § </w:t>
      </w:r>
      <w:r>
        <w:t>451.</w:t>
      </w:r>
    </w:p>
    <w:p w:rsidR="00143A5B" w:rsidP="00BF1C76" w:rsidRDefault="00143A5B" w14:paraId="4990B9B6" w14:textId="503148D1"/>
    <w:p w:rsidR="00143A5B" w:rsidP="00D60409" w:rsidRDefault="00D60409" w14:paraId="0DC361A1" w14:textId="2191D6FD">
      <w:proofErr w:type="spellStart"/>
      <w:r>
        <w:t>CalPA's</w:t>
      </w:r>
      <w:proofErr w:type="spellEnd"/>
      <w:r>
        <w:t xml:space="preserve"> response supports the determination made in the November 14, 2019 ED letter to the SOMAH PA</w:t>
      </w:r>
      <w:r w:rsidR="00230F0A">
        <w:t>. The response</w:t>
      </w:r>
      <w:r>
        <w:t xml:space="preserve"> argu</w:t>
      </w:r>
      <w:r w:rsidR="00230F0A">
        <w:t>es</w:t>
      </w:r>
      <w:r>
        <w:t xml:space="preserve"> that the CPUC should prevent the combined usage of SOMAH and MASH for the same PV projects to avoid creating obstacles to ED’s program tracking, implementation, and reporting. The </w:t>
      </w:r>
      <w:r w:rsidR="00230F0A">
        <w:t xml:space="preserve">protest supports the </w:t>
      </w:r>
      <w:r>
        <w:t xml:space="preserve">proposed SOMAH Handbook revisions </w:t>
      </w:r>
      <w:r w:rsidR="00230F0A">
        <w:t xml:space="preserve">and finds the updates </w:t>
      </w:r>
      <w:r>
        <w:t xml:space="preserve">necessary for ED to accurately assess and report on SOMAH and MASH program achievements. </w:t>
      </w:r>
    </w:p>
    <w:p w:rsidR="00143A5B" w:rsidP="00BF1C76" w:rsidRDefault="00143A5B" w14:paraId="5D278B89" w14:textId="77777777"/>
    <w:p w:rsidR="00D60409" w:rsidP="00D60409" w:rsidRDefault="00D60409" w14:paraId="3B2F7607" w14:textId="2D417BAA">
      <w:r>
        <w:t xml:space="preserve">Lastly, </w:t>
      </w:r>
      <w:proofErr w:type="spellStart"/>
      <w:r>
        <w:t>CalPA's</w:t>
      </w:r>
      <w:proofErr w:type="spellEnd"/>
      <w:r>
        <w:t xml:space="preserve"> response refutes Sunrun's protest claims that SOMAH's funding is distinct from ratepayer funding. The response argues that per </w:t>
      </w:r>
      <w:r w:rsidRPr="00D60409">
        <w:t>California Code of Regulations § 95892(d)(3) and 95893(d)(3)</w:t>
      </w:r>
      <w:r>
        <w:t>, unused IOU auction proceeds must be returned to ratepayers. As such</w:t>
      </w:r>
      <w:r w:rsidR="00AC7187">
        <w:t>,</w:t>
      </w:r>
      <w:r>
        <w:t xml:space="preserve"> </w:t>
      </w:r>
      <w:proofErr w:type="spellStart"/>
      <w:r w:rsidR="00342B57">
        <w:t>CalPA</w:t>
      </w:r>
      <w:proofErr w:type="spellEnd"/>
      <w:r w:rsidR="00342B57">
        <w:t xml:space="preserve"> argues that </w:t>
      </w:r>
      <w:r>
        <w:t>SOMAH's funding is ostensibly ratepayer funding</w:t>
      </w:r>
      <w:r w:rsidR="00342B57">
        <w:t xml:space="preserve"> – suggesting that a</w:t>
      </w:r>
      <w:r w:rsidR="00AC7187">
        <w:t>bsent the program</w:t>
      </w:r>
      <w:r w:rsidR="001F2597">
        <w:t>,</w:t>
      </w:r>
      <w:r w:rsidR="00AC7187">
        <w:t xml:space="preserve"> </w:t>
      </w:r>
      <w:r w:rsidR="001F2597">
        <w:t>such</w:t>
      </w:r>
      <w:r w:rsidR="00AC7187">
        <w:t xml:space="preserve"> funding would be returned to ratepayers via the biannual climate credit.</w:t>
      </w:r>
    </w:p>
    <w:p w:rsidR="00F37A80" w:rsidP="007B119F" w:rsidRDefault="00F37A80" w14:paraId="00890625" w14:textId="0050DEC0"/>
    <w:p w:rsidRPr="005A6A6B" w:rsidR="00230F0A" w:rsidP="00230F0A" w:rsidRDefault="00230F0A" w14:paraId="33BAC5B0" w14:textId="69B39202">
      <w:pPr>
        <w:rPr>
          <w:b/>
          <w:bCs/>
        </w:rPr>
      </w:pPr>
      <w:r>
        <w:rPr>
          <w:b/>
          <w:bCs/>
        </w:rPr>
        <w:t>CSE’s Reply to the Protest and Response</w:t>
      </w:r>
    </w:p>
    <w:p w:rsidR="00230F0A" w:rsidP="007B119F" w:rsidRDefault="00230F0A" w14:paraId="397E0CB8" w14:textId="77777777"/>
    <w:p w:rsidR="00D10E44" w:rsidP="00D10E44" w:rsidRDefault="00D10E44" w14:paraId="0F2EFC91" w14:textId="1B62336C">
      <w:r>
        <w:t>On January 13, 2020, CSE filed a timely reply to the protest and response. The</w:t>
      </w:r>
      <w:r w:rsidR="00E72368">
        <w:t xml:space="preserve"> </w:t>
      </w:r>
      <w:r>
        <w:t>reply summarized the content of the protest and response and reiterated CSE’s request for the Commission</w:t>
      </w:r>
      <w:r w:rsidR="005D5761">
        <w:t xml:space="preserve"> to</w:t>
      </w:r>
      <w:r>
        <w:t xml:space="preserve"> provide necessary direction to the SOMAH PA</w:t>
      </w:r>
      <w:r w:rsidR="00E72368">
        <w:t xml:space="preserve"> </w:t>
      </w:r>
      <w:r>
        <w:t xml:space="preserve">in approving the </w:t>
      </w:r>
      <w:r w:rsidR="00230F0A">
        <w:t>AL</w:t>
      </w:r>
      <w:r>
        <w:t xml:space="preserve"> as filed or providing additional direction to CSE via a</w:t>
      </w:r>
      <w:r w:rsidR="00E72368">
        <w:t xml:space="preserve"> </w:t>
      </w:r>
      <w:r>
        <w:t xml:space="preserve">nonstandard disposition letter or Resolution.  </w:t>
      </w:r>
    </w:p>
    <w:p w:rsidR="00D10E44" w:rsidP="007B119F" w:rsidRDefault="00D10E44" w14:paraId="353140D0" w14:textId="77777777"/>
    <w:p w:rsidR="001F2597" w:rsidP="001F2597" w:rsidRDefault="00F37A80" w14:paraId="623777A8" w14:textId="15F5BA85">
      <w:pPr>
        <w:pStyle w:val="Heading1"/>
      </w:pPr>
      <w:r w:rsidRPr="002F23B1">
        <w:t>Discussion</w:t>
      </w:r>
    </w:p>
    <w:p w:rsidR="00F37A80" w:rsidP="00F37A80" w:rsidRDefault="001F2597" w14:paraId="784B1FAE" w14:textId="4431EB38">
      <w:r>
        <w:t>In reviewing the proposed Handbook changes described in the Background section above, we find that the Handbook changes are appropriate and necessary. The following sections address the disposition of the protest and response.</w:t>
      </w:r>
    </w:p>
    <w:p w:rsidR="00F37A80" w:rsidP="00F37A80" w:rsidRDefault="00F37A80" w14:paraId="2B55343D" w14:textId="77777777"/>
    <w:p w:rsidR="000803BB" w:rsidP="000803BB" w:rsidRDefault="001B7F88" w14:paraId="3F756475" w14:textId="786FDF1E">
      <w:pPr>
        <w:pStyle w:val="ListParagraph"/>
        <w:numPr>
          <w:ilvl w:val="0"/>
          <w:numId w:val="16"/>
        </w:numPr>
        <w:rPr>
          <w:b/>
          <w:bCs/>
          <w:u w:val="single"/>
        </w:rPr>
      </w:pPr>
      <w:r>
        <w:rPr>
          <w:b/>
          <w:bCs/>
          <w:u w:val="single"/>
        </w:rPr>
        <w:lastRenderedPageBreak/>
        <w:t>No Commission Authorization for MASH and SOMAH Incentive Commingling</w:t>
      </w:r>
    </w:p>
    <w:p w:rsidR="000803BB" w:rsidP="000803BB" w:rsidRDefault="000803BB" w14:paraId="399020A3" w14:textId="78518DBB">
      <w:pPr>
        <w:rPr>
          <w:b/>
          <w:bCs/>
          <w:u w:val="single"/>
        </w:rPr>
      </w:pPr>
    </w:p>
    <w:p w:rsidR="00F0469F" w:rsidP="000803BB" w:rsidRDefault="000803BB" w14:paraId="57392568" w14:textId="156FADEB">
      <w:r w:rsidRPr="000803BB">
        <w:t xml:space="preserve">The </w:t>
      </w:r>
      <w:r>
        <w:t xml:space="preserve">SOMAH PA’s </w:t>
      </w:r>
      <w:r w:rsidR="004C0F19">
        <w:t>AL</w:t>
      </w:r>
      <w:r>
        <w:t xml:space="preserve"> accurate</w:t>
      </w:r>
      <w:r w:rsidR="00CB1F9C">
        <w:t>ly</w:t>
      </w:r>
      <w:r>
        <w:t xml:space="preserve"> d</w:t>
      </w:r>
      <w:r w:rsidR="004C0F19">
        <w:t>ocuments</w:t>
      </w:r>
      <w:r>
        <w:t xml:space="preserve"> the timeline</w:t>
      </w:r>
      <w:r w:rsidR="00871755">
        <w:t xml:space="preserve"> and context</w:t>
      </w:r>
      <w:r>
        <w:t xml:space="preserve"> by which the issue of </w:t>
      </w:r>
      <w:r w:rsidR="00F0469F">
        <w:t xml:space="preserve">incentive </w:t>
      </w:r>
      <w:r>
        <w:t>commingling came to the attention of Energy Division. On July 1, 2019, (the opening date for</w:t>
      </w:r>
      <w:r w:rsidR="00F0469F">
        <w:t xml:space="preserve"> the</w:t>
      </w:r>
      <w:r>
        <w:t xml:space="preserve"> SOMAH </w:t>
      </w:r>
      <w:r w:rsidR="00F0469F">
        <w:t>Program</w:t>
      </w:r>
      <w:r>
        <w:t>) applications were received</w:t>
      </w:r>
      <w:r w:rsidR="00F0469F">
        <w:t xml:space="preserve"> by the SOMAH PA</w:t>
      </w:r>
      <w:r>
        <w:t xml:space="preserve"> for projects also leveraging incentives through the MASH Program. </w:t>
      </w:r>
      <w:r w:rsidR="00871755">
        <w:t xml:space="preserve">As SOMAH and MASH have </w:t>
      </w:r>
      <w:r>
        <w:t>differen</w:t>
      </w:r>
      <w:r w:rsidR="00F0469F">
        <w:t xml:space="preserve">t </w:t>
      </w:r>
      <w:r>
        <w:t xml:space="preserve">program requirements </w:t>
      </w:r>
      <w:r w:rsidR="00871755">
        <w:t>regarding</w:t>
      </w:r>
      <w:r>
        <w:t xml:space="preserve"> workforce development and job training, the SOMAH PA notified ED and the MASH PAs to determine how best to handle any divergences between the two programs.</w:t>
      </w:r>
      <w:r w:rsidR="00871755">
        <w:t xml:space="preserve"> </w:t>
      </w:r>
    </w:p>
    <w:p w:rsidR="00F0469F" w:rsidP="000803BB" w:rsidRDefault="00F0469F" w14:paraId="770D63CE" w14:textId="77777777"/>
    <w:p w:rsidR="00604DFB" w:rsidP="000803BB" w:rsidRDefault="00871755" w14:paraId="7F255C50" w14:textId="2D79FB9C">
      <w:r>
        <w:t>At th</w:t>
      </w:r>
      <w:r w:rsidR="00604DFB">
        <w:t>at</w:t>
      </w:r>
      <w:r>
        <w:t xml:space="preserve"> time, </w:t>
      </w:r>
      <w:r w:rsidR="000803BB">
        <w:t xml:space="preserve">ED </w:t>
      </w:r>
      <w:r w:rsidRPr="00B43F74" w:rsidR="000803BB">
        <w:t>investigat</w:t>
      </w:r>
      <w:r w:rsidR="00342B57">
        <w:t>ed</w:t>
      </w:r>
      <w:r w:rsidR="00386FDD">
        <w:t xml:space="preserve"> the</w:t>
      </w:r>
      <w:r w:rsidR="00342B57">
        <w:t xml:space="preserve"> </w:t>
      </w:r>
      <w:r w:rsidR="00604DFB">
        <w:t>identified</w:t>
      </w:r>
      <w:r>
        <w:t xml:space="preserve"> projects, reviewed </w:t>
      </w:r>
      <w:r w:rsidR="00386FDD">
        <w:t xml:space="preserve">the </w:t>
      </w:r>
      <w:r>
        <w:t xml:space="preserve">governing statute, </w:t>
      </w:r>
      <w:r w:rsidR="00F0469F">
        <w:t xml:space="preserve">and conducted a thorough review of the record </w:t>
      </w:r>
      <w:r w:rsidR="00604DFB">
        <w:t>in the development and formal adoption of the SOMAH Handbook in Resolution E-4987</w:t>
      </w:r>
      <w:r w:rsidR="004C0F19">
        <w:t xml:space="preserve">. The review </w:t>
      </w:r>
      <w:r w:rsidR="00D11928">
        <w:t xml:space="preserve">had a </w:t>
      </w:r>
      <w:proofErr w:type="gramStart"/>
      <w:r w:rsidR="004C0F19">
        <w:t>particular focus</w:t>
      </w:r>
      <w:proofErr w:type="gramEnd"/>
      <w:r w:rsidR="004C0F19">
        <w:t xml:space="preserve"> on the issue of</w:t>
      </w:r>
      <w:r w:rsidR="00F0469F">
        <w:t xml:space="preserve"> commingling of MASH and SOMAH incentives. </w:t>
      </w:r>
      <w:r w:rsidR="004C0F19">
        <w:t>The results of th</w:t>
      </w:r>
      <w:r w:rsidR="00342B57">
        <w:t>at</w:t>
      </w:r>
      <w:r w:rsidR="004C0F19">
        <w:t xml:space="preserve"> review are summarized below.</w:t>
      </w:r>
    </w:p>
    <w:p w:rsidR="007C0E21" w:rsidP="000803BB" w:rsidRDefault="007C0E21" w14:paraId="4211EFCA" w14:textId="4528ED94"/>
    <w:p w:rsidR="007C0E21" w:rsidP="000803BB" w:rsidRDefault="007C0E21" w14:paraId="4E2F0E66" w14:textId="6133E8D7">
      <w:r>
        <w:t>I</w:t>
      </w:r>
      <w:r w:rsidRPr="007C0E21">
        <w:t xml:space="preserve">n reviewing </w:t>
      </w:r>
      <w:r w:rsidR="00965178">
        <w:t>the SOMAH Decision</w:t>
      </w:r>
      <w:r w:rsidRPr="007C0E21">
        <w:t>, the only point in which SOMAH incentive</w:t>
      </w:r>
      <w:r w:rsidR="005263A1">
        <w:t>s</w:t>
      </w:r>
      <w:r w:rsidRPr="007C0E21">
        <w:t xml:space="preserve">  and their interaction with external </w:t>
      </w:r>
      <w:r>
        <w:t xml:space="preserve">program </w:t>
      </w:r>
      <w:r w:rsidRPr="007C0E21">
        <w:t xml:space="preserve">funding </w:t>
      </w:r>
      <w:r w:rsidR="001B7F88">
        <w:t>is discussed is</w:t>
      </w:r>
      <w:r w:rsidRPr="007C0E21">
        <w:t xml:space="preserve"> </w:t>
      </w:r>
      <w:r w:rsidR="006D2C91">
        <w:t>when</w:t>
      </w:r>
      <w:r w:rsidRPr="007C0E21">
        <w:t xml:space="preserve"> t</w:t>
      </w:r>
      <w:r>
        <w:t xml:space="preserve">he </w:t>
      </w:r>
      <w:r w:rsidR="00342B57">
        <w:t>D</w:t>
      </w:r>
      <w:r>
        <w:t>ecision</w:t>
      </w:r>
      <w:r w:rsidRPr="007C0E21">
        <w:t xml:space="preserve"> determin</w:t>
      </w:r>
      <w:r w:rsidR="006D2C91">
        <w:t>es</w:t>
      </w:r>
      <w:r w:rsidRPr="007C0E21">
        <w:t xml:space="preserve"> that the SOMAH program's incentive levels </w:t>
      </w:r>
      <w:r w:rsidR="002353B8">
        <w:t>shall</w:t>
      </w:r>
      <w:r w:rsidRPr="007C0E21">
        <w:t xml:space="preserve"> </w:t>
      </w:r>
      <w:r w:rsidRPr="007C0E21">
        <w:rPr>
          <w:i/>
          <w:iCs/>
        </w:rPr>
        <w:t xml:space="preserve">decrease </w:t>
      </w:r>
      <w:r w:rsidRPr="007C0E21">
        <w:t>should a project receive either the Investment Tax Credit (ITC) or the Low Income Housing Tax Credit (LIHTC).</w:t>
      </w:r>
      <w:r w:rsidR="0028456E">
        <w:rPr>
          <w:rStyle w:val="FootnoteReference"/>
        </w:rPr>
        <w:footnoteReference w:id="4"/>
      </w:r>
      <w:r>
        <w:t xml:space="preserve"> </w:t>
      </w:r>
      <w:r w:rsidR="00342B57">
        <w:t xml:space="preserve">There is no discussion of </w:t>
      </w:r>
      <w:r w:rsidR="001B7F88">
        <w:t>potential</w:t>
      </w:r>
      <w:r w:rsidR="00342B57">
        <w:t xml:space="preserve"> interaction between SOMAH and MASH incentives.</w:t>
      </w:r>
      <w:r>
        <w:t xml:space="preserve"> </w:t>
      </w:r>
    </w:p>
    <w:p w:rsidR="00604DFB" w:rsidP="000803BB" w:rsidRDefault="00604DFB" w14:paraId="36534384" w14:textId="77777777"/>
    <w:p w:rsidR="00604DFB" w:rsidP="00604DFB" w:rsidRDefault="00751741" w14:paraId="0748651A" w14:textId="524E45CB">
      <w:r>
        <w:t>On</w:t>
      </w:r>
      <w:r w:rsidR="00604DFB">
        <w:t xml:space="preserve"> June 27, 2018, </w:t>
      </w:r>
      <w:r w:rsidR="00342B57">
        <w:t>ED</w:t>
      </w:r>
      <w:r w:rsidR="00604DFB">
        <w:t xml:space="preserve"> circulated a notice to parties of the Net Energy Metering proceeding (Rulemaking (R.)14-07-002), Energy Savings Assistance Program proceeding (Application (A.)14-11-007) and General Energy Efficiency proceeding (Rulemaking (R.)13-11-005), and other interested parties, with a link to the draft </w:t>
      </w:r>
      <w:r w:rsidR="005D6161">
        <w:t xml:space="preserve">of the </w:t>
      </w:r>
      <w:r w:rsidR="004C0F19">
        <w:t xml:space="preserve">SOMAH </w:t>
      </w:r>
      <w:r w:rsidR="00604DFB">
        <w:t xml:space="preserve">Handbook and directions on how </w:t>
      </w:r>
      <w:r w:rsidR="004C0F19">
        <w:t>interested stakeholders</w:t>
      </w:r>
      <w:r w:rsidR="00604DFB">
        <w:t xml:space="preserve"> could provide direct written </w:t>
      </w:r>
      <w:r w:rsidR="00F85C75">
        <w:t>feedback</w:t>
      </w:r>
      <w:r w:rsidR="00604DFB">
        <w:t xml:space="preserve"> </w:t>
      </w:r>
      <w:r w:rsidR="00633AFE">
        <w:t>to</w:t>
      </w:r>
      <w:r w:rsidR="00604DFB">
        <w:t xml:space="preserve"> the draft. </w:t>
      </w:r>
    </w:p>
    <w:p w:rsidR="00604DFB" w:rsidP="00604DFB" w:rsidRDefault="00604DFB" w14:paraId="7F5B3ADB" w14:textId="77777777">
      <w:r>
        <w:t xml:space="preserve"> </w:t>
      </w:r>
    </w:p>
    <w:p w:rsidR="00604DFB" w:rsidP="000803BB" w:rsidRDefault="00604DFB" w14:paraId="54561CC7" w14:textId="1F786FFA">
      <w:r>
        <w:t>On July 12, 2018, the SOMAH PA facilitated a SOMAH Program Handbook workshop</w:t>
      </w:r>
      <w:r w:rsidR="004C0F19">
        <w:t>.</w:t>
      </w:r>
      <w:r>
        <w:t xml:space="preserve"> </w:t>
      </w:r>
      <w:r w:rsidR="004C0F19">
        <w:t>T</w:t>
      </w:r>
      <w:r>
        <w:t>he SOMAH PA presented on the draft Handbook contents largely focusing on programmatic differences between the SOMAH and MASH Programs.</w:t>
      </w:r>
      <w:r w:rsidR="00E91795">
        <w:t xml:space="preserve">  </w:t>
      </w:r>
      <w:r>
        <w:t xml:space="preserve">Participant questions centered on the timing of the program </w:t>
      </w:r>
      <w:r>
        <w:lastRenderedPageBreak/>
        <w:t>implementation plan filing and subsequent Commission approval</w:t>
      </w:r>
      <w:r w:rsidR="001B7F88">
        <w:t>,</w:t>
      </w:r>
      <w:r w:rsidR="00E91795">
        <w:t xml:space="preserve"> and</w:t>
      </w:r>
      <w:r>
        <w:t xml:space="preserve"> the program’s energy efficiency requirements. Additional topics of discussion included the program’s multiple bid requirements, timeline for project level bids, and SOMAH PA technical assistance role. Following the workshop, stakeholders were asked to submit written comments on the draft Handbook.</w:t>
      </w:r>
    </w:p>
    <w:p w:rsidR="00604DFB" w:rsidP="000803BB" w:rsidRDefault="00604DFB" w14:paraId="4CC382DF" w14:textId="03807B68"/>
    <w:p w:rsidR="00E872D9" w:rsidP="000803BB" w:rsidRDefault="00604DFB" w14:paraId="78E4F700" w14:textId="6A6C8490">
      <w:r>
        <w:t xml:space="preserve">No comments regarding the commingling of MASH and SOMAH funds were raised during this workshop. </w:t>
      </w:r>
      <w:r w:rsidR="00E872D9">
        <w:t xml:space="preserve">Of the over 300 </w:t>
      </w:r>
      <w:r w:rsidR="004C0F19">
        <w:t xml:space="preserve">written </w:t>
      </w:r>
      <w:r w:rsidR="00E872D9">
        <w:t xml:space="preserve">comments received </w:t>
      </w:r>
      <w:r w:rsidR="00342B57">
        <w:t xml:space="preserve">by the SOMAH PA </w:t>
      </w:r>
      <w:r w:rsidR="00E872D9">
        <w:t xml:space="preserve">on the draft Handbook, only one comment </w:t>
      </w:r>
      <w:r w:rsidR="00342B57">
        <w:t>discussed</w:t>
      </w:r>
      <w:r w:rsidR="00E872D9">
        <w:t xml:space="preserve"> incentive stacking. The comment, submitted jointly by </w:t>
      </w:r>
      <w:r w:rsidRPr="00342B57" w:rsidR="00342B57">
        <w:t>the California Solar &amp; Storage Association</w:t>
      </w:r>
      <w:r w:rsidRPr="00533F8C" w:rsidR="00E872D9">
        <w:t xml:space="preserve">, Everyday Energy, </w:t>
      </w:r>
      <w:r w:rsidR="00E872D9">
        <w:t xml:space="preserve">the </w:t>
      </w:r>
      <w:r w:rsidRPr="00533F8C" w:rsidR="00E872D9">
        <w:t xml:space="preserve">MASH Coalition, Community Advancement, </w:t>
      </w:r>
      <w:r w:rsidR="00E872D9">
        <w:t xml:space="preserve">and </w:t>
      </w:r>
      <w:r w:rsidRPr="00533F8C" w:rsidR="00E872D9">
        <w:t>Promise Energy</w:t>
      </w:r>
      <w:r w:rsidR="00E872D9">
        <w:t>, sought clarification that the Handbook include a</w:t>
      </w:r>
      <w:r w:rsidRPr="00E872D9" w:rsidR="00E872D9">
        <w:t xml:space="preserve"> sentence to Section 3.3 reading: “ITC and LIHTC are not considered to be additional incentives." </w:t>
      </w:r>
      <w:r w:rsidR="004C0F19">
        <w:t xml:space="preserve">The comment did not raise the issue of </w:t>
      </w:r>
      <w:r w:rsidR="00342B57">
        <w:t xml:space="preserve">allowing </w:t>
      </w:r>
      <w:r w:rsidR="007C0E21">
        <w:t xml:space="preserve">the </w:t>
      </w:r>
      <w:r w:rsidR="004C0F19">
        <w:t xml:space="preserve">commingling </w:t>
      </w:r>
      <w:r w:rsidR="007C0E21">
        <w:t xml:space="preserve">of </w:t>
      </w:r>
      <w:r w:rsidR="004C0F19">
        <w:t>MASH and SOMAH incentives for the same PV project.</w:t>
      </w:r>
    </w:p>
    <w:p w:rsidR="00E872D9" w:rsidP="000803BB" w:rsidRDefault="00E872D9" w14:paraId="187373BB" w14:textId="77777777"/>
    <w:p w:rsidR="00F0469F" w:rsidP="000803BB" w:rsidRDefault="00604DFB" w14:paraId="3215E82F" w14:textId="2CEADAAA">
      <w:r>
        <w:t xml:space="preserve">Similarly, after reviewing the record of comments following </w:t>
      </w:r>
      <w:r w:rsidR="00DF142A">
        <w:t>the</w:t>
      </w:r>
      <w:r>
        <w:t xml:space="preserve"> </w:t>
      </w:r>
      <w:r w:rsidR="007C0E21">
        <w:t xml:space="preserve">October 1, 2018 </w:t>
      </w:r>
      <w:r>
        <w:t xml:space="preserve">submittal of GRID </w:t>
      </w:r>
      <w:r w:rsidR="00DF142A">
        <w:t xml:space="preserve">AL </w:t>
      </w:r>
      <w:r>
        <w:t>11-E</w:t>
      </w:r>
      <w:r w:rsidR="000E6950">
        <w:t>,</w:t>
      </w:r>
      <w:r w:rsidR="00342B57">
        <w:t xml:space="preserve"> which</w:t>
      </w:r>
      <w:r w:rsidR="007C0E21">
        <w:t xml:space="preserve"> </w:t>
      </w:r>
      <w:r>
        <w:t>contain</w:t>
      </w:r>
      <w:r w:rsidR="00342B57">
        <w:t xml:space="preserve">ed </w:t>
      </w:r>
      <w:r>
        <w:t xml:space="preserve">the initial SOMAH </w:t>
      </w:r>
      <w:r w:rsidRPr="00BE7362">
        <w:t>Handbook</w:t>
      </w:r>
      <w:r>
        <w:t>, there were no party comments or protest</w:t>
      </w:r>
      <w:r w:rsidR="00E872D9">
        <w:t>s</w:t>
      </w:r>
      <w:r>
        <w:t xml:space="preserve"> </w:t>
      </w:r>
      <w:r w:rsidR="00342B57">
        <w:t xml:space="preserve">that </w:t>
      </w:r>
      <w:r>
        <w:t>rais</w:t>
      </w:r>
      <w:r w:rsidR="00342B57">
        <w:t>ed</w:t>
      </w:r>
      <w:r>
        <w:t xml:space="preserve"> th</w:t>
      </w:r>
      <w:r w:rsidR="00E872D9">
        <w:t xml:space="preserve">e </w:t>
      </w:r>
      <w:r>
        <w:t>issue</w:t>
      </w:r>
      <w:r w:rsidR="00E872D9">
        <w:t xml:space="preserve"> of commingling </w:t>
      </w:r>
      <w:r w:rsidR="00342B57">
        <w:t xml:space="preserve">MASH and SOMAH </w:t>
      </w:r>
      <w:r w:rsidR="00E872D9">
        <w:t>incentives.</w:t>
      </w:r>
    </w:p>
    <w:p w:rsidR="004C0F19" w:rsidP="000803BB" w:rsidRDefault="004C0F19" w14:paraId="67BDC448" w14:textId="761FECBF"/>
    <w:p w:rsidR="005610B0" w:rsidP="004C0F19" w:rsidRDefault="004C0F19" w14:paraId="2EFECEA2" w14:textId="3B529F86">
      <w:r>
        <w:t xml:space="preserve">Contrary to claims raised in the </w:t>
      </w:r>
      <w:r w:rsidR="001B7F88">
        <w:t xml:space="preserve">Sunrun </w:t>
      </w:r>
      <w:r>
        <w:t>protest</w:t>
      </w:r>
      <w:r w:rsidR="0012528A">
        <w:t>,</w:t>
      </w:r>
      <w:bookmarkStart w:name="_Hlk32936985" w:id="2"/>
      <w:r w:rsidR="00A46B98">
        <w:t xml:space="preserve"> </w:t>
      </w:r>
      <w:r>
        <w:t>the issue of authorizing the combining of MASH and SOMAH incentives for a single PV project was not thoroughly vetted in the record</w:t>
      </w:r>
      <w:r w:rsidR="001B7F88">
        <w:t>, nor was it</w:t>
      </w:r>
      <w:r>
        <w:t xml:space="preserve"> authorized as part of the Commission’s implementation of the program</w:t>
      </w:r>
      <w:r w:rsidR="00734DE8">
        <w:t>.</w:t>
      </w:r>
      <w:r w:rsidR="00880E9A">
        <w:t xml:space="preserve"> </w:t>
      </w:r>
    </w:p>
    <w:bookmarkEnd w:id="2"/>
    <w:p w:rsidR="00AE3C6B" w:rsidP="005610B0" w:rsidRDefault="00AE3C6B" w14:paraId="2BA0034A" w14:textId="77777777"/>
    <w:p w:rsidR="00734DE8" w:rsidP="004C0F19" w:rsidRDefault="00880E9A" w14:paraId="663026CC" w14:textId="478C18EF">
      <w:r>
        <w:t>It is within t</w:t>
      </w:r>
      <w:r w:rsidR="00F77765">
        <w:t>his</w:t>
      </w:r>
      <w:r>
        <w:t xml:space="preserve"> context that the SOMAH PA submitted AL 105-E for clarification.</w:t>
      </w:r>
    </w:p>
    <w:p w:rsidRPr="000803BB" w:rsidR="000803BB" w:rsidP="000803BB" w:rsidRDefault="000803BB" w14:paraId="095CDF15" w14:textId="77777777">
      <w:pPr>
        <w:rPr>
          <w:b/>
          <w:bCs/>
          <w:u w:val="single"/>
        </w:rPr>
      </w:pPr>
    </w:p>
    <w:p w:rsidR="00E872D9" w:rsidP="00F37A80" w:rsidRDefault="00E872D9" w14:paraId="34F20CBF" w14:textId="4DA99FC9">
      <w:pPr>
        <w:pStyle w:val="ListParagraph"/>
        <w:numPr>
          <w:ilvl w:val="0"/>
          <w:numId w:val="16"/>
        </w:numPr>
        <w:rPr>
          <w:b/>
          <w:bCs/>
          <w:u w:val="single"/>
        </w:rPr>
      </w:pPr>
      <w:r w:rsidRPr="00E872D9">
        <w:rPr>
          <w:b/>
          <w:bCs/>
          <w:u w:val="single"/>
        </w:rPr>
        <w:t xml:space="preserve">The </w:t>
      </w:r>
      <w:r>
        <w:rPr>
          <w:b/>
          <w:bCs/>
          <w:u w:val="single"/>
        </w:rPr>
        <w:t xml:space="preserve">AL </w:t>
      </w:r>
      <w:r w:rsidRPr="00E872D9">
        <w:rPr>
          <w:b/>
          <w:bCs/>
          <w:u w:val="single"/>
        </w:rPr>
        <w:t>adheres to guidance</w:t>
      </w:r>
      <w:r>
        <w:rPr>
          <w:b/>
          <w:bCs/>
          <w:u w:val="single"/>
        </w:rPr>
        <w:t xml:space="preserve"> </w:t>
      </w:r>
      <w:r w:rsidRPr="00E872D9">
        <w:rPr>
          <w:b/>
          <w:bCs/>
          <w:u w:val="single"/>
        </w:rPr>
        <w:t>provided in D.17-12-022</w:t>
      </w:r>
      <w:r>
        <w:rPr>
          <w:b/>
          <w:bCs/>
          <w:u w:val="single"/>
        </w:rPr>
        <w:t xml:space="preserve"> regarding </w:t>
      </w:r>
      <w:r w:rsidRPr="00E872D9">
        <w:rPr>
          <w:b/>
          <w:bCs/>
          <w:u w:val="single"/>
        </w:rPr>
        <w:t>SOMAH Handbook update</w:t>
      </w:r>
      <w:r>
        <w:rPr>
          <w:b/>
          <w:bCs/>
          <w:u w:val="single"/>
        </w:rPr>
        <w:t>s</w:t>
      </w:r>
    </w:p>
    <w:p w:rsidR="00E872D9" w:rsidP="00E872D9" w:rsidRDefault="00E872D9" w14:paraId="7F63CE83" w14:textId="4C4EDE8F">
      <w:pPr>
        <w:rPr>
          <w:b/>
          <w:bCs/>
          <w:u w:val="single"/>
        </w:rPr>
      </w:pPr>
    </w:p>
    <w:p w:rsidR="00E872D9" w:rsidP="006F76A5" w:rsidRDefault="00E872D9" w14:paraId="08BCEF37" w14:textId="6EB0C5AE">
      <w:r w:rsidRPr="00E872D9">
        <w:t>Sunrun’s protest argues that</w:t>
      </w:r>
      <w:r w:rsidR="006F76A5">
        <w:t xml:space="preserve"> the </w:t>
      </w:r>
      <w:r w:rsidR="001B7F88">
        <w:t xml:space="preserve">formal </w:t>
      </w:r>
      <w:r w:rsidR="006F76A5">
        <w:t xml:space="preserve">proceeding, rather than the AL review process, is the appropriate venue to address the clarification sought in AL 105-E. The protest cites </w:t>
      </w:r>
      <w:r w:rsidRPr="00E872D9">
        <w:t xml:space="preserve">PU Code § 2870(j)(1), </w:t>
      </w:r>
      <w:r w:rsidR="006F76A5">
        <w:t xml:space="preserve">as the </w:t>
      </w:r>
      <w:r w:rsidRPr="00E872D9">
        <w:t>establishe</w:t>
      </w:r>
      <w:r w:rsidR="006F76A5">
        <w:t>d</w:t>
      </w:r>
      <w:r w:rsidRPr="00E872D9">
        <w:t xml:space="preserve"> mechanism for</w:t>
      </w:r>
      <w:r w:rsidR="006F76A5">
        <w:t xml:space="preserve"> </w:t>
      </w:r>
      <w:r w:rsidRPr="00E872D9">
        <w:t>the Commission to review and, if necessary, make significant changes in the SOMAH Program.</w:t>
      </w:r>
      <w:r>
        <w:t xml:space="preserve"> </w:t>
      </w:r>
      <w:r w:rsidRPr="00E872D9">
        <w:t xml:space="preserve">That section </w:t>
      </w:r>
      <w:r w:rsidR="00B4592C">
        <w:t>states</w:t>
      </w:r>
      <w:r w:rsidRPr="00E872D9">
        <w:t>, “Every three years, the commission shall evaluate the program’s</w:t>
      </w:r>
      <w:r>
        <w:t xml:space="preserve"> </w:t>
      </w:r>
      <w:r w:rsidRPr="00E872D9">
        <w:t>expenditures, commitments, uncommitted balances, future demands, performance, and outcomes</w:t>
      </w:r>
      <w:r>
        <w:t xml:space="preserve"> </w:t>
      </w:r>
      <w:r w:rsidRPr="00E872D9">
        <w:t>and shall make any necessary adjustments to the program to ensure the goals of the program are</w:t>
      </w:r>
      <w:r>
        <w:t xml:space="preserve"> </w:t>
      </w:r>
      <w:r w:rsidRPr="00E872D9">
        <w:t xml:space="preserve">being met.” </w:t>
      </w:r>
    </w:p>
    <w:p w:rsidR="006F76A5" w:rsidP="006F76A5" w:rsidRDefault="006F76A5" w14:paraId="4F4F72B5" w14:textId="35F05DD3"/>
    <w:p w:rsidR="00C11228" w:rsidP="00C11228" w:rsidRDefault="006F76A5" w14:paraId="6B01CE5A" w14:textId="20C8CDB7">
      <w:r>
        <w:t xml:space="preserve">While the proceeding is the forum </w:t>
      </w:r>
      <w:r w:rsidR="00880E9A">
        <w:t>in</w:t>
      </w:r>
      <w:r>
        <w:t xml:space="preserve"> which to make wholesale </w:t>
      </w:r>
      <w:r w:rsidR="00880E9A">
        <w:t xml:space="preserve">program changes </w:t>
      </w:r>
      <w:r>
        <w:t xml:space="preserve">or </w:t>
      </w:r>
      <w:r w:rsidR="00880E9A">
        <w:t xml:space="preserve">to make weighty </w:t>
      </w:r>
      <w:r>
        <w:t>decisions regarding statute</w:t>
      </w:r>
      <w:r w:rsidR="00880E9A">
        <w:t xml:space="preserve"> or other large-scale policy determin</w:t>
      </w:r>
      <w:r w:rsidR="001B7F88">
        <w:t>ations</w:t>
      </w:r>
      <w:r>
        <w:t xml:space="preserve">, D.17-12-022 provided clear direction by which the SOMAH PA </w:t>
      </w:r>
      <w:r w:rsidR="001B7F88">
        <w:t>c</w:t>
      </w:r>
      <w:r>
        <w:t xml:space="preserve">ould </w:t>
      </w:r>
      <w:bookmarkStart w:name="_Hlk32937074" w:id="3"/>
      <w:r>
        <w:t>make minor program modifications to the SOMAH Program</w:t>
      </w:r>
      <w:bookmarkEnd w:id="3"/>
      <w:r>
        <w:t>. In D.17-12-022</w:t>
      </w:r>
      <w:r w:rsidR="00C11228">
        <w:t xml:space="preserve">, the Commission </w:t>
      </w:r>
      <w:r w:rsidR="00880E9A">
        <w:t xml:space="preserve">unambiguously </w:t>
      </w:r>
      <w:r w:rsidR="00C11228">
        <w:t>stated: “Once the SOMAH Program Handbook is adopted, the PA may propose program adjustments to the Program Handbook via a Tier 2 Advice Letter.”</w:t>
      </w:r>
    </w:p>
    <w:p w:rsidR="00C11228" w:rsidP="00C11228" w:rsidRDefault="00C11228" w14:paraId="69FCBE3C" w14:textId="219D963C"/>
    <w:p w:rsidRPr="00C11228" w:rsidR="00E872D9" w:rsidP="00E872D9" w:rsidRDefault="00880E9A" w14:paraId="38A93E66" w14:textId="1ACC7DD7">
      <w:r>
        <w:t xml:space="preserve">Noting the narrow scope of the issue at hand, </w:t>
      </w:r>
      <w:bookmarkStart w:name="_Hlk32937027" w:id="4"/>
      <w:r>
        <w:t>t</w:t>
      </w:r>
      <w:r w:rsidRPr="00BB0733" w:rsidR="00AA25C7">
        <w:t>he proposed Handbook changes in AL 105-E are focused and limited to the SOMAH</w:t>
      </w:r>
      <w:r w:rsidR="00B4042E">
        <w:t xml:space="preserve"> and </w:t>
      </w:r>
      <w:r w:rsidRPr="00BB0733" w:rsidR="00AA25C7">
        <w:t xml:space="preserve">MASH </w:t>
      </w:r>
      <w:r w:rsidR="00B4042E">
        <w:t>incentive commingling</w:t>
      </w:r>
      <w:r w:rsidRPr="00BB0733" w:rsidR="00AA25C7">
        <w:t xml:space="preserve"> issue. </w:t>
      </w:r>
      <w:bookmarkEnd w:id="4"/>
      <w:r w:rsidRPr="00BB0733">
        <w:t>T</w:t>
      </w:r>
      <w:r w:rsidRPr="00BB0733" w:rsidR="00AA25C7">
        <w:t xml:space="preserve">he </w:t>
      </w:r>
      <w:r w:rsidRPr="00BB0733">
        <w:t xml:space="preserve">AL's </w:t>
      </w:r>
      <w:r w:rsidR="001B7F88">
        <w:t xml:space="preserve">proposed update to the </w:t>
      </w:r>
      <w:r w:rsidRPr="00BB0733">
        <w:t>Handbook</w:t>
      </w:r>
      <w:r w:rsidRPr="00BB0733" w:rsidR="00AA25C7">
        <w:t xml:space="preserve"> </w:t>
      </w:r>
      <w:r w:rsidRPr="00BB0733">
        <w:t>is limited to clarify that</w:t>
      </w:r>
      <w:r w:rsidRPr="00BB0733" w:rsidR="00AA25C7">
        <w:t xml:space="preserve"> projects that have received a MASH Program incentive are ineligible to participate in the SOMAH Program. </w:t>
      </w:r>
      <w:r w:rsidRPr="00BB0733">
        <w:t>T</w:t>
      </w:r>
      <w:r w:rsidR="00BB0733">
        <w:t>hus, t</w:t>
      </w:r>
      <w:r w:rsidRPr="00BB0733" w:rsidR="00AA25C7">
        <w:t>he remedy sought</w:t>
      </w:r>
      <w:r w:rsidR="00E72368">
        <w:t xml:space="preserve"> by the SOMAH PA</w:t>
      </w:r>
      <w:r w:rsidRPr="00BB0733" w:rsidR="00AA25C7">
        <w:t xml:space="preserve"> </w:t>
      </w:r>
      <w:r w:rsidRPr="00BB0733" w:rsidR="00BB0733">
        <w:t xml:space="preserve">is appropriate </w:t>
      </w:r>
      <w:r w:rsidR="00BB0733">
        <w:t xml:space="preserve">to the </w:t>
      </w:r>
      <w:r w:rsidR="00B4042E">
        <w:t>AL</w:t>
      </w:r>
      <w:r w:rsidR="00BB0733">
        <w:t xml:space="preserve"> process. </w:t>
      </w:r>
      <w:r w:rsidR="007C0E21">
        <w:t>As such,</w:t>
      </w:r>
      <w:r w:rsidR="00BB0733">
        <w:t xml:space="preserve"> </w:t>
      </w:r>
      <w:r w:rsidRPr="00BB0733" w:rsidR="007C0E21">
        <w:t xml:space="preserve">the SOMAH PA is </w:t>
      </w:r>
      <w:r w:rsidR="007C0E21">
        <w:t xml:space="preserve">acting </w:t>
      </w:r>
      <w:r w:rsidRPr="00BB0733" w:rsidR="007C0E21">
        <w:t>in compliance with Commission Decision D.17-12-022</w:t>
      </w:r>
      <w:r w:rsidR="007C0E21">
        <w:t xml:space="preserve"> by s</w:t>
      </w:r>
      <w:r w:rsidR="00BB0733">
        <w:t xml:space="preserve">ubmitting </w:t>
      </w:r>
      <w:r w:rsidRPr="00BB0733" w:rsidR="00BB0733">
        <w:t>a filing</w:t>
      </w:r>
      <w:r w:rsidR="00BB0733">
        <w:t xml:space="preserve"> to make</w:t>
      </w:r>
      <w:r w:rsidR="007C0E21">
        <w:t xml:space="preserve"> the</w:t>
      </w:r>
      <w:r w:rsidR="00BB0733">
        <w:t xml:space="preserve"> limited and targeted</w:t>
      </w:r>
      <w:r w:rsidR="00F77765">
        <w:t xml:space="preserve"> proposed</w:t>
      </w:r>
      <w:r w:rsidR="00BB0733">
        <w:t xml:space="preserve"> program clarifications</w:t>
      </w:r>
      <w:r w:rsidRPr="00BB0733" w:rsidR="00C11228">
        <w:t>.</w:t>
      </w:r>
      <w:r w:rsidR="006F76A5">
        <w:t xml:space="preserve"> </w:t>
      </w:r>
    </w:p>
    <w:p w:rsidRPr="00E872D9" w:rsidR="00E872D9" w:rsidP="00E872D9" w:rsidRDefault="00E872D9" w14:paraId="526EB29F" w14:textId="77777777">
      <w:pPr>
        <w:rPr>
          <w:b/>
          <w:bCs/>
          <w:u w:val="single"/>
        </w:rPr>
      </w:pPr>
    </w:p>
    <w:p w:rsidR="00F77765" w:rsidP="00F37A80" w:rsidRDefault="00530B51" w14:paraId="312A0108" w14:textId="320455DB">
      <w:pPr>
        <w:pStyle w:val="ListParagraph"/>
        <w:numPr>
          <w:ilvl w:val="0"/>
          <w:numId w:val="16"/>
        </w:numPr>
        <w:rPr>
          <w:b/>
          <w:bCs/>
          <w:u w:val="single"/>
        </w:rPr>
      </w:pPr>
      <w:r>
        <w:rPr>
          <w:b/>
          <w:bCs/>
          <w:u w:val="single"/>
        </w:rPr>
        <w:t>GHG auction proceeds are equivalent to ratepayer funds</w:t>
      </w:r>
      <w:r w:rsidR="00491D69">
        <w:rPr>
          <w:b/>
          <w:bCs/>
          <w:u w:val="single"/>
        </w:rPr>
        <w:t xml:space="preserve">. </w:t>
      </w:r>
    </w:p>
    <w:p w:rsidRPr="00491D69" w:rsidR="00530B51" w:rsidP="00491D69" w:rsidRDefault="00530B51" w14:paraId="264F7C2D" w14:textId="1CBD2BD6">
      <w:pPr>
        <w:rPr>
          <w:b/>
          <w:bCs/>
          <w:u w:val="single"/>
        </w:rPr>
      </w:pPr>
    </w:p>
    <w:p w:rsidR="002C3F1D" w:rsidP="00530B51" w:rsidRDefault="00B4042E" w14:paraId="65FF9903" w14:textId="79B95C5A">
      <w:proofErr w:type="spellStart"/>
      <w:r>
        <w:t>CalPA’s</w:t>
      </w:r>
      <w:proofErr w:type="spellEnd"/>
      <w:r>
        <w:t xml:space="preserve"> response cited </w:t>
      </w:r>
      <w:r w:rsidRPr="000573EF" w:rsidR="00530B51">
        <w:t xml:space="preserve">California Code of Regulations § 95892(d)(3) and 95893(d)(3), </w:t>
      </w:r>
      <w:r>
        <w:t xml:space="preserve">summarizing the finding that </w:t>
      </w:r>
      <w:r w:rsidRPr="000573EF" w:rsidR="00530B51">
        <w:t xml:space="preserve">unused IOU </w:t>
      </w:r>
      <w:r w:rsidR="001B7F88">
        <w:t xml:space="preserve">GHG </w:t>
      </w:r>
      <w:r w:rsidRPr="000573EF" w:rsidR="00530B51">
        <w:t>auction proceeds must be returned to ratepayers.</w:t>
      </w:r>
      <w:r w:rsidR="00530B51">
        <w:t xml:space="preserve"> Absent the SOMAH program, such auction proceeds would be returned to ratepayers via the biannual climate credit. Additionally, that same code section clearly states that "a</w:t>
      </w:r>
      <w:r w:rsidRPr="000573EF" w:rsidR="00530B51">
        <w:t xml:space="preserve">llowance value, including any allocated allowance auction proceeds, obtained by an electrical distribution utility </w:t>
      </w:r>
      <w:r w:rsidRPr="000573EF" w:rsidR="00530B51">
        <w:rPr>
          <w:i/>
          <w:iCs/>
        </w:rPr>
        <w:t>must be used for the primary benefit of retail electricity ratepayers</w:t>
      </w:r>
      <w:r w:rsidRPr="000573EF" w:rsidR="00530B51">
        <w:t xml:space="preserve"> of each electrical distribution utility, consistent with the goals of AB 32, and </w:t>
      </w:r>
      <w:r w:rsidRPr="000573EF" w:rsidR="00530B51">
        <w:rPr>
          <w:i/>
          <w:iCs/>
        </w:rPr>
        <w:t>may not be used for the primary benefit of entities or persons other than such ratepayers</w:t>
      </w:r>
      <w:r w:rsidR="00530B51">
        <w:t xml:space="preserve"> [emphasis added]." </w:t>
      </w:r>
    </w:p>
    <w:p w:rsidR="002C3F1D" w:rsidP="00530B51" w:rsidRDefault="002C3F1D" w14:paraId="5BDF7761" w14:textId="77777777"/>
    <w:p w:rsidR="009D4761" w:rsidP="00491D69" w:rsidRDefault="00530B51" w14:paraId="681A77D5" w14:textId="4DE431C0">
      <w:proofErr w:type="spellStart"/>
      <w:r>
        <w:t>CalPA</w:t>
      </w:r>
      <w:proofErr w:type="spellEnd"/>
      <w:r>
        <w:t xml:space="preserve"> is correct in their response </w:t>
      </w:r>
      <w:r w:rsidR="001B7F88">
        <w:t>–</w:t>
      </w:r>
      <w:r>
        <w:t xml:space="preserve"> </w:t>
      </w:r>
      <w:bookmarkStart w:name="_Hlk32937114" w:id="5"/>
      <w:proofErr w:type="gramStart"/>
      <w:r w:rsidR="001B7F88">
        <w:t xml:space="preserve">with </w:t>
      </w:r>
      <w:r>
        <w:t>regard to</w:t>
      </w:r>
      <w:proofErr w:type="gramEnd"/>
      <w:r>
        <w:t xml:space="preserve"> their use as clean energy program incentives, IOU </w:t>
      </w:r>
      <w:r w:rsidR="00E72368">
        <w:t xml:space="preserve">GHG </w:t>
      </w:r>
      <w:r>
        <w:t>auction proceeds are, for all intents and purposes, equivalent to ratepayer provided funding.</w:t>
      </w:r>
      <w:r w:rsidR="002C3F1D">
        <w:t xml:space="preserve"> </w:t>
      </w:r>
      <w:bookmarkEnd w:id="5"/>
      <w:r w:rsidR="009D4761">
        <w:t>Thus, w</w:t>
      </w:r>
      <w:r w:rsidR="00491D69">
        <w:t xml:space="preserve">e are not swayed by </w:t>
      </w:r>
      <w:r w:rsidR="001B7F88">
        <w:t xml:space="preserve">Sunrun’s </w:t>
      </w:r>
      <w:r w:rsidR="00491D69">
        <w:t xml:space="preserve">claims that SOMAH </w:t>
      </w:r>
      <w:r w:rsidR="001B7F88">
        <w:t>is not funded by ratepayers</w:t>
      </w:r>
      <w:r w:rsidR="00491D69">
        <w:t xml:space="preserve">. </w:t>
      </w:r>
    </w:p>
    <w:p w:rsidR="009D4761" w:rsidP="00491D69" w:rsidRDefault="009D4761" w14:paraId="346665DD" w14:textId="77777777"/>
    <w:p w:rsidR="00DE15DC" w:rsidP="009D4761" w:rsidRDefault="009D4761" w14:paraId="2D911A97" w14:textId="5B02D019">
      <w:r>
        <w:t>Sunrun</w:t>
      </w:r>
      <w:r w:rsidR="001B7F88">
        <w:t>’s</w:t>
      </w:r>
      <w:r w:rsidR="00DE15DC">
        <w:t xml:space="preserve"> protest also </w:t>
      </w:r>
      <w:r>
        <w:t xml:space="preserve">argues that D.17-12-022 explicitly contemplated actions to promote the combination of SOMAH incentives with other incentives. Citing dicta which states: "In order to maximize the effectiveness of services provided </w:t>
      </w:r>
      <w:r>
        <w:lastRenderedPageBreak/>
        <w:t xml:space="preserve">under this program, the PA will develop and propose methods to coordinate with other clean energy programs in order to ensure that properties receiving SOMAH incentives are aware of and can access other sources of services and funding </w:t>
      </w:r>
      <w:r w:rsidRPr="00491D69">
        <w:rPr>
          <w:i/>
          <w:iCs/>
        </w:rPr>
        <w:t>for</w:t>
      </w:r>
      <w:r>
        <w:t xml:space="preserve"> </w:t>
      </w:r>
      <w:r w:rsidRPr="00491D69">
        <w:rPr>
          <w:i/>
          <w:iCs/>
        </w:rPr>
        <w:t>which they may be eligible</w:t>
      </w:r>
      <w:r>
        <w:t xml:space="preserve"> [emphasis added]." </w:t>
      </w:r>
    </w:p>
    <w:p w:rsidR="00DE15DC" w:rsidP="009D4761" w:rsidRDefault="00DE15DC" w14:paraId="06635011" w14:textId="77777777"/>
    <w:p w:rsidRPr="009D4761" w:rsidR="00491D69" w:rsidP="009D4761" w:rsidRDefault="00DE15DC" w14:paraId="191BEDC1" w14:textId="1987A52F">
      <w:r>
        <w:t xml:space="preserve">In reconfirming that GHG auction proceeds are equivalent to ratepayer funds, we find that the direction in D.17-12-022 holds true – </w:t>
      </w:r>
      <w:bookmarkStart w:name="_Hlk32937137" w:id="6"/>
      <w:r w:rsidR="00491D69">
        <w:t>MASH</w:t>
      </w:r>
      <w:r>
        <w:t xml:space="preserve"> is not an eligible program for which a SOMAH project can leverage funding. </w:t>
      </w:r>
      <w:r w:rsidR="00491D69">
        <w:t xml:space="preserve"> </w:t>
      </w:r>
      <w:r>
        <w:t>Similarly, when we review the MASH Handbook, we find that MASH for "</w:t>
      </w:r>
      <w:r w:rsidRPr="00BE58A7">
        <w:t xml:space="preserve">projects that receive </w:t>
      </w:r>
      <w:r>
        <w:t>'</w:t>
      </w:r>
      <w:r w:rsidRPr="00BE58A7">
        <w:t>other incentives</w:t>
      </w:r>
      <w:r>
        <w:t>'</w:t>
      </w:r>
      <w:r w:rsidRPr="00BE58A7">
        <w:t xml:space="preserve"> for the same generating equipment that are funded by California investor-owned utility ratepayers (e.g., utility or California Energy Commission public goods charge programs), the MASH incentive is </w:t>
      </w:r>
      <w:r w:rsidRPr="00BE58A7">
        <w:rPr>
          <w:i/>
          <w:iCs/>
        </w:rPr>
        <w:t xml:space="preserve">discounted </w:t>
      </w:r>
      <w:r w:rsidRPr="00BE58A7">
        <w:t xml:space="preserve">[emphasis added] by the amount of the </w:t>
      </w:r>
      <w:r>
        <w:t>"</w:t>
      </w:r>
      <w:r w:rsidRPr="00BE58A7">
        <w:t>other incentive.</w:t>
      </w:r>
      <w:r>
        <w:t xml:space="preserve">'" With this direction, we conclude that our findings align with the external program leveraging rules established in the MASH program. </w:t>
      </w:r>
    </w:p>
    <w:bookmarkEnd w:id="6"/>
    <w:p w:rsidR="00530B51" w:rsidP="00530B51" w:rsidRDefault="00530B51" w14:paraId="2F4643D5" w14:textId="77777777">
      <w:pPr>
        <w:rPr>
          <w:b/>
          <w:bCs/>
          <w:u w:val="single"/>
        </w:rPr>
      </w:pPr>
    </w:p>
    <w:p w:rsidR="00530B51" w:rsidP="00530B51" w:rsidRDefault="00530B51" w14:paraId="1A05C4BF" w14:textId="62BFA007">
      <w:r>
        <w:t>We do not disagree with Sunrun's protest claims that allowing incentives to be combined for a PV project could encourage program participation in either MASH or SOMAH</w:t>
      </w:r>
      <w:r w:rsidR="007B6E9F">
        <w:t>.</w:t>
      </w:r>
      <w:r>
        <w:t xml:space="preserve"> </w:t>
      </w:r>
      <w:r w:rsidR="008016D5">
        <w:t>It is obvious that providing a</w:t>
      </w:r>
      <w:r w:rsidR="007B6E9F">
        <w:t xml:space="preserve">n incentive framework </w:t>
      </w:r>
      <w:r w:rsidR="008016D5">
        <w:t>that could</w:t>
      </w:r>
      <w:r w:rsidR="007B6E9F">
        <w:t xml:space="preserve"> lead to</w:t>
      </w:r>
      <w:r w:rsidR="008016D5">
        <w:t xml:space="preserve"> fully </w:t>
      </w:r>
      <w:r w:rsidR="007B6E9F">
        <w:t xml:space="preserve">subsidized </w:t>
      </w:r>
      <w:r w:rsidR="008016D5">
        <w:t xml:space="preserve">solar </w:t>
      </w:r>
      <w:r w:rsidR="007B6E9F">
        <w:t xml:space="preserve">installations </w:t>
      </w:r>
      <w:r w:rsidR="008016D5">
        <w:t xml:space="preserve">would be attractive to potential participants. </w:t>
      </w:r>
      <w:r>
        <w:t xml:space="preserve">However, allowing such a practice </w:t>
      </w:r>
      <w:r w:rsidR="007B6E9F">
        <w:t xml:space="preserve">for SOMAH </w:t>
      </w:r>
      <w:r>
        <w:t xml:space="preserve">would run counter to both D.17-12-022 and the </w:t>
      </w:r>
      <w:bookmarkStart w:name="_Hlk32937171" w:id="7"/>
      <w:r w:rsidRPr="00E72368">
        <w:rPr>
          <w:i/>
          <w:iCs/>
        </w:rPr>
        <w:t>MASH Program Handbook Second Edition</w:t>
      </w:r>
      <w:bookmarkEnd w:id="7"/>
      <w:r w:rsidR="008016D5">
        <w:t xml:space="preserve">. </w:t>
      </w:r>
      <w:proofErr w:type="gramStart"/>
      <w:r>
        <w:t>Both of these</w:t>
      </w:r>
      <w:proofErr w:type="gramEnd"/>
      <w:r>
        <w:t xml:space="preserve"> governing documents</w:t>
      </w:r>
      <w:r w:rsidR="007F01FA">
        <w:t xml:space="preserve"> </w:t>
      </w:r>
      <w:bookmarkStart w:name="_Hlk32937184" w:id="8"/>
      <w:r w:rsidR="008016D5">
        <w:t xml:space="preserve">paid special attention to the structure of incentives and clearly sought to </w:t>
      </w:r>
      <w:r w:rsidRPr="008016D5">
        <w:rPr>
          <w:i/>
          <w:iCs/>
        </w:rPr>
        <w:t>reduce</w:t>
      </w:r>
      <w:r>
        <w:t xml:space="preserve"> </w:t>
      </w:r>
      <w:r w:rsidR="007F01FA">
        <w:t>each</w:t>
      </w:r>
      <w:r>
        <w:t xml:space="preserve"> program</w:t>
      </w:r>
      <w:r w:rsidR="007F01FA">
        <w:t>'s</w:t>
      </w:r>
      <w:r>
        <w:t xml:space="preserve"> incentives </w:t>
      </w:r>
      <w:r w:rsidR="007F01FA">
        <w:t xml:space="preserve">when taking into account other funding sources. </w:t>
      </w:r>
    </w:p>
    <w:bookmarkEnd w:id="8"/>
    <w:p w:rsidR="00530B51" w:rsidP="00530B51" w:rsidRDefault="00530B51" w14:paraId="188410D9" w14:textId="77777777">
      <w:pPr>
        <w:rPr>
          <w:b/>
          <w:bCs/>
          <w:u w:val="single"/>
        </w:rPr>
      </w:pPr>
    </w:p>
    <w:p w:rsidR="008016D5" w:rsidP="00530B51" w:rsidRDefault="00DE15DC" w14:paraId="0C821C35" w14:textId="15D3EC1D">
      <w:r>
        <w:t xml:space="preserve">As outlined above, the MASH program </w:t>
      </w:r>
      <w:r w:rsidRPr="008C5228">
        <w:rPr>
          <w:i/>
          <w:iCs/>
        </w:rPr>
        <w:t>reduces</w:t>
      </w:r>
      <w:r>
        <w:t xml:space="preserve"> incentives should another ratepayer funded program be leveraged.</w:t>
      </w:r>
      <w:r w:rsidR="007B6E9F">
        <w:t xml:space="preserve"> D.17-12-022 similarly </w:t>
      </w:r>
      <w:r w:rsidRPr="008C5228" w:rsidR="007B6E9F">
        <w:rPr>
          <w:i/>
          <w:iCs/>
        </w:rPr>
        <w:t>reduced</w:t>
      </w:r>
      <w:r w:rsidR="007B6E9F">
        <w:t xml:space="preserve"> SOMAH incentives when contemplating leveraging other funding sources. That </w:t>
      </w:r>
      <w:r w:rsidR="0038351E">
        <w:t>D</w:t>
      </w:r>
      <w:r w:rsidR="007B6E9F">
        <w:t xml:space="preserve">ecision </w:t>
      </w:r>
      <w:r w:rsidR="008016D5">
        <w:t xml:space="preserve">states: "In order to meet the requirement of AB 693 that our incentive levels take into account the availability of other incentives and credits, we adopt an incentive structure that </w:t>
      </w:r>
      <w:r w:rsidRPr="007B6E9F" w:rsidR="008016D5">
        <w:rPr>
          <w:i/>
          <w:iCs/>
        </w:rPr>
        <w:t>reduces</w:t>
      </w:r>
      <w:r w:rsidR="007B6E9F">
        <w:t xml:space="preserve"> [emphasis added]</w:t>
      </w:r>
      <w:r w:rsidR="008016D5">
        <w:t xml:space="preserve"> the incentive level by 30% if the project receives either the Investment Tax Credit (ITC) or the Low Income Housing Tax Credit (LIHTC), and 50% if the project receives both benefits."</w:t>
      </w:r>
    </w:p>
    <w:p w:rsidR="002C3F1D" w:rsidP="00530B51" w:rsidRDefault="002C3F1D" w14:paraId="096482E4" w14:textId="77777777"/>
    <w:p w:rsidRPr="007B6E9F" w:rsidR="008016D5" w:rsidP="00530B51" w:rsidRDefault="007B6E9F" w14:paraId="26524F04" w14:textId="304DF726">
      <w:r>
        <w:t xml:space="preserve">It is with this context and record that we </w:t>
      </w:r>
      <w:r w:rsidR="009D4761">
        <w:t xml:space="preserve">further </w:t>
      </w:r>
      <w:r>
        <w:t>d</w:t>
      </w:r>
      <w:r w:rsidR="002C3F1D">
        <w:t xml:space="preserve">etermine </w:t>
      </w:r>
      <w:r>
        <w:t>Sunrun's claim that MASH and SOMAH incentive stacking as</w:t>
      </w:r>
      <w:r w:rsidRPr="007B6E9F">
        <w:t xml:space="preserve"> </w:t>
      </w:r>
      <w:r>
        <w:t>"authorized as part of the</w:t>
      </w:r>
      <w:r w:rsidR="009D4761">
        <w:t xml:space="preserve"> </w:t>
      </w:r>
      <w:r>
        <w:t>Commission’s implementation of the program"</w:t>
      </w:r>
      <w:r w:rsidR="002C3F1D">
        <w:t xml:space="preserve"> </w:t>
      </w:r>
      <w:r w:rsidR="0038351E">
        <w:t>is</w:t>
      </w:r>
      <w:r w:rsidR="002C3F1D">
        <w:t xml:space="preserve"> misaligned with Commission </w:t>
      </w:r>
      <w:r w:rsidR="001B7F88">
        <w:t>policy</w:t>
      </w:r>
      <w:r w:rsidR="002C3F1D">
        <w:t>.</w:t>
      </w:r>
      <w:r>
        <w:t xml:space="preserve"> </w:t>
      </w:r>
      <w:r w:rsidR="00DA2048">
        <w:t xml:space="preserve">Further, since we have determined GHG </w:t>
      </w:r>
      <w:r w:rsidR="001B7F88">
        <w:t>auction proceeds are</w:t>
      </w:r>
      <w:r w:rsidR="00DA2048">
        <w:t xml:space="preserve"> equivalent </w:t>
      </w:r>
      <w:r w:rsidR="00DA2048">
        <w:lastRenderedPageBreak/>
        <w:t xml:space="preserve">to ratepayer funding </w:t>
      </w:r>
      <w:r w:rsidR="001B7F88">
        <w:t>for</w:t>
      </w:r>
      <w:r w:rsidR="00DA2048">
        <w:t xml:space="preserve"> clean energy program</w:t>
      </w:r>
      <w:r w:rsidR="0020185C">
        <w:t>s</w:t>
      </w:r>
      <w:r w:rsidR="00DA2048">
        <w:t xml:space="preserve">, </w:t>
      </w:r>
      <w:r w:rsidR="00842179">
        <w:t xml:space="preserve">we reject the protest’s assertion that both funding sources </w:t>
      </w:r>
      <w:r w:rsidR="00A9219F">
        <w:t>can be used concurrently.</w:t>
      </w:r>
    </w:p>
    <w:p w:rsidRPr="00530B51" w:rsidR="00530B51" w:rsidP="00530B51" w:rsidRDefault="00530B51" w14:paraId="18769722" w14:textId="1D8707A3">
      <w:pPr>
        <w:rPr>
          <w:b/>
          <w:bCs/>
          <w:u w:val="single"/>
        </w:rPr>
      </w:pPr>
      <w:r w:rsidRPr="00530B51">
        <w:rPr>
          <w:b/>
          <w:bCs/>
          <w:u w:val="single"/>
        </w:rPr>
        <w:t xml:space="preserve"> </w:t>
      </w:r>
    </w:p>
    <w:p w:rsidRPr="0032478A" w:rsidR="00F37A80" w:rsidP="00F37A80" w:rsidRDefault="004434AE" w14:paraId="7EC1DB54" w14:textId="43972516">
      <w:pPr>
        <w:pStyle w:val="ListParagraph"/>
        <w:numPr>
          <w:ilvl w:val="0"/>
          <w:numId w:val="16"/>
        </w:numPr>
        <w:rPr>
          <w:b/>
          <w:bCs/>
          <w:u w:val="single"/>
        </w:rPr>
      </w:pPr>
      <w:r>
        <w:rPr>
          <w:b/>
          <w:bCs/>
          <w:u w:val="single"/>
        </w:rPr>
        <w:t xml:space="preserve">Energy Division Must Not Be Inhibited it its Accurate Accounting and Reporting for MASH and SOMAH to the Legislature. </w:t>
      </w:r>
    </w:p>
    <w:p w:rsidRPr="00D9463A" w:rsidR="00F37A80" w:rsidP="00F37A80" w:rsidRDefault="00F37A80" w14:paraId="6E08172E" w14:textId="77777777">
      <w:pPr>
        <w:pStyle w:val="ListParagraph"/>
        <w:rPr>
          <w:b/>
          <w:bCs/>
        </w:rPr>
      </w:pPr>
    </w:p>
    <w:p w:rsidR="00E47937" w:rsidP="000573EF" w:rsidRDefault="002C3F1D" w14:paraId="33BA9202" w14:textId="0FE11B59">
      <w:r>
        <w:t xml:space="preserve">Sunrun </w:t>
      </w:r>
      <w:r w:rsidR="00E47937">
        <w:t>claims that</w:t>
      </w:r>
      <w:r w:rsidR="007C0E21">
        <w:t xml:space="preserve"> commingling</w:t>
      </w:r>
      <w:r>
        <w:t xml:space="preserve"> MASH and SOMAH incentives advances both programs' installation goals and is thus </w:t>
      </w:r>
      <w:r w:rsidR="000573EF">
        <w:t>accretive and not dilutive</w:t>
      </w:r>
      <w:r>
        <w:t xml:space="preserve">. Unfortunately, this argument sidesteps </w:t>
      </w:r>
      <w:r w:rsidR="00232153">
        <w:t>the</w:t>
      </w:r>
      <w:r>
        <w:t xml:space="preserve"> fundamental concerns </w:t>
      </w:r>
      <w:r w:rsidR="00232153">
        <w:t xml:space="preserve">about the impact of </w:t>
      </w:r>
      <w:r>
        <w:t xml:space="preserve">providing </w:t>
      </w:r>
      <w:r w:rsidR="00232153">
        <w:t>dual ratepayer</w:t>
      </w:r>
      <w:r>
        <w:t xml:space="preserve"> incentives for the same PV project</w:t>
      </w:r>
      <w:r w:rsidR="00232153">
        <w:t xml:space="preserve"> on program accounting and reporting. </w:t>
      </w:r>
    </w:p>
    <w:p w:rsidR="00E47937" w:rsidP="00F37A80" w:rsidRDefault="00E47937" w14:paraId="2C0D79C3" w14:textId="4D61EBC9"/>
    <w:p w:rsidR="00232153" w:rsidP="007B119F" w:rsidRDefault="002C3F1D" w14:paraId="3E25C57D" w14:textId="53ED168D">
      <w:r>
        <w:t xml:space="preserve">ED's letter concisely argues that the Commission, as part of its oversight authority for the SOMAH and MASH </w:t>
      </w:r>
      <w:r w:rsidR="004434AE">
        <w:t>program</w:t>
      </w:r>
      <w:r>
        <w:t>s is bound</w:t>
      </w:r>
      <w:r w:rsidR="00491D69">
        <w:t xml:space="preserve"> by</w:t>
      </w:r>
      <w:r w:rsidRPr="002C3F1D">
        <w:t xml:space="preserve"> </w:t>
      </w:r>
      <w:r w:rsidR="00491D69">
        <w:t xml:space="preserve">statute </w:t>
      </w:r>
      <w:r w:rsidRPr="002C3F1D">
        <w:t>to provide the Legislature with an annual assessment of both the MASH and SOMAH programs’ performance. As part of these reporting requirements, the CPUC must provide the Legislature with accurate program metrics linked to the</w:t>
      </w:r>
      <w:r w:rsidR="009D4761">
        <w:t xml:space="preserve"> </w:t>
      </w:r>
      <w:r w:rsidRPr="002C3F1D">
        <w:t xml:space="preserve">implementation of these programs. </w:t>
      </w:r>
      <w:bookmarkStart w:name="_Hlk32937220" w:id="9"/>
      <w:r w:rsidRPr="002C3F1D">
        <w:t xml:space="preserve">Allowing a PV project to receive incentives from both the CSI MASH Program and the SOMAH Program would inhibit the precise fiscal accounting and accurate attribution of solar generation capacity resulting from participation in either program. </w:t>
      </w:r>
      <w:bookmarkEnd w:id="9"/>
      <w:r w:rsidRPr="002C3F1D">
        <w:t>The CPUC would be unable to conclude whether we are achieving the cumulative, new installation goal of at least 335 MW for MASH (35 MW) and SOMAH (300+ MW).</w:t>
      </w:r>
    </w:p>
    <w:p w:rsidR="00232153" w:rsidP="007B119F" w:rsidRDefault="00232153" w14:paraId="498713BC" w14:textId="5E0CFE71"/>
    <w:p w:rsidRPr="006C65A4" w:rsidR="00232153" w:rsidP="00232153" w:rsidRDefault="00232153" w14:paraId="2276CE41" w14:textId="77777777">
      <w:pPr>
        <w:pStyle w:val="Heading1"/>
      </w:pPr>
      <w:r>
        <w:t>Comments</w:t>
      </w:r>
    </w:p>
    <w:p w:rsidR="00232153" w:rsidP="00232153" w:rsidRDefault="00232153" w14:paraId="42D35F4A" w14:textId="1DC53B8D">
      <w:r>
        <w:t xml:space="preserve">Public Utilities Code section 311(g)(1) provides that this resolution must be served on all parties and subject to at least 30 days public review and comment prior to a vote of the Commission.  Section 311(g)(2) provides that this </w:t>
      </w:r>
      <w:r w:rsidR="008D36AE">
        <w:t>20</w:t>
      </w:r>
      <w:r>
        <w:t>-day period may be reduced or waived upon the stipulation of all parties in the proceeding.</w:t>
      </w:r>
    </w:p>
    <w:p w:rsidR="00232153" w:rsidP="00232153" w:rsidRDefault="00232153" w14:paraId="41FB8541" w14:textId="77777777"/>
    <w:p w:rsidR="00232153" w:rsidP="007B119F" w:rsidRDefault="00232153" w14:paraId="338A2B83" w14:textId="67F27C20">
      <w:r>
        <w:t xml:space="preserve">The </w:t>
      </w:r>
      <w:r w:rsidR="008D36AE">
        <w:t>20</w:t>
      </w:r>
      <w:bookmarkStart w:name="_GoBack" w:id="10"/>
      <w:bookmarkEnd w:id="10"/>
      <w:r>
        <w:t xml:space="preserve">-day comment period for the draft of this resolution was neither waived nor reduced.  Accordingly, this draft resolution was mailed to parties for comments, and will be placed on the Commission's agenda no earlier than </w:t>
      </w:r>
      <w:r>
        <w:br/>
        <w:t>30 days from today.</w:t>
      </w:r>
    </w:p>
    <w:p w:rsidR="00232153" w:rsidP="007B119F" w:rsidRDefault="00232153" w14:paraId="4BC0F9B6" w14:textId="77777777"/>
    <w:p w:rsidR="00537E46" w:rsidP="00537E46" w:rsidRDefault="00537E46" w14:paraId="198EA52B" w14:textId="77777777">
      <w:pPr>
        <w:pStyle w:val="Heading1"/>
      </w:pPr>
      <w:r>
        <w:lastRenderedPageBreak/>
        <w:t>Findings</w:t>
      </w:r>
    </w:p>
    <w:p w:rsidR="00E72368" w:rsidP="00E72368" w:rsidRDefault="00E72368" w14:paraId="7095A1FD" w14:textId="77777777">
      <w:pPr>
        <w:pStyle w:val="ListParagraph"/>
        <w:numPr>
          <w:ilvl w:val="0"/>
          <w:numId w:val="37"/>
        </w:numPr>
      </w:pPr>
      <w:r w:rsidRPr="00856A74">
        <w:t>Assembly Bill (AB) 693 (</w:t>
      </w:r>
      <w:proofErr w:type="spellStart"/>
      <w:r w:rsidRPr="00856A74">
        <w:t>Eggman</w:t>
      </w:r>
      <w:proofErr w:type="spellEnd"/>
      <w:r w:rsidRPr="00856A74">
        <w:t xml:space="preserve">), Stats. 2015, </w:t>
      </w:r>
      <w:proofErr w:type="spellStart"/>
      <w:r w:rsidRPr="00856A74">
        <w:t>ch.</w:t>
      </w:r>
      <w:proofErr w:type="spellEnd"/>
      <w:r w:rsidRPr="00856A74">
        <w:t xml:space="preserve"> 582, established the </w:t>
      </w:r>
      <w:r w:rsidRPr="002B32C4">
        <w:t>Solar on Multifamily Affordable Housing (SOMAH) Program</w:t>
      </w:r>
      <w:r w:rsidRPr="00856A74">
        <w:t xml:space="preserve"> to provide upfront incentives to install 300 megawatts (MW) of new solar generation on multifamily affordable housing in the service territories of IOUs by 2030.</w:t>
      </w:r>
    </w:p>
    <w:p w:rsidRPr="00856A74" w:rsidR="00E72368" w:rsidP="00E72368" w:rsidRDefault="00C62051" w14:paraId="377457FA" w14:textId="15684BE4">
      <w:pPr>
        <w:pStyle w:val="ListParagraph"/>
        <w:numPr>
          <w:ilvl w:val="0"/>
          <w:numId w:val="37"/>
        </w:numPr>
      </w:pPr>
      <w:r>
        <w:t>In</w:t>
      </w:r>
      <w:r w:rsidRPr="00856A74" w:rsidR="00E72368">
        <w:t xml:space="preserve"> 2015, pursuant to AB 217 (Bradford, 2013), the </w:t>
      </w:r>
      <w:r w:rsidR="00D63929">
        <w:t>California Public Utilities Commission (</w:t>
      </w:r>
      <w:r w:rsidRPr="00856A74" w:rsidR="00E72368">
        <w:t>CPUC</w:t>
      </w:r>
      <w:r w:rsidR="00D63929">
        <w:t>)</w:t>
      </w:r>
      <w:r w:rsidRPr="00856A74" w:rsidR="00E72368">
        <w:t xml:space="preserve"> extended the </w:t>
      </w:r>
      <w:r w:rsidRPr="007574B8" w:rsidR="00D63929">
        <w:t xml:space="preserve">California Solar Initiative (CSI) Multifamily Affordable Solar Housing (MASH) </w:t>
      </w:r>
      <w:r w:rsidR="00D63929">
        <w:t>program</w:t>
      </w:r>
      <w:r w:rsidRPr="00856A74" w:rsidR="00E72368">
        <w:t xml:space="preserve"> in D.15-01-027</w:t>
      </w:r>
      <w:r w:rsidR="00D63929">
        <w:t>. The CPUC</w:t>
      </w:r>
      <w:r w:rsidRPr="00856A74" w:rsidR="00E72368">
        <w:t xml:space="preserve"> adopt</w:t>
      </w:r>
      <w:r w:rsidR="00D63929">
        <w:t>ed</w:t>
      </w:r>
      <w:r w:rsidRPr="00856A74" w:rsidR="00E72368">
        <w:t xml:space="preserve"> a capacity target of 35 MW for the new MASH Program. </w:t>
      </w:r>
    </w:p>
    <w:p w:rsidRPr="001B7F88" w:rsidR="001B7F88" w:rsidP="00E72368" w:rsidRDefault="00E72368" w14:paraId="021C2FDF" w14:textId="77777777">
      <w:pPr>
        <w:pStyle w:val="ListParagraph"/>
        <w:numPr>
          <w:ilvl w:val="0"/>
          <w:numId w:val="37"/>
        </w:numPr>
      </w:pPr>
      <w:r w:rsidRPr="002B32C4">
        <w:t>On December 22, 2017</w:t>
      </w:r>
      <w:r>
        <w:t>,</w:t>
      </w:r>
      <w:r w:rsidRPr="002B32C4">
        <w:t xml:space="preserve"> the</w:t>
      </w:r>
      <w:r>
        <w:t xml:space="preserve"> CPUC issued Decision (D.)</w:t>
      </w:r>
      <w:r w:rsidRPr="002B32C4">
        <w:t>17-12-022</w:t>
      </w:r>
      <w:r>
        <w:t xml:space="preserve"> (the SOMAH Decision)</w:t>
      </w:r>
      <w:r w:rsidRPr="00856A74">
        <w:rPr>
          <w:szCs w:val="26"/>
        </w:rPr>
        <w:t>.</w:t>
      </w:r>
    </w:p>
    <w:p w:rsidRPr="00EC37DC" w:rsidR="00E72368" w:rsidP="001B7F88" w:rsidRDefault="001B7F88" w14:paraId="055FEF69" w14:textId="3092B7C5">
      <w:pPr>
        <w:pStyle w:val="ListParagraph"/>
        <w:numPr>
          <w:ilvl w:val="0"/>
          <w:numId w:val="37"/>
        </w:numPr>
      </w:pPr>
      <w:r>
        <w:t>In the SOMAH Decision</w:t>
      </w:r>
      <w:r w:rsidRPr="007C0E21">
        <w:t>, the only point in which SOMAH incentive</w:t>
      </w:r>
      <w:r>
        <w:t>s</w:t>
      </w:r>
      <w:r w:rsidRPr="007C0E21">
        <w:t xml:space="preserve">  and their interaction with external </w:t>
      </w:r>
      <w:r>
        <w:t xml:space="preserve">program </w:t>
      </w:r>
      <w:r w:rsidRPr="007C0E21">
        <w:t xml:space="preserve">funding </w:t>
      </w:r>
      <w:r>
        <w:t>is discussed is</w:t>
      </w:r>
      <w:r w:rsidRPr="007C0E21">
        <w:t xml:space="preserve"> </w:t>
      </w:r>
      <w:r>
        <w:t>when</w:t>
      </w:r>
      <w:r w:rsidRPr="007C0E21">
        <w:t xml:space="preserve"> t</w:t>
      </w:r>
      <w:r>
        <w:t>he Decision</w:t>
      </w:r>
      <w:r w:rsidRPr="007C0E21">
        <w:t xml:space="preserve"> determin</w:t>
      </w:r>
      <w:r>
        <w:t>es</w:t>
      </w:r>
      <w:r w:rsidRPr="007C0E21">
        <w:t xml:space="preserve"> that the SOMAH program's incentive levels </w:t>
      </w:r>
      <w:r>
        <w:t>shall</w:t>
      </w:r>
      <w:r w:rsidRPr="007C0E21">
        <w:t xml:space="preserve"> </w:t>
      </w:r>
      <w:r w:rsidRPr="007C0E21">
        <w:rPr>
          <w:i/>
          <w:iCs/>
        </w:rPr>
        <w:t xml:space="preserve">decrease </w:t>
      </w:r>
      <w:r w:rsidRPr="007C0E21">
        <w:t>should a project receive either the Investment Tax Credit (ITC) or the Low Income Housing Tax Credit (LIHTC)</w:t>
      </w:r>
      <w:r>
        <w:t>.</w:t>
      </w:r>
      <w:r w:rsidRPr="001B7F88" w:rsidR="00E72368">
        <w:rPr>
          <w:szCs w:val="26"/>
        </w:rPr>
        <w:t xml:space="preserve">  </w:t>
      </w:r>
    </w:p>
    <w:p w:rsidRPr="00EC37DC" w:rsidR="00E72368" w:rsidP="00E72368" w:rsidRDefault="00E72368" w14:paraId="4C703D9A" w14:textId="4015E49D">
      <w:pPr>
        <w:pStyle w:val="ListParagraph"/>
        <w:numPr>
          <w:ilvl w:val="0"/>
          <w:numId w:val="37"/>
        </w:numPr>
      </w:pPr>
      <w:r>
        <w:t>The SOMAH Decision directed the statewide program administrator</w:t>
      </w:r>
      <w:r w:rsidR="00D63929">
        <w:t xml:space="preserve"> (PA)</w:t>
      </w:r>
      <w:r>
        <w:t xml:space="preserve">, once selected, to submit a Tier 3 </w:t>
      </w:r>
      <w:r w:rsidR="00D63929">
        <w:t>Advice Letter (</w:t>
      </w:r>
      <w:r>
        <w:t>AL</w:t>
      </w:r>
      <w:r w:rsidR="00D63929">
        <w:t>)</w:t>
      </w:r>
      <w:r>
        <w:t xml:space="preserve"> with a proposed SOMAH Program Handbook</w:t>
      </w:r>
      <w:r w:rsidRPr="00EC37DC">
        <w:rPr>
          <w:szCs w:val="26"/>
        </w:rPr>
        <w:t xml:space="preserve">.   </w:t>
      </w:r>
    </w:p>
    <w:p w:rsidRPr="00EC37DC" w:rsidR="00E72368" w:rsidP="00E72368" w:rsidRDefault="00E72368" w14:paraId="08F8081A" w14:textId="3C66ED50">
      <w:pPr>
        <w:pStyle w:val="ListParagraph"/>
        <w:numPr>
          <w:ilvl w:val="0"/>
          <w:numId w:val="37"/>
        </w:numPr>
      </w:pPr>
      <w:r w:rsidRPr="00856A74">
        <w:rPr>
          <w:szCs w:val="26"/>
        </w:rPr>
        <w:t xml:space="preserve">D.17-12-022 provided clear direction </w:t>
      </w:r>
      <w:r>
        <w:rPr>
          <w:szCs w:val="26"/>
        </w:rPr>
        <w:t xml:space="preserve">that, </w:t>
      </w:r>
      <w:r w:rsidRPr="00856A74">
        <w:rPr>
          <w:szCs w:val="26"/>
        </w:rPr>
        <w:t xml:space="preserve">via a Tier 2 </w:t>
      </w:r>
      <w:r w:rsidR="00B27661">
        <w:rPr>
          <w:szCs w:val="26"/>
        </w:rPr>
        <w:t>AL</w:t>
      </w:r>
      <w:r>
        <w:rPr>
          <w:szCs w:val="26"/>
        </w:rPr>
        <w:t xml:space="preserve">, </w:t>
      </w:r>
      <w:r w:rsidRPr="00856A74">
        <w:rPr>
          <w:szCs w:val="26"/>
        </w:rPr>
        <w:t xml:space="preserve">the SOMAH PA </w:t>
      </w:r>
      <w:r w:rsidR="001B7F88">
        <w:rPr>
          <w:szCs w:val="26"/>
        </w:rPr>
        <w:t>c</w:t>
      </w:r>
      <w:r w:rsidRPr="00856A74">
        <w:rPr>
          <w:szCs w:val="26"/>
        </w:rPr>
        <w:t>ould make minor program modifications to the SOMAH Program</w:t>
      </w:r>
      <w:r>
        <w:rPr>
          <w:szCs w:val="26"/>
        </w:rPr>
        <w:t xml:space="preserve"> Handbook</w:t>
      </w:r>
      <w:r w:rsidRPr="00856A74">
        <w:rPr>
          <w:szCs w:val="26"/>
        </w:rPr>
        <w:t>.</w:t>
      </w:r>
    </w:p>
    <w:p w:rsidRPr="00C0535F" w:rsidR="00E72368" w:rsidP="00E72368" w:rsidRDefault="00E72368" w14:paraId="2E5B880A" w14:textId="53AAF260">
      <w:pPr>
        <w:pStyle w:val="ListParagraph"/>
        <w:numPr>
          <w:ilvl w:val="0"/>
          <w:numId w:val="37"/>
        </w:numPr>
      </w:pPr>
      <w:r>
        <w:rPr>
          <w:szCs w:val="26"/>
        </w:rPr>
        <w:t>O</w:t>
      </w:r>
      <w:r w:rsidRPr="00856A74">
        <w:rPr>
          <w:szCs w:val="26"/>
        </w:rPr>
        <w:t xml:space="preserve">n June 27, 2018, the Energy Division </w:t>
      </w:r>
      <w:r w:rsidR="00B27661">
        <w:rPr>
          <w:szCs w:val="26"/>
        </w:rPr>
        <w:t xml:space="preserve">(ED) </w:t>
      </w:r>
      <w:r w:rsidRPr="00856A74">
        <w:rPr>
          <w:szCs w:val="26"/>
        </w:rPr>
        <w:t xml:space="preserve">circulated a notice to </w:t>
      </w:r>
      <w:r>
        <w:rPr>
          <w:szCs w:val="26"/>
        </w:rPr>
        <w:t xml:space="preserve">interested </w:t>
      </w:r>
      <w:r w:rsidRPr="00856A74">
        <w:rPr>
          <w:szCs w:val="26"/>
        </w:rPr>
        <w:t xml:space="preserve">parties a link to the draft SOMAH Handbook and directions on how interested stakeholders could provide direct written comments and input on the draft. </w:t>
      </w:r>
      <w:r w:rsidRPr="00C0535F">
        <w:rPr>
          <w:szCs w:val="26"/>
        </w:rPr>
        <w:t xml:space="preserve">  </w:t>
      </w:r>
    </w:p>
    <w:p w:rsidR="00E72368" w:rsidP="00E72368" w:rsidRDefault="00E72368" w14:paraId="087EC320" w14:textId="5B144CF4">
      <w:pPr>
        <w:pStyle w:val="ListParagraph"/>
        <w:numPr>
          <w:ilvl w:val="0"/>
          <w:numId w:val="37"/>
        </w:numPr>
      </w:pPr>
      <w:r>
        <w:t>On July 12, 2018, the SOMAH PA facilitated a SOMAH Program Handbook workshop</w:t>
      </w:r>
      <w:r w:rsidR="00B27661">
        <w:t>.</w:t>
      </w:r>
    </w:p>
    <w:p w:rsidR="00E72368" w:rsidP="00E72368" w:rsidRDefault="00E72368" w14:paraId="02104DCA" w14:textId="10C38801">
      <w:pPr>
        <w:pStyle w:val="ListParagraph"/>
        <w:numPr>
          <w:ilvl w:val="0"/>
          <w:numId w:val="37"/>
        </w:numPr>
      </w:pPr>
      <w:r>
        <w:t xml:space="preserve">No comments </w:t>
      </w:r>
      <w:r w:rsidR="001B7F88">
        <w:t xml:space="preserve">were raised </w:t>
      </w:r>
      <w:r>
        <w:t xml:space="preserve">regarding the commingling of MASH and SOMAH funds during the workshop or in the </w:t>
      </w:r>
      <w:r w:rsidR="00C62051">
        <w:t xml:space="preserve">over </w:t>
      </w:r>
      <w:r>
        <w:t>300</w:t>
      </w:r>
      <w:r w:rsidR="00C62051">
        <w:t xml:space="preserve"> informal</w:t>
      </w:r>
      <w:r>
        <w:t xml:space="preserve"> </w:t>
      </w:r>
      <w:r w:rsidR="00C62051">
        <w:t xml:space="preserve">written </w:t>
      </w:r>
      <w:r>
        <w:t>comments received on the draft Handbook.</w:t>
      </w:r>
    </w:p>
    <w:p w:rsidR="00E72368" w:rsidP="00E72368" w:rsidRDefault="00E72368" w14:paraId="4684E379" w14:textId="51D7135C">
      <w:pPr>
        <w:pStyle w:val="ListParagraph"/>
        <w:numPr>
          <w:ilvl w:val="0"/>
          <w:numId w:val="37"/>
        </w:numPr>
      </w:pPr>
      <w:r>
        <w:t>On behalf of the SOMAH PA</w:t>
      </w:r>
      <w:r w:rsidR="00B27661">
        <w:t xml:space="preserve"> team</w:t>
      </w:r>
      <w:r>
        <w:t xml:space="preserve">, </w:t>
      </w:r>
      <w:r w:rsidRPr="00604DFB">
        <w:t>GRID Alternatives’</w:t>
      </w:r>
      <w:r>
        <w:t xml:space="preserve"> submitted</w:t>
      </w:r>
      <w:r w:rsidRPr="00C62051" w:rsidR="00C62051">
        <w:t xml:space="preserve"> </w:t>
      </w:r>
      <w:r w:rsidR="00C62051">
        <w:t>the SOMAH Program Handbook in</w:t>
      </w:r>
      <w:r w:rsidRPr="00604DFB">
        <w:t xml:space="preserve"> Advice Letter 11</w:t>
      </w:r>
      <w:r w:rsidR="00C62051">
        <w:t>-E</w:t>
      </w:r>
      <w:r w:rsidRPr="00604DFB">
        <w:t xml:space="preserve"> </w:t>
      </w:r>
      <w:r>
        <w:t xml:space="preserve">on October 1, 2018. </w:t>
      </w:r>
    </w:p>
    <w:p w:rsidR="00E72368" w:rsidP="00E72368" w:rsidRDefault="00E72368" w14:paraId="73176F6D" w14:textId="0DA2300F">
      <w:pPr>
        <w:pStyle w:val="ListParagraph"/>
        <w:numPr>
          <w:ilvl w:val="0"/>
          <w:numId w:val="37"/>
        </w:numPr>
      </w:pPr>
      <w:r>
        <w:t>No formal comments regarding the commingling of MASH and SOMAH funds were submitted in response or protest to GRID AL</w:t>
      </w:r>
      <w:r w:rsidR="00C62051">
        <w:t xml:space="preserve"> </w:t>
      </w:r>
      <w:r>
        <w:t>11</w:t>
      </w:r>
      <w:r w:rsidR="00C62051">
        <w:t>-E</w:t>
      </w:r>
      <w:r>
        <w:t>.</w:t>
      </w:r>
    </w:p>
    <w:p w:rsidR="00E72368" w:rsidP="00E72368" w:rsidRDefault="00E72368" w14:paraId="46442643" w14:textId="4EDAA2D5">
      <w:pPr>
        <w:pStyle w:val="ListParagraph"/>
        <w:numPr>
          <w:ilvl w:val="0"/>
          <w:numId w:val="37"/>
        </w:numPr>
      </w:pPr>
      <w:r>
        <w:lastRenderedPageBreak/>
        <w:t>No comments regarding the commingling of MASH and SOMAH funds were submitted in response to Draft Resolution E-4987.</w:t>
      </w:r>
    </w:p>
    <w:p w:rsidR="00E72368" w:rsidP="00E72368" w:rsidRDefault="00E72368" w14:paraId="3F7CBCE5" w14:textId="77777777">
      <w:pPr>
        <w:pStyle w:val="ListParagraph"/>
        <w:numPr>
          <w:ilvl w:val="0"/>
          <w:numId w:val="37"/>
        </w:numPr>
      </w:pPr>
      <w:r>
        <w:t>On April 2, 2019 the Handbook AL was approved via resolution E-4987.</w:t>
      </w:r>
    </w:p>
    <w:p w:rsidR="00E72368" w:rsidP="00E72368" w:rsidRDefault="00E72368" w14:paraId="2F676DE4" w14:textId="77777777">
      <w:pPr>
        <w:pStyle w:val="ListParagraph"/>
        <w:numPr>
          <w:ilvl w:val="0"/>
          <w:numId w:val="37"/>
        </w:numPr>
      </w:pPr>
      <w:r>
        <w:t xml:space="preserve">On July 1, 2019, the SOMAH program officially launched, opening to incentive applications. At that time, several project applications were received for projects also leveraging incentives through the MASH Program. </w:t>
      </w:r>
    </w:p>
    <w:p w:rsidR="00E72368" w:rsidP="00E72368" w:rsidRDefault="001B7F88" w14:paraId="5A5B737E" w14:textId="4B061EEE">
      <w:pPr>
        <w:pStyle w:val="ListParagraph"/>
        <w:numPr>
          <w:ilvl w:val="0"/>
          <w:numId w:val="37"/>
        </w:numPr>
      </w:pPr>
      <w:r>
        <w:t>ED</w:t>
      </w:r>
      <w:r w:rsidRPr="00B43F74" w:rsidR="00E72368">
        <w:t xml:space="preserve"> </w:t>
      </w:r>
      <w:r w:rsidR="00C62051">
        <w:t xml:space="preserve">issued </w:t>
      </w:r>
      <w:r w:rsidR="00E72368">
        <w:t>a letter to the SOMAH PA on November 14, 2019 that directed the SOMAH PA to:</w:t>
      </w:r>
    </w:p>
    <w:p w:rsidR="00E72368" w:rsidP="00E72368" w:rsidRDefault="00E72368" w14:paraId="016A9606" w14:textId="77777777">
      <w:pPr>
        <w:pStyle w:val="ListParagraph"/>
        <w:numPr>
          <w:ilvl w:val="0"/>
          <w:numId w:val="5"/>
        </w:numPr>
      </w:pPr>
      <w:r>
        <w:t>Cancel those SOMAH incentive applications that have already received MASH incentives and return application fees;</w:t>
      </w:r>
    </w:p>
    <w:p w:rsidR="00E72368" w:rsidP="00E72368" w:rsidRDefault="00E72368" w14:paraId="710A1135" w14:textId="77777777">
      <w:pPr>
        <w:pStyle w:val="ListParagraph"/>
        <w:numPr>
          <w:ilvl w:val="0"/>
          <w:numId w:val="5"/>
        </w:numPr>
      </w:pPr>
      <w:r>
        <w:t>Notify any SOMAH applicant identified as having an active MASH application that in order to retain their SOMAH reservation, they  must provide documentation indicating that their corresponding MASH reservations have been withdrawn or otherwise cancelled within 15 days of notification, or their SOMAH application will be cancelled and application fees returned; and</w:t>
      </w:r>
    </w:p>
    <w:p w:rsidR="00E72368" w:rsidP="00E72368" w:rsidRDefault="00E72368" w14:paraId="2A4324D4" w14:textId="77777777">
      <w:pPr>
        <w:pStyle w:val="ListParagraph"/>
        <w:numPr>
          <w:ilvl w:val="0"/>
          <w:numId w:val="5"/>
        </w:numPr>
      </w:pPr>
      <w:r>
        <w:t>Submit a Tier 2 Advice Letter to ED revising the SOMAH Program Handbook to align with ED direction.</w:t>
      </w:r>
    </w:p>
    <w:p w:rsidR="00E72368" w:rsidP="00E72368" w:rsidRDefault="00E72368" w14:paraId="52D100CF" w14:textId="04BE938C">
      <w:pPr>
        <w:pStyle w:val="ListParagraph"/>
        <w:numPr>
          <w:ilvl w:val="0"/>
          <w:numId w:val="37"/>
        </w:numPr>
      </w:pPr>
      <w:r w:rsidRPr="00E31D29">
        <w:t xml:space="preserve">On December 16, 2019, in response to direction provided by ED, </w:t>
      </w:r>
      <w:r w:rsidR="00B136F6">
        <w:t>on behalf of the SOMAH PA team, the Center for Sustainable Energy (</w:t>
      </w:r>
      <w:r w:rsidRPr="00E31D29">
        <w:t>CSE</w:t>
      </w:r>
      <w:r w:rsidR="00B136F6">
        <w:t xml:space="preserve">) </w:t>
      </w:r>
      <w:r w:rsidRPr="00E31D29">
        <w:t xml:space="preserve">filed AL 105-E to update the SOMAH Program Handbook with modifications to provide explicit language clarifying that PV projects that have previously received a MASH Program incentive are ineligible to receive SOMAH Program incentives for the same system.  </w:t>
      </w:r>
    </w:p>
    <w:p w:rsidR="00E72368" w:rsidP="00E72368" w:rsidRDefault="00E72368" w14:paraId="23E6F6FB" w14:textId="45414D32">
      <w:pPr>
        <w:pStyle w:val="ListParagraph"/>
        <w:numPr>
          <w:ilvl w:val="0"/>
          <w:numId w:val="37"/>
        </w:numPr>
      </w:pPr>
      <w:r>
        <w:t>T</w:t>
      </w:r>
      <w:r w:rsidRPr="00E31D29">
        <w:t xml:space="preserve">he issue of authorizing the combining of MASH and SOMAH incentives for a single PV project was not thoroughly vetted in the record </w:t>
      </w:r>
      <w:r w:rsidR="001B7F88">
        <w:t xml:space="preserve">nor was it </w:t>
      </w:r>
      <w:r w:rsidRPr="00E31D29">
        <w:t>authorized as part of the Commission’s implementation of the program.</w:t>
      </w:r>
    </w:p>
    <w:p w:rsidR="00E72368" w:rsidP="00E72368" w:rsidRDefault="00E72368" w14:paraId="6E9DCD3A" w14:textId="77777777">
      <w:pPr>
        <w:pStyle w:val="ListParagraph"/>
        <w:numPr>
          <w:ilvl w:val="0"/>
          <w:numId w:val="37"/>
        </w:numPr>
      </w:pPr>
      <w:r>
        <w:t>T</w:t>
      </w:r>
      <w:r w:rsidRPr="00BB0733">
        <w:t xml:space="preserve">he proposed Handbook changes in AL 105-E are focused and limited to the SOMAH/MASH stacking issue. </w:t>
      </w:r>
    </w:p>
    <w:p w:rsidR="00E72368" w:rsidP="00E72368" w:rsidRDefault="00E72368" w14:paraId="36D7264D" w14:textId="0D452603">
      <w:pPr>
        <w:pStyle w:val="ListParagraph"/>
        <w:numPr>
          <w:ilvl w:val="0"/>
          <w:numId w:val="37"/>
        </w:numPr>
      </w:pPr>
      <w:r>
        <w:t xml:space="preserve">The </w:t>
      </w:r>
      <w:r w:rsidR="00EA71F3">
        <w:t>AL</w:t>
      </w:r>
      <w:r>
        <w:t xml:space="preserve"> process is the appropriate venue make minor program</w:t>
      </w:r>
      <w:r w:rsidR="00EA71F3">
        <w:t xml:space="preserve"> </w:t>
      </w:r>
      <w:r>
        <w:t>modifications to the SOMAH Program as specified in D.17-12-022.</w:t>
      </w:r>
    </w:p>
    <w:p w:rsidR="00E72368" w:rsidP="00E72368" w:rsidRDefault="00E72368" w14:paraId="76E5381A" w14:textId="001DDF59">
      <w:pPr>
        <w:pStyle w:val="ListParagraph"/>
        <w:numPr>
          <w:ilvl w:val="0"/>
          <w:numId w:val="37"/>
        </w:numPr>
      </w:pPr>
      <w:proofErr w:type="gramStart"/>
      <w:r>
        <w:t>I</w:t>
      </w:r>
      <w:r w:rsidRPr="00E31D29">
        <w:t>n regard to</w:t>
      </w:r>
      <w:proofErr w:type="gramEnd"/>
      <w:r w:rsidRPr="00E31D29">
        <w:t xml:space="preserve"> their use as clean energy program incentives, IOU GHG auction proceeds are, for all intents and purposes, equivalent to ratepayer provided funding. </w:t>
      </w:r>
    </w:p>
    <w:p w:rsidR="001B7F88" w:rsidP="00E72368" w:rsidRDefault="001B7F88" w14:paraId="150E1700" w14:textId="58952148">
      <w:pPr>
        <w:pStyle w:val="ListParagraph"/>
        <w:numPr>
          <w:ilvl w:val="0"/>
          <w:numId w:val="37"/>
        </w:numPr>
      </w:pPr>
      <w:r>
        <w:t xml:space="preserve">The MASH Handbook states that for those “projects that receive ‘other incentives’ for the same generating equipment that are funded by California investor-owned utility ratepayers (e.g., utility or California </w:t>
      </w:r>
      <w:r>
        <w:lastRenderedPageBreak/>
        <w:t>Energy Commission public goods charge programs), the MASH incentive is discounted by the amount of the ‘other incentive.’”</w:t>
      </w:r>
    </w:p>
    <w:p w:rsidR="00E72368" w:rsidP="00E72368" w:rsidRDefault="00E72368" w14:paraId="52A63F5F" w14:textId="4B910264">
      <w:pPr>
        <w:pStyle w:val="ListParagraph"/>
        <w:numPr>
          <w:ilvl w:val="0"/>
          <w:numId w:val="37"/>
        </w:numPr>
      </w:pPr>
      <w:r w:rsidRPr="00E31D29">
        <w:t>MASH program stipulations on the use of other ratepayer program incentives extend to SOMAH</w:t>
      </w:r>
      <w:r w:rsidR="00EA71F3">
        <w:t xml:space="preserve"> incentives</w:t>
      </w:r>
      <w:r w:rsidRPr="00E31D29">
        <w:t xml:space="preserve">. </w:t>
      </w:r>
    </w:p>
    <w:p w:rsidR="00E72368" w:rsidP="00E72368" w:rsidRDefault="00EA71F3" w14:paraId="4ED9F827" w14:textId="2FE77550">
      <w:pPr>
        <w:pStyle w:val="ListParagraph"/>
        <w:numPr>
          <w:ilvl w:val="0"/>
          <w:numId w:val="37"/>
        </w:numPr>
      </w:pPr>
      <w:r>
        <w:t xml:space="preserve">The SOMAH Decision </w:t>
      </w:r>
      <w:r w:rsidR="00E72368">
        <w:t xml:space="preserve">and the </w:t>
      </w:r>
      <w:r w:rsidRPr="00E72368" w:rsidR="00E72368">
        <w:rPr>
          <w:i/>
          <w:iCs/>
        </w:rPr>
        <w:t>MASH Program Handbook Second Edition</w:t>
      </w:r>
      <w:r w:rsidR="00E72368">
        <w:t xml:space="preserve"> </w:t>
      </w:r>
      <w:r w:rsidRPr="00E31D29" w:rsidR="00E72368">
        <w:t>paid special attention to the structure of incentives</w:t>
      </w:r>
      <w:r>
        <w:t xml:space="preserve">. Both </w:t>
      </w:r>
      <w:r w:rsidRPr="00E31D29" w:rsidR="00E72368">
        <w:t xml:space="preserve">clearly sought to reduce each program's incentives when </w:t>
      </w:r>
      <w:proofErr w:type="gramStart"/>
      <w:r w:rsidRPr="00E31D29" w:rsidR="00E72368">
        <w:t>taking into account</w:t>
      </w:r>
      <w:proofErr w:type="gramEnd"/>
      <w:r w:rsidRPr="00E31D29" w:rsidR="00E72368">
        <w:t xml:space="preserve"> other funding sources. </w:t>
      </w:r>
    </w:p>
    <w:p w:rsidR="000B2E11" w:rsidP="007B119F" w:rsidRDefault="00E72368" w14:paraId="7BBF952D" w14:textId="67258D98">
      <w:pPr>
        <w:pStyle w:val="ListParagraph"/>
        <w:numPr>
          <w:ilvl w:val="0"/>
          <w:numId w:val="37"/>
        </w:numPr>
      </w:pPr>
      <w:r w:rsidRPr="002C3F1D">
        <w:t>Allowing a PV project to receive incentives from both the CSI MASH Program and the SOMAH Program would inhibit the</w:t>
      </w:r>
      <w:r w:rsidR="00EA71F3">
        <w:t xml:space="preserve"> CPUC’s </w:t>
      </w:r>
      <w:r w:rsidRPr="002C3F1D">
        <w:t>precise fiscal accounting and accurate attribution of solar generation capacity resulting from participation in either program.</w:t>
      </w:r>
    </w:p>
    <w:p w:rsidR="000B2E11" w:rsidP="007B119F" w:rsidRDefault="000B2E11" w14:paraId="21F2585F" w14:textId="6935049C"/>
    <w:p w:rsidR="00537E46" w:rsidP="00537E46" w:rsidRDefault="00537E46" w14:paraId="5781AD30" w14:textId="77777777">
      <w:pPr>
        <w:pStyle w:val="Heading1"/>
      </w:pPr>
      <w:proofErr w:type="gramStart"/>
      <w:r>
        <w:t>Therefore</w:t>
      </w:r>
      <w:proofErr w:type="gramEnd"/>
      <w:r>
        <w:t xml:space="preserve"> it is ordered that:</w:t>
      </w:r>
    </w:p>
    <w:p w:rsidR="002E5228" w:rsidP="002E5228" w:rsidRDefault="002E5228" w14:paraId="5AD381C8" w14:textId="215B66E9">
      <w:pPr>
        <w:numPr>
          <w:ilvl w:val="0"/>
          <w:numId w:val="32"/>
        </w:numPr>
      </w:pPr>
      <w:r>
        <w:t>The Solar on Multifamily Affordable Housing Handbook revisions</w:t>
      </w:r>
      <w:r w:rsidR="00232153">
        <w:t xml:space="preserve"> proposed in </w:t>
      </w:r>
      <w:r w:rsidR="00EA71F3">
        <w:t xml:space="preserve">CSE </w:t>
      </w:r>
      <w:r w:rsidR="00232153">
        <w:t>Advice Letter 105-E</w:t>
      </w:r>
      <w:r>
        <w:t xml:space="preserve"> are approved.</w:t>
      </w:r>
    </w:p>
    <w:p w:rsidRPr="00353E41" w:rsidR="00232153" w:rsidP="00232153" w:rsidRDefault="00765992" w14:paraId="46D54C3E" w14:textId="7346A092">
      <w:pPr>
        <w:pStyle w:val="ListParagraph"/>
        <w:numPr>
          <w:ilvl w:val="0"/>
          <w:numId w:val="32"/>
        </w:numPr>
      </w:pPr>
      <w:r w:rsidRPr="00765992">
        <w:t>With the inclusion of</w:t>
      </w:r>
      <w:r>
        <w:t xml:space="preserve"> the approved</w:t>
      </w:r>
      <w:r w:rsidRPr="00765992">
        <w:t xml:space="preserve"> </w:t>
      </w:r>
      <w:r>
        <w:t>modifications</w:t>
      </w:r>
      <w:r w:rsidRPr="00765992">
        <w:t xml:space="preserve"> </w:t>
      </w:r>
      <w:r>
        <w:t>made in this Resolution</w:t>
      </w:r>
      <w:r w:rsidRPr="00765992">
        <w:t xml:space="preserve">, we establish the </w:t>
      </w:r>
      <w:r w:rsidRPr="00232153">
        <w:t>Solar on Multifamily Affordable Housing Program Handbook</w:t>
      </w:r>
      <w:r>
        <w:t xml:space="preserve"> Program</w:t>
      </w:r>
      <w:r w:rsidRPr="00765992">
        <w:t xml:space="preserve"> Handbook Second Edition.</w:t>
      </w:r>
    </w:p>
    <w:p w:rsidRPr="002E5228" w:rsidR="002E5228" w:rsidP="002E5228" w:rsidRDefault="002E5228" w14:paraId="5B7F9A77" w14:textId="4F052928">
      <w:pPr>
        <w:pStyle w:val="ListParagraph"/>
        <w:numPr>
          <w:ilvl w:val="0"/>
          <w:numId w:val="32"/>
        </w:numPr>
        <w:rPr>
          <w:snapToGrid w:val="0"/>
        </w:rPr>
      </w:pPr>
      <w:r w:rsidRPr="002E5228">
        <w:rPr>
          <w:snapToGrid w:val="0"/>
        </w:rPr>
        <w:t xml:space="preserve">Within 15 days of issuance of this Resolution, </w:t>
      </w:r>
      <w:r>
        <w:rPr>
          <w:snapToGrid w:val="0"/>
        </w:rPr>
        <w:t xml:space="preserve">the </w:t>
      </w:r>
      <w:r>
        <w:t>Solar on Multifamily Affordable Housing Program Administrator</w:t>
      </w:r>
      <w:r>
        <w:rPr>
          <w:snapToGrid w:val="0"/>
        </w:rPr>
        <w:t xml:space="preserve"> will c</w:t>
      </w:r>
      <w:r w:rsidRPr="002E5228">
        <w:rPr>
          <w:snapToGrid w:val="0"/>
        </w:rPr>
        <w:t xml:space="preserve">ancel those </w:t>
      </w:r>
      <w:r>
        <w:t>Solar on Multifamily Affordable Housing</w:t>
      </w:r>
      <w:r w:rsidRPr="002E5228">
        <w:rPr>
          <w:snapToGrid w:val="0"/>
        </w:rPr>
        <w:t xml:space="preserve"> incentive applications that have already received </w:t>
      </w:r>
      <w:r w:rsidRPr="007574B8">
        <w:t>Multifamily Affordable Solar Housing</w:t>
      </w:r>
      <w:r w:rsidRPr="002E5228">
        <w:rPr>
          <w:snapToGrid w:val="0"/>
        </w:rPr>
        <w:t xml:space="preserve"> incentives and return application fees</w:t>
      </w:r>
      <w:r>
        <w:rPr>
          <w:snapToGrid w:val="0"/>
        </w:rPr>
        <w:t>.</w:t>
      </w:r>
    </w:p>
    <w:p w:rsidR="00376683" w:rsidP="007B119F" w:rsidRDefault="002E5228" w14:paraId="294D1CB1" w14:textId="77777777">
      <w:pPr>
        <w:pStyle w:val="ListParagraph"/>
        <w:numPr>
          <w:ilvl w:val="0"/>
          <w:numId w:val="32"/>
        </w:numPr>
        <w:rPr>
          <w:snapToGrid w:val="0"/>
        </w:rPr>
      </w:pPr>
      <w:r>
        <w:rPr>
          <w:snapToGrid w:val="0"/>
        </w:rPr>
        <w:t xml:space="preserve">Within 15 </w:t>
      </w:r>
      <w:r w:rsidRPr="002E5228">
        <w:rPr>
          <w:snapToGrid w:val="0"/>
        </w:rPr>
        <w:t>days of issuance of this Resolution</w:t>
      </w:r>
      <w:r>
        <w:rPr>
          <w:snapToGrid w:val="0"/>
        </w:rPr>
        <w:t xml:space="preserve">, the </w:t>
      </w:r>
      <w:r>
        <w:t>Solar on Multifamily Affordable Housing</w:t>
      </w:r>
      <w:r w:rsidR="00D63929">
        <w:t xml:space="preserve"> (SOMAH)</w:t>
      </w:r>
      <w:r>
        <w:t xml:space="preserve"> Program Administrator</w:t>
      </w:r>
      <w:r>
        <w:rPr>
          <w:snapToGrid w:val="0"/>
        </w:rPr>
        <w:t xml:space="preserve"> will n</w:t>
      </w:r>
      <w:r w:rsidRPr="002E5228">
        <w:rPr>
          <w:snapToGrid w:val="0"/>
        </w:rPr>
        <w:t xml:space="preserve">otify any </w:t>
      </w:r>
      <w:r w:rsidR="00D63929">
        <w:t>SOMAH</w:t>
      </w:r>
      <w:r w:rsidRPr="002E5228">
        <w:rPr>
          <w:snapToGrid w:val="0"/>
        </w:rPr>
        <w:t xml:space="preserve"> applicant identified as having an active </w:t>
      </w:r>
      <w:r w:rsidRPr="007574B8">
        <w:t>Multifamily Affordable Solar Housing</w:t>
      </w:r>
      <w:r w:rsidRPr="002E5228">
        <w:rPr>
          <w:snapToGrid w:val="0"/>
        </w:rPr>
        <w:t xml:space="preserve"> </w:t>
      </w:r>
      <w:r w:rsidR="00D63929">
        <w:rPr>
          <w:snapToGrid w:val="0"/>
        </w:rPr>
        <w:t xml:space="preserve">(MASH) </w:t>
      </w:r>
      <w:r w:rsidRPr="002E5228">
        <w:rPr>
          <w:snapToGrid w:val="0"/>
        </w:rPr>
        <w:t xml:space="preserve">application that in order to retain their </w:t>
      </w:r>
      <w:r w:rsidR="00D63929">
        <w:t>SOMAH</w:t>
      </w:r>
      <w:r>
        <w:t xml:space="preserve"> Program</w:t>
      </w:r>
      <w:r w:rsidRPr="002E5228">
        <w:rPr>
          <w:snapToGrid w:val="0"/>
        </w:rPr>
        <w:t xml:space="preserve"> reservation, they must provide documentation indicating that their corresponding </w:t>
      </w:r>
      <w:r w:rsidR="00D63929">
        <w:t>MASH</w:t>
      </w:r>
      <w:r w:rsidRPr="002E5228">
        <w:rPr>
          <w:snapToGrid w:val="0"/>
        </w:rPr>
        <w:t xml:space="preserve"> reservations have been withdrawn or otherwise cancelled within 15 days of notification, or their </w:t>
      </w:r>
      <w:r w:rsidR="00D63929">
        <w:t>SOMAH</w:t>
      </w:r>
      <w:r>
        <w:t xml:space="preserve"> Program</w:t>
      </w:r>
      <w:r w:rsidRPr="002E5228">
        <w:rPr>
          <w:snapToGrid w:val="0"/>
        </w:rPr>
        <w:t xml:space="preserve"> application will be cancelled and application fees returned</w:t>
      </w:r>
      <w:r>
        <w:rPr>
          <w:snapToGrid w:val="0"/>
        </w:rPr>
        <w:t>.</w:t>
      </w:r>
      <w:r w:rsidR="00232153">
        <w:rPr>
          <w:snapToGrid w:val="0"/>
        </w:rPr>
        <w:t xml:space="preserve"> </w:t>
      </w:r>
    </w:p>
    <w:p w:rsidRPr="002E5228" w:rsidR="000B2E11" w:rsidP="007B119F" w:rsidRDefault="00376683" w14:paraId="36DA1900" w14:textId="7D614E61">
      <w:pPr>
        <w:pStyle w:val="ListParagraph"/>
        <w:numPr>
          <w:ilvl w:val="0"/>
          <w:numId w:val="32"/>
        </w:numPr>
        <w:rPr>
          <w:snapToGrid w:val="0"/>
        </w:rPr>
      </w:pPr>
      <w:r>
        <w:rPr>
          <w:snapToGrid w:val="0"/>
        </w:rPr>
        <w:t xml:space="preserve">The </w:t>
      </w:r>
      <w:r>
        <w:t>Solar on Multifamily Affordable Housing (SOMAH) Program Administrator</w:t>
      </w:r>
      <w:r>
        <w:rPr>
          <w:snapToGrid w:val="0"/>
        </w:rPr>
        <w:t xml:space="preserve"> will </w:t>
      </w:r>
      <w:r w:rsidR="006C63AB">
        <w:rPr>
          <w:snapToGrid w:val="0"/>
        </w:rPr>
        <w:t>inform</w:t>
      </w:r>
      <w:r>
        <w:rPr>
          <w:snapToGrid w:val="0"/>
        </w:rPr>
        <w:t xml:space="preserve"> </w:t>
      </w:r>
      <w:r w:rsidR="000541E5">
        <w:rPr>
          <w:snapToGrid w:val="0"/>
        </w:rPr>
        <w:t>those</w:t>
      </w:r>
      <w:r w:rsidR="00232153">
        <w:rPr>
          <w:snapToGrid w:val="0"/>
        </w:rPr>
        <w:t xml:space="preserve"> projects </w:t>
      </w:r>
      <w:r w:rsidR="000541E5">
        <w:rPr>
          <w:snapToGrid w:val="0"/>
        </w:rPr>
        <w:t>that have</w:t>
      </w:r>
      <w:r w:rsidRPr="002E5228" w:rsidR="000541E5">
        <w:rPr>
          <w:snapToGrid w:val="0"/>
        </w:rPr>
        <w:t xml:space="preserve"> an active </w:t>
      </w:r>
      <w:r w:rsidRPr="007574B8" w:rsidR="000541E5">
        <w:t>Multifamily Affordable Solar Housing</w:t>
      </w:r>
      <w:r w:rsidRPr="002E5228" w:rsidR="000541E5">
        <w:rPr>
          <w:snapToGrid w:val="0"/>
        </w:rPr>
        <w:t xml:space="preserve"> </w:t>
      </w:r>
      <w:r w:rsidR="000541E5">
        <w:rPr>
          <w:snapToGrid w:val="0"/>
        </w:rPr>
        <w:t xml:space="preserve">(MASH) </w:t>
      </w:r>
      <w:r w:rsidRPr="002E5228" w:rsidR="000541E5">
        <w:rPr>
          <w:snapToGrid w:val="0"/>
        </w:rPr>
        <w:t xml:space="preserve">application </w:t>
      </w:r>
      <w:r w:rsidR="00157752">
        <w:rPr>
          <w:snapToGrid w:val="0"/>
        </w:rPr>
        <w:t xml:space="preserve">that </w:t>
      </w:r>
      <w:r w:rsidR="008D1F4D">
        <w:rPr>
          <w:snapToGrid w:val="0"/>
        </w:rPr>
        <w:t xml:space="preserve">the </w:t>
      </w:r>
      <w:r w:rsidR="00D63929">
        <w:t>SOMAH program</w:t>
      </w:r>
      <w:r w:rsidR="005D2E98">
        <w:t>’s no-cost</w:t>
      </w:r>
      <w:r w:rsidR="00D63929">
        <w:t xml:space="preserve"> </w:t>
      </w:r>
      <w:r w:rsidRPr="008D1F4D" w:rsidR="008D1F4D">
        <w:rPr>
          <w:snapToGrid w:val="0"/>
        </w:rPr>
        <w:t xml:space="preserve">technical assistance </w:t>
      </w:r>
      <w:r w:rsidR="008D1F4D">
        <w:rPr>
          <w:snapToGrid w:val="0"/>
        </w:rPr>
        <w:t>provided by the</w:t>
      </w:r>
      <w:r w:rsidRPr="008D1F4D" w:rsidR="008D1F4D">
        <w:t xml:space="preserve"> </w:t>
      </w:r>
      <w:r w:rsidR="005D2E98">
        <w:t>SOMAH</w:t>
      </w:r>
      <w:r w:rsidR="008D1F4D">
        <w:t xml:space="preserve"> Program Administrator</w:t>
      </w:r>
      <w:r w:rsidRPr="008D1F4D" w:rsidR="008D1F4D">
        <w:rPr>
          <w:snapToGrid w:val="0"/>
        </w:rPr>
        <w:t xml:space="preserve"> </w:t>
      </w:r>
      <w:r w:rsidR="00157752">
        <w:rPr>
          <w:snapToGrid w:val="0"/>
        </w:rPr>
        <w:t>is available</w:t>
      </w:r>
      <w:r w:rsidRPr="008D1F4D" w:rsidR="008D1F4D">
        <w:rPr>
          <w:snapToGrid w:val="0"/>
        </w:rPr>
        <w:t xml:space="preserve"> help </w:t>
      </w:r>
      <w:r w:rsidR="008D1F4D">
        <w:rPr>
          <w:snapToGrid w:val="0"/>
        </w:rPr>
        <w:t>these applicants</w:t>
      </w:r>
      <w:r w:rsidRPr="008D1F4D" w:rsidR="008D1F4D">
        <w:rPr>
          <w:snapToGrid w:val="0"/>
        </w:rPr>
        <w:t xml:space="preserve"> make informed decisions about the most viable financing pathway for their solar project</w:t>
      </w:r>
      <w:r w:rsidR="008D1F4D">
        <w:rPr>
          <w:snapToGrid w:val="0"/>
        </w:rPr>
        <w:t>.</w:t>
      </w:r>
      <w:r w:rsidR="00232153">
        <w:rPr>
          <w:snapToGrid w:val="0"/>
        </w:rPr>
        <w:t xml:space="preserve"> </w:t>
      </w:r>
    </w:p>
    <w:p w:rsidR="000B2E11" w:rsidP="007B119F" w:rsidRDefault="000B2E11" w14:paraId="53C250C9" w14:textId="60A2094E"/>
    <w:p w:rsidR="00537E46" w:rsidP="00537E46" w:rsidRDefault="00537E46" w14:paraId="3B9AEFAF" w14:textId="77777777">
      <w:pPr>
        <w:tabs>
          <w:tab w:val="left" w:pos="720"/>
          <w:tab w:val="left" w:pos="1296"/>
          <w:tab w:val="left" w:pos="2016"/>
          <w:tab w:val="left" w:pos="2736"/>
          <w:tab w:val="left" w:pos="3456"/>
          <w:tab w:val="left" w:pos="4176"/>
          <w:tab w:val="left" w:pos="5760"/>
        </w:tabs>
      </w:pPr>
      <w:r>
        <w:t>This Resolution is effective today.</w:t>
      </w:r>
    </w:p>
    <w:p w:rsidR="00537E46" w:rsidP="00537E46" w:rsidRDefault="00537E46" w14:paraId="41E9D508" w14:textId="77777777">
      <w:pPr>
        <w:tabs>
          <w:tab w:val="left" w:pos="720"/>
          <w:tab w:val="left" w:pos="1296"/>
          <w:tab w:val="left" w:pos="2016"/>
          <w:tab w:val="left" w:pos="2736"/>
          <w:tab w:val="left" w:pos="3456"/>
          <w:tab w:val="left" w:pos="4176"/>
          <w:tab w:val="left" w:pos="5760"/>
        </w:tabs>
      </w:pPr>
    </w:p>
    <w:p w:rsidR="00537E46" w:rsidP="00537E46" w:rsidRDefault="00537E46" w14:paraId="429E602F" w14:textId="45FD6762">
      <w:pPr>
        <w:rPr>
          <w:snapToGrid w:val="0"/>
        </w:rPr>
      </w:pPr>
      <w:r>
        <w:rPr>
          <w:snapToGrid w:val="0"/>
        </w:rPr>
        <w:t xml:space="preserve">I certify that the foregoing resolution was duly introduced, passed and adopted at a conference of the Public Utilities Commission of the State of California held on </w:t>
      </w:r>
      <w:r w:rsidR="007374A1">
        <w:rPr>
          <w:snapToGrid w:val="0"/>
        </w:rPr>
        <w:t>May 7</w:t>
      </w:r>
      <w:r w:rsidR="006F1B6F">
        <w:rPr>
          <w:snapToGrid w:val="0"/>
        </w:rPr>
        <w:t>, 2020</w:t>
      </w:r>
      <w:r>
        <w:rPr>
          <w:snapToGrid w:val="0"/>
        </w:rPr>
        <w:t xml:space="preserve"> the following Commissioners voting favorably thereon:</w:t>
      </w:r>
    </w:p>
    <w:p w:rsidR="00537E46" w:rsidP="00537E46" w:rsidRDefault="00537E46" w14:paraId="50DCC177" w14:textId="77777777">
      <w:pPr>
        <w:tabs>
          <w:tab w:val="left" w:pos="720"/>
          <w:tab w:val="left" w:pos="1152"/>
          <w:tab w:val="left" w:pos="1728"/>
          <w:tab w:val="left" w:pos="3168"/>
          <w:tab w:val="left" w:pos="5040"/>
        </w:tabs>
        <w:ind w:right="144"/>
      </w:pPr>
    </w:p>
    <w:p w:rsidR="00537E46" w:rsidP="00537E46" w:rsidRDefault="00537E46" w14:paraId="3FF6DCA1" w14:textId="77777777">
      <w:pPr>
        <w:tabs>
          <w:tab w:val="left" w:pos="720"/>
          <w:tab w:val="left" w:pos="1152"/>
          <w:tab w:val="left" w:pos="1728"/>
          <w:tab w:val="left" w:pos="3168"/>
          <w:tab w:val="left" w:pos="5040"/>
        </w:tabs>
        <w:ind w:right="144"/>
      </w:pPr>
    </w:p>
    <w:p w:rsidR="00537E46" w:rsidP="00537E46" w:rsidRDefault="00537E46" w14:paraId="7C7AE3A0" w14:textId="77777777">
      <w:pPr>
        <w:tabs>
          <w:tab w:val="left" w:pos="720"/>
          <w:tab w:val="left" w:pos="1152"/>
          <w:tab w:val="left" w:pos="1728"/>
          <w:tab w:val="left" w:pos="3168"/>
          <w:tab w:val="left" w:pos="5040"/>
        </w:tabs>
        <w:ind w:right="144"/>
      </w:pPr>
    </w:p>
    <w:p w:rsidR="00537E46" w:rsidP="00537E46" w:rsidRDefault="00537E46" w14:paraId="117B7AD9" w14:textId="77777777">
      <w:pPr>
        <w:tabs>
          <w:tab w:val="left" w:pos="720"/>
          <w:tab w:val="left" w:pos="1152"/>
          <w:tab w:val="left" w:pos="1728"/>
          <w:tab w:val="left" w:pos="3168"/>
          <w:tab w:val="left" w:pos="5040"/>
        </w:tabs>
        <w:ind w:right="144"/>
      </w:pPr>
    </w:p>
    <w:p w:rsidR="00537E46" w:rsidP="00537E46" w:rsidRDefault="00537E46" w14:paraId="492484EA" w14:textId="77777777">
      <w:pPr>
        <w:tabs>
          <w:tab w:val="left" w:pos="720"/>
          <w:tab w:val="left" w:pos="1152"/>
          <w:tab w:val="left" w:pos="1728"/>
          <w:tab w:val="left" w:pos="3168"/>
          <w:tab w:val="left" w:pos="5040"/>
        </w:tabs>
        <w:ind w:right="144"/>
      </w:pPr>
      <w:r>
        <w:tab/>
      </w:r>
      <w:r>
        <w:tab/>
      </w:r>
      <w:r>
        <w:tab/>
      </w:r>
      <w:r>
        <w:tab/>
      </w:r>
      <w:r>
        <w:tab/>
      </w:r>
      <w:r>
        <w:tab/>
        <w:t>_____________________</w:t>
      </w:r>
    </w:p>
    <w:p w:rsidR="00537E46" w:rsidP="00537E46" w:rsidRDefault="00537E46" w14:paraId="190BD3AF" w14:textId="77777777">
      <w:r>
        <w:tab/>
      </w:r>
      <w:r>
        <w:tab/>
      </w:r>
      <w:r>
        <w:tab/>
      </w:r>
      <w:r>
        <w:tab/>
      </w:r>
      <w:r>
        <w:tab/>
      </w:r>
      <w:r>
        <w:tab/>
      </w:r>
      <w:r>
        <w:tab/>
      </w:r>
      <w:r>
        <w:tab/>
        <w:t>ALICE STEBBINS</w:t>
      </w:r>
    </w:p>
    <w:p w:rsidRPr="002E5228" w:rsidR="00E31BA8" w:rsidP="002E5228" w:rsidRDefault="00537E46" w14:paraId="2A054F85" w14:textId="28063B56">
      <w:r>
        <w:tab/>
      </w:r>
      <w:r>
        <w:tab/>
      </w:r>
      <w:r>
        <w:tab/>
      </w:r>
      <w:r>
        <w:tab/>
      </w:r>
      <w:r>
        <w:tab/>
      </w:r>
      <w:r>
        <w:tab/>
      </w:r>
      <w:r>
        <w:tab/>
      </w:r>
      <w:r>
        <w:tab/>
        <w:t>Executive Director</w:t>
      </w:r>
    </w:p>
    <w:sectPr w:rsidRPr="002E5228" w:rsidR="00E31BA8">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3E68" w14:textId="77777777" w:rsidR="00F74C9C" w:rsidRDefault="00F74C9C">
      <w:r>
        <w:separator/>
      </w:r>
    </w:p>
  </w:endnote>
  <w:endnote w:type="continuationSeparator" w:id="0">
    <w:p w14:paraId="3F4EB520" w14:textId="77777777" w:rsidR="00F74C9C" w:rsidRDefault="00F74C9C">
      <w:r>
        <w:continuationSeparator/>
      </w:r>
    </w:p>
  </w:endnote>
  <w:endnote w:type="continuationNotice" w:id="1">
    <w:p w14:paraId="69955EDC" w14:textId="77777777" w:rsidR="00F74C9C" w:rsidRDefault="00F74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charset w:val="00"/>
    <w:family w:val="roman"/>
    <w:pitch w:val="variable"/>
    <w:sig w:usb0="A00002FF" w:usb1="7800205A" w:usb2="14600000" w:usb3="00000000" w:csb0="000001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D11B" w14:textId="77777777" w:rsidR="007B6E9F" w:rsidRDefault="007B6E9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3D63" w14:textId="654E2D77" w:rsidR="007B6E9F" w:rsidRDefault="00B7501A" w:rsidP="00B7501A">
    <w:pPr>
      <w:pStyle w:val="Footer"/>
      <w:tabs>
        <w:tab w:val="clear" w:pos="4320"/>
        <w:tab w:val="center" w:pos="4680"/>
      </w:tabs>
      <w:jc w:val="left"/>
    </w:pPr>
    <w:r w:rsidRPr="00B7501A">
      <w:rPr>
        <w:rFonts w:ascii="Tahoma" w:hAnsi="Tahoma" w:cs="Tahoma"/>
        <w:sz w:val="24"/>
        <w:szCs w:val="24"/>
      </w:rPr>
      <w:t>331372662</w:t>
    </w:r>
    <w:r>
      <w:rPr>
        <w:rStyle w:val="PageNumber"/>
      </w:rPr>
      <w:t xml:space="preserve">                                                     </w:t>
    </w:r>
    <w:r w:rsidR="007B6E9F">
      <w:rPr>
        <w:rStyle w:val="PageNumber"/>
      </w:rPr>
      <w:fldChar w:fldCharType="begin"/>
    </w:r>
    <w:r w:rsidR="007B6E9F">
      <w:rPr>
        <w:rStyle w:val="PageNumber"/>
      </w:rPr>
      <w:instrText xml:space="preserve"> PAGE </w:instrText>
    </w:r>
    <w:r w:rsidR="007B6E9F">
      <w:rPr>
        <w:rStyle w:val="PageNumber"/>
      </w:rPr>
      <w:fldChar w:fldCharType="separate"/>
    </w:r>
    <w:r w:rsidR="007B6E9F">
      <w:rPr>
        <w:rStyle w:val="PageNumber"/>
        <w:noProof/>
      </w:rPr>
      <w:t>1</w:t>
    </w:r>
    <w:r w:rsidR="007B6E9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05ED3" w14:textId="77777777" w:rsidR="00F74C9C" w:rsidRDefault="00F74C9C">
      <w:r>
        <w:separator/>
      </w:r>
    </w:p>
  </w:footnote>
  <w:footnote w:type="continuationSeparator" w:id="0">
    <w:p w14:paraId="33E677B5" w14:textId="77777777" w:rsidR="00F74C9C" w:rsidRDefault="00F74C9C">
      <w:r>
        <w:continuationSeparator/>
      </w:r>
    </w:p>
  </w:footnote>
  <w:footnote w:type="continuationNotice" w:id="1">
    <w:p w14:paraId="1725749E" w14:textId="77777777" w:rsidR="00F74C9C" w:rsidRDefault="00F74C9C">
      <w:pPr>
        <w:rPr>
          <w:sz w:val="22"/>
        </w:rPr>
      </w:pPr>
    </w:p>
    <w:p w14:paraId="12F78939" w14:textId="77777777" w:rsidR="00F74C9C" w:rsidRDefault="00F74C9C">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26530A02" w14:textId="0E099034" w:rsidR="007B6E9F" w:rsidRDefault="007B6E9F" w:rsidP="00744E0A">
      <w:pPr>
        <w:pStyle w:val="FootnoteText"/>
        <w:numPr>
          <w:ilvl w:val="0"/>
          <w:numId w:val="0"/>
        </w:numPr>
        <w:ind w:left="360"/>
      </w:pPr>
      <w:r>
        <w:rPr>
          <w:rStyle w:val="FootnoteReference"/>
        </w:rPr>
        <w:footnoteRef/>
      </w:r>
      <w:r>
        <w:t>Among other details, PU Code 913.8, requires the reporting of the SOMAH Program’s total electrical system benefits, the electrical generating capacity of each qualifying renewable energy system and the dollar value of the award(s) linked to those systems. Similarly, PU Code 913.7 requires reporting “the [CSI MASH Program’s] electrical generating capacity of the installed solar energy systems”, “total electrical system benefits”, and other program details.</w:t>
      </w:r>
    </w:p>
  </w:footnote>
  <w:footnote w:id="3">
    <w:p w14:paraId="0042B42D" w14:textId="73F4C1C8" w:rsidR="007B6E9F" w:rsidRDefault="007B6E9F" w:rsidP="00744E0A">
      <w:pPr>
        <w:pStyle w:val="FootnoteText"/>
        <w:numPr>
          <w:ilvl w:val="0"/>
          <w:numId w:val="0"/>
        </w:numPr>
        <w:ind w:left="360"/>
      </w:pPr>
      <w:r>
        <w:rPr>
          <w:rStyle w:val="FootnoteReference"/>
        </w:rPr>
        <w:footnoteRef/>
      </w:r>
      <w:r>
        <w:t xml:space="preserve"> See Page 35 of the MASH Program Handbook Second Edition (Section 3.3), retrievable here: </w:t>
      </w:r>
      <w:hyperlink r:id="rId1" w:history="1">
        <w:r w:rsidRPr="003C42EE">
          <w:rPr>
            <w:rStyle w:val="Hyperlink"/>
          </w:rPr>
          <w:t>https://www.cpuc.ca.gov/uploadedFiles/CPUC_Public_Website/Content/Utilities_and_Industries/Energy/Energy_Programs/Demand_Side_Management/Customer_Gen_and_Storage/MASH%20Handbook%202nd%20Edition_Final.pdf</w:t>
        </w:r>
      </w:hyperlink>
      <w:r>
        <w:t xml:space="preserve"> </w:t>
      </w:r>
    </w:p>
  </w:footnote>
  <w:footnote w:id="4">
    <w:p w14:paraId="475A92DD" w14:textId="192F419B" w:rsidR="0028456E" w:rsidRDefault="0028456E" w:rsidP="0028456E">
      <w:pPr>
        <w:pStyle w:val="FootnoteText"/>
        <w:numPr>
          <w:ilvl w:val="0"/>
          <w:numId w:val="0"/>
        </w:numPr>
        <w:ind w:left="360"/>
      </w:pPr>
      <w:r>
        <w:rPr>
          <w:rStyle w:val="FootnoteReference"/>
        </w:rPr>
        <w:footnoteRef/>
      </w:r>
      <w:r>
        <w:t xml:space="preserve"> See Decision D.17-12-022 page </w:t>
      </w:r>
      <w:r w:rsidR="00FD0339">
        <w:t>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D349" w14:textId="51AAFC4F" w:rsidR="007B6E9F" w:rsidRDefault="007B6E9F">
    <w:pPr>
      <w:pStyle w:val="Header"/>
      <w:tabs>
        <w:tab w:val="clear" w:pos="4320"/>
        <w:tab w:val="clear" w:pos="8640"/>
        <w:tab w:val="center" w:pos="4680"/>
        <w:tab w:val="right" w:pos="9180"/>
      </w:tabs>
    </w:pPr>
    <w:r>
      <w:t xml:space="preserve">Resolution </w:t>
    </w:r>
    <w:r w:rsidR="00126E2B" w:rsidRPr="00126E2B">
      <w:t>E-5054</w:t>
    </w:r>
    <w:r>
      <w:tab/>
      <w:t>DRAFT</w:t>
    </w:r>
    <w:r>
      <w:tab/>
    </w:r>
    <w:r w:rsidR="00882BAF">
      <w:t>May 7, 2020</w:t>
    </w:r>
  </w:p>
  <w:p w14:paraId="69ADFFB6" w14:textId="4600F3E1" w:rsidR="002E5228" w:rsidRDefault="002E5228" w:rsidP="002E5228">
    <w:pPr>
      <w:pStyle w:val="Header"/>
      <w:tabs>
        <w:tab w:val="clear" w:pos="4320"/>
        <w:tab w:val="clear" w:pos="8640"/>
        <w:tab w:val="center" w:pos="4680"/>
        <w:tab w:val="right" w:pos="9180"/>
      </w:tabs>
    </w:pPr>
    <w:r>
      <w:t>Center for Sustainable Energy AL 105-E/TNF</w:t>
    </w:r>
  </w:p>
  <w:p w14:paraId="013F4CD4" w14:textId="77777777" w:rsidR="007B6E9F" w:rsidRDefault="007B6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F806" w14:textId="77777777" w:rsidR="007B6E9F" w:rsidRPr="008E6797" w:rsidRDefault="007B6E9F"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259"/>
    <w:multiLevelType w:val="hybridMultilevel"/>
    <w:tmpl w:val="54188AC4"/>
    <w:lvl w:ilvl="0" w:tplc="038A3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94FD6"/>
    <w:multiLevelType w:val="hybridMultilevel"/>
    <w:tmpl w:val="285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87985"/>
    <w:multiLevelType w:val="hybridMultilevel"/>
    <w:tmpl w:val="4B50C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454F4"/>
    <w:multiLevelType w:val="multilevel"/>
    <w:tmpl w:val="C40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73426"/>
    <w:multiLevelType w:val="hybridMultilevel"/>
    <w:tmpl w:val="596C05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6"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C8F6AB1"/>
    <w:multiLevelType w:val="hybridMultilevel"/>
    <w:tmpl w:val="9F203F5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47878A5"/>
    <w:multiLevelType w:val="hybridMultilevel"/>
    <w:tmpl w:val="604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F06DC"/>
    <w:multiLevelType w:val="hybridMultilevel"/>
    <w:tmpl w:val="A392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B3F7B"/>
    <w:multiLevelType w:val="hybridMultilevel"/>
    <w:tmpl w:val="1D56A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lvlText w:val="%1.%2"/>
      <w:lvlJc w:val="left"/>
      <w:pPr>
        <w:tabs>
          <w:tab w:val="num" w:pos="1215"/>
        </w:tabs>
        <w:ind w:left="1215" w:hanging="495"/>
      </w:p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253F1895"/>
    <w:multiLevelType w:val="hybridMultilevel"/>
    <w:tmpl w:val="9FEA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414F"/>
    <w:multiLevelType w:val="hybridMultilevel"/>
    <w:tmpl w:val="3E128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0F0951"/>
    <w:multiLevelType w:val="hybridMultilevel"/>
    <w:tmpl w:val="C3507D38"/>
    <w:lvl w:ilvl="0" w:tplc="0CB0FBB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BE12E5"/>
    <w:multiLevelType w:val="hybridMultilevel"/>
    <w:tmpl w:val="02B6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A63C0"/>
    <w:multiLevelType w:val="hybridMultilevel"/>
    <w:tmpl w:val="2510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E094C"/>
    <w:multiLevelType w:val="multilevel"/>
    <w:tmpl w:val="B86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D174A"/>
    <w:multiLevelType w:val="hybridMultilevel"/>
    <w:tmpl w:val="50F8911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7756A1"/>
    <w:multiLevelType w:val="hybridMultilevel"/>
    <w:tmpl w:val="09FC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F6638"/>
    <w:multiLevelType w:val="hybridMultilevel"/>
    <w:tmpl w:val="9DC042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A112A94"/>
    <w:multiLevelType w:val="hybridMultilevel"/>
    <w:tmpl w:val="72D2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53BF5"/>
    <w:multiLevelType w:val="hybridMultilevel"/>
    <w:tmpl w:val="D3202F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5" w15:restartNumberingAfterBreak="0">
    <w:nsid w:val="5C671DF6"/>
    <w:multiLevelType w:val="hybridMultilevel"/>
    <w:tmpl w:val="AB9C0EA4"/>
    <w:lvl w:ilvl="0" w:tplc="9378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696E4B"/>
    <w:multiLevelType w:val="hybridMultilevel"/>
    <w:tmpl w:val="60C27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20913"/>
    <w:multiLevelType w:val="hybridMultilevel"/>
    <w:tmpl w:val="7C427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23F68"/>
    <w:multiLevelType w:val="hybridMultilevel"/>
    <w:tmpl w:val="700CE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A4307"/>
    <w:multiLevelType w:val="hybridMultilevel"/>
    <w:tmpl w:val="60284652"/>
    <w:lvl w:ilvl="0" w:tplc="878693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A73570"/>
    <w:multiLevelType w:val="hybridMultilevel"/>
    <w:tmpl w:val="B916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5E0223"/>
    <w:multiLevelType w:val="hybridMultilevel"/>
    <w:tmpl w:val="59B4C598"/>
    <w:lvl w:ilvl="0" w:tplc="A60EEF9A">
      <w:start w:val="1"/>
      <w:numFmt w:val="bullet"/>
      <w:lvlText w:val=""/>
      <w:lvlJc w:val="left"/>
      <w:pPr>
        <w:ind w:left="360" w:hanging="360"/>
      </w:pPr>
      <w:rPr>
        <w:rFonts w:ascii="Symbol" w:hAnsi="Symbol" w:hint="default"/>
      </w:rPr>
    </w:lvl>
    <w:lvl w:ilvl="1" w:tplc="652A6948" w:tentative="1">
      <w:start w:val="1"/>
      <w:numFmt w:val="bullet"/>
      <w:lvlText w:val="o"/>
      <w:lvlJc w:val="left"/>
      <w:pPr>
        <w:ind w:left="1080" w:hanging="360"/>
      </w:pPr>
      <w:rPr>
        <w:rFonts w:ascii="Courier New" w:hAnsi="Courier New" w:cs="Courier New" w:hint="default"/>
      </w:rPr>
    </w:lvl>
    <w:lvl w:ilvl="2" w:tplc="527CD63A" w:tentative="1">
      <w:start w:val="1"/>
      <w:numFmt w:val="bullet"/>
      <w:lvlText w:val=""/>
      <w:lvlJc w:val="left"/>
      <w:pPr>
        <w:ind w:left="1800" w:hanging="360"/>
      </w:pPr>
      <w:rPr>
        <w:rFonts w:ascii="Wingdings" w:hAnsi="Wingdings" w:hint="default"/>
      </w:rPr>
    </w:lvl>
    <w:lvl w:ilvl="3" w:tplc="F0E29A04" w:tentative="1">
      <w:start w:val="1"/>
      <w:numFmt w:val="bullet"/>
      <w:lvlText w:val=""/>
      <w:lvlJc w:val="left"/>
      <w:pPr>
        <w:ind w:left="2520" w:hanging="360"/>
      </w:pPr>
      <w:rPr>
        <w:rFonts w:ascii="Symbol" w:hAnsi="Symbol" w:hint="default"/>
      </w:rPr>
    </w:lvl>
    <w:lvl w:ilvl="4" w:tplc="2FC858D8" w:tentative="1">
      <w:start w:val="1"/>
      <w:numFmt w:val="bullet"/>
      <w:lvlText w:val="o"/>
      <w:lvlJc w:val="left"/>
      <w:pPr>
        <w:ind w:left="3240" w:hanging="360"/>
      </w:pPr>
      <w:rPr>
        <w:rFonts w:ascii="Courier New" w:hAnsi="Courier New" w:cs="Courier New" w:hint="default"/>
      </w:rPr>
    </w:lvl>
    <w:lvl w:ilvl="5" w:tplc="DB3E67FE" w:tentative="1">
      <w:start w:val="1"/>
      <w:numFmt w:val="bullet"/>
      <w:lvlText w:val=""/>
      <w:lvlJc w:val="left"/>
      <w:pPr>
        <w:ind w:left="3960" w:hanging="360"/>
      </w:pPr>
      <w:rPr>
        <w:rFonts w:ascii="Wingdings" w:hAnsi="Wingdings" w:hint="default"/>
      </w:rPr>
    </w:lvl>
    <w:lvl w:ilvl="6" w:tplc="DF902AAE" w:tentative="1">
      <w:start w:val="1"/>
      <w:numFmt w:val="bullet"/>
      <w:lvlText w:val=""/>
      <w:lvlJc w:val="left"/>
      <w:pPr>
        <w:ind w:left="4680" w:hanging="360"/>
      </w:pPr>
      <w:rPr>
        <w:rFonts w:ascii="Symbol" w:hAnsi="Symbol" w:hint="default"/>
      </w:rPr>
    </w:lvl>
    <w:lvl w:ilvl="7" w:tplc="D2B03C26" w:tentative="1">
      <w:start w:val="1"/>
      <w:numFmt w:val="bullet"/>
      <w:lvlText w:val="o"/>
      <w:lvlJc w:val="left"/>
      <w:pPr>
        <w:ind w:left="5400" w:hanging="360"/>
      </w:pPr>
      <w:rPr>
        <w:rFonts w:ascii="Courier New" w:hAnsi="Courier New" w:cs="Courier New" w:hint="default"/>
      </w:rPr>
    </w:lvl>
    <w:lvl w:ilvl="8" w:tplc="F4EC9AD4" w:tentative="1">
      <w:start w:val="1"/>
      <w:numFmt w:val="bullet"/>
      <w:lvlText w:val=""/>
      <w:lvlJc w:val="left"/>
      <w:pPr>
        <w:ind w:left="6120" w:hanging="360"/>
      </w:pPr>
      <w:rPr>
        <w:rFonts w:ascii="Wingdings" w:hAnsi="Wingdings" w:hint="default"/>
      </w:rPr>
    </w:lvl>
  </w:abstractNum>
  <w:abstractNum w:abstractNumId="33" w15:restartNumberingAfterBreak="0">
    <w:nsid w:val="7267352F"/>
    <w:multiLevelType w:val="multilevel"/>
    <w:tmpl w:val="02F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BC5F40"/>
    <w:multiLevelType w:val="multilevel"/>
    <w:tmpl w:val="B4827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6501A"/>
    <w:multiLevelType w:val="hybridMultilevel"/>
    <w:tmpl w:val="74B0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1"/>
  </w:num>
  <w:num w:numId="4">
    <w:abstractNumId w:val="24"/>
  </w:num>
  <w:num w:numId="5">
    <w:abstractNumId w:val="13"/>
  </w:num>
  <w:num w:numId="6">
    <w:abstractNumId w:val="31"/>
  </w:num>
  <w:num w:numId="7">
    <w:abstractNumId w:val="21"/>
  </w:num>
  <w:num w:numId="8">
    <w:abstractNumId w:val="32"/>
  </w:num>
  <w:num w:numId="9">
    <w:abstractNumId w:val="20"/>
  </w:num>
  <w:num w:numId="10">
    <w:abstractNumId w:val="4"/>
  </w:num>
  <w:num w:numId="11">
    <w:abstractNumId w:val="35"/>
  </w:num>
  <w:num w:numId="12">
    <w:abstractNumId w:val="14"/>
  </w:num>
  <w:num w:numId="13">
    <w:abstractNumId w:val="8"/>
  </w:num>
  <w:num w:numId="14">
    <w:abstractNumId w:val="26"/>
  </w:num>
  <w:num w:numId="15">
    <w:abstractNumId w:val="2"/>
  </w:num>
  <w:num w:numId="16">
    <w:abstractNumId w:val="29"/>
  </w:num>
  <w:num w:numId="17">
    <w:abstractNumId w:val="9"/>
  </w:num>
  <w:num w:numId="18">
    <w:abstractNumId w:val="17"/>
  </w:num>
  <w:num w:numId="19">
    <w:abstractNumId w:val="33"/>
  </w:num>
  <w:num w:numId="20">
    <w:abstractNumId w:val="3"/>
  </w:num>
  <w:num w:numId="21">
    <w:abstractNumId w:val="34"/>
  </w:num>
  <w:num w:numId="22">
    <w:abstractNumId w:val="0"/>
  </w:num>
  <w:num w:numId="23">
    <w:abstractNumId w:val="25"/>
  </w:num>
  <w:num w:numId="24">
    <w:abstractNumId w:val="23"/>
  </w:num>
  <w:num w:numId="25">
    <w:abstractNumId w:val="28"/>
  </w:num>
  <w:num w:numId="26">
    <w:abstractNumId w:val="16"/>
  </w:num>
  <w:num w:numId="27">
    <w:abstractNumId w:val="7"/>
  </w:num>
  <w:num w:numId="28">
    <w:abstractNumId w:val="1"/>
  </w:num>
  <w:num w:numId="29">
    <w:abstractNumId w:val="18"/>
  </w:num>
  <w:num w:numId="30">
    <w:abstractNumId w:val="27"/>
  </w:num>
  <w:num w:numId="31">
    <w:abstractNumId w:val="10"/>
  </w:num>
  <w:num w:numId="32">
    <w:abstractNumId w:val="22"/>
  </w:num>
  <w:num w:numId="33">
    <w:abstractNumId w:val="24"/>
    <w:lvlOverride w:ilvl="0">
      <w:startOverride w:val="1"/>
    </w:lvlOverride>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5"/>
  </w:num>
  <w:num w:numId="37">
    <w:abstractNumId w:val="30"/>
  </w:num>
  <w:num w:numId="3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5F8"/>
    <w:rsid w:val="00000952"/>
    <w:rsid w:val="00001730"/>
    <w:rsid w:val="00001D06"/>
    <w:rsid w:val="00007E25"/>
    <w:rsid w:val="00011294"/>
    <w:rsid w:val="00012D45"/>
    <w:rsid w:val="0001334F"/>
    <w:rsid w:val="00014190"/>
    <w:rsid w:val="00014596"/>
    <w:rsid w:val="00014BC6"/>
    <w:rsid w:val="00014C16"/>
    <w:rsid w:val="000169B1"/>
    <w:rsid w:val="000179AA"/>
    <w:rsid w:val="00017DA9"/>
    <w:rsid w:val="00017EDF"/>
    <w:rsid w:val="00017FB5"/>
    <w:rsid w:val="0002000A"/>
    <w:rsid w:val="00022729"/>
    <w:rsid w:val="00022DDC"/>
    <w:rsid w:val="000235B4"/>
    <w:rsid w:val="000249FC"/>
    <w:rsid w:val="00024C2B"/>
    <w:rsid w:val="00024C89"/>
    <w:rsid w:val="00025975"/>
    <w:rsid w:val="00025DA5"/>
    <w:rsid w:val="00026BC8"/>
    <w:rsid w:val="00027A1E"/>
    <w:rsid w:val="00027D11"/>
    <w:rsid w:val="00030116"/>
    <w:rsid w:val="0003206D"/>
    <w:rsid w:val="00032870"/>
    <w:rsid w:val="00032E1C"/>
    <w:rsid w:val="00032FF4"/>
    <w:rsid w:val="0003411D"/>
    <w:rsid w:val="000365DF"/>
    <w:rsid w:val="00037869"/>
    <w:rsid w:val="00040C69"/>
    <w:rsid w:val="0004174E"/>
    <w:rsid w:val="000420D9"/>
    <w:rsid w:val="000422FB"/>
    <w:rsid w:val="000427BB"/>
    <w:rsid w:val="00043935"/>
    <w:rsid w:val="00043F6E"/>
    <w:rsid w:val="000443B6"/>
    <w:rsid w:val="00044574"/>
    <w:rsid w:val="0004561D"/>
    <w:rsid w:val="00045D65"/>
    <w:rsid w:val="00046417"/>
    <w:rsid w:val="00047883"/>
    <w:rsid w:val="00052651"/>
    <w:rsid w:val="00052C5B"/>
    <w:rsid w:val="000535BB"/>
    <w:rsid w:val="000541E5"/>
    <w:rsid w:val="00055015"/>
    <w:rsid w:val="00055467"/>
    <w:rsid w:val="00056CD3"/>
    <w:rsid w:val="000570B0"/>
    <w:rsid w:val="000573EF"/>
    <w:rsid w:val="00061616"/>
    <w:rsid w:val="000618A3"/>
    <w:rsid w:val="000621E3"/>
    <w:rsid w:val="00062ECF"/>
    <w:rsid w:val="00063234"/>
    <w:rsid w:val="00063DA9"/>
    <w:rsid w:val="00064A26"/>
    <w:rsid w:val="00065E66"/>
    <w:rsid w:val="0006664E"/>
    <w:rsid w:val="00067A75"/>
    <w:rsid w:val="00067D12"/>
    <w:rsid w:val="0007194D"/>
    <w:rsid w:val="000719DD"/>
    <w:rsid w:val="00071DB4"/>
    <w:rsid w:val="000720B1"/>
    <w:rsid w:val="00072152"/>
    <w:rsid w:val="000727CE"/>
    <w:rsid w:val="00072D6A"/>
    <w:rsid w:val="00073733"/>
    <w:rsid w:val="00073E50"/>
    <w:rsid w:val="00074925"/>
    <w:rsid w:val="00075236"/>
    <w:rsid w:val="00076BB7"/>
    <w:rsid w:val="00077B2F"/>
    <w:rsid w:val="000803BB"/>
    <w:rsid w:val="00084897"/>
    <w:rsid w:val="00084E87"/>
    <w:rsid w:val="00085618"/>
    <w:rsid w:val="000856F2"/>
    <w:rsid w:val="00090F71"/>
    <w:rsid w:val="00093CA0"/>
    <w:rsid w:val="0009596C"/>
    <w:rsid w:val="00095EBF"/>
    <w:rsid w:val="0009642F"/>
    <w:rsid w:val="00096ACF"/>
    <w:rsid w:val="00096BB7"/>
    <w:rsid w:val="00096C00"/>
    <w:rsid w:val="000975E0"/>
    <w:rsid w:val="000A3B22"/>
    <w:rsid w:val="000A5207"/>
    <w:rsid w:val="000A54A3"/>
    <w:rsid w:val="000A58DB"/>
    <w:rsid w:val="000A5BB5"/>
    <w:rsid w:val="000A6B66"/>
    <w:rsid w:val="000B09C7"/>
    <w:rsid w:val="000B0F94"/>
    <w:rsid w:val="000B1456"/>
    <w:rsid w:val="000B2706"/>
    <w:rsid w:val="000B2E11"/>
    <w:rsid w:val="000B41A1"/>
    <w:rsid w:val="000B4DBC"/>
    <w:rsid w:val="000B5D11"/>
    <w:rsid w:val="000B6D19"/>
    <w:rsid w:val="000B6DFB"/>
    <w:rsid w:val="000C0034"/>
    <w:rsid w:val="000C059A"/>
    <w:rsid w:val="000C0B76"/>
    <w:rsid w:val="000C0D8D"/>
    <w:rsid w:val="000C0E51"/>
    <w:rsid w:val="000C0EB3"/>
    <w:rsid w:val="000C1499"/>
    <w:rsid w:val="000C1868"/>
    <w:rsid w:val="000C1B09"/>
    <w:rsid w:val="000C28BB"/>
    <w:rsid w:val="000C33E9"/>
    <w:rsid w:val="000C383F"/>
    <w:rsid w:val="000C4178"/>
    <w:rsid w:val="000C6793"/>
    <w:rsid w:val="000C71A5"/>
    <w:rsid w:val="000C7CAC"/>
    <w:rsid w:val="000D0432"/>
    <w:rsid w:val="000D1356"/>
    <w:rsid w:val="000D13A8"/>
    <w:rsid w:val="000D1A01"/>
    <w:rsid w:val="000D1E09"/>
    <w:rsid w:val="000D1FC1"/>
    <w:rsid w:val="000D2827"/>
    <w:rsid w:val="000D3A75"/>
    <w:rsid w:val="000D523A"/>
    <w:rsid w:val="000D58E5"/>
    <w:rsid w:val="000D7F8A"/>
    <w:rsid w:val="000E1C4C"/>
    <w:rsid w:val="000E2A38"/>
    <w:rsid w:val="000E3A27"/>
    <w:rsid w:val="000E4BD8"/>
    <w:rsid w:val="000E4C48"/>
    <w:rsid w:val="000E5245"/>
    <w:rsid w:val="000E6950"/>
    <w:rsid w:val="000E796A"/>
    <w:rsid w:val="000E7D62"/>
    <w:rsid w:val="000F0251"/>
    <w:rsid w:val="000F05A6"/>
    <w:rsid w:val="000F14B1"/>
    <w:rsid w:val="000F2A34"/>
    <w:rsid w:val="000F3950"/>
    <w:rsid w:val="000F5717"/>
    <w:rsid w:val="000F5A00"/>
    <w:rsid w:val="000F5A66"/>
    <w:rsid w:val="000F601B"/>
    <w:rsid w:val="000F7123"/>
    <w:rsid w:val="000F731D"/>
    <w:rsid w:val="00100000"/>
    <w:rsid w:val="0010030C"/>
    <w:rsid w:val="00100DA3"/>
    <w:rsid w:val="001026EB"/>
    <w:rsid w:val="00102B42"/>
    <w:rsid w:val="00102F2F"/>
    <w:rsid w:val="0010315F"/>
    <w:rsid w:val="00104535"/>
    <w:rsid w:val="00104F56"/>
    <w:rsid w:val="0010715D"/>
    <w:rsid w:val="00107277"/>
    <w:rsid w:val="00107908"/>
    <w:rsid w:val="00107E1F"/>
    <w:rsid w:val="001105D1"/>
    <w:rsid w:val="00111574"/>
    <w:rsid w:val="00111B19"/>
    <w:rsid w:val="001125E4"/>
    <w:rsid w:val="00112FB2"/>
    <w:rsid w:val="0011387D"/>
    <w:rsid w:val="001165FC"/>
    <w:rsid w:val="0011756E"/>
    <w:rsid w:val="001179C8"/>
    <w:rsid w:val="00120065"/>
    <w:rsid w:val="00120EE8"/>
    <w:rsid w:val="001216CD"/>
    <w:rsid w:val="00122E0A"/>
    <w:rsid w:val="00123CCB"/>
    <w:rsid w:val="0012528A"/>
    <w:rsid w:val="00126E2B"/>
    <w:rsid w:val="00127BCC"/>
    <w:rsid w:val="00127D46"/>
    <w:rsid w:val="0013012B"/>
    <w:rsid w:val="001307E6"/>
    <w:rsid w:val="0013084F"/>
    <w:rsid w:val="00131C50"/>
    <w:rsid w:val="00131E80"/>
    <w:rsid w:val="001324E6"/>
    <w:rsid w:val="00132B78"/>
    <w:rsid w:val="00132CCD"/>
    <w:rsid w:val="001335E4"/>
    <w:rsid w:val="001348A3"/>
    <w:rsid w:val="001356D0"/>
    <w:rsid w:val="00137A4B"/>
    <w:rsid w:val="00140B8D"/>
    <w:rsid w:val="001415B6"/>
    <w:rsid w:val="0014177B"/>
    <w:rsid w:val="00142612"/>
    <w:rsid w:val="00142747"/>
    <w:rsid w:val="00142FB8"/>
    <w:rsid w:val="001430D6"/>
    <w:rsid w:val="00143706"/>
    <w:rsid w:val="00143A5B"/>
    <w:rsid w:val="00144619"/>
    <w:rsid w:val="001454F9"/>
    <w:rsid w:val="00145BED"/>
    <w:rsid w:val="00145E67"/>
    <w:rsid w:val="001474EC"/>
    <w:rsid w:val="00147D3E"/>
    <w:rsid w:val="0015023E"/>
    <w:rsid w:val="00150E78"/>
    <w:rsid w:val="00151DF6"/>
    <w:rsid w:val="001523CF"/>
    <w:rsid w:val="001531C1"/>
    <w:rsid w:val="0015341E"/>
    <w:rsid w:val="00155919"/>
    <w:rsid w:val="00156852"/>
    <w:rsid w:val="00156B25"/>
    <w:rsid w:val="00157752"/>
    <w:rsid w:val="00160EA2"/>
    <w:rsid w:val="001644C3"/>
    <w:rsid w:val="00164A59"/>
    <w:rsid w:val="00164ADE"/>
    <w:rsid w:val="00165280"/>
    <w:rsid w:val="00165E09"/>
    <w:rsid w:val="00170151"/>
    <w:rsid w:val="00170533"/>
    <w:rsid w:val="001726A1"/>
    <w:rsid w:val="00172BF2"/>
    <w:rsid w:val="00172D9A"/>
    <w:rsid w:val="0017453A"/>
    <w:rsid w:val="00175401"/>
    <w:rsid w:val="00177FFC"/>
    <w:rsid w:val="00180214"/>
    <w:rsid w:val="001807D9"/>
    <w:rsid w:val="001809CD"/>
    <w:rsid w:val="0018285B"/>
    <w:rsid w:val="00182DB9"/>
    <w:rsid w:val="00184C53"/>
    <w:rsid w:val="00186563"/>
    <w:rsid w:val="00190520"/>
    <w:rsid w:val="00190D39"/>
    <w:rsid w:val="001934D5"/>
    <w:rsid w:val="0019383A"/>
    <w:rsid w:val="00193EC1"/>
    <w:rsid w:val="00193F06"/>
    <w:rsid w:val="00195255"/>
    <w:rsid w:val="00195896"/>
    <w:rsid w:val="0019699D"/>
    <w:rsid w:val="00196FCD"/>
    <w:rsid w:val="00197B7D"/>
    <w:rsid w:val="001A0203"/>
    <w:rsid w:val="001A0773"/>
    <w:rsid w:val="001A0A93"/>
    <w:rsid w:val="001A0CF1"/>
    <w:rsid w:val="001A5211"/>
    <w:rsid w:val="001A5352"/>
    <w:rsid w:val="001A5DF7"/>
    <w:rsid w:val="001A6144"/>
    <w:rsid w:val="001B0C39"/>
    <w:rsid w:val="001B15CC"/>
    <w:rsid w:val="001B17B1"/>
    <w:rsid w:val="001B6048"/>
    <w:rsid w:val="001B627C"/>
    <w:rsid w:val="001B6EBB"/>
    <w:rsid w:val="001B6FB7"/>
    <w:rsid w:val="001B7C09"/>
    <w:rsid w:val="001B7F88"/>
    <w:rsid w:val="001C010C"/>
    <w:rsid w:val="001C105F"/>
    <w:rsid w:val="001C1111"/>
    <w:rsid w:val="001C1A5F"/>
    <w:rsid w:val="001C3276"/>
    <w:rsid w:val="001C3328"/>
    <w:rsid w:val="001C42FF"/>
    <w:rsid w:val="001C6283"/>
    <w:rsid w:val="001C630B"/>
    <w:rsid w:val="001C7AEA"/>
    <w:rsid w:val="001D0CEA"/>
    <w:rsid w:val="001D19D0"/>
    <w:rsid w:val="001D1EF8"/>
    <w:rsid w:val="001D41B3"/>
    <w:rsid w:val="001D4D52"/>
    <w:rsid w:val="001D4E13"/>
    <w:rsid w:val="001D5614"/>
    <w:rsid w:val="001D65B4"/>
    <w:rsid w:val="001D723C"/>
    <w:rsid w:val="001D74D3"/>
    <w:rsid w:val="001D7691"/>
    <w:rsid w:val="001D7F22"/>
    <w:rsid w:val="001E02C3"/>
    <w:rsid w:val="001E0529"/>
    <w:rsid w:val="001E0ED8"/>
    <w:rsid w:val="001E1492"/>
    <w:rsid w:val="001E161F"/>
    <w:rsid w:val="001E17FB"/>
    <w:rsid w:val="001E39AA"/>
    <w:rsid w:val="001E39BD"/>
    <w:rsid w:val="001E45E4"/>
    <w:rsid w:val="001E478B"/>
    <w:rsid w:val="001E5DEF"/>
    <w:rsid w:val="001F0705"/>
    <w:rsid w:val="001F1A22"/>
    <w:rsid w:val="001F2597"/>
    <w:rsid w:val="001F2694"/>
    <w:rsid w:val="001F3399"/>
    <w:rsid w:val="001F3BE5"/>
    <w:rsid w:val="001F5BA0"/>
    <w:rsid w:val="001F606B"/>
    <w:rsid w:val="001F69C1"/>
    <w:rsid w:val="001F6FE3"/>
    <w:rsid w:val="001F708E"/>
    <w:rsid w:val="001F7372"/>
    <w:rsid w:val="002015A6"/>
    <w:rsid w:val="0020185C"/>
    <w:rsid w:val="00201F05"/>
    <w:rsid w:val="00202012"/>
    <w:rsid w:val="00202C40"/>
    <w:rsid w:val="00204086"/>
    <w:rsid w:val="00204B3E"/>
    <w:rsid w:val="002064EC"/>
    <w:rsid w:val="002109E5"/>
    <w:rsid w:val="002126C0"/>
    <w:rsid w:val="00213CDA"/>
    <w:rsid w:val="002154CB"/>
    <w:rsid w:val="00215ACE"/>
    <w:rsid w:val="00215F17"/>
    <w:rsid w:val="00216C33"/>
    <w:rsid w:val="00220B14"/>
    <w:rsid w:val="00221FBA"/>
    <w:rsid w:val="00222437"/>
    <w:rsid w:val="00222C80"/>
    <w:rsid w:val="002232F9"/>
    <w:rsid w:val="002247F7"/>
    <w:rsid w:val="00224B41"/>
    <w:rsid w:val="00224F31"/>
    <w:rsid w:val="002252F7"/>
    <w:rsid w:val="00227175"/>
    <w:rsid w:val="00227185"/>
    <w:rsid w:val="002278DE"/>
    <w:rsid w:val="00230F0A"/>
    <w:rsid w:val="00231AFE"/>
    <w:rsid w:val="002320BA"/>
    <w:rsid w:val="00232153"/>
    <w:rsid w:val="002333AA"/>
    <w:rsid w:val="002333FB"/>
    <w:rsid w:val="002334DD"/>
    <w:rsid w:val="00233741"/>
    <w:rsid w:val="00233B69"/>
    <w:rsid w:val="002353B8"/>
    <w:rsid w:val="0023728A"/>
    <w:rsid w:val="00237FA7"/>
    <w:rsid w:val="002401AC"/>
    <w:rsid w:val="00240660"/>
    <w:rsid w:val="002425F7"/>
    <w:rsid w:val="0024316E"/>
    <w:rsid w:val="00243A5F"/>
    <w:rsid w:val="00244DD4"/>
    <w:rsid w:val="00247183"/>
    <w:rsid w:val="00247941"/>
    <w:rsid w:val="00250626"/>
    <w:rsid w:val="0025140F"/>
    <w:rsid w:val="00252286"/>
    <w:rsid w:val="0025484F"/>
    <w:rsid w:val="002571B1"/>
    <w:rsid w:val="0025738A"/>
    <w:rsid w:val="00257A42"/>
    <w:rsid w:val="00257F34"/>
    <w:rsid w:val="00260067"/>
    <w:rsid w:val="0026021F"/>
    <w:rsid w:val="00261573"/>
    <w:rsid w:val="00262CD2"/>
    <w:rsid w:val="00264171"/>
    <w:rsid w:val="002653E3"/>
    <w:rsid w:val="002656DC"/>
    <w:rsid w:val="00270FBB"/>
    <w:rsid w:val="002713BD"/>
    <w:rsid w:val="0027195C"/>
    <w:rsid w:val="002722E5"/>
    <w:rsid w:val="00272F65"/>
    <w:rsid w:val="0027309B"/>
    <w:rsid w:val="00273572"/>
    <w:rsid w:val="00275B12"/>
    <w:rsid w:val="0027623E"/>
    <w:rsid w:val="002775B2"/>
    <w:rsid w:val="00277ACA"/>
    <w:rsid w:val="00281634"/>
    <w:rsid w:val="00281F33"/>
    <w:rsid w:val="00282D87"/>
    <w:rsid w:val="00283BE7"/>
    <w:rsid w:val="0028456E"/>
    <w:rsid w:val="00284939"/>
    <w:rsid w:val="0028632A"/>
    <w:rsid w:val="00287678"/>
    <w:rsid w:val="00287ED1"/>
    <w:rsid w:val="0029005A"/>
    <w:rsid w:val="00291541"/>
    <w:rsid w:val="00294D0D"/>
    <w:rsid w:val="00294FF2"/>
    <w:rsid w:val="00295CDC"/>
    <w:rsid w:val="00296A71"/>
    <w:rsid w:val="002A06B6"/>
    <w:rsid w:val="002A2443"/>
    <w:rsid w:val="002A4906"/>
    <w:rsid w:val="002A5FCF"/>
    <w:rsid w:val="002A7ECD"/>
    <w:rsid w:val="002A7EF5"/>
    <w:rsid w:val="002B0A19"/>
    <w:rsid w:val="002B31D7"/>
    <w:rsid w:val="002B6848"/>
    <w:rsid w:val="002B68ED"/>
    <w:rsid w:val="002C03CE"/>
    <w:rsid w:val="002C06A5"/>
    <w:rsid w:val="002C3281"/>
    <w:rsid w:val="002C3CD2"/>
    <w:rsid w:val="002C3F1D"/>
    <w:rsid w:val="002C4209"/>
    <w:rsid w:val="002C4477"/>
    <w:rsid w:val="002C4BFA"/>
    <w:rsid w:val="002C575E"/>
    <w:rsid w:val="002C602A"/>
    <w:rsid w:val="002C7520"/>
    <w:rsid w:val="002D19A1"/>
    <w:rsid w:val="002D25EE"/>
    <w:rsid w:val="002D36EA"/>
    <w:rsid w:val="002D496A"/>
    <w:rsid w:val="002D4F80"/>
    <w:rsid w:val="002D6B29"/>
    <w:rsid w:val="002D6EC2"/>
    <w:rsid w:val="002D73B3"/>
    <w:rsid w:val="002D7DD5"/>
    <w:rsid w:val="002E05FC"/>
    <w:rsid w:val="002E2D67"/>
    <w:rsid w:val="002E345C"/>
    <w:rsid w:val="002E422B"/>
    <w:rsid w:val="002E5228"/>
    <w:rsid w:val="002E6981"/>
    <w:rsid w:val="002E6A2E"/>
    <w:rsid w:val="002E72E6"/>
    <w:rsid w:val="002E7A87"/>
    <w:rsid w:val="002F01D9"/>
    <w:rsid w:val="002F237C"/>
    <w:rsid w:val="002F23B1"/>
    <w:rsid w:val="002F2BBA"/>
    <w:rsid w:val="002F364C"/>
    <w:rsid w:val="002F502D"/>
    <w:rsid w:val="002F73C7"/>
    <w:rsid w:val="002F78D6"/>
    <w:rsid w:val="002F7A95"/>
    <w:rsid w:val="00300445"/>
    <w:rsid w:val="00300EF5"/>
    <w:rsid w:val="0030128E"/>
    <w:rsid w:val="003013B2"/>
    <w:rsid w:val="003025A6"/>
    <w:rsid w:val="003058A3"/>
    <w:rsid w:val="00307B17"/>
    <w:rsid w:val="00313A24"/>
    <w:rsid w:val="00313DA3"/>
    <w:rsid w:val="00313EF1"/>
    <w:rsid w:val="00314024"/>
    <w:rsid w:val="003150A2"/>
    <w:rsid w:val="00316079"/>
    <w:rsid w:val="00316F5B"/>
    <w:rsid w:val="0032001E"/>
    <w:rsid w:val="00320787"/>
    <w:rsid w:val="00320BEA"/>
    <w:rsid w:val="003222D9"/>
    <w:rsid w:val="00322F97"/>
    <w:rsid w:val="00324422"/>
    <w:rsid w:val="00324507"/>
    <w:rsid w:val="00325EFC"/>
    <w:rsid w:val="00327F85"/>
    <w:rsid w:val="003302D3"/>
    <w:rsid w:val="00330B63"/>
    <w:rsid w:val="00330D4D"/>
    <w:rsid w:val="00331A7E"/>
    <w:rsid w:val="00333642"/>
    <w:rsid w:val="003342F7"/>
    <w:rsid w:val="00334D3D"/>
    <w:rsid w:val="00335835"/>
    <w:rsid w:val="003369A4"/>
    <w:rsid w:val="00337BE8"/>
    <w:rsid w:val="00341A98"/>
    <w:rsid w:val="00342B57"/>
    <w:rsid w:val="00342D24"/>
    <w:rsid w:val="003433FC"/>
    <w:rsid w:val="00343D4B"/>
    <w:rsid w:val="003471C4"/>
    <w:rsid w:val="003505D8"/>
    <w:rsid w:val="00353C95"/>
    <w:rsid w:val="00353E57"/>
    <w:rsid w:val="00353E7A"/>
    <w:rsid w:val="00354BFF"/>
    <w:rsid w:val="00354FD1"/>
    <w:rsid w:val="00355B68"/>
    <w:rsid w:val="00356367"/>
    <w:rsid w:val="003577DE"/>
    <w:rsid w:val="00357844"/>
    <w:rsid w:val="00357C4D"/>
    <w:rsid w:val="0036063D"/>
    <w:rsid w:val="003613E4"/>
    <w:rsid w:val="00361DFF"/>
    <w:rsid w:val="0036301B"/>
    <w:rsid w:val="00366B57"/>
    <w:rsid w:val="003672FF"/>
    <w:rsid w:val="003710B6"/>
    <w:rsid w:val="00372791"/>
    <w:rsid w:val="00376683"/>
    <w:rsid w:val="003778B7"/>
    <w:rsid w:val="00383468"/>
    <w:rsid w:val="0038351E"/>
    <w:rsid w:val="003841D3"/>
    <w:rsid w:val="003842BA"/>
    <w:rsid w:val="003849D5"/>
    <w:rsid w:val="00385632"/>
    <w:rsid w:val="00386FDD"/>
    <w:rsid w:val="00387DF3"/>
    <w:rsid w:val="003905F2"/>
    <w:rsid w:val="00392F3E"/>
    <w:rsid w:val="003933B6"/>
    <w:rsid w:val="003933C2"/>
    <w:rsid w:val="00393556"/>
    <w:rsid w:val="00393B37"/>
    <w:rsid w:val="00393C6C"/>
    <w:rsid w:val="003949F0"/>
    <w:rsid w:val="00394B3A"/>
    <w:rsid w:val="00396BFF"/>
    <w:rsid w:val="00396D6C"/>
    <w:rsid w:val="003A1E03"/>
    <w:rsid w:val="003A1E24"/>
    <w:rsid w:val="003A2BDC"/>
    <w:rsid w:val="003A3F29"/>
    <w:rsid w:val="003A4651"/>
    <w:rsid w:val="003A4AA1"/>
    <w:rsid w:val="003A4B64"/>
    <w:rsid w:val="003A4DC6"/>
    <w:rsid w:val="003A6A8A"/>
    <w:rsid w:val="003A7282"/>
    <w:rsid w:val="003A7577"/>
    <w:rsid w:val="003A7961"/>
    <w:rsid w:val="003A79E6"/>
    <w:rsid w:val="003B04FC"/>
    <w:rsid w:val="003B1313"/>
    <w:rsid w:val="003B1839"/>
    <w:rsid w:val="003B3A11"/>
    <w:rsid w:val="003B3E87"/>
    <w:rsid w:val="003B4DFA"/>
    <w:rsid w:val="003B4E86"/>
    <w:rsid w:val="003B5646"/>
    <w:rsid w:val="003B6AB1"/>
    <w:rsid w:val="003B7B02"/>
    <w:rsid w:val="003B7B31"/>
    <w:rsid w:val="003C0ED5"/>
    <w:rsid w:val="003C1404"/>
    <w:rsid w:val="003C15F3"/>
    <w:rsid w:val="003C19F6"/>
    <w:rsid w:val="003C1D3F"/>
    <w:rsid w:val="003C254B"/>
    <w:rsid w:val="003C293A"/>
    <w:rsid w:val="003C315F"/>
    <w:rsid w:val="003C5B18"/>
    <w:rsid w:val="003C632A"/>
    <w:rsid w:val="003C6851"/>
    <w:rsid w:val="003C742F"/>
    <w:rsid w:val="003C7B76"/>
    <w:rsid w:val="003D0202"/>
    <w:rsid w:val="003D063D"/>
    <w:rsid w:val="003D1172"/>
    <w:rsid w:val="003D131C"/>
    <w:rsid w:val="003D1CAF"/>
    <w:rsid w:val="003D2DE0"/>
    <w:rsid w:val="003D42D4"/>
    <w:rsid w:val="003D4602"/>
    <w:rsid w:val="003D6312"/>
    <w:rsid w:val="003D6D5E"/>
    <w:rsid w:val="003D7577"/>
    <w:rsid w:val="003E0C17"/>
    <w:rsid w:val="003E0D0C"/>
    <w:rsid w:val="003E286A"/>
    <w:rsid w:val="003E3019"/>
    <w:rsid w:val="003E33CA"/>
    <w:rsid w:val="003E3A0B"/>
    <w:rsid w:val="003E3B2C"/>
    <w:rsid w:val="003E44A2"/>
    <w:rsid w:val="003E4843"/>
    <w:rsid w:val="003E4A2E"/>
    <w:rsid w:val="003E59D8"/>
    <w:rsid w:val="003E7594"/>
    <w:rsid w:val="003E7B4F"/>
    <w:rsid w:val="003F21F8"/>
    <w:rsid w:val="003F29AD"/>
    <w:rsid w:val="003F2AFA"/>
    <w:rsid w:val="003F2B88"/>
    <w:rsid w:val="003F4663"/>
    <w:rsid w:val="003F473B"/>
    <w:rsid w:val="003F48C1"/>
    <w:rsid w:val="003F4958"/>
    <w:rsid w:val="003F4998"/>
    <w:rsid w:val="003F5CB8"/>
    <w:rsid w:val="003F5DE9"/>
    <w:rsid w:val="003F6AFD"/>
    <w:rsid w:val="003F6E5A"/>
    <w:rsid w:val="003F753D"/>
    <w:rsid w:val="00400483"/>
    <w:rsid w:val="00400F6B"/>
    <w:rsid w:val="004021F5"/>
    <w:rsid w:val="00402CE1"/>
    <w:rsid w:val="00403FF9"/>
    <w:rsid w:val="004043EA"/>
    <w:rsid w:val="00404700"/>
    <w:rsid w:val="00404A09"/>
    <w:rsid w:val="0040512A"/>
    <w:rsid w:val="00405392"/>
    <w:rsid w:val="0040589F"/>
    <w:rsid w:val="00405C07"/>
    <w:rsid w:val="00405D76"/>
    <w:rsid w:val="00411752"/>
    <w:rsid w:val="00411CA8"/>
    <w:rsid w:val="00411D6C"/>
    <w:rsid w:val="00415C3D"/>
    <w:rsid w:val="00422B44"/>
    <w:rsid w:val="004232A5"/>
    <w:rsid w:val="00424843"/>
    <w:rsid w:val="00424C85"/>
    <w:rsid w:val="00424FB0"/>
    <w:rsid w:val="00425F1E"/>
    <w:rsid w:val="00426587"/>
    <w:rsid w:val="00430966"/>
    <w:rsid w:val="00431AB8"/>
    <w:rsid w:val="00431AFF"/>
    <w:rsid w:val="0043247A"/>
    <w:rsid w:val="0043406B"/>
    <w:rsid w:val="004355D1"/>
    <w:rsid w:val="00437D3B"/>
    <w:rsid w:val="00440AB7"/>
    <w:rsid w:val="00440F42"/>
    <w:rsid w:val="00441048"/>
    <w:rsid w:val="00441088"/>
    <w:rsid w:val="00441A0D"/>
    <w:rsid w:val="00441CDA"/>
    <w:rsid w:val="004434AE"/>
    <w:rsid w:val="00444F47"/>
    <w:rsid w:val="004457D8"/>
    <w:rsid w:val="00445821"/>
    <w:rsid w:val="00445BE0"/>
    <w:rsid w:val="00445D11"/>
    <w:rsid w:val="004473B0"/>
    <w:rsid w:val="00447A2B"/>
    <w:rsid w:val="0045125D"/>
    <w:rsid w:val="004528F6"/>
    <w:rsid w:val="00453FB8"/>
    <w:rsid w:val="00455920"/>
    <w:rsid w:val="0045627A"/>
    <w:rsid w:val="0045641C"/>
    <w:rsid w:val="00456752"/>
    <w:rsid w:val="00456799"/>
    <w:rsid w:val="00457C24"/>
    <w:rsid w:val="00460B62"/>
    <w:rsid w:val="004615E0"/>
    <w:rsid w:val="0046221A"/>
    <w:rsid w:val="00463594"/>
    <w:rsid w:val="004637A8"/>
    <w:rsid w:val="00465DF5"/>
    <w:rsid w:val="00466E3D"/>
    <w:rsid w:val="00466EFB"/>
    <w:rsid w:val="00467273"/>
    <w:rsid w:val="00467956"/>
    <w:rsid w:val="00470B72"/>
    <w:rsid w:val="00470B9B"/>
    <w:rsid w:val="00473B40"/>
    <w:rsid w:val="00474052"/>
    <w:rsid w:val="00475264"/>
    <w:rsid w:val="00476513"/>
    <w:rsid w:val="00476A5D"/>
    <w:rsid w:val="00476CB9"/>
    <w:rsid w:val="00477946"/>
    <w:rsid w:val="00477D37"/>
    <w:rsid w:val="00477F47"/>
    <w:rsid w:val="00480507"/>
    <w:rsid w:val="004807FF"/>
    <w:rsid w:val="00482730"/>
    <w:rsid w:val="004827F3"/>
    <w:rsid w:val="00485059"/>
    <w:rsid w:val="00486E55"/>
    <w:rsid w:val="004875DD"/>
    <w:rsid w:val="004905D3"/>
    <w:rsid w:val="00491D69"/>
    <w:rsid w:val="0049291D"/>
    <w:rsid w:val="00492A60"/>
    <w:rsid w:val="00492CD3"/>
    <w:rsid w:val="0049329B"/>
    <w:rsid w:val="00494825"/>
    <w:rsid w:val="004966B8"/>
    <w:rsid w:val="00496AAB"/>
    <w:rsid w:val="00497456"/>
    <w:rsid w:val="0049752A"/>
    <w:rsid w:val="00497532"/>
    <w:rsid w:val="004A026B"/>
    <w:rsid w:val="004A0D7C"/>
    <w:rsid w:val="004A2561"/>
    <w:rsid w:val="004A33A0"/>
    <w:rsid w:val="004A35AB"/>
    <w:rsid w:val="004A3B1D"/>
    <w:rsid w:val="004A42B0"/>
    <w:rsid w:val="004B1232"/>
    <w:rsid w:val="004B2439"/>
    <w:rsid w:val="004B2FDE"/>
    <w:rsid w:val="004B48DB"/>
    <w:rsid w:val="004B5946"/>
    <w:rsid w:val="004B5D1E"/>
    <w:rsid w:val="004B710C"/>
    <w:rsid w:val="004B71A6"/>
    <w:rsid w:val="004B7382"/>
    <w:rsid w:val="004C0F19"/>
    <w:rsid w:val="004C22F8"/>
    <w:rsid w:val="004C28BE"/>
    <w:rsid w:val="004C3843"/>
    <w:rsid w:val="004C4A82"/>
    <w:rsid w:val="004C6306"/>
    <w:rsid w:val="004C6361"/>
    <w:rsid w:val="004C6C20"/>
    <w:rsid w:val="004D1A3B"/>
    <w:rsid w:val="004D3212"/>
    <w:rsid w:val="004D4319"/>
    <w:rsid w:val="004D48B5"/>
    <w:rsid w:val="004D675B"/>
    <w:rsid w:val="004E0FC5"/>
    <w:rsid w:val="004E14C6"/>
    <w:rsid w:val="004E1936"/>
    <w:rsid w:val="004E1C7A"/>
    <w:rsid w:val="004E28B5"/>
    <w:rsid w:val="004E2F47"/>
    <w:rsid w:val="004E5058"/>
    <w:rsid w:val="004E595B"/>
    <w:rsid w:val="004E5966"/>
    <w:rsid w:val="004E5FDB"/>
    <w:rsid w:val="004F2E8E"/>
    <w:rsid w:val="004F3B05"/>
    <w:rsid w:val="004F6A7C"/>
    <w:rsid w:val="00500446"/>
    <w:rsid w:val="00501F41"/>
    <w:rsid w:val="00502887"/>
    <w:rsid w:val="00503BD2"/>
    <w:rsid w:val="00506623"/>
    <w:rsid w:val="00506A40"/>
    <w:rsid w:val="005075DC"/>
    <w:rsid w:val="0050760E"/>
    <w:rsid w:val="00507DD1"/>
    <w:rsid w:val="005112AA"/>
    <w:rsid w:val="005130D7"/>
    <w:rsid w:val="0051333F"/>
    <w:rsid w:val="00515C64"/>
    <w:rsid w:val="00520988"/>
    <w:rsid w:val="00520CAE"/>
    <w:rsid w:val="00521461"/>
    <w:rsid w:val="005217D2"/>
    <w:rsid w:val="00521A41"/>
    <w:rsid w:val="005236FB"/>
    <w:rsid w:val="005263A1"/>
    <w:rsid w:val="005263C5"/>
    <w:rsid w:val="00526E9B"/>
    <w:rsid w:val="00527722"/>
    <w:rsid w:val="00530B51"/>
    <w:rsid w:val="00531FD6"/>
    <w:rsid w:val="00532E96"/>
    <w:rsid w:val="00533F8C"/>
    <w:rsid w:val="005375A7"/>
    <w:rsid w:val="00537E46"/>
    <w:rsid w:val="00537F3C"/>
    <w:rsid w:val="00540D00"/>
    <w:rsid w:val="00543E6D"/>
    <w:rsid w:val="005442B3"/>
    <w:rsid w:val="0054448B"/>
    <w:rsid w:val="0054486D"/>
    <w:rsid w:val="00545CA4"/>
    <w:rsid w:val="00545EEE"/>
    <w:rsid w:val="00551E20"/>
    <w:rsid w:val="00552523"/>
    <w:rsid w:val="00552A32"/>
    <w:rsid w:val="00552A83"/>
    <w:rsid w:val="00552E29"/>
    <w:rsid w:val="00553F1E"/>
    <w:rsid w:val="0055414F"/>
    <w:rsid w:val="00554735"/>
    <w:rsid w:val="00555283"/>
    <w:rsid w:val="00556663"/>
    <w:rsid w:val="00560B1C"/>
    <w:rsid w:val="005610B0"/>
    <w:rsid w:val="005610B5"/>
    <w:rsid w:val="00563081"/>
    <w:rsid w:val="0056391F"/>
    <w:rsid w:val="00563A7B"/>
    <w:rsid w:val="00563EA3"/>
    <w:rsid w:val="005648B6"/>
    <w:rsid w:val="00564F42"/>
    <w:rsid w:val="005650A8"/>
    <w:rsid w:val="0056685A"/>
    <w:rsid w:val="005708B3"/>
    <w:rsid w:val="00571BF4"/>
    <w:rsid w:val="00571EBC"/>
    <w:rsid w:val="005724D7"/>
    <w:rsid w:val="00572E86"/>
    <w:rsid w:val="005738F3"/>
    <w:rsid w:val="00574B4D"/>
    <w:rsid w:val="005759DF"/>
    <w:rsid w:val="00576421"/>
    <w:rsid w:val="00580025"/>
    <w:rsid w:val="0058142F"/>
    <w:rsid w:val="0058261B"/>
    <w:rsid w:val="005832E5"/>
    <w:rsid w:val="00584DE6"/>
    <w:rsid w:val="0058706F"/>
    <w:rsid w:val="0058760B"/>
    <w:rsid w:val="00587BED"/>
    <w:rsid w:val="005902F7"/>
    <w:rsid w:val="005906ED"/>
    <w:rsid w:val="00591A8F"/>
    <w:rsid w:val="005920E8"/>
    <w:rsid w:val="00592B8F"/>
    <w:rsid w:val="00593807"/>
    <w:rsid w:val="005964B3"/>
    <w:rsid w:val="0059667B"/>
    <w:rsid w:val="005973F2"/>
    <w:rsid w:val="005A0202"/>
    <w:rsid w:val="005A079E"/>
    <w:rsid w:val="005A1477"/>
    <w:rsid w:val="005A1573"/>
    <w:rsid w:val="005A28BC"/>
    <w:rsid w:val="005A2D2F"/>
    <w:rsid w:val="005A3817"/>
    <w:rsid w:val="005A390C"/>
    <w:rsid w:val="005A4BAC"/>
    <w:rsid w:val="005A6057"/>
    <w:rsid w:val="005A6A6B"/>
    <w:rsid w:val="005A6E82"/>
    <w:rsid w:val="005B039D"/>
    <w:rsid w:val="005B155A"/>
    <w:rsid w:val="005B1927"/>
    <w:rsid w:val="005B31C3"/>
    <w:rsid w:val="005B486D"/>
    <w:rsid w:val="005B4CB9"/>
    <w:rsid w:val="005B66C1"/>
    <w:rsid w:val="005B7C20"/>
    <w:rsid w:val="005C03D9"/>
    <w:rsid w:val="005C14ED"/>
    <w:rsid w:val="005C251E"/>
    <w:rsid w:val="005C36C8"/>
    <w:rsid w:val="005C491B"/>
    <w:rsid w:val="005C4C13"/>
    <w:rsid w:val="005C527F"/>
    <w:rsid w:val="005C5331"/>
    <w:rsid w:val="005C55A9"/>
    <w:rsid w:val="005C6433"/>
    <w:rsid w:val="005C6C09"/>
    <w:rsid w:val="005C7E54"/>
    <w:rsid w:val="005D015D"/>
    <w:rsid w:val="005D0D38"/>
    <w:rsid w:val="005D12DB"/>
    <w:rsid w:val="005D1CC8"/>
    <w:rsid w:val="005D2A42"/>
    <w:rsid w:val="005D2E98"/>
    <w:rsid w:val="005D39BF"/>
    <w:rsid w:val="005D470A"/>
    <w:rsid w:val="005D4BA6"/>
    <w:rsid w:val="005D4F46"/>
    <w:rsid w:val="005D574E"/>
    <w:rsid w:val="005D5761"/>
    <w:rsid w:val="005D5A5C"/>
    <w:rsid w:val="005D6161"/>
    <w:rsid w:val="005D797B"/>
    <w:rsid w:val="005E1608"/>
    <w:rsid w:val="005E225A"/>
    <w:rsid w:val="005E3E2D"/>
    <w:rsid w:val="005E3F15"/>
    <w:rsid w:val="005E44F0"/>
    <w:rsid w:val="005E5AF5"/>
    <w:rsid w:val="005E786C"/>
    <w:rsid w:val="005F1942"/>
    <w:rsid w:val="005F3126"/>
    <w:rsid w:val="005F368D"/>
    <w:rsid w:val="005F40F5"/>
    <w:rsid w:val="005F6222"/>
    <w:rsid w:val="005F6A43"/>
    <w:rsid w:val="005F7CBD"/>
    <w:rsid w:val="0060031D"/>
    <w:rsid w:val="0060059B"/>
    <w:rsid w:val="00600C93"/>
    <w:rsid w:val="006039C7"/>
    <w:rsid w:val="0060436F"/>
    <w:rsid w:val="00604DFB"/>
    <w:rsid w:val="0060604A"/>
    <w:rsid w:val="006060D8"/>
    <w:rsid w:val="00606401"/>
    <w:rsid w:val="00606EC2"/>
    <w:rsid w:val="00607328"/>
    <w:rsid w:val="00607BEB"/>
    <w:rsid w:val="006101B7"/>
    <w:rsid w:val="00611C78"/>
    <w:rsid w:val="00612E3F"/>
    <w:rsid w:val="00613309"/>
    <w:rsid w:val="00613C9A"/>
    <w:rsid w:val="00615319"/>
    <w:rsid w:val="006171DE"/>
    <w:rsid w:val="006202E7"/>
    <w:rsid w:val="00620356"/>
    <w:rsid w:val="00620361"/>
    <w:rsid w:val="00621D66"/>
    <w:rsid w:val="0062446F"/>
    <w:rsid w:val="00624ADA"/>
    <w:rsid w:val="00625033"/>
    <w:rsid w:val="0062517B"/>
    <w:rsid w:val="00627604"/>
    <w:rsid w:val="00633AFE"/>
    <w:rsid w:val="006342EF"/>
    <w:rsid w:val="00635BF8"/>
    <w:rsid w:val="00635F4C"/>
    <w:rsid w:val="00636A94"/>
    <w:rsid w:val="00636D81"/>
    <w:rsid w:val="00636DBB"/>
    <w:rsid w:val="006372A8"/>
    <w:rsid w:val="00641154"/>
    <w:rsid w:val="00642657"/>
    <w:rsid w:val="00642A66"/>
    <w:rsid w:val="00642D3F"/>
    <w:rsid w:val="006435A0"/>
    <w:rsid w:val="0064469F"/>
    <w:rsid w:val="00645A4B"/>
    <w:rsid w:val="00646F6E"/>
    <w:rsid w:val="006474FF"/>
    <w:rsid w:val="00647D92"/>
    <w:rsid w:val="00652E69"/>
    <w:rsid w:val="00653B67"/>
    <w:rsid w:val="00653D8D"/>
    <w:rsid w:val="00654EF7"/>
    <w:rsid w:val="00655CD4"/>
    <w:rsid w:val="00656FD0"/>
    <w:rsid w:val="00657445"/>
    <w:rsid w:val="0066670F"/>
    <w:rsid w:val="00672B65"/>
    <w:rsid w:val="00673429"/>
    <w:rsid w:val="006759AB"/>
    <w:rsid w:val="006763C0"/>
    <w:rsid w:val="00677BBF"/>
    <w:rsid w:val="00677E80"/>
    <w:rsid w:val="00680099"/>
    <w:rsid w:val="00681F59"/>
    <w:rsid w:val="006821F2"/>
    <w:rsid w:val="00683145"/>
    <w:rsid w:val="00684531"/>
    <w:rsid w:val="006847EF"/>
    <w:rsid w:val="00685B70"/>
    <w:rsid w:val="00690946"/>
    <w:rsid w:val="00690C0B"/>
    <w:rsid w:val="00691E1A"/>
    <w:rsid w:val="00692066"/>
    <w:rsid w:val="00693964"/>
    <w:rsid w:val="006949E6"/>
    <w:rsid w:val="006955B3"/>
    <w:rsid w:val="00696317"/>
    <w:rsid w:val="0069631C"/>
    <w:rsid w:val="00696343"/>
    <w:rsid w:val="00696968"/>
    <w:rsid w:val="006A00D4"/>
    <w:rsid w:val="006A01A3"/>
    <w:rsid w:val="006A037B"/>
    <w:rsid w:val="006A0389"/>
    <w:rsid w:val="006A1F9B"/>
    <w:rsid w:val="006A2C28"/>
    <w:rsid w:val="006A38B3"/>
    <w:rsid w:val="006A474E"/>
    <w:rsid w:val="006A56F7"/>
    <w:rsid w:val="006A60E1"/>
    <w:rsid w:val="006B05EE"/>
    <w:rsid w:val="006B1A69"/>
    <w:rsid w:val="006B2AF6"/>
    <w:rsid w:val="006B4EF0"/>
    <w:rsid w:val="006B5B0F"/>
    <w:rsid w:val="006C0A51"/>
    <w:rsid w:val="006C2592"/>
    <w:rsid w:val="006C340B"/>
    <w:rsid w:val="006C3E2E"/>
    <w:rsid w:val="006C4D0F"/>
    <w:rsid w:val="006C5377"/>
    <w:rsid w:val="006C5D86"/>
    <w:rsid w:val="006C63AB"/>
    <w:rsid w:val="006C7D59"/>
    <w:rsid w:val="006D0218"/>
    <w:rsid w:val="006D0345"/>
    <w:rsid w:val="006D23EA"/>
    <w:rsid w:val="006D2C91"/>
    <w:rsid w:val="006D4092"/>
    <w:rsid w:val="006D4429"/>
    <w:rsid w:val="006D5240"/>
    <w:rsid w:val="006D682E"/>
    <w:rsid w:val="006E05F4"/>
    <w:rsid w:val="006E1BFB"/>
    <w:rsid w:val="006E20C3"/>
    <w:rsid w:val="006E2A02"/>
    <w:rsid w:val="006E4357"/>
    <w:rsid w:val="006E4B6B"/>
    <w:rsid w:val="006E5ED8"/>
    <w:rsid w:val="006E5F14"/>
    <w:rsid w:val="006E64AF"/>
    <w:rsid w:val="006E658A"/>
    <w:rsid w:val="006E7A21"/>
    <w:rsid w:val="006F1AA8"/>
    <w:rsid w:val="006F1B6F"/>
    <w:rsid w:val="006F41FC"/>
    <w:rsid w:val="006F462D"/>
    <w:rsid w:val="006F597E"/>
    <w:rsid w:val="006F6416"/>
    <w:rsid w:val="006F6A2E"/>
    <w:rsid w:val="006F76A5"/>
    <w:rsid w:val="00700CE2"/>
    <w:rsid w:val="00702818"/>
    <w:rsid w:val="00702A1F"/>
    <w:rsid w:val="00704D73"/>
    <w:rsid w:val="00705054"/>
    <w:rsid w:val="00707F98"/>
    <w:rsid w:val="007100CA"/>
    <w:rsid w:val="00712E01"/>
    <w:rsid w:val="0071319D"/>
    <w:rsid w:val="00715DB0"/>
    <w:rsid w:val="00715F34"/>
    <w:rsid w:val="00716E5C"/>
    <w:rsid w:val="00720BDD"/>
    <w:rsid w:val="007216F8"/>
    <w:rsid w:val="00722244"/>
    <w:rsid w:val="00722491"/>
    <w:rsid w:val="00722A57"/>
    <w:rsid w:val="00722B2E"/>
    <w:rsid w:val="00723CC5"/>
    <w:rsid w:val="007261CA"/>
    <w:rsid w:val="0073027F"/>
    <w:rsid w:val="00730302"/>
    <w:rsid w:val="00730898"/>
    <w:rsid w:val="00731277"/>
    <w:rsid w:val="007320B2"/>
    <w:rsid w:val="0073304E"/>
    <w:rsid w:val="0073313A"/>
    <w:rsid w:val="0073452A"/>
    <w:rsid w:val="00734863"/>
    <w:rsid w:val="00734DE8"/>
    <w:rsid w:val="007357A3"/>
    <w:rsid w:val="00735805"/>
    <w:rsid w:val="00735AFB"/>
    <w:rsid w:val="007374A1"/>
    <w:rsid w:val="0073764D"/>
    <w:rsid w:val="00737CDD"/>
    <w:rsid w:val="0074059C"/>
    <w:rsid w:val="007426F6"/>
    <w:rsid w:val="00742BE0"/>
    <w:rsid w:val="007433B1"/>
    <w:rsid w:val="00743E27"/>
    <w:rsid w:val="00744E0A"/>
    <w:rsid w:val="00746BCB"/>
    <w:rsid w:val="00750417"/>
    <w:rsid w:val="00750A22"/>
    <w:rsid w:val="007512E0"/>
    <w:rsid w:val="00751741"/>
    <w:rsid w:val="00752D64"/>
    <w:rsid w:val="007532F1"/>
    <w:rsid w:val="00755D82"/>
    <w:rsid w:val="00756A9B"/>
    <w:rsid w:val="00756D81"/>
    <w:rsid w:val="00756D9B"/>
    <w:rsid w:val="00757302"/>
    <w:rsid w:val="007574B8"/>
    <w:rsid w:val="00760269"/>
    <w:rsid w:val="00761035"/>
    <w:rsid w:val="00762D88"/>
    <w:rsid w:val="00762E20"/>
    <w:rsid w:val="00763AC2"/>
    <w:rsid w:val="0076449A"/>
    <w:rsid w:val="0076520E"/>
    <w:rsid w:val="00765992"/>
    <w:rsid w:val="00766D11"/>
    <w:rsid w:val="0076746D"/>
    <w:rsid w:val="00767AA7"/>
    <w:rsid w:val="00767D8D"/>
    <w:rsid w:val="007702F7"/>
    <w:rsid w:val="00770A30"/>
    <w:rsid w:val="00770F0F"/>
    <w:rsid w:val="00770F1B"/>
    <w:rsid w:val="00771AC7"/>
    <w:rsid w:val="00771BF9"/>
    <w:rsid w:val="00773073"/>
    <w:rsid w:val="0077356B"/>
    <w:rsid w:val="00773BEF"/>
    <w:rsid w:val="00775855"/>
    <w:rsid w:val="0077617D"/>
    <w:rsid w:val="007774FD"/>
    <w:rsid w:val="00777635"/>
    <w:rsid w:val="00780383"/>
    <w:rsid w:val="0078063F"/>
    <w:rsid w:val="00780F5C"/>
    <w:rsid w:val="0078104E"/>
    <w:rsid w:val="00783526"/>
    <w:rsid w:val="007836A4"/>
    <w:rsid w:val="00785665"/>
    <w:rsid w:val="0078627A"/>
    <w:rsid w:val="00790022"/>
    <w:rsid w:val="007904CC"/>
    <w:rsid w:val="00791309"/>
    <w:rsid w:val="00797752"/>
    <w:rsid w:val="00797B2D"/>
    <w:rsid w:val="00797DE0"/>
    <w:rsid w:val="007A281A"/>
    <w:rsid w:val="007A29F6"/>
    <w:rsid w:val="007A3138"/>
    <w:rsid w:val="007A34F1"/>
    <w:rsid w:val="007A3B06"/>
    <w:rsid w:val="007A400C"/>
    <w:rsid w:val="007A4BEC"/>
    <w:rsid w:val="007A530A"/>
    <w:rsid w:val="007A606A"/>
    <w:rsid w:val="007B10E3"/>
    <w:rsid w:val="007B119F"/>
    <w:rsid w:val="007B1A25"/>
    <w:rsid w:val="007B1F57"/>
    <w:rsid w:val="007B2578"/>
    <w:rsid w:val="007B282B"/>
    <w:rsid w:val="007B31C4"/>
    <w:rsid w:val="007B4244"/>
    <w:rsid w:val="007B4F24"/>
    <w:rsid w:val="007B543B"/>
    <w:rsid w:val="007B54D6"/>
    <w:rsid w:val="007B6678"/>
    <w:rsid w:val="007B68E8"/>
    <w:rsid w:val="007B6E9F"/>
    <w:rsid w:val="007C0E21"/>
    <w:rsid w:val="007C13EA"/>
    <w:rsid w:val="007C1D94"/>
    <w:rsid w:val="007C2049"/>
    <w:rsid w:val="007C3C46"/>
    <w:rsid w:val="007C4B0B"/>
    <w:rsid w:val="007C570C"/>
    <w:rsid w:val="007D0A0D"/>
    <w:rsid w:val="007D0EE6"/>
    <w:rsid w:val="007D1AEB"/>
    <w:rsid w:val="007D2F91"/>
    <w:rsid w:val="007D30C1"/>
    <w:rsid w:val="007D37EB"/>
    <w:rsid w:val="007D3DF7"/>
    <w:rsid w:val="007D3F93"/>
    <w:rsid w:val="007D56DD"/>
    <w:rsid w:val="007D578F"/>
    <w:rsid w:val="007D6259"/>
    <w:rsid w:val="007D67CA"/>
    <w:rsid w:val="007D6BC9"/>
    <w:rsid w:val="007D70EE"/>
    <w:rsid w:val="007E0098"/>
    <w:rsid w:val="007E00D6"/>
    <w:rsid w:val="007E0211"/>
    <w:rsid w:val="007E2CD7"/>
    <w:rsid w:val="007E3177"/>
    <w:rsid w:val="007E47E3"/>
    <w:rsid w:val="007E4F23"/>
    <w:rsid w:val="007E5A90"/>
    <w:rsid w:val="007E6204"/>
    <w:rsid w:val="007E689C"/>
    <w:rsid w:val="007E6C5B"/>
    <w:rsid w:val="007E7E2C"/>
    <w:rsid w:val="007F01FA"/>
    <w:rsid w:val="007F074B"/>
    <w:rsid w:val="007F1254"/>
    <w:rsid w:val="007F18BB"/>
    <w:rsid w:val="007F2ABD"/>
    <w:rsid w:val="007F4691"/>
    <w:rsid w:val="007F7921"/>
    <w:rsid w:val="008016D5"/>
    <w:rsid w:val="00801D70"/>
    <w:rsid w:val="00802EB4"/>
    <w:rsid w:val="00803512"/>
    <w:rsid w:val="0080417B"/>
    <w:rsid w:val="00805A77"/>
    <w:rsid w:val="00806233"/>
    <w:rsid w:val="0080639D"/>
    <w:rsid w:val="00811D5F"/>
    <w:rsid w:val="00812DE8"/>
    <w:rsid w:val="008139AA"/>
    <w:rsid w:val="00814727"/>
    <w:rsid w:val="0081485E"/>
    <w:rsid w:val="00815FAD"/>
    <w:rsid w:val="008160B4"/>
    <w:rsid w:val="008179FE"/>
    <w:rsid w:val="00817DEF"/>
    <w:rsid w:val="00820D9A"/>
    <w:rsid w:val="008219FF"/>
    <w:rsid w:val="00823064"/>
    <w:rsid w:val="00823E8A"/>
    <w:rsid w:val="00827987"/>
    <w:rsid w:val="00827F87"/>
    <w:rsid w:val="0083076B"/>
    <w:rsid w:val="00830A6F"/>
    <w:rsid w:val="00833509"/>
    <w:rsid w:val="0083369C"/>
    <w:rsid w:val="008346E1"/>
    <w:rsid w:val="00836175"/>
    <w:rsid w:val="00837331"/>
    <w:rsid w:val="00840507"/>
    <w:rsid w:val="0084176E"/>
    <w:rsid w:val="0084186D"/>
    <w:rsid w:val="00842179"/>
    <w:rsid w:val="00842FD2"/>
    <w:rsid w:val="0084303E"/>
    <w:rsid w:val="00843812"/>
    <w:rsid w:val="00846087"/>
    <w:rsid w:val="00846478"/>
    <w:rsid w:val="00850772"/>
    <w:rsid w:val="00850778"/>
    <w:rsid w:val="00851230"/>
    <w:rsid w:val="008527DD"/>
    <w:rsid w:val="00853EAE"/>
    <w:rsid w:val="00860406"/>
    <w:rsid w:val="00861372"/>
    <w:rsid w:val="0086406C"/>
    <w:rsid w:val="00865B87"/>
    <w:rsid w:val="00871755"/>
    <w:rsid w:val="00871B57"/>
    <w:rsid w:val="008727B2"/>
    <w:rsid w:val="008733CF"/>
    <w:rsid w:val="008745B6"/>
    <w:rsid w:val="008754EA"/>
    <w:rsid w:val="008764CA"/>
    <w:rsid w:val="00880E9A"/>
    <w:rsid w:val="008819B3"/>
    <w:rsid w:val="00881E41"/>
    <w:rsid w:val="0088211C"/>
    <w:rsid w:val="00882610"/>
    <w:rsid w:val="00882639"/>
    <w:rsid w:val="0088282E"/>
    <w:rsid w:val="00882916"/>
    <w:rsid w:val="00882BAF"/>
    <w:rsid w:val="0088373B"/>
    <w:rsid w:val="00883D17"/>
    <w:rsid w:val="008843A1"/>
    <w:rsid w:val="00884AE1"/>
    <w:rsid w:val="00885723"/>
    <w:rsid w:val="008858CD"/>
    <w:rsid w:val="00886510"/>
    <w:rsid w:val="00886B84"/>
    <w:rsid w:val="00887318"/>
    <w:rsid w:val="008913D2"/>
    <w:rsid w:val="00891711"/>
    <w:rsid w:val="0089377E"/>
    <w:rsid w:val="00893AF2"/>
    <w:rsid w:val="00894320"/>
    <w:rsid w:val="00894E70"/>
    <w:rsid w:val="0089524C"/>
    <w:rsid w:val="008952FA"/>
    <w:rsid w:val="008954EC"/>
    <w:rsid w:val="00896A30"/>
    <w:rsid w:val="008A2F21"/>
    <w:rsid w:val="008A2FB0"/>
    <w:rsid w:val="008A5011"/>
    <w:rsid w:val="008A60F5"/>
    <w:rsid w:val="008A667E"/>
    <w:rsid w:val="008A6CE5"/>
    <w:rsid w:val="008B0DA7"/>
    <w:rsid w:val="008B1564"/>
    <w:rsid w:val="008B308E"/>
    <w:rsid w:val="008B643E"/>
    <w:rsid w:val="008B6E40"/>
    <w:rsid w:val="008C11B2"/>
    <w:rsid w:val="008C2216"/>
    <w:rsid w:val="008C2506"/>
    <w:rsid w:val="008C38D9"/>
    <w:rsid w:val="008C3AE0"/>
    <w:rsid w:val="008C5228"/>
    <w:rsid w:val="008C63A4"/>
    <w:rsid w:val="008D00B3"/>
    <w:rsid w:val="008D1BEE"/>
    <w:rsid w:val="008D1F4D"/>
    <w:rsid w:val="008D36AE"/>
    <w:rsid w:val="008D3825"/>
    <w:rsid w:val="008D523F"/>
    <w:rsid w:val="008D6434"/>
    <w:rsid w:val="008D698A"/>
    <w:rsid w:val="008E04BC"/>
    <w:rsid w:val="008E0944"/>
    <w:rsid w:val="008E09CF"/>
    <w:rsid w:val="008E1B8F"/>
    <w:rsid w:val="008E1BB3"/>
    <w:rsid w:val="008E2DFA"/>
    <w:rsid w:val="008E2E95"/>
    <w:rsid w:val="008E31F3"/>
    <w:rsid w:val="008E414E"/>
    <w:rsid w:val="008E4584"/>
    <w:rsid w:val="008E563A"/>
    <w:rsid w:val="008E594B"/>
    <w:rsid w:val="008E6195"/>
    <w:rsid w:val="008E6797"/>
    <w:rsid w:val="008E77D1"/>
    <w:rsid w:val="008F013A"/>
    <w:rsid w:val="008F0F3C"/>
    <w:rsid w:val="008F296D"/>
    <w:rsid w:val="008F3376"/>
    <w:rsid w:val="008F3AA3"/>
    <w:rsid w:val="008F446B"/>
    <w:rsid w:val="008F5605"/>
    <w:rsid w:val="00900E9A"/>
    <w:rsid w:val="00904652"/>
    <w:rsid w:val="00907373"/>
    <w:rsid w:val="00907671"/>
    <w:rsid w:val="00910686"/>
    <w:rsid w:val="009107F6"/>
    <w:rsid w:val="009130F7"/>
    <w:rsid w:val="00913A89"/>
    <w:rsid w:val="00913C67"/>
    <w:rsid w:val="00913E7F"/>
    <w:rsid w:val="009145E0"/>
    <w:rsid w:val="0091483C"/>
    <w:rsid w:val="009153E4"/>
    <w:rsid w:val="00917245"/>
    <w:rsid w:val="009245BF"/>
    <w:rsid w:val="00924B8B"/>
    <w:rsid w:val="009251EE"/>
    <w:rsid w:val="00925C0F"/>
    <w:rsid w:val="00925CE6"/>
    <w:rsid w:val="00926045"/>
    <w:rsid w:val="00927189"/>
    <w:rsid w:val="0092739B"/>
    <w:rsid w:val="00932333"/>
    <w:rsid w:val="0093271F"/>
    <w:rsid w:val="009337B8"/>
    <w:rsid w:val="0093611A"/>
    <w:rsid w:val="00936887"/>
    <w:rsid w:val="0093723D"/>
    <w:rsid w:val="00941546"/>
    <w:rsid w:val="00942BDE"/>
    <w:rsid w:val="00944E10"/>
    <w:rsid w:val="00945816"/>
    <w:rsid w:val="00946AA0"/>
    <w:rsid w:val="00946E2C"/>
    <w:rsid w:val="00950F37"/>
    <w:rsid w:val="0095227B"/>
    <w:rsid w:val="0095248C"/>
    <w:rsid w:val="009529F4"/>
    <w:rsid w:val="009530F0"/>
    <w:rsid w:val="00953E0B"/>
    <w:rsid w:val="00954DFC"/>
    <w:rsid w:val="00956C5C"/>
    <w:rsid w:val="00956FE1"/>
    <w:rsid w:val="0095749A"/>
    <w:rsid w:val="009574C3"/>
    <w:rsid w:val="009623DE"/>
    <w:rsid w:val="0096283B"/>
    <w:rsid w:val="00962989"/>
    <w:rsid w:val="00962B99"/>
    <w:rsid w:val="00962E25"/>
    <w:rsid w:val="00964155"/>
    <w:rsid w:val="00965006"/>
    <w:rsid w:val="00965178"/>
    <w:rsid w:val="00965517"/>
    <w:rsid w:val="00965A05"/>
    <w:rsid w:val="00966239"/>
    <w:rsid w:val="00966691"/>
    <w:rsid w:val="00966821"/>
    <w:rsid w:val="0096792B"/>
    <w:rsid w:val="00970263"/>
    <w:rsid w:val="0097154C"/>
    <w:rsid w:val="00973990"/>
    <w:rsid w:val="009752B5"/>
    <w:rsid w:val="009756C5"/>
    <w:rsid w:val="00976334"/>
    <w:rsid w:val="009763FC"/>
    <w:rsid w:val="009770FA"/>
    <w:rsid w:val="00980519"/>
    <w:rsid w:val="00980631"/>
    <w:rsid w:val="009809B1"/>
    <w:rsid w:val="00982293"/>
    <w:rsid w:val="00983EF0"/>
    <w:rsid w:val="00984F87"/>
    <w:rsid w:val="009856E0"/>
    <w:rsid w:val="00990F0C"/>
    <w:rsid w:val="00991355"/>
    <w:rsid w:val="0099199D"/>
    <w:rsid w:val="009942C6"/>
    <w:rsid w:val="00994B60"/>
    <w:rsid w:val="00996F92"/>
    <w:rsid w:val="009A094F"/>
    <w:rsid w:val="009A11FB"/>
    <w:rsid w:val="009A1244"/>
    <w:rsid w:val="009A170F"/>
    <w:rsid w:val="009A1A16"/>
    <w:rsid w:val="009A1BE5"/>
    <w:rsid w:val="009A2247"/>
    <w:rsid w:val="009A24A8"/>
    <w:rsid w:val="009A2E7D"/>
    <w:rsid w:val="009A2F60"/>
    <w:rsid w:val="009A2FB5"/>
    <w:rsid w:val="009A3EDC"/>
    <w:rsid w:val="009A50E0"/>
    <w:rsid w:val="009A57AB"/>
    <w:rsid w:val="009A6E43"/>
    <w:rsid w:val="009B0FA3"/>
    <w:rsid w:val="009B135E"/>
    <w:rsid w:val="009B4F64"/>
    <w:rsid w:val="009B5CA7"/>
    <w:rsid w:val="009B6276"/>
    <w:rsid w:val="009B6385"/>
    <w:rsid w:val="009B7E43"/>
    <w:rsid w:val="009C08D9"/>
    <w:rsid w:val="009C24D8"/>
    <w:rsid w:val="009C2BEF"/>
    <w:rsid w:val="009C2ED6"/>
    <w:rsid w:val="009C3C2F"/>
    <w:rsid w:val="009C456D"/>
    <w:rsid w:val="009C50A6"/>
    <w:rsid w:val="009C5C1C"/>
    <w:rsid w:val="009C6D6C"/>
    <w:rsid w:val="009C73D4"/>
    <w:rsid w:val="009D09A2"/>
    <w:rsid w:val="009D1950"/>
    <w:rsid w:val="009D2493"/>
    <w:rsid w:val="009D288E"/>
    <w:rsid w:val="009D2B94"/>
    <w:rsid w:val="009D3D04"/>
    <w:rsid w:val="009D4244"/>
    <w:rsid w:val="009D4665"/>
    <w:rsid w:val="009D4761"/>
    <w:rsid w:val="009D5830"/>
    <w:rsid w:val="009D5BFD"/>
    <w:rsid w:val="009D5F9E"/>
    <w:rsid w:val="009D7160"/>
    <w:rsid w:val="009E0F6B"/>
    <w:rsid w:val="009E21C6"/>
    <w:rsid w:val="009E2A4E"/>
    <w:rsid w:val="009E2DDE"/>
    <w:rsid w:val="009E2E28"/>
    <w:rsid w:val="009E3172"/>
    <w:rsid w:val="009E4927"/>
    <w:rsid w:val="009E5AD1"/>
    <w:rsid w:val="009E613F"/>
    <w:rsid w:val="009E71A5"/>
    <w:rsid w:val="009F1BD3"/>
    <w:rsid w:val="009F2A57"/>
    <w:rsid w:val="009F2DA4"/>
    <w:rsid w:val="009F4839"/>
    <w:rsid w:val="009F4E03"/>
    <w:rsid w:val="009F507A"/>
    <w:rsid w:val="009F5C73"/>
    <w:rsid w:val="009F6E8A"/>
    <w:rsid w:val="00A016BF"/>
    <w:rsid w:val="00A03467"/>
    <w:rsid w:val="00A03EB4"/>
    <w:rsid w:val="00A04938"/>
    <w:rsid w:val="00A04A4F"/>
    <w:rsid w:val="00A04B47"/>
    <w:rsid w:val="00A04C0B"/>
    <w:rsid w:val="00A05298"/>
    <w:rsid w:val="00A1033C"/>
    <w:rsid w:val="00A1036D"/>
    <w:rsid w:val="00A10443"/>
    <w:rsid w:val="00A118F1"/>
    <w:rsid w:val="00A12E2E"/>
    <w:rsid w:val="00A14367"/>
    <w:rsid w:val="00A14E0C"/>
    <w:rsid w:val="00A14E8C"/>
    <w:rsid w:val="00A1526C"/>
    <w:rsid w:val="00A154DB"/>
    <w:rsid w:val="00A164F4"/>
    <w:rsid w:val="00A17AA7"/>
    <w:rsid w:val="00A2044F"/>
    <w:rsid w:val="00A213D2"/>
    <w:rsid w:val="00A218B6"/>
    <w:rsid w:val="00A221E7"/>
    <w:rsid w:val="00A234E4"/>
    <w:rsid w:val="00A24A9F"/>
    <w:rsid w:val="00A25A16"/>
    <w:rsid w:val="00A26D6D"/>
    <w:rsid w:val="00A33118"/>
    <w:rsid w:val="00A3321E"/>
    <w:rsid w:val="00A33D47"/>
    <w:rsid w:val="00A34EE3"/>
    <w:rsid w:val="00A40171"/>
    <w:rsid w:val="00A4031E"/>
    <w:rsid w:val="00A41CCB"/>
    <w:rsid w:val="00A41FFE"/>
    <w:rsid w:val="00A422A7"/>
    <w:rsid w:val="00A424BB"/>
    <w:rsid w:val="00A43F8E"/>
    <w:rsid w:val="00A4622C"/>
    <w:rsid w:val="00A46B98"/>
    <w:rsid w:val="00A47F21"/>
    <w:rsid w:val="00A50A04"/>
    <w:rsid w:val="00A512B6"/>
    <w:rsid w:val="00A513E4"/>
    <w:rsid w:val="00A521C8"/>
    <w:rsid w:val="00A53DD3"/>
    <w:rsid w:val="00A544C4"/>
    <w:rsid w:val="00A55268"/>
    <w:rsid w:val="00A55FAF"/>
    <w:rsid w:val="00A56C01"/>
    <w:rsid w:val="00A5706D"/>
    <w:rsid w:val="00A60201"/>
    <w:rsid w:val="00A6088B"/>
    <w:rsid w:val="00A609F0"/>
    <w:rsid w:val="00A612C2"/>
    <w:rsid w:val="00A61FEF"/>
    <w:rsid w:val="00A66BE7"/>
    <w:rsid w:val="00A672C7"/>
    <w:rsid w:val="00A72FCC"/>
    <w:rsid w:val="00A735D2"/>
    <w:rsid w:val="00A73ED4"/>
    <w:rsid w:val="00A73F4B"/>
    <w:rsid w:val="00A74FE6"/>
    <w:rsid w:val="00A7667F"/>
    <w:rsid w:val="00A778C0"/>
    <w:rsid w:val="00A800F9"/>
    <w:rsid w:val="00A8164C"/>
    <w:rsid w:val="00A836B1"/>
    <w:rsid w:val="00A83CD0"/>
    <w:rsid w:val="00A85298"/>
    <w:rsid w:val="00A85914"/>
    <w:rsid w:val="00A8638E"/>
    <w:rsid w:val="00A86E79"/>
    <w:rsid w:val="00A907A9"/>
    <w:rsid w:val="00A9219F"/>
    <w:rsid w:val="00A92DA9"/>
    <w:rsid w:val="00A92DB4"/>
    <w:rsid w:val="00A9347E"/>
    <w:rsid w:val="00A9435E"/>
    <w:rsid w:val="00A94721"/>
    <w:rsid w:val="00A97773"/>
    <w:rsid w:val="00A979BB"/>
    <w:rsid w:val="00A97E5A"/>
    <w:rsid w:val="00A97F83"/>
    <w:rsid w:val="00AA03BC"/>
    <w:rsid w:val="00AA06C3"/>
    <w:rsid w:val="00AA1E9C"/>
    <w:rsid w:val="00AA204E"/>
    <w:rsid w:val="00AA2334"/>
    <w:rsid w:val="00AA237A"/>
    <w:rsid w:val="00AA25C7"/>
    <w:rsid w:val="00AA2A9A"/>
    <w:rsid w:val="00AA30C7"/>
    <w:rsid w:val="00AA34F5"/>
    <w:rsid w:val="00AA4C11"/>
    <w:rsid w:val="00AA5188"/>
    <w:rsid w:val="00AA6C10"/>
    <w:rsid w:val="00AA6CED"/>
    <w:rsid w:val="00AB0557"/>
    <w:rsid w:val="00AB10BF"/>
    <w:rsid w:val="00AB45E1"/>
    <w:rsid w:val="00AB4B50"/>
    <w:rsid w:val="00AB6050"/>
    <w:rsid w:val="00AB6ED7"/>
    <w:rsid w:val="00AB7A27"/>
    <w:rsid w:val="00AB7AFB"/>
    <w:rsid w:val="00AC08BA"/>
    <w:rsid w:val="00AC0CDE"/>
    <w:rsid w:val="00AC1078"/>
    <w:rsid w:val="00AC1AB8"/>
    <w:rsid w:val="00AC2851"/>
    <w:rsid w:val="00AC2EE3"/>
    <w:rsid w:val="00AC38C9"/>
    <w:rsid w:val="00AC4122"/>
    <w:rsid w:val="00AC4A8D"/>
    <w:rsid w:val="00AC4AF5"/>
    <w:rsid w:val="00AC5916"/>
    <w:rsid w:val="00AC5F57"/>
    <w:rsid w:val="00AC5F94"/>
    <w:rsid w:val="00AC7187"/>
    <w:rsid w:val="00AC71E5"/>
    <w:rsid w:val="00AC7FCD"/>
    <w:rsid w:val="00AD0442"/>
    <w:rsid w:val="00AD0481"/>
    <w:rsid w:val="00AD0FB6"/>
    <w:rsid w:val="00AD1B80"/>
    <w:rsid w:val="00AD3C73"/>
    <w:rsid w:val="00AD4249"/>
    <w:rsid w:val="00AD4616"/>
    <w:rsid w:val="00AD4935"/>
    <w:rsid w:val="00AD4D97"/>
    <w:rsid w:val="00AD7AE5"/>
    <w:rsid w:val="00AD7E42"/>
    <w:rsid w:val="00AD7EF4"/>
    <w:rsid w:val="00AE1AEB"/>
    <w:rsid w:val="00AE30E6"/>
    <w:rsid w:val="00AE30ED"/>
    <w:rsid w:val="00AE3482"/>
    <w:rsid w:val="00AE3C6B"/>
    <w:rsid w:val="00AE3C85"/>
    <w:rsid w:val="00AE46ED"/>
    <w:rsid w:val="00AE5563"/>
    <w:rsid w:val="00AE65AC"/>
    <w:rsid w:val="00AE664C"/>
    <w:rsid w:val="00AF1512"/>
    <w:rsid w:val="00AF1DF6"/>
    <w:rsid w:val="00AF2023"/>
    <w:rsid w:val="00AF29D6"/>
    <w:rsid w:val="00AF2C3D"/>
    <w:rsid w:val="00AF3198"/>
    <w:rsid w:val="00AF334D"/>
    <w:rsid w:val="00AF355D"/>
    <w:rsid w:val="00AF3D71"/>
    <w:rsid w:val="00AF50FB"/>
    <w:rsid w:val="00AF6AD4"/>
    <w:rsid w:val="00AF7885"/>
    <w:rsid w:val="00B00ABD"/>
    <w:rsid w:val="00B00DCD"/>
    <w:rsid w:val="00B01B92"/>
    <w:rsid w:val="00B02FF5"/>
    <w:rsid w:val="00B058CC"/>
    <w:rsid w:val="00B05A33"/>
    <w:rsid w:val="00B05AB8"/>
    <w:rsid w:val="00B0666E"/>
    <w:rsid w:val="00B06726"/>
    <w:rsid w:val="00B0732F"/>
    <w:rsid w:val="00B136F6"/>
    <w:rsid w:val="00B1436E"/>
    <w:rsid w:val="00B14B07"/>
    <w:rsid w:val="00B17AF5"/>
    <w:rsid w:val="00B20AB3"/>
    <w:rsid w:val="00B21A2A"/>
    <w:rsid w:val="00B22E29"/>
    <w:rsid w:val="00B256FB"/>
    <w:rsid w:val="00B25763"/>
    <w:rsid w:val="00B26794"/>
    <w:rsid w:val="00B271C9"/>
    <w:rsid w:val="00B272F7"/>
    <w:rsid w:val="00B27661"/>
    <w:rsid w:val="00B27F6A"/>
    <w:rsid w:val="00B30AAB"/>
    <w:rsid w:val="00B31029"/>
    <w:rsid w:val="00B31D96"/>
    <w:rsid w:val="00B3204A"/>
    <w:rsid w:val="00B3293F"/>
    <w:rsid w:val="00B32B2E"/>
    <w:rsid w:val="00B34EA3"/>
    <w:rsid w:val="00B36670"/>
    <w:rsid w:val="00B36987"/>
    <w:rsid w:val="00B4042E"/>
    <w:rsid w:val="00B40B03"/>
    <w:rsid w:val="00B40DA1"/>
    <w:rsid w:val="00B411EF"/>
    <w:rsid w:val="00B41E6E"/>
    <w:rsid w:val="00B43BC3"/>
    <w:rsid w:val="00B43F74"/>
    <w:rsid w:val="00B43FC0"/>
    <w:rsid w:val="00B4592C"/>
    <w:rsid w:val="00B4690B"/>
    <w:rsid w:val="00B47670"/>
    <w:rsid w:val="00B47761"/>
    <w:rsid w:val="00B47F49"/>
    <w:rsid w:val="00B5063C"/>
    <w:rsid w:val="00B520F5"/>
    <w:rsid w:val="00B53268"/>
    <w:rsid w:val="00B538A4"/>
    <w:rsid w:val="00B542FB"/>
    <w:rsid w:val="00B55245"/>
    <w:rsid w:val="00B55392"/>
    <w:rsid w:val="00B56D81"/>
    <w:rsid w:val="00B56F41"/>
    <w:rsid w:val="00B572E2"/>
    <w:rsid w:val="00B5791A"/>
    <w:rsid w:val="00B579E2"/>
    <w:rsid w:val="00B611F8"/>
    <w:rsid w:val="00B61CE1"/>
    <w:rsid w:val="00B63D4D"/>
    <w:rsid w:val="00B65A79"/>
    <w:rsid w:val="00B6645E"/>
    <w:rsid w:val="00B67868"/>
    <w:rsid w:val="00B71001"/>
    <w:rsid w:val="00B7263C"/>
    <w:rsid w:val="00B72ED4"/>
    <w:rsid w:val="00B74C51"/>
    <w:rsid w:val="00B7501A"/>
    <w:rsid w:val="00B7580F"/>
    <w:rsid w:val="00B76416"/>
    <w:rsid w:val="00B778F0"/>
    <w:rsid w:val="00B77B28"/>
    <w:rsid w:val="00B8010A"/>
    <w:rsid w:val="00B81B90"/>
    <w:rsid w:val="00B8232A"/>
    <w:rsid w:val="00B823C9"/>
    <w:rsid w:val="00B831B2"/>
    <w:rsid w:val="00B83A6C"/>
    <w:rsid w:val="00B85EEC"/>
    <w:rsid w:val="00B86468"/>
    <w:rsid w:val="00B864F3"/>
    <w:rsid w:val="00B86823"/>
    <w:rsid w:val="00B87782"/>
    <w:rsid w:val="00B91454"/>
    <w:rsid w:val="00B914AC"/>
    <w:rsid w:val="00B917E8"/>
    <w:rsid w:val="00B91A56"/>
    <w:rsid w:val="00B91F42"/>
    <w:rsid w:val="00B921EB"/>
    <w:rsid w:val="00B927B5"/>
    <w:rsid w:val="00B93191"/>
    <w:rsid w:val="00B93487"/>
    <w:rsid w:val="00B96EC0"/>
    <w:rsid w:val="00B97CB2"/>
    <w:rsid w:val="00B97D09"/>
    <w:rsid w:val="00BA0515"/>
    <w:rsid w:val="00BA2247"/>
    <w:rsid w:val="00BA2AC2"/>
    <w:rsid w:val="00BA37B6"/>
    <w:rsid w:val="00BA4038"/>
    <w:rsid w:val="00BA47DF"/>
    <w:rsid w:val="00BA5847"/>
    <w:rsid w:val="00BB0733"/>
    <w:rsid w:val="00BB1742"/>
    <w:rsid w:val="00BB3266"/>
    <w:rsid w:val="00BB47B5"/>
    <w:rsid w:val="00BB5750"/>
    <w:rsid w:val="00BB5A95"/>
    <w:rsid w:val="00BB5F9C"/>
    <w:rsid w:val="00BB6BD5"/>
    <w:rsid w:val="00BB79D2"/>
    <w:rsid w:val="00BC0800"/>
    <w:rsid w:val="00BC1660"/>
    <w:rsid w:val="00BC4655"/>
    <w:rsid w:val="00BC66E3"/>
    <w:rsid w:val="00BD2043"/>
    <w:rsid w:val="00BD2997"/>
    <w:rsid w:val="00BD5201"/>
    <w:rsid w:val="00BD590C"/>
    <w:rsid w:val="00BD5D0C"/>
    <w:rsid w:val="00BD618E"/>
    <w:rsid w:val="00BD6467"/>
    <w:rsid w:val="00BD6FF5"/>
    <w:rsid w:val="00BD7D9D"/>
    <w:rsid w:val="00BDC3C7"/>
    <w:rsid w:val="00BE0C02"/>
    <w:rsid w:val="00BE1F9D"/>
    <w:rsid w:val="00BE2D8A"/>
    <w:rsid w:val="00BE56FF"/>
    <w:rsid w:val="00BE58A7"/>
    <w:rsid w:val="00BE70B0"/>
    <w:rsid w:val="00BE7849"/>
    <w:rsid w:val="00BF08D4"/>
    <w:rsid w:val="00BF1C76"/>
    <w:rsid w:val="00BF2077"/>
    <w:rsid w:val="00BF424E"/>
    <w:rsid w:val="00BF4BF6"/>
    <w:rsid w:val="00BF62EC"/>
    <w:rsid w:val="00BF72DB"/>
    <w:rsid w:val="00BF7950"/>
    <w:rsid w:val="00C00A04"/>
    <w:rsid w:val="00C00BAA"/>
    <w:rsid w:val="00C01FAC"/>
    <w:rsid w:val="00C02170"/>
    <w:rsid w:val="00C030B2"/>
    <w:rsid w:val="00C034B7"/>
    <w:rsid w:val="00C049C0"/>
    <w:rsid w:val="00C04E04"/>
    <w:rsid w:val="00C05339"/>
    <w:rsid w:val="00C0535B"/>
    <w:rsid w:val="00C0535F"/>
    <w:rsid w:val="00C064EB"/>
    <w:rsid w:val="00C069A0"/>
    <w:rsid w:val="00C0741F"/>
    <w:rsid w:val="00C07434"/>
    <w:rsid w:val="00C10CB7"/>
    <w:rsid w:val="00C11228"/>
    <w:rsid w:val="00C117BD"/>
    <w:rsid w:val="00C13799"/>
    <w:rsid w:val="00C13D50"/>
    <w:rsid w:val="00C21376"/>
    <w:rsid w:val="00C2145A"/>
    <w:rsid w:val="00C21837"/>
    <w:rsid w:val="00C21B6D"/>
    <w:rsid w:val="00C2333B"/>
    <w:rsid w:val="00C26533"/>
    <w:rsid w:val="00C265B7"/>
    <w:rsid w:val="00C27A06"/>
    <w:rsid w:val="00C31486"/>
    <w:rsid w:val="00C31DE9"/>
    <w:rsid w:val="00C31F3E"/>
    <w:rsid w:val="00C33F78"/>
    <w:rsid w:val="00C34174"/>
    <w:rsid w:val="00C34448"/>
    <w:rsid w:val="00C35C04"/>
    <w:rsid w:val="00C361D8"/>
    <w:rsid w:val="00C3664F"/>
    <w:rsid w:val="00C36A35"/>
    <w:rsid w:val="00C36FBC"/>
    <w:rsid w:val="00C36FF5"/>
    <w:rsid w:val="00C40F91"/>
    <w:rsid w:val="00C41430"/>
    <w:rsid w:val="00C42191"/>
    <w:rsid w:val="00C4329B"/>
    <w:rsid w:val="00C45E36"/>
    <w:rsid w:val="00C4603F"/>
    <w:rsid w:val="00C46B69"/>
    <w:rsid w:val="00C46EDE"/>
    <w:rsid w:val="00C472C9"/>
    <w:rsid w:val="00C47C1D"/>
    <w:rsid w:val="00C51016"/>
    <w:rsid w:val="00C51EE9"/>
    <w:rsid w:val="00C53877"/>
    <w:rsid w:val="00C5405D"/>
    <w:rsid w:val="00C5613A"/>
    <w:rsid w:val="00C56669"/>
    <w:rsid w:val="00C56ED0"/>
    <w:rsid w:val="00C60862"/>
    <w:rsid w:val="00C614CA"/>
    <w:rsid w:val="00C62051"/>
    <w:rsid w:val="00C652C5"/>
    <w:rsid w:val="00C654D2"/>
    <w:rsid w:val="00C66185"/>
    <w:rsid w:val="00C67EED"/>
    <w:rsid w:val="00C709F4"/>
    <w:rsid w:val="00C7245E"/>
    <w:rsid w:val="00C7422C"/>
    <w:rsid w:val="00C743D7"/>
    <w:rsid w:val="00C743FB"/>
    <w:rsid w:val="00C745B7"/>
    <w:rsid w:val="00C746D6"/>
    <w:rsid w:val="00C75028"/>
    <w:rsid w:val="00C76300"/>
    <w:rsid w:val="00C83230"/>
    <w:rsid w:val="00C84715"/>
    <w:rsid w:val="00C8609B"/>
    <w:rsid w:val="00C868B4"/>
    <w:rsid w:val="00C8775B"/>
    <w:rsid w:val="00C913B1"/>
    <w:rsid w:val="00C91457"/>
    <w:rsid w:val="00C91BF4"/>
    <w:rsid w:val="00C91FBC"/>
    <w:rsid w:val="00C94E1C"/>
    <w:rsid w:val="00C955C3"/>
    <w:rsid w:val="00C9766E"/>
    <w:rsid w:val="00CA0A77"/>
    <w:rsid w:val="00CA11D3"/>
    <w:rsid w:val="00CA13FB"/>
    <w:rsid w:val="00CA1B84"/>
    <w:rsid w:val="00CA28A1"/>
    <w:rsid w:val="00CA2CB5"/>
    <w:rsid w:val="00CA5532"/>
    <w:rsid w:val="00CA573C"/>
    <w:rsid w:val="00CA7366"/>
    <w:rsid w:val="00CB0DFA"/>
    <w:rsid w:val="00CB17E3"/>
    <w:rsid w:val="00CB1F9C"/>
    <w:rsid w:val="00CB23C3"/>
    <w:rsid w:val="00CB278D"/>
    <w:rsid w:val="00CB3576"/>
    <w:rsid w:val="00CB3E03"/>
    <w:rsid w:val="00CB42C3"/>
    <w:rsid w:val="00CB49D8"/>
    <w:rsid w:val="00CB69F1"/>
    <w:rsid w:val="00CB6E0F"/>
    <w:rsid w:val="00CB7A69"/>
    <w:rsid w:val="00CC1652"/>
    <w:rsid w:val="00CC40A2"/>
    <w:rsid w:val="00CC41D5"/>
    <w:rsid w:val="00CC65A4"/>
    <w:rsid w:val="00CD0194"/>
    <w:rsid w:val="00CD27CC"/>
    <w:rsid w:val="00CD3625"/>
    <w:rsid w:val="00CD3A69"/>
    <w:rsid w:val="00CD3DAC"/>
    <w:rsid w:val="00CE1941"/>
    <w:rsid w:val="00CE2368"/>
    <w:rsid w:val="00CE2995"/>
    <w:rsid w:val="00CE315B"/>
    <w:rsid w:val="00CE5FAD"/>
    <w:rsid w:val="00CE5FEB"/>
    <w:rsid w:val="00CE6492"/>
    <w:rsid w:val="00CE6BAB"/>
    <w:rsid w:val="00CF0BB8"/>
    <w:rsid w:val="00CF16FE"/>
    <w:rsid w:val="00CF17DE"/>
    <w:rsid w:val="00CF3CCC"/>
    <w:rsid w:val="00CF4CE3"/>
    <w:rsid w:val="00CF58CE"/>
    <w:rsid w:val="00CF5956"/>
    <w:rsid w:val="00CF628C"/>
    <w:rsid w:val="00CF66AE"/>
    <w:rsid w:val="00CF71C7"/>
    <w:rsid w:val="00CF7447"/>
    <w:rsid w:val="00CF7D9C"/>
    <w:rsid w:val="00D0080F"/>
    <w:rsid w:val="00D038A4"/>
    <w:rsid w:val="00D0484A"/>
    <w:rsid w:val="00D06197"/>
    <w:rsid w:val="00D0629A"/>
    <w:rsid w:val="00D07EBB"/>
    <w:rsid w:val="00D1028A"/>
    <w:rsid w:val="00D104DF"/>
    <w:rsid w:val="00D107EF"/>
    <w:rsid w:val="00D10E44"/>
    <w:rsid w:val="00D11928"/>
    <w:rsid w:val="00D12EA4"/>
    <w:rsid w:val="00D13366"/>
    <w:rsid w:val="00D137B9"/>
    <w:rsid w:val="00D13C2E"/>
    <w:rsid w:val="00D13EC4"/>
    <w:rsid w:val="00D141D0"/>
    <w:rsid w:val="00D148DF"/>
    <w:rsid w:val="00D152D5"/>
    <w:rsid w:val="00D1556A"/>
    <w:rsid w:val="00D17BA8"/>
    <w:rsid w:val="00D20F6C"/>
    <w:rsid w:val="00D2107C"/>
    <w:rsid w:val="00D21830"/>
    <w:rsid w:val="00D220DA"/>
    <w:rsid w:val="00D23957"/>
    <w:rsid w:val="00D2601E"/>
    <w:rsid w:val="00D277BE"/>
    <w:rsid w:val="00D278DE"/>
    <w:rsid w:val="00D30DB5"/>
    <w:rsid w:val="00D327EC"/>
    <w:rsid w:val="00D33625"/>
    <w:rsid w:val="00D33663"/>
    <w:rsid w:val="00D339F9"/>
    <w:rsid w:val="00D35A54"/>
    <w:rsid w:val="00D3745E"/>
    <w:rsid w:val="00D402AE"/>
    <w:rsid w:val="00D4170B"/>
    <w:rsid w:val="00D42392"/>
    <w:rsid w:val="00D430E4"/>
    <w:rsid w:val="00D5075E"/>
    <w:rsid w:val="00D51A44"/>
    <w:rsid w:val="00D52F2C"/>
    <w:rsid w:val="00D53A24"/>
    <w:rsid w:val="00D53BDD"/>
    <w:rsid w:val="00D54659"/>
    <w:rsid w:val="00D55A0D"/>
    <w:rsid w:val="00D560DC"/>
    <w:rsid w:val="00D5666C"/>
    <w:rsid w:val="00D5695F"/>
    <w:rsid w:val="00D60409"/>
    <w:rsid w:val="00D60926"/>
    <w:rsid w:val="00D6226B"/>
    <w:rsid w:val="00D62757"/>
    <w:rsid w:val="00D6317D"/>
    <w:rsid w:val="00D634D3"/>
    <w:rsid w:val="00D63929"/>
    <w:rsid w:val="00D63B11"/>
    <w:rsid w:val="00D6415D"/>
    <w:rsid w:val="00D64756"/>
    <w:rsid w:val="00D65204"/>
    <w:rsid w:val="00D653BE"/>
    <w:rsid w:val="00D65A92"/>
    <w:rsid w:val="00D65BF6"/>
    <w:rsid w:val="00D661EA"/>
    <w:rsid w:val="00D66E98"/>
    <w:rsid w:val="00D71A07"/>
    <w:rsid w:val="00D7419B"/>
    <w:rsid w:val="00D74219"/>
    <w:rsid w:val="00D74E8E"/>
    <w:rsid w:val="00D74EE3"/>
    <w:rsid w:val="00D75668"/>
    <w:rsid w:val="00D75804"/>
    <w:rsid w:val="00D76977"/>
    <w:rsid w:val="00D76E59"/>
    <w:rsid w:val="00D773E4"/>
    <w:rsid w:val="00D77A65"/>
    <w:rsid w:val="00D808F0"/>
    <w:rsid w:val="00D8277A"/>
    <w:rsid w:val="00D83A87"/>
    <w:rsid w:val="00D849B5"/>
    <w:rsid w:val="00D85718"/>
    <w:rsid w:val="00D85B69"/>
    <w:rsid w:val="00D86808"/>
    <w:rsid w:val="00D86E2B"/>
    <w:rsid w:val="00D874CA"/>
    <w:rsid w:val="00D92992"/>
    <w:rsid w:val="00D95D13"/>
    <w:rsid w:val="00D96737"/>
    <w:rsid w:val="00D97177"/>
    <w:rsid w:val="00D971AE"/>
    <w:rsid w:val="00D97911"/>
    <w:rsid w:val="00D979A5"/>
    <w:rsid w:val="00DA2048"/>
    <w:rsid w:val="00DA2498"/>
    <w:rsid w:val="00DA2E2E"/>
    <w:rsid w:val="00DA3D91"/>
    <w:rsid w:val="00DA40A3"/>
    <w:rsid w:val="00DA5311"/>
    <w:rsid w:val="00DA5409"/>
    <w:rsid w:val="00DA69BE"/>
    <w:rsid w:val="00DB0196"/>
    <w:rsid w:val="00DB08CE"/>
    <w:rsid w:val="00DB0E0E"/>
    <w:rsid w:val="00DB1CCE"/>
    <w:rsid w:val="00DB1E6A"/>
    <w:rsid w:val="00DB212E"/>
    <w:rsid w:val="00DB2FE1"/>
    <w:rsid w:val="00DB3117"/>
    <w:rsid w:val="00DB3D00"/>
    <w:rsid w:val="00DB55EF"/>
    <w:rsid w:val="00DB5847"/>
    <w:rsid w:val="00DB5B26"/>
    <w:rsid w:val="00DB619F"/>
    <w:rsid w:val="00DB6DAA"/>
    <w:rsid w:val="00DB6F2C"/>
    <w:rsid w:val="00DC0131"/>
    <w:rsid w:val="00DC0C05"/>
    <w:rsid w:val="00DC1802"/>
    <w:rsid w:val="00DC1C53"/>
    <w:rsid w:val="00DC2861"/>
    <w:rsid w:val="00DC2A59"/>
    <w:rsid w:val="00DC2FD6"/>
    <w:rsid w:val="00DC3477"/>
    <w:rsid w:val="00DC5AE6"/>
    <w:rsid w:val="00DC5C4D"/>
    <w:rsid w:val="00DD1370"/>
    <w:rsid w:val="00DD19ED"/>
    <w:rsid w:val="00DD2AEB"/>
    <w:rsid w:val="00DD2B47"/>
    <w:rsid w:val="00DD2D75"/>
    <w:rsid w:val="00DD3179"/>
    <w:rsid w:val="00DD37E1"/>
    <w:rsid w:val="00DD44FB"/>
    <w:rsid w:val="00DD50E1"/>
    <w:rsid w:val="00DD52A8"/>
    <w:rsid w:val="00DD546A"/>
    <w:rsid w:val="00DD5C00"/>
    <w:rsid w:val="00DD754C"/>
    <w:rsid w:val="00DE0F72"/>
    <w:rsid w:val="00DE15DC"/>
    <w:rsid w:val="00DE1690"/>
    <w:rsid w:val="00DE1A57"/>
    <w:rsid w:val="00DE2A6F"/>
    <w:rsid w:val="00DE2C01"/>
    <w:rsid w:val="00DE3980"/>
    <w:rsid w:val="00DE4313"/>
    <w:rsid w:val="00DE5A5A"/>
    <w:rsid w:val="00DE6E26"/>
    <w:rsid w:val="00DE7096"/>
    <w:rsid w:val="00DF142A"/>
    <w:rsid w:val="00DF248E"/>
    <w:rsid w:val="00DF2ACB"/>
    <w:rsid w:val="00DF2E37"/>
    <w:rsid w:val="00DF35CC"/>
    <w:rsid w:val="00DF545B"/>
    <w:rsid w:val="00DF71C3"/>
    <w:rsid w:val="00E009B2"/>
    <w:rsid w:val="00E00AD3"/>
    <w:rsid w:val="00E00BDB"/>
    <w:rsid w:val="00E0119D"/>
    <w:rsid w:val="00E012DE"/>
    <w:rsid w:val="00E01D02"/>
    <w:rsid w:val="00E02127"/>
    <w:rsid w:val="00E036BF"/>
    <w:rsid w:val="00E03774"/>
    <w:rsid w:val="00E03D23"/>
    <w:rsid w:val="00E04080"/>
    <w:rsid w:val="00E04937"/>
    <w:rsid w:val="00E05EFF"/>
    <w:rsid w:val="00E05F83"/>
    <w:rsid w:val="00E069B0"/>
    <w:rsid w:val="00E06AAA"/>
    <w:rsid w:val="00E070FA"/>
    <w:rsid w:val="00E106E5"/>
    <w:rsid w:val="00E14133"/>
    <w:rsid w:val="00E1584E"/>
    <w:rsid w:val="00E16378"/>
    <w:rsid w:val="00E17FF2"/>
    <w:rsid w:val="00E222B2"/>
    <w:rsid w:val="00E2318A"/>
    <w:rsid w:val="00E245FF"/>
    <w:rsid w:val="00E25503"/>
    <w:rsid w:val="00E25D27"/>
    <w:rsid w:val="00E273F8"/>
    <w:rsid w:val="00E31BA8"/>
    <w:rsid w:val="00E32584"/>
    <w:rsid w:val="00E335E4"/>
    <w:rsid w:val="00E34DC2"/>
    <w:rsid w:val="00E3556B"/>
    <w:rsid w:val="00E35BA1"/>
    <w:rsid w:val="00E3607B"/>
    <w:rsid w:val="00E40FC1"/>
    <w:rsid w:val="00E42354"/>
    <w:rsid w:val="00E42608"/>
    <w:rsid w:val="00E42AEE"/>
    <w:rsid w:val="00E44099"/>
    <w:rsid w:val="00E44777"/>
    <w:rsid w:val="00E46169"/>
    <w:rsid w:val="00E4709D"/>
    <w:rsid w:val="00E47841"/>
    <w:rsid w:val="00E47937"/>
    <w:rsid w:val="00E47DCD"/>
    <w:rsid w:val="00E516A7"/>
    <w:rsid w:val="00E52164"/>
    <w:rsid w:val="00E54BE2"/>
    <w:rsid w:val="00E56EE2"/>
    <w:rsid w:val="00E60131"/>
    <w:rsid w:val="00E6035E"/>
    <w:rsid w:val="00E6150B"/>
    <w:rsid w:val="00E61F4F"/>
    <w:rsid w:val="00E62EBA"/>
    <w:rsid w:val="00E62F8E"/>
    <w:rsid w:val="00E63D2A"/>
    <w:rsid w:val="00E643F1"/>
    <w:rsid w:val="00E6495C"/>
    <w:rsid w:val="00E64A39"/>
    <w:rsid w:val="00E6610F"/>
    <w:rsid w:val="00E67407"/>
    <w:rsid w:val="00E70984"/>
    <w:rsid w:val="00E71919"/>
    <w:rsid w:val="00E72368"/>
    <w:rsid w:val="00E75299"/>
    <w:rsid w:val="00E757EF"/>
    <w:rsid w:val="00E76053"/>
    <w:rsid w:val="00E76E6D"/>
    <w:rsid w:val="00E779BB"/>
    <w:rsid w:val="00E81E77"/>
    <w:rsid w:val="00E82189"/>
    <w:rsid w:val="00E83503"/>
    <w:rsid w:val="00E8398E"/>
    <w:rsid w:val="00E84B30"/>
    <w:rsid w:val="00E8519A"/>
    <w:rsid w:val="00E8578E"/>
    <w:rsid w:val="00E872D9"/>
    <w:rsid w:val="00E9099E"/>
    <w:rsid w:val="00E90AEF"/>
    <w:rsid w:val="00E9111F"/>
    <w:rsid w:val="00E91795"/>
    <w:rsid w:val="00E92797"/>
    <w:rsid w:val="00E928CF"/>
    <w:rsid w:val="00E932CC"/>
    <w:rsid w:val="00E934EF"/>
    <w:rsid w:val="00E93D59"/>
    <w:rsid w:val="00E9460B"/>
    <w:rsid w:val="00E9512A"/>
    <w:rsid w:val="00E96238"/>
    <w:rsid w:val="00E97681"/>
    <w:rsid w:val="00EA09A6"/>
    <w:rsid w:val="00EA0E8E"/>
    <w:rsid w:val="00EA1C2C"/>
    <w:rsid w:val="00EA2D12"/>
    <w:rsid w:val="00EA5169"/>
    <w:rsid w:val="00EA518B"/>
    <w:rsid w:val="00EA57E1"/>
    <w:rsid w:val="00EA5FB3"/>
    <w:rsid w:val="00EA71F3"/>
    <w:rsid w:val="00EA7469"/>
    <w:rsid w:val="00EA7AC1"/>
    <w:rsid w:val="00EB0ED5"/>
    <w:rsid w:val="00EB23E8"/>
    <w:rsid w:val="00EB301D"/>
    <w:rsid w:val="00EB5486"/>
    <w:rsid w:val="00EB759B"/>
    <w:rsid w:val="00EC11C4"/>
    <w:rsid w:val="00EC134F"/>
    <w:rsid w:val="00EC14CD"/>
    <w:rsid w:val="00EC1DF7"/>
    <w:rsid w:val="00EC2A5E"/>
    <w:rsid w:val="00EC37DC"/>
    <w:rsid w:val="00EC3D9A"/>
    <w:rsid w:val="00EC4CBC"/>
    <w:rsid w:val="00EC60A3"/>
    <w:rsid w:val="00EC64C2"/>
    <w:rsid w:val="00EC6CEE"/>
    <w:rsid w:val="00EC73ED"/>
    <w:rsid w:val="00EC762E"/>
    <w:rsid w:val="00EC7B27"/>
    <w:rsid w:val="00ED0111"/>
    <w:rsid w:val="00ED031F"/>
    <w:rsid w:val="00ED0976"/>
    <w:rsid w:val="00ED1665"/>
    <w:rsid w:val="00ED1EFA"/>
    <w:rsid w:val="00ED3346"/>
    <w:rsid w:val="00ED43F5"/>
    <w:rsid w:val="00ED6311"/>
    <w:rsid w:val="00ED70F4"/>
    <w:rsid w:val="00ED7429"/>
    <w:rsid w:val="00ED7A16"/>
    <w:rsid w:val="00EE03A9"/>
    <w:rsid w:val="00EE257F"/>
    <w:rsid w:val="00EE296C"/>
    <w:rsid w:val="00EE2A6C"/>
    <w:rsid w:val="00EE69A1"/>
    <w:rsid w:val="00EF121E"/>
    <w:rsid w:val="00EF19E2"/>
    <w:rsid w:val="00EF2402"/>
    <w:rsid w:val="00EF2C6A"/>
    <w:rsid w:val="00EF408E"/>
    <w:rsid w:val="00EF48DA"/>
    <w:rsid w:val="00EF4A31"/>
    <w:rsid w:val="00EF539E"/>
    <w:rsid w:val="00F00335"/>
    <w:rsid w:val="00F00734"/>
    <w:rsid w:val="00F01150"/>
    <w:rsid w:val="00F0469F"/>
    <w:rsid w:val="00F048BB"/>
    <w:rsid w:val="00F049ED"/>
    <w:rsid w:val="00F05C48"/>
    <w:rsid w:val="00F06598"/>
    <w:rsid w:val="00F101EC"/>
    <w:rsid w:val="00F111A2"/>
    <w:rsid w:val="00F111F5"/>
    <w:rsid w:val="00F11A9E"/>
    <w:rsid w:val="00F121EB"/>
    <w:rsid w:val="00F134BD"/>
    <w:rsid w:val="00F14B86"/>
    <w:rsid w:val="00F155D7"/>
    <w:rsid w:val="00F15916"/>
    <w:rsid w:val="00F16F5B"/>
    <w:rsid w:val="00F17661"/>
    <w:rsid w:val="00F17AE8"/>
    <w:rsid w:val="00F205B3"/>
    <w:rsid w:val="00F212CB"/>
    <w:rsid w:val="00F2329D"/>
    <w:rsid w:val="00F23E12"/>
    <w:rsid w:val="00F24996"/>
    <w:rsid w:val="00F24B85"/>
    <w:rsid w:val="00F25C7D"/>
    <w:rsid w:val="00F25D65"/>
    <w:rsid w:val="00F261F1"/>
    <w:rsid w:val="00F2661C"/>
    <w:rsid w:val="00F27631"/>
    <w:rsid w:val="00F27F8E"/>
    <w:rsid w:val="00F3085E"/>
    <w:rsid w:val="00F30D6E"/>
    <w:rsid w:val="00F3253C"/>
    <w:rsid w:val="00F32E36"/>
    <w:rsid w:val="00F33C56"/>
    <w:rsid w:val="00F33E99"/>
    <w:rsid w:val="00F34F69"/>
    <w:rsid w:val="00F3543F"/>
    <w:rsid w:val="00F35B1D"/>
    <w:rsid w:val="00F37A80"/>
    <w:rsid w:val="00F40492"/>
    <w:rsid w:val="00F41D34"/>
    <w:rsid w:val="00F42654"/>
    <w:rsid w:val="00F42F09"/>
    <w:rsid w:val="00F44F56"/>
    <w:rsid w:val="00F46D21"/>
    <w:rsid w:val="00F50823"/>
    <w:rsid w:val="00F51265"/>
    <w:rsid w:val="00F51F53"/>
    <w:rsid w:val="00F51F8B"/>
    <w:rsid w:val="00F56EFC"/>
    <w:rsid w:val="00F57EF7"/>
    <w:rsid w:val="00F65629"/>
    <w:rsid w:val="00F67DA4"/>
    <w:rsid w:val="00F67F4B"/>
    <w:rsid w:val="00F70167"/>
    <w:rsid w:val="00F71223"/>
    <w:rsid w:val="00F73015"/>
    <w:rsid w:val="00F7330D"/>
    <w:rsid w:val="00F73400"/>
    <w:rsid w:val="00F73CD6"/>
    <w:rsid w:val="00F73D66"/>
    <w:rsid w:val="00F745D5"/>
    <w:rsid w:val="00F74BE4"/>
    <w:rsid w:val="00F74C9C"/>
    <w:rsid w:val="00F74CF9"/>
    <w:rsid w:val="00F754DC"/>
    <w:rsid w:val="00F76EDE"/>
    <w:rsid w:val="00F7769F"/>
    <w:rsid w:val="00F77765"/>
    <w:rsid w:val="00F77C89"/>
    <w:rsid w:val="00F803AC"/>
    <w:rsid w:val="00F8044B"/>
    <w:rsid w:val="00F81419"/>
    <w:rsid w:val="00F81760"/>
    <w:rsid w:val="00F825A1"/>
    <w:rsid w:val="00F82B53"/>
    <w:rsid w:val="00F82B7C"/>
    <w:rsid w:val="00F83553"/>
    <w:rsid w:val="00F83770"/>
    <w:rsid w:val="00F84A07"/>
    <w:rsid w:val="00F85258"/>
    <w:rsid w:val="00F857DA"/>
    <w:rsid w:val="00F85C75"/>
    <w:rsid w:val="00F8768C"/>
    <w:rsid w:val="00F91866"/>
    <w:rsid w:val="00F928CF"/>
    <w:rsid w:val="00F93DAD"/>
    <w:rsid w:val="00F93EE4"/>
    <w:rsid w:val="00F96703"/>
    <w:rsid w:val="00F96B26"/>
    <w:rsid w:val="00F96BEC"/>
    <w:rsid w:val="00F97E1F"/>
    <w:rsid w:val="00F97EBB"/>
    <w:rsid w:val="00FA0A8A"/>
    <w:rsid w:val="00FA282D"/>
    <w:rsid w:val="00FA4EAC"/>
    <w:rsid w:val="00FA5E42"/>
    <w:rsid w:val="00FA6CB0"/>
    <w:rsid w:val="00FB0988"/>
    <w:rsid w:val="00FB0A7B"/>
    <w:rsid w:val="00FB209B"/>
    <w:rsid w:val="00FB3156"/>
    <w:rsid w:val="00FB5773"/>
    <w:rsid w:val="00FB5B64"/>
    <w:rsid w:val="00FB6D17"/>
    <w:rsid w:val="00FB7B49"/>
    <w:rsid w:val="00FC09C9"/>
    <w:rsid w:val="00FC150B"/>
    <w:rsid w:val="00FC1A43"/>
    <w:rsid w:val="00FC23D8"/>
    <w:rsid w:val="00FC410C"/>
    <w:rsid w:val="00FC5401"/>
    <w:rsid w:val="00FC6434"/>
    <w:rsid w:val="00FC6B51"/>
    <w:rsid w:val="00FC7F6A"/>
    <w:rsid w:val="00FD0339"/>
    <w:rsid w:val="00FD0EC5"/>
    <w:rsid w:val="00FD29CD"/>
    <w:rsid w:val="00FD436F"/>
    <w:rsid w:val="00FD6058"/>
    <w:rsid w:val="00FD62FD"/>
    <w:rsid w:val="00FD6ABF"/>
    <w:rsid w:val="00FD7B32"/>
    <w:rsid w:val="00FE0DD4"/>
    <w:rsid w:val="00FE6CAC"/>
    <w:rsid w:val="00FF05BE"/>
    <w:rsid w:val="00FF4AFC"/>
    <w:rsid w:val="00FF5A2E"/>
    <w:rsid w:val="00FF6E98"/>
    <w:rsid w:val="00FF718B"/>
    <w:rsid w:val="00FF7223"/>
    <w:rsid w:val="00FF7A75"/>
    <w:rsid w:val="01ACAA02"/>
    <w:rsid w:val="1FE134A3"/>
    <w:rsid w:val="22206AF4"/>
    <w:rsid w:val="2401E946"/>
    <w:rsid w:val="27109BDC"/>
    <w:rsid w:val="2759B7CC"/>
    <w:rsid w:val="2D88D89E"/>
    <w:rsid w:val="2D9087C0"/>
    <w:rsid w:val="36AAEE92"/>
    <w:rsid w:val="37ACDB97"/>
    <w:rsid w:val="3BBB51CE"/>
    <w:rsid w:val="3F4694A0"/>
    <w:rsid w:val="42E5A74A"/>
    <w:rsid w:val="4332C928"/>
    <w:rsid w:val="4AA40283"/>
    <w:rsid w:val="4AC4148E"/>
    <w:rsid w:val="4D9567F3"/>
    <w:rsid w:val="56B7143C"/>
    <w:rsid w:val="57C087D8"/>
    <w:rsid w:val="59E348EA"/>
    <w:rsid w:val="5FC2E061"/>
    <w:rsid w:val="5FD3CE1F"/>
    <w:rsid w:val="60E77224"/>
    <w:rsid w:val="6789C4A5"/>
    <w:rsid w:val="683BF79E"/>
    <w:rsid w:val="6A02F223"/>
    <w:rsid w:val="6B31ABC4"/>
    <w:rsid w:val="723F460F"/>
    <w:rsid w:val="72B73081"/>
    <w:rsid w:val="754F65AE"/>
    <w:rsid w:val="774E5C3E"/>
    <w:rsid w:val="78CE137C"/>
    <w:rsid w:val="7EC8D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0C7BF"/>
  <w15:docId w15:val="{C6A26DC5-328E-461A-83C4-71E7296FCDC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
    <w:basedOn w:val="Normal"/>
    <w:link w:val="FootnoteTextChar"/>
    <w:uiPriority w:val="99"/>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o + Times New Roman,fr,Style 3,o1,o2,o3,o4,o5,o6,o11,o21,o7,Style 12,(NECG) Footnote Reference,Appel note de bas de p,Style 124,Style 17,char,o7 + Palati...,Char Char Char Char"/>
    <w:uiPriority w:val="99"/>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
    <w:basedOn w:val="DefaultParagraphFont"/>
    <w:link w:val="FootnoteText"/>
    <w:uiPriority w:val="99"/>
    <w:rsid w:val="00C91BF4"/>
    <w:rPr>
      <w:rFonts w:ascii="Palatino" w:hAnsi="Palatino"/>
      <w:sz w:val="24"/>
    </w:rPr>
  </w:style>
  <w:style w:type="paragraph" w:customStyle="1" w:styleId="paragraph">
    <w:name w:val="paragraph"/>
    <w:basedOn w:val="Normal"/>
    <w:rsid w:val="00FF6E9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6E98"/>
  </w:style>
  <w:style w:type="character" w:customStyle="1" w:styleId="apple-converted-space">
    <w:name w:val="apple-converted-space"/>
    <w:basedOn w:val="DefaultParagraphFont"/>
    <w:rsid w:val="00FF6E98"/>
  </w:style>
  <w:style w:type="character" w:customStyle="1" w:styleId="spellingerror">
    <w:name w:val="spellingerror"/>
    <w:basedOn w:val="DefaultParagraphFont"/>
    <w:rsid w:val="00FF6E98"/>
  </w:style>
  <w:style w:type="paragraph" w:styleId="NormalWeb">
    <w:name w:val="Normal (Web)"/>
    <w:basedOn w:val="Normal"/>
    <w:uiPriority w:val="99"/>
    <w:unhideWhenUsed/>
    <w:rsid w:val="00FF6E98"/>
    <w:rPr>
      <w:rFonts w:ascii="Calibri" w:eastAsiaTheme="minorHAnsi" w:hAnsi="Calibri" w:cs="Calibri"/>
      <w:sz w:val="22"/>
      <w:szCs w:val="22"/>
    </w:rPr>
  </w:style>
  <w:style w:type="character" w:customStyle="1" w:styleId="eop">
    <w:name w:val="eop"/>
    <w:basedOn w:val="DefaultParagraphFont"/>
    <w:rsid w:val="008E09CF"/>
  </w:style>
  <w:style w:type="character" w:customStyle="1" w:styleId="standardChar">
    <w:name w:val="standard Char"/>
    <w:link w:val="standard"/>
    <w:locked/>
    <w:rsid w:val="00851230"/>
    <w:rPr>
      <w:rFonts w:ascii="Palatino" w:hAnsi="Palatino"/>
      <w:sz w:val="26"/>
    </w:rPr>
  </w:style>
  <w:style w:type="table" w:styleId="TableGrid">
    <w:name w:val="Table Grid"/>
    <w:basedOn w:val="TableNormal"/>
    <w:uiPriority w:val="59"/>
    <w:rsid w:val="008F296D"/>
    <w:pPr>
      <w:ind w:left="72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F296D"/>
    <w:rPr>
      <w:rFonts w:ascii="Palatino" w:hAnsi="Palatino"/>
      <w:sz w:val="26"/>
    </w:rPr>
  </w:style>
  <w:style w:type="character" w:customStyle="1" w:styleId="FooterChar">
    <w:name w:val="Footer Char"/>
    <w:basedOn w:val="DefaultParagraphFont"/>
    <w:link w:val="Footer"/>
    <w:uiPriority w:val="99"/>
    <w:rsid w:val="008F296D"/>
    <w:rPr>
      <w:rFonts w:ascii="Palatino" w:hAnsi="Palatino"/>
      <w:sz w:val="26"/>
    </w:rPr>
  </w:style>
  <w:style w:type="paragraph" w:styleId="BalloonText">
    <w:name w:val="Balloon Text"/>
    <w:basedOn w:val="Normal"/>
    <w:link w:val="BalloonTextChar"/>
    <w:uiPriority w:val="99"/>
    <w:semiHidden/>
    <w:unhideWhenUsed/>
    <w:rsid w:val="008F296D"/>
    <w:pPr>
      <w:ind w:left="720" w:hanging="360"/>
    </w:pPr>
    <w:rPr>
      <w:rFonts w:ascii="Times New Roman" w:eastAsiaTheme="minorHAnsi" w:hAnsi="Times New Roman"/>
      <w:sz w:val="18"/>
      <w:szCs w:val="18"/>
    </w:rPr>
  </w:style>
  <w:style w:type="character" w:customStyle="1" w:styleId="BalloonTextChar">
    <w:name w:val="Balloon Text Char"/>
    <w:basedOn w:val="DefaultParagraphFont"/>
    <w:link w:val="BalloonText"/>
    <w:uiPriority w:val="99"/>
    <w:semiHidden/>
    <w:rsid w:val="008F296D"/>
    <w:rPr>
      <w:rFonts w:eastAsiaTheme="minorHAnsi"/>
      <w:sz w:val="18"/>
      <w:szCs w:val="18"/>
    </w:rPr>
  </w:style>
  <w:style w:type="character" w:styleId="Hyperlink">
    <w:name w:val="Hyperlink"/>
    <w:basedOn w:val="DefaultParagraphFont"/>
    <w:uiPriority w:val="99"/>
    <w:unhideWhenUsed/>
    <w:rsid w:val="008F296D"/>
    <w:rPr>
      <w:color w:val="0000FF"/>
      <w:u w:val="single"/>
    </w:rPr>
  </w:style>
  <w:style w:type="character" w:styleId="UnresolvedMention">
    <w:name w:val="Unresolved Mention"/>
    <w:basedOn w:val="DefaultParagraphFont"/>
    <w:uiPriority w:val="99"/>
    <w:semiHidden/>
    <w:unhideWhenUsed/>
    <w:rsid w:val="008F296D"/>
    <w:rPr>
      <w:color w:val="605E5C"/>
      <w:shd w:val="clear" w:color="auto" w:fill="E1DFDD"/>
    </w:rPr>
  </w:style>
  <w:style w:type="character" w:styleId="CommentReference">
    <w:name w:val="annotation reference"/>
    <w:basedOn w:val="DefaultParagraphFont"/>
    <w:semiHidden/>
    <w:unhideWhenUsed/>
    <w:rsid w:val="00846478"/>
    <w:rPr>
      <w:sz w:val="16"/>
      <w:szCs w:val="16"/>
    </w:rPr>
  </w:style>
  <w:style w:type="paragraph" w:styleId="CommentText">
    <w:name w:val="annotation text"/>
    <w:basedOn w:val="Normal"/>
    <w:link w:val="CommentTextChar"/>
    <w:semiHidden/>
    <w:unhideWhenUsed/>
    <w:rsid w:val="00846478"/>
    <w:rPr>
      <w:sz w:val="20"/>
    </w:rPr>
  </w:style>
  <w:style w:type="character" w:customStyle="1" w:styleId="CommentTextChar">
    <w:name w:val="Comment Text Char"/>
    <w:basedOn w:val="DefaultParagraphFont"/>
    <w:link w:val="CommentText"/>
    <w:semiHidden/>
    <w:rsid w:val="00846478"/>
    <w:rPr>
      <w:rFonts w:ascii="Palatino" w:hAnsi="Palatino"/>
    </w:rPr>
  </w:style>
  <w:style w:type="paragraph" w:styleId="CommentSubject">
    <w:name w:val="annotation subject"/>
    <w:basedOn w:val="CommentText"/>
    <w:next w:val="CommentText"/>
    <w:link w:val="CommentSubjectChar"/>
    <w:semiHidden/>
    <w:unhideWhenUsed/>
    <w:rsid w:val="00846478"/>
    <w:rPr>
      <w:b/>
      <w:bCs/>
    </w:rPr>
  </w:style>
  <w:style w:type="character" w:customStyle="1" w:styleId="CommentSubjectChar">
    <w:name w:val="Comment Subject Char"/>
    <w:basedOn w:val="CommentTextChar"/>
    <w:link w:val="CommentSubject"/>
    <w:semiHidden/>
    <w:rsid w:val="00846478"/>
    <w:rPr>
      <w:rFonts w:ascii="Palatino" w:hAnsi="Palatino"/>
      <w:b/>
      <w:bCs/>
    </w:rPr>
  </w:style>
  <w:style w:type="paragraph" w:styleId="Revision">
    <w:name w:val="Revision"/>
    <w:hidden/>
    <w:uiPriority w:val="99"/>
    <w:semiHidden/>
    <w:rsid w:val="00131C50"/>
    <w:rPr>
      <w:rFonts w:ascii="Palatino" w:hAnsi="Palatino"/>
      <w:sz w:val="26"/>
    </w:rPr>
  </w:style>
  <w:style w:type="character" w:customStyle="1" w:styleId="scxw141166783">
    <w:name w:val="scxw141166783"/>
    <w:basedOn w:val="DefaultParagraphFont"/>
    <w:rsid w:val="002A7EF5"/>
  </w:style>
  <w:style w:type="character" w:styleId="FollowedHyperlink">
    <w:name w:val="FollowedHyperlink"/>
    <w:basedOn w:val="DefaultParagraphFont"/>
    <w:semiHidden/>
    <w:unhideWhenUsed/>
    <w:rsid w:val="00467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231">
      <w:bodyDiv w:val="1"/>
      <w:marLeft w:val="0"/>
      <w:marRight w:val="0"/>
      <w:marTop w:val="0"/>
      <w:marBottom w:val="0"/>
      <w:divBdr>
        <w:top w:val="none" w:sz="0" w:space="0" w:color="auto"/>
        <w:left w:val="none" w:sz="0" w:space="0" w:color="auto"/>
        <w:bottom w:val="none" w:sz="0" w:space="0" w:color="auto"/>
        <w:right w:val="none" w:sz="0" w:space="0" w:color="auto"/>
      </w:divBdr>
    </w:div>
    <w:div w:id="89549762">
      <w:bodyDiv w:val="1"/>
      <w:marLeft w:val="0"/>
      <w:marRight w:val="0"/>
      <w:marTop w:val="0"/>
      <w:marBottom w:val="0"/>
      <w:divBdr>
        <w:top w:val="none" w:sz="0" w:space="0" w:color="auto"/>
        <w:left w:val="none" w:sz="0" w:space="0" w:color="auto"/>
        <w:bottom w:val="none" w:sz="0" w:space="0" w:color="auto"/>
        <w:right w:val="none" w:sz="0" w:space="0" w:color="auto"/>
      </w:divBdr>
      <w:divsChild>
        <w:div w:id="419105509">
          <w:marLeft w:val="0"/>
          <w:marRight w:val="0"/>
          <w:marTop w:val="0"/>
          <w:marBottom w:val="0"/>
          <w:divBdr>
            <w:top w:val="none" w:sz="0" w:space="0" w:color="auto"/>
            <w:left w:val="none" w:sz="0" w:space="0" w:color="auto"/>
            <w:bottom w:val="none" w:sz="0" w:space="0" w:color="auto"/>
            <w:right w:val="none" w:sz="0" w:space="0" w:color="auto"/>
          </w:divBdr>
          <w:divsChild>
            <w:div w:id="887912293">
              <w:marLeft w:val="0"/>
              <w:marRight w:val="0"/>
              <w:marTop w:val="0"/>
              <w:marBottom w:val="0"/>
              <w:divBdr>
                <w:top w:val="none" w:sz="0" w:space="0" w:color="auto"/>
                <w:left w:val="none" w:sz="0" w:space="0" w:color="auto"/>
                <w:bottom w:val="none" w:sz="0" w:space="0" w:color="auto"/>
                <w:right w:val="none" w:sz="0" w:space="0" w:color="auto"/>
              </w:divBdr>
            </w:div>
            <w:div w:id="733893642">
              <w:marLeft w:val="0"/>
              <w:marRight w:val="0"/>
              <w:marTop w:val="0"/>
              <w:marBottom w:val="0"/>
              <w:divBdr>
                <w:top w:val="none" w:sz="0" w:space="0" w:color="auto"/>
                <w:left w:val="none" w:sz="0" w:space="0" w:color="auto"/>
                <w:bottom w:val="none" w:sz="0" w:space="0" w:color="auto"/>
                <w:right w:val="none" w:sz="0" w:space="0" w:color="auto"/>
              </w:divBdr>
            </w:div>
          </w:divsChild>
        </w:div>
        <w:div w:id="1897886845">
          <w:marLeft w:val="0"/>
          <w:marRight w:val="0"/>
          <w:marTop w:val="0"/>
          <w:marBottom w:val="0"/>
          <w:divBdr>
            <w:top w:val="none" w:sz="0" w:space="0" w:color="auto"/>
            <w:left w:val="none" w:sz="0" w:space="0" w:color="auto"/>
            <w:bottom w:val="none" w:sz="0" w:space="0" w:color="auto"/>
            <w:right w:val="none" w:sz="0" w:space="0" w:color="auto"/>
          </w:divBdr>
          <w:divsChild>
            <w:div w:id="14409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169">
      <w:bodyDiv w:val="1"/>
      <w:marLeft w:val="0"/>
      <w:marRight w:val="0"/>
      <w:marTop w:val="0"/>
      <w:marBottom w:val="0"/>
      <w:divBdr>
        <w:top w:val="none" w:sz="0" w:space="0" w:color="auto"/>
        <w:left w:val="none" w:sz="0" w:space="0" w:color="auto"/>
        <w:bottom w:val="none" w:sz="0" w:space="0" w:color="auto"/>
        <w:right w:val="none" w:sz="0" w:space="0" w:color="auto"/>
      </w:divBdr>
      <w:divsChild>
        <w:div w:id="402145552">
          <w:marLeft w:val="0"/>
          <w:marRight w:val="0"/>
          <w:marTop w:val="0"/>
          <w:marBottom w:val="0"/>
          <w:divBdr>
            <w:top w:val="none" w:sz="0" w:space="0" w:color="auto"/>
            <w:left w:val="none" w:sz="0" w:space="0" w:color="auto"/>
            <w:bottom w:val="none" w:sz="0" w:space="0" w:color="auto"/>
            <w:right w:val="none" w:sz="0" w:space="0" w:color="auto"/>
          </w:divBdr>
        </w:div>
        <w:div w:id="795367034">
          <w:marLeft w:val="0"/>
          <w:marRight w:val="0"/>
          <w:marTop w:val="0"/>
          <w:marBottom w:val="0"/>
          <w:divBdr>
            <w:top w:val="none" w:sz="0" w:space="0" w:color="auto"/>
            <w:left w:val="none" w:sz="0" w:space="0" w:color="auto"/>
            <w:bottom w:val="none" w:sz="0" w:space="0" w:color="auto"/>
            <w:right w:val="none" w:sz="0" w:space="0" w:color="auto"/>
          </w:divBdr>
        </w:div>
        <w:div w:id="610744421">
          <w:marLeft w:val="0"/>
          <w:marRight w:val="0"/>
          <w:marTop w:val="0"/>
          <w:marBottom w:val="0"/>
          <w:divBdr>
            <w:top w:val="none" w:sz="0" w:space="0" w:color="auto"/>
            <w:left w:val="none" w:sz="0" w:space="0" w:color="auto"/>
            <w:bottom w:val="none" w:sz="0" w:space="0" w:color="auto"/>
            <w:right w:val="none" w:sz="0" w:space="0" w:color="auto"/>
          </w:divBdr>
        </w:div>
      </w:divsChild>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68085853">
      <w:bodyDiv w:val="1"/>
      <w:marLeft w:val="0"/>
      <w:marRight w:val="0"/>
      <w:marTop w:val="0"/>
      <w:marBottom w:val="0"/>
      <w:divBdr>
        <w:top w:val="none" w:sz="0" w:space="0" w:color="auto"/>
        <w:left w:val="none" w:sz="0" w:space="0" w:color="auto"/>
        <w:bottom w:val="none" w:sz="0" w:space="0" w:color="auto"/>
        <w:right w:val="none" w:sz="0" w:space="0" w:color="auto"/>
      </w:divBdr>
    </w:div>
    <w:div w:id="556360647">
      <w:bodyDiv w:val="1"/>
      <w:marLeft w:val="0"/>
      <w:marRight w:val="0"/>
      <w:marTop w:val="0"/>
      <w:marBottom w:val="0"/>
      <w:divBdr>
        <w:top w:val="none" w:sz="0" w:space="0" w:color="auto"/>
        <w:left w:val="none" w:sz="0" w:space="0" w:color="auto"/>
        <w:bottom w:val="none" w:sz="0" w:space="0" w:color="auto"/>
        <w:right w:val="none" w:sz="0" w:space="0" w:color="auto"/>
      </w:divBdr>
      <w:divsChild>
        <w:div w:id="962810219">
          <w:marLeft w:val="0"/>
          <w:marRight w:val="0"/>
          <w:marTop w:val="0"/>
          <w:marBottom w:val="0"/>
          <w:divBdr>
            <w:top w:val="none" w:sz="0" w:space="0" w:color="auto"/>
            <w:left w:val="none" w:sz="0" w:space="0" w:color="auto"/>
            <w:bottom w:val="none" w:sz="0" w:space="0" w:color="auto"/>
            <w:right w:val="none" w:sz="0" w:space="0" w:color="auto"/>
          </w:divBdr>
          <w:divsChild>
            <w:div w:id="853228891">
              <w:marLeft w:val="0"/>
              <w:marRight w:val="0"/>
              <w:marTop w:val="0"/>
              <w:marBottom w:val="0"/>
              <w:divBdr>
                <w:top w:val="none" w:sz="0" w:space="0" w:color="auto"/>
                <w:left w:val="none" w:sz="0" w:space="0" w:color="auto"/>
                <w:bottom w:val="none" w:sz="0" w:space="0" w:color="auto"/>
                <w:right w:val="none" w:sz="0" w:space="0" w:color="auto"/>
              </w:divBdr>
            </w:div>
            <w:div w:id="1888297311">
              <w:marLeft w:val="0"/>
              <w:marRight w:val="0"/>
              <w:marTop w:val="0"/>
              <w:marBottom w:val="0"/>
              <w:divBdr>
                <w:top w:val="none" w:sz="0" w:space="0" w:color="auto"/>
                <w:left w:val="none" w:sz="0" w:space="0" w:color="auto"/>
                <w:bottom w:val="none" w:sz="0" w:space="0" w:color="auto"/>
                <w:right w:val="none" w:sz="0" w:space="0" w:color="auto"/>
              </w:divBdr>
            </w:div>
          </w:divsChild>
        </w:div>
        <w:div w:id="720328074">
          <w:marLeft w:val="0"/>
          <w:marRight w:val="0"/>
          <w:marTop w:val="0"/>
          <w:marBottom w:val="0"/>
          <w:divBdr>
            <w:top w:val="none" w:sz="0" w:space="0" w:color="auto"/>
            <w:left w:val="none" w:sz="0" w:space="0" w:color="auto"/>
            <w:bottom w:val="none" w:sz="0" w:space="0" w:color="auto"/>
            <w:right w:val="none" w:sz="0" w:space="0" w:color="auto"/>
          </w:divBdr>
          <w:divsChild>
            <w:div w:id="5347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180">
      <w:bodyDiv w:val="1"/>
      <w:marLeft w:val="0"/>
      <w:marRight w:val="0"/>
      <w:marTop w:val="0"/>
      <w:marBottom w:val="0"/>
      <w:divBdr>
        <w:top w:val="none" w:sz="0" w:space="0" w:color="auto"/>
        <w:left w:val="none" w:sz="0" w:space="0" w:color="auto"/>
        <w:bottom w:val="none" w:sz="0" w:space="0" w:color="auto"/>
        <w:right w:val="none" w:sz="0" w:space="0" w:color="auto"/>
      </w:divBdr>
    </w:div>
    <w:div w:id="924192203">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995451809">
      <w:bodyDiv w:val="1"/>
      <w:marLeft w:val="0"/>
      <w:marRight w:val="0"/>
      <w:marTop w:val="0"/>
      <w:marBottom w:val="0"/>
      <w:divBdr>
        <w:top w:val="none" w:sz="0" w:space="0" w:color="auto"/>
        <w:left w:val="none" w:sz="0" w:space="0" w:color="auto"/>
        <w:bottom w:val="none" w:sz="0" w:space="0" w:color="auto"/>
        <w:right w:val="none" w:sz="0" w:space="0" w:color="auto"/>
      </w:divBdr>
    </w:div>
    <w:div w:id="1024938027">
      <w:bodyDiv w:val="1"/>
      <w:marLeft w:val="0"/>
      <w:marRight w:val="0"/>
      <w:marTop w:val="0"/>
      <w:marBottom w:val="0"/>
      <w:divBdr>
        <w:top w:val="none" w:sz="0" w:space="0" w:color="auto"/>
        <w:left w:val="none" w:sz="0" w:space="0" w:color="auto"/>
        <w:bottom w:val="none" w:sz="0" w:space="0" w:color="auto"/>
        <w:right w:val="none" w:sz="0" w:space="0" w:color="auto"/>
      </w:divBdr>
    </w:div>
    <w:div w:id="1025524743">
      <w:bodyDiv w:val="1"/>
      <w:marLeft w:val="0"/>
      <w:marRight w:val="0"/>
      <w:marTop w:val="0"/>
      <w:marBottom w:val="0"/>
      <w:divBdr>
        <w:top w:val="none" w:sz="0" w:space="0" w:color="auto"/>
        <w:left w:val="none" w:sz="0" w:space="0" w:color="auto"/>
        <w:bottom w:val="none" w:sz="0" w:space="0" w:color="auto"/>
        <w:right w:val="none" w:sz="0" w:space="0" w:color="auto"/>
      </w:divBdr>
    </w:div>
    <w:div w:id="1139035396">
      <w:bodyDiv w:val="1"/>
      <w:marLeft w:val="0"/>
      <w:marRight w:val="0"/>
      <w:marTop w:val="0"/>
      <w:marBottom w:val="0"/>
      <w:divBdr>
        <w:top w:val="none" w:sz="0" w:space="0" w:color="auto"/>
        <w:left w:val="none" w:sz="0" w:space="0" w:color="auto"/>
        <w:bottom w:val="none" w:sz="0" w:space="0" w:color="auto"/>
        <w:right w:val="none" w:sz="0" w:space="0" w:color="auto"/>
      </w:divBdr>
    </w:div>
    <w:div w:id="1142625315">
      <w:bodyDiv w:val="1"/>
      <w:marLeft w:val="0"/>
      <w:marRight w:val="0"/>
      <w:marTop w:val="0"/>
      <w:marBottom w:val="0"/>
      <w:divBdr>
        <w:top w:val="none" w:sz="0" w:space="0" w:color="auto"/>
        <w:left w:val="none" w:sz="0" w:space="0" w:color="auto"/>
        <w:bottom w:val="none" w:sz="0" w:space="0" w:color="auto"/>
        <w:right w:val="none" w:sz="0" w:space="0" w:color="auto"/>
      </w:divBdr>
    </w:div>
    <w:div w:id="13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036662544">
          <w:marLeft w:val="0"/>
          <w:marRight w:val="0"/>
          <w:marTop w:val="0"/>
          <w:marBottom w:val="0"/>
          <w:divBdr>
            <w:top w:val="none" w:sz="0" w:space="0" w:color="auto"/>
            <w:left w:val="none" w:sz="0" w:space="0" w:color="auto"/>
            <w:bottom w:val="none" w:sz="0" w:space="0" w:color="auto"/>
            <w:right w:val="none" w:sz="0" w:space="0" w:color="auto"/>
          </w:divBdr>
        </w:div>
        <w:div w:id="1854100551">
          <w:marLeft w:val="0"/>
          <w:marRight w:val="0"/>
          <w:marTop w:val="0"/>
          <w:marBottom w:val="0"/>
          <w:divBdr>
            <w:top w:val="none" w:sz="0" w:space="0" w:color="auto"/>
            <w:left w:val="none" w:sz="0" w:space="0" w:color="auto"/>
            <w:bottom w:val="none" w:sz="0" w:space="0" w:color="auto"/>
            <w:right w:val="none" w:sz="0" w:space="0" w:color="auto"/>
          </w:divBdr>
        </w:div>
      </w:divsChild>
    </w:div>
    <w:div w:id="1402144758">
      <w:bodyDiv w:val="1"/>
      <w:marLeft w:val="0"/>
      <w:marRight w:val="0"/>
      <w:marTop w:val="0"/>
      <w:marBottom w:val="0"/>
      <w:divBdr>
        <w:top w:val="none" w:sz="0" w:space="0" w:color="auto"/>
        <w:left w:val="none" w:sz="0" w:space="0" w:color="auto"/>
        <w:bottom w:val="none" w:sz="0" w:space="0" w:color="auto"/>
        <w:right w:val="none" w:sz="0" w:space="0" w:color="auto"/>
      </w:divBdr>
    </w:div>
    <w:div w:id="1519470905">
      <w:bodyDiv w:val="1"/>
      <w:marLeft w:val="0"/>
      <w:marRight w:val="0"/>
      <w:marTop w:val="0"/>
      <w:marBottom w:val="0"/>
      <w:divBdr>
        <w:top w:val="none" w:sz="0" w:space="0" w:color="auto"/>
        <w:left w:val="none" w:sz="0" w:space="0" w:color="auto"/>
        <w:bottom w:val="none" w:sz="0" w:space="0" w:color="auto"/>
        <w:right w:val="none" w:sz="0" w:space="0" w:color="auto"/>
      </w:divBdr>
    </w:div>
    <w:div w:id="1795057005">
      <w:bodyDiv w:val="1"/>
      <w:marLeft w:val="0"/>
      <w:marRight w:val="0"/>
      <w:marTop w:val="0"/>
      <w:marBottom w:val="0"/>
      <w:divBdr>
        <w:top w:val="none" w:sz="0" w:space="0" w:color="auto"/>
        <w:left w:val="none" w:sz="0" w:space="0" w:color="auto"/>
        <w:bottom w:val="none" w:sz="0" w:space="0" w:color="auto"/>
        <w:right w:val="none" w:sz="0" w:space="0" w:color="auto"/>
      </w:divBdr>
    </w:div>
    <w:div w:id="1800608314">
      <w:bodyDiv w:val="1"/>
      <w:marLeft w:val="0"/>
      <w:marRight w:val="0"/>
      <w:marTop w:val="0"/>
      <w:marBottom w:val="0"/>
      <w:divBdr>
        <w:top w:val="none" w:sz="0" w:space="0" w:color="auto"/>
        <w:left w:val="none" w:sz="0" w:space="0" w:color="auto"/>
        <w:bottom w:val="none" w:sz="0" w:space="0" w:color="auto"/>
        <w:right w:val="none" w:sz="0" w:space="0" w:color="auto"/>
      </w:divBdr>
    </w:div>
    <w:div w:id="2063555326">
      <w:bodyDiv w:val="1"/>
      <w:marLeft w:val="0"/>
      <w:marRight w:val="0"/>
      <w:marTop w:val="0"/>
      <w:marBottom w:val="0"/>
      <w:divBdr>
        <w:top w:val="none" w:sz="0" w:space="0" w:color="auto"/>
        <w:left w:val="none" w:sz="0" w:space="0" w:color="auto"/>
        <w:bottom w:val="none" w:sz="0" w:space="0" w:color="auto"/>
        <w:right w:val="none" w:sz="0" w:space="0" w:color="auto"/>
      </w:divBdr>
    </w:div>
    <w:div w:id="2094087933">
      <w:bodyDiv w:val="1"/>
      <w:marLeft w:val="0"/>
      <w:marRight w:val="0"/>
      <w:marTop w:val="0"/>
      <w:marBottom w:val="0"/>
      <w:divBdr>
        <w:top w:val="none" w:sz="0" w:space="0" w:color="auto"/>
        <w:left w:val="none" w:sz="0" w:space="0" w:color="auto"/>
        <w:bottom w:val="none" w:sz="0" w:space="0" w:color="auto"/>
        <w:right w:val="none" w:sz="0" w:space="0" w:color="auto"/>
      </w:divBdr>
      <w:divsChild>
        <w:div w:id="1016732756">
          <w:marLeft w:val="0"/>
          <w:marRight w:val="0"/>
          <w:marTop w:val="0"/>
          <w:marBottom w:val="0"/>
          <w:divBdr>
            <w:top w:val="none" w:sz="0" w:space="0" w:color="auto"/>
            <w:left w:val="none" w:sz="0" w:space="0" w:color="auto"/>
            <w:bottom w:val="none" w:sz="0" w:space="0" w:color="auto"/>
            <w:right w:val="none" w:sz="0" w:space="0" w:color="auto"/>
          </w:divBdr>
          <w:divsChild>
            <w:div w:id="70780131">
              <w:marLeft w:val="0"/>
              <w:marRight w:val="0"/>
              <w:marTop w:val="0"/>
              <w:marBottom w:val="0"/>
              <w:divBdr>
                <w:top w:val="none" w:sz="0" w:space="0" w:color="auto"/>
                <w:left w:val="none" w:sz="0" w:space="0" w:color="auto"/>
                <w:bottom w:val="none" w:sz="0" w:space="0" w:color="auto"/>
                <w:right w:val="none" w:sz="0" w:space="0" w:color="auto"/>
              </w:divBdr>
            </w:div>
            <w:div w:id="631398792">
              <w:marLeft w:val="0"/>
              <w:marRight w:val="0"/>
              <w:marTop w:val="0"/>
              <w:marBottom w:val="0"/>
              <w:divBdr>
                <w:top w:val="none" w:sz="0" w:space="0" w:color="auto"/>
                <w:left w:val="none" w:sz="0" w:space="0" w:color="auto"/>
                <w:bottom w:val="none" w:sz="0" w:space="0" w:color="auto"/>
                <w:right w:val="none" w:sz="0" w:space="0" w:color="auto"/>
              </w:divBdr>
            </w:div>
          </w:divsChild>
        </w:div>
        <w:div w:id="450588169">
          <w:marLeft w:val="0"/>
          <w:marRight w:val="0"/>
          <w:marTop w:val="0"/>
          <w:marBottom w:val="0"/>
          <w:divBdr>
            <w:top w:val="none" w:sz="0" w:space="0" w:color="auto"/>
            <w:left w:val="none" w:sz="0" w:space="0" w:color="auto"/>
            <w:bottom w:val="none" w:sz="0" w:space="0" w:color="auto"/>
            <w:right w:val="none" w:sz="0" w:space="0" w:color="auto"/>
          </w:divBdr>
          <w:divsChild>
            <w:div w:id="925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uploadedFiles/CPUC_Public_Website/Content/Utilities_and_Industries/Energy/Energy_Programs/Demand_Side_Management/Customer_Gen_and_Storage/MASH%20Handbook%202nd%20Edition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2C8BED6CF3548BF8333AE401CD8C8" ma:contentTypeVersion="7" ma:contentTypeDescription="Create a new document." ma:contentTypeScope="" ma:versionID="ed8fcf1dd3b48a8a02acc853e3a33ea9">
  <xsd:schema xmlns:xsd="http://www.w3.org/2001/XMLSchema" xmlns:xs="http://www.w3.org/2001/XMLSchema" xmlns:p="http://schemas.microsoft.com/office/2006/metadata/properties" xmlns:ns3="b68f4fe1-3a55-4bcc-9c2a-17f3e71cc75b" xmlns:ns4="939e3009-1176-41fd-a24b-ed27b0027fde" targetNamespace="http://schemas.microsoft.com/office/2006/metadata/properties" ma:root="true" ma:fieldsID="55e2fdcb771768fc0618cdaa08218a5a" ns3:_="" ns4:_="">
    <xsd:import namespace="b68f4fe1-3a55-4bcc-9c2a-17f3e71cc75b"/>
    <xsd:import namespace="939e3009-1176-41fd-a24b-ed27b0027f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4fe1-3a55-4bcc-9c2a-17f3e71cc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9e3009-1176-41fd-a24b-ed27b002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75EE-28BF-4A20-9D28-D1B93CB6B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f4fe1-3a55-4bcc-9c2a-17f3e71cc75b"/>
    <ds:schemaRef ds:uri="939e3009-1176-41fd-a24b-ed27b002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06441-08A6-4F7E-9EFA-40C7CFE34DBC}">
  <ds:schemaRefs>
    <ds:schemaRef ds:uri="b68f4fe1-3a55-4bcc-9c2a-17f3e71cc75b"/>
    <ds:schemaRef ds:uri="http://purl.org/dc/terms/"/>
    <ds:schemaRef ds:uri="http://purl.org/dc/dcmitype/"/>
    <ds:schemaRef ds:uri="939e3009-1176-41fd-a24b-ed27b0027fd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9F207DC-4F72-44AC-AF7A-596384C1F67A}">
  <ds:schemaRefs>
    <ds:schemaRef ds:uri="http://schemas.microsoft.com/sharepoint/v3/contenttype/forms"/>
  </ds:schemaRefs>
</ds:datastoreItem>
</file>

<file path=customXml/itemProps4.xml><?xml version="1.0" encoding="utf-8"?>
<ds:datastoreItem xmlns:ds="http://schemas.openxmlformats.org/officeDocument/2006/customXml" ds:itemID="{7092913E-6FEF-4E78-9D84-BC5678CEC4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4744</ap:Words>
  <ap:Characters>26823</ap:Characters>
  <ap:Application>Microsoft Office Word</ap:Application>
  <ap:DocSecurity>0</ap:DocSecurity>
  <ap:Lines>223</ap:Lines>
  <ap:Paragraphs>63</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31504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2019-09-17T20:19:00Z</cp:lastPrinted>
  <dcterms:created xsi:type="dcterms:W3CDTF">2020-04-02T15:22:15Z</dcterms:created>
  <dcterms:modified xsi:type="dcterms:W3CDTF">2020-04-02T15:22:15Z</dcterms:modified>
</cp:coreProperties>
</file>