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0A728" w14:textId="7C69EED5" w:rsidR="00B60421" w:rsidRDefault="006823F1" w:rsidP="007E0FEE">
      <w:pPr>
        <w:tabs>
          <w:tab w:val="center" w:pos="4680"/>
          <w:tab w:val="right" w:pos="9360"/>
        </w:tabs>
        <w:spacing w:line="240" w:lineRule="auto"/>
        <w:ind w:firstLine="0"/>
      </w:pPr>
      <w:bookmarkStart w:id="0" w:name="_GoBack"/>
      <w:bookmarkEnd w:id="0"/>
      <w:r>
        <w:t>COM</w:t>
      </w:r>
      <w:r w:rsidR="00DA7B5D">
        <w:t>/</w:t>
      </w:r>
      <w:r>
        <w:t>LR1</w:t>
      </w:r>
      <w:r w:rsidR="00DA7B5D">
        <w:t>/</w:t>
      </w:r>
      <w:r>
        <w:t>avs</w:t>
      </w:r>
      <w:r w:rsidR="007E0FEE">
        <w:tab/>
      </w:r>
      <w:r w:rsidR="001E567A">
        <w:tab/>
      </w:r>
      <w:r w:rsidR="001E567A">
        <w:rPr>
          <w:b/>
          <w:bCs/>
        </w:rPr>
        <w:t>Date of Issuance  4/6/2020</w:t>
      </w:r>
    </w:p>
    <w:p w14:paraId="43B95B22" w14:textId="06FC5419" w:rsidR="00DA7B5D" w:rsidRPr="00EE4315" w:rsidRDefault="00DA7B5D" w:rsidP="00632207">
      <w:pPr>
        <w:spacing w:line="240" w:lineRule="auto"/>
        <w:jc w:val="right"/>
        <w:rPr>
          <w:b/>
        </w:rPr>
      </w:pPr>
    </w:p>
    <w:p w14:paraId="38EA0AA2" w14:textId="1932FA28" w:rsidR="00DA7B5D" w:rsidRPr="00F14BCE" w:rsidRDefault="00DA7B5D" w:rsidP="006823F1">
      <w:pPr>
        <w:ind w:firstLine="0"/>
        <w:jc w:val="right"/>
        <w:rPr>
          <w:b/>
          <w:bCs/>
        </w:rPr>
      </w:pPr>
    </w:p>
    <w:p w14:paraId="2EF7CE21" w14:textId="1A5655AE" w:rsidR="001E567A" w:rsidRDefault="00DA7B5D" w:rsidP="006823F1">
      <w:pPr>
        <w:spacing w:after="120" w:line="240" w:lineRule="auto"/>
        <w:ind w:left="1080" w:hanging="1080"/>
      </w:pPr>
      <w:r>
        <w:t xml:space="preserve">Decision </w:t>
      </w:r>
      <w:r w:rsidR="001E567A">
        <w:t>20-03-027  March 26, 2020</w:t>
      </w:r>
    </w:p>
    <w:p w14:paraId="05A6B62E" w14:textId="15F9C6E7" w:rsidR="00DA7B5D" w:rsidRPr="00EE3060" w:rsidRDefault="00DA7B5D" w:rsidP="006823F1">
      <w:pPr>
        <w:spacing w:after="120" w:line="240" w:lineRule="auto"/>
        <w:ind w:left="1080" w:hanging="1080"/>
      </w:pPr>
    </w:p>
    <w:p w14:paraId="67A7C791" w14:textId="77777777" w:rsidR="00DA7B5D" w:rsidRDefault="00DA7B5D" w:rsidP="00BB0243">
      <w:pPr>
        <w:spacing w:line="240" w:lineRule="auto"/>
        <w:jc w:val="center"/>
        <w:rPr>
          <w:u w:val="single"/>
        </w:rPr>
      </w:pPr>
    </w:p>
    <w:p w14:paraId="2AA0031B" w14:textId="77777777" w:rsidR="00DA7B5D" w:rsidRDefault="00DA7B5D" w:rsidP="00BB0243">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14:paraId="57A3FF32" w14:textId="77777777" w:rsidR="00DA7B5D" w:rsidRDefault="00DA7B5D" w:rsidP="008F0116">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DA7B5D" w14:paraId="1EB781BD" w14:textId="77777777" w:rsidTr="00DA7B5D">
        <w:tc>
          <w:tcPr>
            <w:tcW w:w="4675" w:type="dxa"/>
            <w:tcBorders>
              <w:top w:val="nil"/>
              <w:left w:val="nil"/>
              <w:bottom w:val="single" w:sz="4" w:space="0" w:color="auto"/>
              <w:right w:val="single" w:sz="4" w:space="0" w:color="auto"/>
            </w:tcBorders>
          </w:tcPr>
          <w:p w14:paraId="4981F994" w14:textId="33B3918A" w:rsidR="00DA7B5D" w:rsidRPr="00DA7B5D" w:rsidRDefault="00304706" w:rsidP="00C10B5F">
            <w:pPr>
              <w:spacing w:line="240" w:lineRule="auto"/>
              <w:ind w:firstLine="0"/>
              <w:rPr>
                <w:rFonts w:cs="Arial"/>
                <w:szCs w:val="26"/>
              </w:rPr>
            </w:pPr>
            <w:r>
              <w:rPr>
                <w:rFonts w:cs="Arial"/>
                <w:szCs w:val="26"/>
              </w:rPr>
              <w:t>Order Instituting Rulemaking Regarding Building Decarbonization</w:t>
            </w:r>
            <w:r w:rsidR="00044EED">
              <w:rPr>
                <w:rFonts w:cs="Arial"/>
                <w:szCs w:val="26"/>
              </w:rPr>
              <w:t>.</w:t>
            </w:r>
            <w:r w:rsidR="00DA7B5D" w:rsidRPr="00DA7B5D">
              <w:rPr>
                <w:rFonts w:cs="Arial"/>
                <w:szCs w:val="26"/>
              </w:rPr>
              <w:br/>
            </w:r>
          </w:p>
        </w:tc>
        <w:tc>
          <w:tcPr>
            <w:tcW w:w="4675" w:type="dxa"/>
            <w:tcBorders>
              <w:top w:val="nil"/>
              <w:left w:val="single" w:sz="4" w:space="0" w:color="auto"/>
              <w:bottom w:val="nil"/>
              <w:right w:val="nil"/>
            </w:tcBorders>
            <w:vAlign w:val="center"/>
          </w:tcPr>
          <w:p w14:paraId="1A50897F" w14:textId="77777777" w:rsidR="00DA7B5D" w:rsidRPr="00DA7B5D" w:rsidRDefault="00304706" w:rsidP="00412C83">
            <w:pPr>
              <w:spacing w:line="240" w:lineRule="auto"/>
              <w:ind w:firstLine="0"/>
              <w:jc w:val="center"/>
              <w:rPr>
                <w:rFonts w:cs="Arial"/>
                <w:szCs w:val="26"/>
              </w:rPr>
            </w:pPr>
            <w:r>
              <w:rPr>
                <w:rFonts w:cs="Arial"/>
                <w:szCs w:val="26"/>
              </w:rPr>
              <w:t>Rulemaking 19-01-011</w:t>
            </w:r>
          </w:p>
        </w:tc>
      </w:tr>
    </w:tbl>
    <w:p w14:paraId="00F8F6C5" w14:textId="77777777" w:rsidR="00DA7B5D" w:rsidRDefault="00DA7B5D" w:rsidP="008F0116">
      <w:pPr>
        <w:spacing w:line="240" w:lineRule="auto"/>
        <w:ind w:firstLine="0"/>
        <w:rPr>
          <w:rFonts w:ascii="Arial" w:hAnsi="Arial" w:cs="Arial"/>
          <w:sz w:val="24"/>
          <w:szCs w:val="24"/>
        </w:rPr>
      </w:pPr>
    </w:p>
    <w:p w14:paraId="6A1FA580" w14:textId="715523C1" w:rsidR="00DA7B5D" w:rsidRDefault="00DA7B5D" w:rsidP="008F0116">
      <w:pPr>
        <w:spacing w:line="240" w:lineRule="auto"/>
        <w:ind w:firstLine="0"/>
        <w:rPr>
          <w:rFonts w:ascii="Arial" w:hAnsi="Arial" w:cs="Arial"/>
          <w:sz w:val="24"/>
          <w:szCs w:val="24"/>
        </w:rPr>
      </w:pPr>
    </w:p>
    <w:p w14:paraId="6A4999DF" w14:textId="24A0FC78" w:rsidR="001A4DC0" w:rsidRDefault="001A4DC0" w:rsidP="008F0116">
      <w:pPr>
        <w:spacing w:line="240" w:lineRule="auto"/>
        <w:ind w:firstLine="0"/>
        <w:rPr>
          <w:rFonts w:ascii="Arial" w:hAnsi="Arial" w:cs="Arial"/>
          <w:sz w:val="24"/>
          <w:szCs w:val="24"/>
        </w:rPr>
      </w:pPr>
    </w:p>
    <w:p w14:paraId="4F02561E" w14:textId="77777777" w:rsidR="001A4DC0" w:rsidRDefault="001A4DC0" w:rsidP="008F0116">
      <w:pPr>
        <w:spacing w:line="240" w:lineRule="auto"/>
        <w:ind w:firstLine="0"/>
        <w:rPr>
          <w:rFonts w:ascii="Arial" w:hAnsi="Arial" w:cs="Arial"/>
          <w:sz w:val="24"/>
          <w:szCs w:val="24"/>
        </w:rPr>
      </w:pPr>
    </w:p>
    <w:p w14:paraId="71EA8A89" w14:textId="2A5E2C6C" w:rsidR="00F92385" w:rsidRPr="00417226" w:rsidRDefault="00304706" w:rsidP="00417226">
      <w:pPr>
        <w:spacing w:after="120" w:line="240" w:lineRule="auto"/>
        <w:jc w:val="center"/>
        <w:rPr>
          <w:rFonts w:ascii="Arial" w:hAnsi="Arial" w:cs="Arial"/>
          <w:b/>
          <w:szCs w:val="26"/>
        </w:rPr>
      </w:pPr>
      <w:r w:rsidRPr="00417226">
        <w:rPr>
          <w:rFonts w:ascii="Arial" w:hAnsi="Arial" w:cs="Arial"/>
          <w:b/>
          <w:szCs w:val="26"/>
        </w:rPr>
        <w:t xml:space="preserve">DECISION ESTABLISHING BUILDING </w:t>
      </w:r>
      <w:r w:rsidR="001A4DC0" w:rsidRPr="00417226">
        <w:rPr>
          <w:rFonts w:ascii="Arial" w:hAnsi="Arial" w:cs="Arial"/>
          <w:b/>
          <w:szCs w:val="26"/>
        </w:rPr>
        <w:br/>
      </w:r>
      <w:r w:rsidRPr="00417226">
        <w:rPr>
          <w:rFonts w:ascii="Arial" w:hAnsi="Arial" w:cs="Arial"/>
          <w:b/>
          <w:szCs w:val="26"/>
        </w:rPr>
        <w:t>DECARBONIZATION PILOT PROGRAMS</w:t>
      </w:r>
    </w:p>
    <w:p w14:paraId="7AFA7AAC" w14:textId="77777777" w:rsidR="001A4DC0" w:rsidRDefault="001A4DC0" w:rsidP="001A4DC0"/>
    <w:p w14:paraId="39ECCEA7" w14:textId="77777777" w:rsidR="001A4DC0" w:rsidRDefault="001A4DC0" w:rsidP="001A4DC0"/>
    <w:p w14:paraId="5B1D19B5" w14:textId="764115C3" w:rsidR="001A4DC0" w:rsidRPr="001A4DC0" w:rsidRDefault="001A4DC0" w:rsidP="001A4DC0">
      <w:pPr>
        <w:sectPr w:rsidR="001A4DC0" w:rsidRPr="001A4DC0" w:rsidSect="00356C2A">
          <w:footerReference w:type="first" r:id="rId12"/>
          <w:pgSz w:w="12240" w:h="15840"/>
          <w:pgMar w:top="1440" w:right="1440" w:bottom="1440" w:left="1440" w:header="720" w:footer="720" w:gutter="0"/>
          <w:pgNumType w:start="1"/>
          <w:cols w:space="720"/>
          <w:titlePg/>
          <w:docGrid w:linePitch="360"/>
        </w:sectPr>
      </w:pPr>
    </w:p>
    <w:p w14:paraId="067023E0" w14:textId="6154E2EB" w:rsidR="00D50119" w:rsidRPr="00B025FD" w:rsidRDefault="00D50119" w:rsidP="00B025FD">
      <w:pPr>
        <w:ind w:firstLine="0"/>
        <w:jc w:val="center"/>
        <w:rPr>
          <w:b/>
          <w:bCs/>
        </w:rPr>
      </w:pPr>
      <w:r w:rsidRPr="00B025FD">
        <w:rPr>
          <w:b/>
          <w:bCs/>
        </w:rPr>
        <w:lastRenderedPageBreak/>
        <w:t>TABLE OF</w:t>
      </w:r>
      <w:r w:rsidR="00F14BCE">
        <w:rPr>
          <w:b/>
          <w:bCs/>
        </w:rPr>
        <w:t xml:space="preserve"> CONTENTS</w:t>
      </w:r>
    </w:p>
    <w:p w14:paraId="171D0A2A" w14:textId="77777777" w:rsidR="00D50119" w:rsidRPr="00D50119" w:rsidRDefault="00D50119" w:rsidP="007E0FEE">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14:paraId="0D641E7A" w14:textId="20B96E3D" w:rsidR="00BC561B" w:rsidRDefault="00B30B79" w:rsidP="00287783">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\t "Main,1" </w:instrText>
          </w:r>
          <w:r>
            <w:rPr>
              <w:rFonts w:asciiTheme="minorHAnsi" w:hAnsiTheme="minorHAnsi"/>
              <w:sz w:val="22"/>
            </w:rPr>
            <w:fldChar w:fldCharType="separate"/>
          </w:r>
          <w:hyperlink w:anchor="_Toc32310225" w:history="1">
            <w:r w:rsidR="00BC561B" w:rsidRPr="009D31FB">
              <w:rPr>
                <w:rStyle w:val="Hyperlink"/>
                <w:noProof/>
              </w:rPr>
              <w:t xml:space="preserve">DECISION ESTABLISHING BUILDING DECARBONIZATION </w:t>
            </w:r>
            <w:r w:rsidR="00CB4CE1">
              <w:rPr>
                <w:rStyle w:val="Hyperlink"/>
                <w:noProof/>
              </w:rPr>
              <w:br/>
            </w:r>
            <w:r w:rsidR="00BC561B" w:rsidRPr="009D31FB">
              <w:rPr>
                <w:rStyle w:val="Hyperlink"/>
                <w:noProof/>
              </w:rPr>
              <w:t>PILOT PROGRAMS</w:t>
            </w:r>
            <w:r w:rsidR="00BC561B">
              <w:rPr>
                <w:noProof/>
                <w:webHidden/>
              </w:rPr>
              <w:tab/>
            </w:r>
            <w:r w:rsidR="00BC561B">
              <w:rPr>
                <w:noProof/>
                <w:webHidden/>
              </w:rPr>
              <w:fldChar w:fldCharType="begin"/>
            </w:r>
            <w:r w:rsidR="00BC561B">
              <w:rPr>
                <w:noProof/>
                <w:webHidden/>
              </w:rPr>
              <w:instrText xml:space="preserve"> PAGEREF _Toc32310225 \h </w:instrText>
            </w:r>
            <w:r w:rsidR="00BC561B">
              <w:rPr>
                <w:noProof/>
                <w:webHidden/>
              </w:rPr>
            </w:r>
            <w:r w:rsidR="00BC561B">
              <w:rPr>
                <w:noProof/>
                <w:webHidden/>
              </w:rPr>
              <w:fldChar w:fldCharType="separate"/>
            </w:r>
            <w:r w:rsidR="00081764">
              <w:rPr>
                <w:noProof/>
                <w:webHidden/>
              </w:rPr>
              <w:t>2</w:t>
            </w:r>
            <w:r w:rsidR="00BC561B">
              <w:rPr>
                <w:noProof/>
                <w:webHidden/>
              </w:rPr>
              <w:fldChar w:fldCharType="end"/>
            </w:r>
          </w:hyperlink>
        </w:p>
        <w:p w14:paraId="54F1F43A" w14:textId="125E992F" w:rsidR="00BC561B" w:rsidRDefault="00081764">
          <w:pPr>
            <w:pStyle w:val="TOC1"/>
            <w:tabs>
              <w:tab w:val="right" w:leader="dot" w:pos="9350"/>
            </w:tabs>
            <w:rPr>
              <w:rFonts w:asciiTheme="minorHAnsi" w:hAnsiTheme="minorHAnsi" w:cstheme="minorBidi"/>
              <w:noProof/>
              <w:sz w:val="22"/>
            </w:rPr>
          </w:pPr>
          <w:hyperlink w:anchor="_Toc32310226" w:history="1">
            <w:r w:rsidR="00BC561B" w:rsidRPr="009D31FB">
              <w:rPr>
                <w:rStyle w:val="Hyperlink"/>
                <w:noProof/>
              </w:rPr>
              <w:t>Summary</w:t>
            </w:r>
            <w:r w:rsidR="00BC561B">
              <w:rPr>
                <w:noProof/>
                <w:webHidden/>
              </w:rPr>
              <w:tab/>
            </w:r>
            <w:r w:rsidR="00BC561B">
              <w:rPr>
                <w:noProof/>
                <w:webHidden/>
              </w:rPr>
              <w:fldChar w:fldCharType="begin"/>
            </w:r>
            <w:r w:rsidR="00BC561B">
              <w:rPr>
                <w:noProof/>
                <w:webHidden/>
              </w:rPr>
              <w:instrText xml:space="preserve"> PAGEREF _Toc32310226 \h </w:instrText>
            </w:r>
            <w:r w:rsidR="00BC561B">
              <w:rPr>
                <w:noProof/>
                <w:webHidden/>
              </w:rPr>
            </w:r>
            <w:r w:rsidR="00BC561B">
              <w:rPr>
                <w:noProof/>
                <w:webHidden/>
              </w:rPr>
              <w:fldChar w:fldCharType="separate"/>
            </w:r>
            <w:r>
              <w:rPr>
                <w:noProof/>
                <w:webHidden/>
              </w:rPr>
              <w:t>2</w:t>
            </w:r>
            <w:r w:rsidR="00BC561B">
              <w:rPr>
                <w:noProof/>
                <w:webHidden/>
              </w:rPr>
              <w:fldChar w:fldCharType="end"/>
            </w:r>
          </w:hyperlink>
        </w:p>
        <w:p w14:paraId="613340F7" w14:textId="49839C7B" w:rsidR="00BC561B" w:rsidRDefault="00081764">
          <w:pPr>
            <w:pStyle w:val="TOC1"/>
            <w:tabs>
              <w:tab w:val="right" w:leader="dot" w:pos="9350"/>
            </w:tabs>
            <w:rPr>
              <w:rFonts w:asciiTheme="minorHAnsi" w:hAnsiTheme="minorHAnsi" w:cstheme="minorBidi"/>
              <w:noProof/>
              <w:sz w:val="22"/>
            </w:rPr>
          </w:pPr>
          <w:hyperlink w:anchor="_Toc32310227" w:history="1">
            <w:r w:rsidR="00BC561B" w:rsidRPr="009D31FB">
              <w:rPr>
                <w:rStyle w:val="Hyperlink"/>
                <w:noProof/>
              </w:rPr>
              <w:t>1.</w:t>
            </w:r>
            <w:r w:rsidR="00BC561B">
              <w:rPr>
                <w:rFonts w:asciiTheme="minorHAnsi" w:hAnsiTheme="minorHAnsi" w:cstheme="minorBidi"/>
                <w:noProof/>
                <w:sz w:val="22"/>
              </w:rPr>
              <w:tab/>
            </w:r>
            <w:r w:rsidR="00BC561B" w:rsidRPr="009D31FB">
              <w:rPr>
                <w:rStyle w:val="Hyperlink"/>
                <w:noProof/>
              </w:rPr>
              <w:t>Background</w:t>
            </w:r>
            <w:r w:rsidR="00BC561B">
              <w:rPr>
                <w:noProof/>
                <w:webHidden/>
              </w:rPr>
              <w:tab/>
            </w:r>
            <w:r w:rsidR="00BC561B">
              <w:rPr>
                <w:noProof/>
                <w:webHidden/>
              </w:rPr>
              <w:fldChar w:fldCharType="begin"/>
            </w:r>
            <w:r w:rsidR="00BC561B">
              <w:rPr>
                <w:noProof/>
                <w:webHidden/>
              </w:rPr>
              <w:instrText xml:space="preserve"> PAGEREF _Toc32310227 \h </w:instrText>
            </w:r>
            <w:r w:rsidR="00BC561B">
              <w:rPr>
                <w:noProof/>
                <w:webHidden/>
              </w:rPr>
            </w:r>
            <w:r w:rsidR="00BC561B">
              <w:rPr>
                <w:noProof/>
                <w:webHidden/>
              </w:rPr>
              <w:fldChar w:fldCharType="separate"/>
            </w:r>
            <w:r>
              <w:rPr>
                <w:noProof/>
                <w:webHidden/>
              </w:rPr>
              <w:t>7</w:t>
            </w:r>
            <w:r w:rsidR="00BC561B">
              <w:rPr>
                <w:noProof/>
                <w:webHidden/>
              </w:rPr>
              <w:fldChar w:fldCharType="end"/>
            </w:r>
          </w:hyperlink>
        </w:p>
        <w:p w14:paraId="06503327" w14:textId="6178C14C" w:rsidR="00BC561B" w:rsidRDefault="00081764" w:rsidP="00BC561B">
          <w:pPr>
            <w:pStyle w:val="TOC2"/>
            <w:tabs>
              <w:tab w:val="right" w:leader="dot" w:pos="9350"/>
            </w:tabs>
            <w:ind w:left="1080"/>
            <w:rPr>
              <w:rFonts w:asciiTheme="minorHAnsi" w:hAnsiTheme="minorHAnsi" w:cstheme="minorBidi"/>
              <w:noProof/>
              <w:sz w:val="22"/>
            </w:rPr>
          </w:pPr>
          <w:hyperlink w:anchor="_Toc32310228" w:history="1">
            <w:r w:rsidR="00BC561B" w:rsidRPr="009D31FB">
              <w:rPr>
                <w:rStyle w:val="Hyperlink"/>
                <w:noProof/>
              </w:rPr>
              <w:t>1.1.</w:t>
            </w:r>
            <w:r w:rsidR="00BC561B">
              <w:rPr>
                <w:rFonts w:asciiTheme="minorHAnsi" w:hAnsiTheme="minorHAnsi" w:cstheme="minorBidi"/>
                <w:noProof/>
                <w:sz w:val="22"/>
              </w:rPr>
              <w:tab/>
            </w:r>
            <w:r w:rsidR="00BC561B" w:rsidRPr="009D31FB">
              <w:rPr>
                <w:rStyle w:val="Hyperlink"/>
                <w:noProof/>
              </w:rPr>
              <w:t>BUILD Program Statutory Requirements</w:t>
            </w:r>
            <w:r w:rsidR="00BC561B">
              <w:rPr>
                <w:noProof/>
                <w:webHidden/>
              </w:rPr>
              <w:tab/>
            </w:r>
            <w:r w:rsidR="00BC561B">
              <w:rPr>
                <w:noProof/>
                <w:webHidden/>
              </w:rPr>
              <w:fldChar w:fldCharType="begin"/>
            </w:r>
            <w:r w:rsidR="00BC561B">
              <w:rPr>
                <w:noProof/>
                <w:webHidden/>
              </w:rPr>
              <w:instrText xml:space="preserve"> PAGEREF _Toc32310228 \h </w:instrText>
            </w:r>
            <w:r w:rsidR="00BC561B">
              <w:rPr>
                <w:noProof/>
                <w:webHidden/>
              </w:rPr>
            </w:r>
            <w:r w:rsidR="00BC561B">
              <w:rPr>
                <w:noProof/>
                <w:webHidden/>
              </w:rPr>
              <w:fldChar w:fldCharType="separate"/>
            </w:r>
            <w:r>
              <w:rPr>
                <w:noProof/>
                <w:webHidden/>
              </w:rPr>
              <w:t>8</w:t>
            </w:r>
            <w:r w:rsidR="00BC561B">
              <w:rPr>
                <w:noProof/>
                <w:webHidden/>
              </w:rPr>
              <w:fldChar w:fldCharType="end"/>
            </w:r>
          </w:hyperlink>
        </w:p>
        <w:p w14:paraId="4DC71677" w14:textId="3BF8A069" w:rsidR="00BC561B" w:rsidRDefault="00081764" w:rsidP="00BC561B">
          <w:pPr>
            <w:pStyle w:val="TOC2"/>
            <w:tabs>
              <w:tab w:val="right" w:leader="dot" w:pos="9350"/>
            </w:tabs>
            <w:ind w:left="1080"/>
            <w:rPr>
              <w:rFonts w:asciiTheme="minorHAnsi" w:hAnsiTheme="minorHAnsi" w:cstheme="minorBidi"/>
              <w:noProof/>
              <w:sz w:val="22"/>
            </w:rPr>
          </w:pPr>
          <w:hyperlink w:anchor="_Toc32310229" w:history="1">
            <w:r w:rsidR="00BC561B" w:rsidRPr="009D31FB">
              <w:rPr>
                <w:rStyle w:val="Hyperlink"/>
                <w:noProof/>
              </w:rPr>
              <w:t>1.2.</w:t>
            </w:r>
            <w:r w:rsidR="00BC561B">
              <w:rPr>
                <w:rFonts w:asciiTheme="minorHAnsi" w:hAnsiTheme="minorHAnsi" w:cstheme="minorBidi"/>
                <w:noProof/>
                <w:sz w:val="22"/>
              </w:rPr>
              <w:tab/>
            </w:r>
            <w:r w:rsidR="00BC561B" w:rsidRPr="009D31FB">
              <w:rPr>
                <w:rStyle w:val="Hyperlink"/>
                <w:noProof/>
              </w:rPr>
              <w:t>TECH Initiative Statutory Requirements</w:t>
            </w:r>
            <w:r w:rsidR="00BC561B">
              <w:rPr>
                <w:noProof/>
                <w:webHidden/>
              </w:rPr>
              <w:tab/>
            </w:r>
            <w:r w:rsidR="00BC561B">
              <w:rPr>
                <w:noProof/>
                <w:webHidden/>
              </w:rPr>
              <w:fldChar w:fldCharType="begin"/>
            </w:r>
            <w:r w:rsidR="00BC561B">
              <w:rPr>
                <w:noProof/>
                <w:webHidden/>
              </w:rPr>
              <w:instrText xml:space="preserve"> PAGEREF _Toc32310229 \h </w:instrText>
            </w:r>
            <w:r w:rsidR="00BC561B">
              <w:rPr>
                <w:noProof/>
                <w:webHidden/>
              </w:rPr>
            </w:r>
            <w:r w:rsidR="00BC561B">
              <w:rPr>
                <w:noProof/>
                <w:webHidden/>
              </w:rPr>
              <w:fldChar w:fldCharType="separate"/>
            </w:r>
            <w:r>
              <w:rPr>
                <w:noProof/>
                <w:webHidden/>
              </w:rPr>
              <w:t>9</w:t>
            </w:r>
            <w:r w:rsidR="00BC561B">
              <w:rPr>
                <w:noProof/>
                <w:webHidden/>
              </w:rPr>
              <w:fldChar w:fldCharType="end"/>
            </w:r>
          </w:hyperlink>
        </w:p>
        <w:p w14:paraId="69B5AF04" w14:textId="383EC841" w:rsidR="00BC561B" w:rsidRDefault="00081764" w:rsidP="00BC561B">
          <w:pPr>
            <w:pStyle w:val="TOC2"/>
            <w:tabs>
              <w:tab w:val="right" w:leader="dot" w:pos="9350"/>
            </w:tabs>
            <w:ind w:left="1080"/>
            <w:rPr>
              <w:rFonts w:asciiTheme="minorHAnsi" w:hAnsiTheme="minorHAnsi" w:cstheme="minorBidi"/>
              <w:noProof/>
              <w:sz w:val="22"/>
            </w:rPr>
          </w:pPr>
          <w:hyperlink w:anchor="_Toc32310230" w:history="1">
            <w:r w:rsidR="00BC561B" w:rsidRPr="009D31FB">
              <w:rPr>
                <w:rStyle w:val="Hyperlink"/>
                <w:noProof/>
              </w:rPr>
              <w:t>1.3.</w:t>
            </w:r>
            <w:r w:rsidR="00BC561B">
              <w:rPr>
                <w:rFonts w:asciiTheme="minorHAnsi" w:hAnsiTheme="minorHAnsi" w:cstheme="minorBidi"/>
                <w:noProof/>
                <w:sz w:val="22"/>
              </w:rPr>
              <w:tab/>
            </w:r>
            <w:r w:rsidR="00BC561B" w:rsidRPr="009D31FB">
              <w:rPr>
                <w:rStyle w:val="Hyperlink"/>
                <w:noProof/>
              </w:rPr>
              <w:t>SB 1477 Pilot Programs Staff Proposal Summary</w:t>
            </w:r>
            <w:r w:rsidR="00BC561B">
              <w:rPr>
                <w:noProof/>
                <w:webHidden/>
              </w:rPr>
              <w:tab/>
            </w:r>
            <w:r w:rsidR="00BC561B">
              <w:rPr>
                <w:noProof/>
                <w:webHidden/>
              </w:rPr>
              <w:fldChar w:fldCharType="begin"/>
            </w:r>
            <w:r w:rsidR="00BC561B">
              <w:rPr>
                <w:noProof/>
                <w:webHidden/>
              </w:rPr>
              <w:instrText xml:space="preserve"> PAGEREF _Toc32310230 \h </w:instrText>
            </w:r>
            <w:r w:rsidR="00BC561B">
              <w:rPr>
                <w:noProof/>
                <w:webHidden/>
              </w:rPr>
            </w:r>
            <w:r w:rsidR="00BC561B">
              <w:rPr>
                <w:noProof/>
                <w:webHidden/>
              </w:rPr>
              <w:fldChar w:fldCharType="separate"/>
            </w:r>
            <w:r>
              <w:rPr>
                <w:noProof/>
                <w:webHidden/>
              </w:rPr>
              <w:t>10</w:t>
            </w:r>
            <w:r w:rsidR="00BC561B">
              <w:rPr>
                <w:noProof/>
                <w:webHidden/>
              </w:rPr>
              <w:fldChar w:fldCharType="end"/>
            </w:r>
          </w:hyperlink>
        </w:p>
        <w:p w14:paraId="7A0819D8" w14:textId="04297F6D" w:rsidR="00BC561B" w:rsidRDefault="00081764" w:rsidP="00BC561B">
          <w:pPr>
            <w:pStyle w:val="TOC2"/>
            <w:tabs>
              <w:tab w:val="right" w:leader="dot" w:pos="9350"/>
            </w:tabs>
            <w:ind w:left="1080"/>
            <w:rPr>
              <w:rFonts w:asciiTheme="minorHAnsi" w:hAnsiTheme="minorHAnsi" w:cstheme="minorBidi"/>
              <w:noProof/>
              <w:sz w:val="22"/>
            </w:rPr>
          </w:pPr>
          <w:hyperlink w:anchor="_Toc32310231" w:history="1">
            <w:r w:rsidR="00BC561B" w:rsidRPr="009D31FB">
              <w:rPr>
                <w:rStyle w:val="Hyperlink"/>
                <w:noProof/>
              </w:rPr>
              <w:t>1.4.</w:t>
            </w:r>
            <w:r w:rsidR="00BC561B">
              <w:rPr>
                <w:rFonts w:asciiTheme="minorHAnsi" w:hAnsiTheme="minorHAnsi" w:cstheme="minorBidi"/>
                <w:noProof/>
                <w:sz w:val="22"/>
              </w:rPr>
              <w:tab/>
            </w:r>
            <w:r w:rsidR="00BC561B" w:rsidRPr="009D31FB">
              <w:rPr>
                <w:rStyle w:val="Hyperlink"/>
                <w:noProof/>
              </w:rPr>
              <w:t>Parties’ Response to Staff Proposal</w:t>
            </w:r>
            <w:r w:rsidR="00BC561B">
              <w:rPr>
                <w:noProof/>
                <w:webHidden/>
              </w:rPr>
              <w:tab/>
            </w:r>
            <w:r w:rsidR="00BC561B">
              <w:rPr>
                <w:noProof/>
                <w:webHidden/>
              </w:rPr>
              <w:fldChar w:fldCharType="begin"/>
            </w:r>
            <w:r w:rsidR="00BC561B">
              <w:rPr>
                <w:noProof/>
                <w:webHidden/>
              </w:rPr>
              <w:instrText xml:space="preserve"> PAGEREF _Toc32310231 \h </w:instrText>
            </w:r>
            <w:r w:rsidR="00BC561B">
              <w:rPr>
                <w:noProof/>
                <w:webHidden/>
              </w:rPr>
            </w:r>
            <w:r w:rsidR="00BC561B">
              <w:rPr>
                <w:noProof/>
                <w:webHidden/>
              </w:rPr>
              <w:fldChar w:fldCharType="separate"/>
            </w:r>
            <w:r>
              <w:rPr>
                <w:noProof/>
                <w:webHidden/>
              </w:rPr>
              <w:t>13</w:t>
            </w:r>
            <w:r w:rsidR="00BC561B">
              <w:rPr>
                <w:noProof/>
                <w:webHidden/>
              </w:rPr>
              <w:fldChar w:fldCharType="end"/>
            </w:r>
          </w:hyperlink>
        </w:p>
        <w:p w14:paraId="23D47B2A" w14:textId="6AABB932" w:rsidR="00BC561B" w:rsidRDefault="00081764">
          <w:pPr>
            <w:pStyle w:val="TOC1"/>
            <w:tabs>
              <w:tab w:val="right" w:leader="dot" w:pos="9350"/>
            </w:tabs>
            <w:rPr>
              <w:rFonts w:asciiTheme="minorHAnsi" w:hAnsiTheme="minorHAnsi" w:cstheme="minorBidi"/>
              <w:noProof/>
              <w:sz w:val="22"/>
            </w:rPr>
          </w:pPr>
          <w:hyperlink w:anchor="_Toc32310232" w:history="1">
            <w:r w:rsidR="00BC561B" w:rsidRPr="009D31FB">
              <w:rPr>
                <w:rStyle w:val="Hyperlink"/>
                <w:noProof/>
              </w:rPr>
              <w:t>2.</w:t>
            </w:r>
            <w:r w:rsidR="00BC561B">
              <w:rPr>
                <w:rFonts w:asciiTheme="minorHAnsi" w:hAnsiTheme="minorHAnsi" w:cstheme="minorBidi"/>
                <w:noProof/>
                <w:sz w:val="22"/>
              </w:rPr>
              <w:tab/>
            </w:r>
            <w:r w:rsidR="00BC561B" w:rsidRPr="009D31FB">
              <w:rPr>
                <w:rStyle w:val="Hyperlink"/>
                <w:noProof/>
              </w:rPr>
              <w:t>Issues Before the Commission</w:t>
            </w:r>
            <w:r w:rsidR="00BC561B">
              <w:rPr>
                <w:noProof/>
                <w:webHidden/>
              </w:rPr>
              <w:tab/>
            </w:r>
            <w:r w:rsidR="00BC561B">
              <w:rPr>
                <w:noProof/>
                <w:webHidden/>
              </w:rPr>
              <w:fldChar w:fldCharType="begin"/>
            </w:r>
            <w:r w:rsidR="00BC561B">
              <w:rPr>
                <w:noProof/>
                <w:webHidden/>
              </w:rPr>
              <w:instrText xml:space="preserve"> PAGEREF _Toc32310232 \h </w:instrText>
            </w:r>
            <w:r w:rsidR="00BC561B">
              <w:rPr>
                <w:noProof/>
                <w:webHidden/>
              </w:rPr>
            </w:r>
            <w:r w:rsidR="00BC561B">
              <w:rPr>
                <w:noProof/>
                <w:webHidden/>
              </w:rPr>
              <w:fldChar w:fldCharType="separate"/>
            </w:r>
            <w:r>
              <w:rPr>
                <w:noProof/>
                <w:webHidden/>
              </w:rPr>
              <w:t>14</w:t>
            </w:r>
            <w:r w:rsidR="00BC561B">
              <w:rPr>
                <w:noProof/>
                <w:webHidden/>
              </w:rPr>
              <w:fldChar w:fldCharType="end"/>
            </w:r>
          </w:hyperlink>
        </w:p>
        <w:p w14:paraId="2985D24D" w14:textId="088AD2C7" w:rsidR="00BC561B" w:rsidRDefault="00081764">
          <w:pPr>
            <w:pStyle w:val="TOC1"/>
            <w:tabs>
              <w:tab w:val="right" w:leader="dot" w:pos="9350"/>
            </w:tabs>
            <w:rPr>
              <w:rFonts w:asciiTheme="minorHAnsi" w:hAnsiTheme="minorHAnsi" w:cstheme="minorBidi"/>
              <w:noProof/>
              <w:sz w:val="22"/>
            </w:rPr>
          </w:pPr>
          <w:hyperlink w:anchor="_Toc32310233" w:history="1">
            <w:r w:rsidR="00BC561B" w:rsidRPr="009D31FB">
              <w:rPr>
                <w:rStyle w:val="Hyperlink"/>
                <w:noProof/>
              </w:rPr>
              <w:t>3.</w:t>
            </w:r>
            <w:r w:rsidR="00BC561B">
              <w:rPr>
                <w:rFonts w:asciiTheme="minorHAnsi" w:hAnsiTheme="minorHAnsi" w:cstheme="minorBidi"/>
                <w:noProof/>
                <w:sz w:val="22"/>
              </w:rPr>
              <w:tab/>
            </w:r>
            <w:r w:rsidR="00BC561B" w:rsidRPr="009D31FB">
              <w:rPr>
                <w:rStyle w:val="Hyperlink"/>
                <w:noProof/>
              </w:rPr>
              <w:t xml:space="preserve">Discussion and Analysis of Common Issues Between </w:t>
            </w:r>
            <w:r w:rsidR="00BC561B">
              <w:rPr>
                <w:rStyle w:val="Hyperlink"/>
                <w:noProof/>
              </w:rPr>
              <w:br/>
            </w:r>
            <w:r w:rsidR="00BC561B" w:rsidRPr="009D31FB">
              <w:rPr>
                <w:rStyle w:val="Hyperlink"/>
                <w:noProof/>
              </w:rPr>
              <w:t>the BUILD Program and TECH Initiative</w:t>
            </w:r>
            <w:r w:rsidR="00BC561B">
              <w:rPr>
                <w:noProof/>
                <w:webHidden/>
              </w:rPr>
              <w:tab/>
            </w:r>
            <w:r w:rsidR="00BC561B">
              <w:rPr>
                <w:noProof/>
                <w:webHidden/>
              </w:rPr>
              <w:fldChar w:fldCharType="begin"/>
            </w:r>
            <w:r w:rsidR="00BC561B">
              <w:rPr>
                <w:noProof/>
                <w:webHidden/>
              </w:rPr>
              <w:instrText xml:space="preserve"> PAGEREF _Toc32310233 \h </w:instrText>
            </w:r>
            <w:r w:rsidR="00BC561B">
              <w:rPr>
                <w:noProof/>
                <w:webHidden/>
              </w:rPr>
            </w:r>
            <w:r w:rsidR="00BC561B">
              <w:rPr>
                <w:noProof/>
                <w:webHidden/>
              </w:rPr>
              <w:fldChar w:fldCharType="separate"/>
            </w:r>
            <w:r>
              <w:rPr>
                <w:noProof/>
                <w:webHidden/>
              </w:rPr>
              <w:t>16</w:t>
            </w:r>
            <w:r w:rsidR="00BC561B">
              <w:rPr>
                <w:noProof/>
                <w:webHidden/>
              </w:rPr>
              <w:fldChar w:fldCharType="end"/>
            </w:r>
          </w:hyperlink>
        </w:p>
        <w:p w14:paraId="0DE197DC" w14:textId="28891412" w:rsidR="00BC561B" w:rsidRDefault="00081764" w:rsidP="00BC561B">
          <w:pPr>
            <w:pStyle w:val="TOC2"/>
            <w:tabs>
              <w:tab w:val="right" w:leader="dot" w:pos="9350"/>
            </w:tabs>
            <w:ind w:left="1080"/>
            <w:rPr>
              <w:rFonts w:asciiTheme="minorHAnsi" w:hAnsiTheme="minorHAnsi" w:cstheme="minorBidi"/>
              <w:noProof/>
              <w:sz w:val="22"/>
            </w:rPr>
          </w:pPr>
          <w:hyperlink w:anchor="_Toc32310234" w:history="1">
            <w:r w:rsidR="00BC561B" w:rsidRPr="009D31FB">
              <w:rPr>
                <w:rStyle w:val="Hyperlink"/>
                <w:noProof/>
              </w:rPr>
              <w:t>3.1.</w:t>
            </w:r>
            <w:r w:rsidR="00BC561B">
              <w:rPr>
                <w:rFonts w:asciiTheme="minorHAnsi" w:hAnsiTheme="minorHAnsi" w:cstheme="minorBidi"/>
                <w:noProof/>
                <w:sz w:val="22"/>
              </w:rPr>
              <w:tab/>
            </w:r>
            <w:r w:rsidR="00BC561B" w:rsidRPr="009D31FB">
              <w:rPr>
                <w:rStyle w:val="Hyperlink"/>
                <w:noProof/>
              </w:rPr>
              <w:t>SB 1477 Pilot Program Budgets</w:t>
            </w:r>
            <w:r w:rsidR="00BC561B">
              <w:rPr>
                <w:noProof/>
                <w:webHidden/>
              </w:rPr>
              <w:tab/>
            </w:r>
            <w:r w:rsidR="00BC561B">
              <w:rPr>
                <w:noProof/>
                <w:webHidden/>
              </w:rPr>
              <w:fldChar w:fldCharType="begin"/>
            </w:r>
            <w:r w:rsidR="00BC561B">
              <w:rPr>
                <w:noProof/>
                <w:webHidden/>
              </w:rPr>
              <w:instrText xml:space="preserve"> PAGEREF _Toc32310234 \h </w:instrText>
            </w:r>
            <w:r w:rsidR="00BC561B">
              <w:rPr>
                <w:noProof/>
                <w:webHidden/>
              </w:rPr>
            </w:r>
            <w:r w:rsidR="00BC561B">
              <w:rPr>
                <w:noProof/>
                <w:webHidden/>
              </w:rPr>
              <w:fldChar w:fldCharType="separate"/>
            </w:r>
            <w:r>
              <w:rPr>
                <w:noProof/>
                <w:webHidden/>
              </w:rPr>
              <w:t>17</w:t>
            </w:r>
            <w:r w:rsidR="00BC561B">
              <w:rPr>
                <w:noProof/>
                <w:webHidden/>
              </w:rPr>
              <w:fldChar w:fldCharType="end"/>
            </w:r>
          </w:hyperlink>
        </w:p>
        <w:p w14:paraId="228B9C21" w14:textId="2D0E630A" w:rsidR="00BC561B" w:rsidRDefault="00081764" w:rsidP="00BC561B">
          <w:pPr>
            <w:pStyle w:val="TOC3"/>
            <w:tabs>
              <w:tab w:val="right" w:leader="dot" w:pos="9350"/>
            </w:tabs>
            <w:ind w:left="1980"/>
            <w:rPr>
              <w:rFonts w:asciiTheme="minorHAnsi" w:hAnsiTheme="minorHAnsi" w:cstheme="minorBidi"/>
              <w:noProof/>
              <w:sz w:val="22"/>
            </w:rPr>
          </w:pPr>
          <w:hyperlink w:anchor="_Toc32310235" w:history="1">
            <w:r w:rsidR="00BC561B" w:rsidRPr="009D31FB">
              <w:rPr>
                <w:rStyle w:val="Hyperlink"/>
                <w:noProof/>
              </w:rPr>
              <w:t>3.1.1.</w:t>
            </w:r>
            <w:r w:rsidR="00BC561B">
              <w:rPr>
                <w:rFonts w:asciiTheme="minorHAnsi" w:hAnsiTheme="minorHAnsi" w:cstheme="minorBidi"/>
                <w:noProof/>
                <w:sz w:val="22"/>
              </w:rPr>
              <w:tab/>
            </w:r>
            <w:r w:rsidR="00BC561B" w:rsidRPr="009D31FB">
              <w:rPr>
                <w:rStyle w:val="Hyperlink"/>
                <w:noProof/>
              </w:rPr>
              <w:t xml:space="preserve">Staff Proposal Recommendations  </w:t>
            </w:r>
            <w:r w:rsidR="00BC561B">
              <w:rPr>
                <w:rStyle w:val="Hyperlink"/>
                <w:noProof/>
              </w:rPr>
              <w:br/>
            </w:r>
            <w:r w:rsidR="00BC561B" w:rsidRPr="009D31FB">
              <w:rPr>
                <w:rStyle w:val="Hyperlink"/>
                <w:noProof/>
              </w:rPr>
              <w:t>for Pilot Program Appropriations</w:t>
            </w:r>
            <w:r w:rsidR="00BC561B">
              <w:rPr>
                <w:noProof/>
                <w:webHidden/>
              </w:rPr>
              <w:tab/>
            </w:r>
            <w:r w:rsidR="00BC561B">
              <w:rPr>
                <w:noProof/>
                <w:webHidden/>
              </w:rPr>
              <w:fldChar w:fldCharType="begin"/>
            </w:r>
            <w:r w:rsidR="00BC561B">
              <w:rPr>
                <w:noProof/>
                <w:webHidden/>
              </w:rPr>
              <w:instrText xml:space="preserve"> PAGEREF _Toc32310235 \h </w:instrText>
            </w:r>
            <w:r w:rsidR="00BC561B">
              <w:rPr>
                <w:noProof/>
                <w:webHidden/>
              </w:rPr>
            </w:r>
            <w:r w:rsidR="00BC561B">
              <w:rPr>
                <w:noProof/>
                <w:webHidden/>
              </w:rPr>
              <w:fldChar w:fldCharType="separate"/>
            </w:r>
            <w:r>
              <w:rPr>
                <w:noProof/>
                <w:webHidden/>
              </w:rPr>
              <w:t>18</w:t>
            </w:r>
            <w:r w:rsidR="00BC561B">
              <w:rPr>
                <w:noProof/>
                <w:webHidden/>
              </w:rPr>
              <w:fldChar w:fldCharType="end"/>
            </w:r>
          </w:hyperlink>
        </w:p>
        <w:p w14:paraId="60F16338" w14:textId="6AAF1D7E" w:rsidR="00BC561B" w:rsidRDefault="00081764" w:rsidP="00BC561B">
          <w:pPr>
            <w:pStyle w:val="TOC3"/>
            <w:tabs>
              <w:tab w:val="right" w:leader="dot" w:pos="9350"/>
            </w:tabs>
            <w:ind w:left="1980"/>
            <w:rPr>
              <w:rFonts w:asciiTheme="minorHAnsi" w:hAnsiTheme="minorHAnsi" w:cstheme="minorBidi"/>
              <w:noProof/>
              <w:sz w:val="22"/>
            </w:rPr>
          </w:pPr>
          <w:hyperlink w:anchor="_Toc32310236" w:history="1">
            <w:r w:rsidR="00BC561B" w:rsidRPr="009D31FB">
              <w:rPr>
                <w:rStyle w:val="Hyperlink"/>
                <w:noProof/>
              </w:rPr>
              <w:t>3.1.2.</w:t>
            </w:r>
            <w:r w:rsidR="00BC561B">
              <w:rPr>
                <w:rFonts w:asciiTheme="minorHAnsi" w:hAnsiTheme="minorHAnsi" w:cstheme="minorBidi"/>
                <w:noProof/>
                <w:sz w:val="22"/>
              </w:rPr>
              <w:tab/>
            </w:r>
            <w:r w:rsidR="00BC561B" w:rsidRPr="009D31FB">
              <w:rPr>
                <w:rStyle w:val="Hyperlink"/>
                <w:noProof/>
              </w:rPr>
              <w:t>Parties’ Positions</w:t>
            </w:r>
            <w:r w:rsidR="00BC561B">
              <w:rPr>
                <w:noProof/>
                <w:webHidden/>
              </w:rPr>
              <w:tab/>
            </w:r>
            <w:r w:rsidR="00BC561B">
              <w:rPr>
                <w:noProof/>
                <w:webHidden/>
              </w:rPr>
              <w:fldChar w:fldCharType="begin"/>
            </w:r>
            <w:r w:rsidR="00BC561B">
              <w:rPr>
                <w:noProof/>
                <w:webHidden/>
              </w:rPr>
              <w:instrText xml:space="preserve"> PAGEREF _Toc32310236 \h </w:instrText>
            </w:r>
            <w:r w:rsidR="00BC561B">
              <w:rPr>
                <w:noProof/>
                <w:webHidden/>
              </w:rPr>
            </w:r>
            <w:r w:rsidR="00BC561B">
              <w:rPr>
                <w:noProof/>
                <w:webHidden/>
              </w:rPr>
              <w:fldChar w:fldCharType="separate"/>
            </w:r>
            <w:r>
              <w:rPr>
                <w:noProof/>
                <w:webHidden/>
              </w:rPr>
              <w:t>19</w:t>
            </w:r>
            <w:r w:rsidR="00BC561B">
              <w:rPr>
                <w:noProof/>
                <w:webHidden/>
              </w:rPr>
              <w:fldChar w:fldCharType="end"/>
            </w:r>
          </w:hyperlink>
        </w:p>
        <w:p w14:paraId="27785541" w14:textId="5D0BAD69" w:rsidR="00BC561B" w:rsidRDefault="00081764" w:rsidP="00BC561B">
          <w:pPr>
            <w:pStyle w:val="TOC3"/>
            <w:tabs>
              <w:tab w:val="right" w:leader="dot" w:pos="9350"/>
            </w:tabs>
            <w:ind w:left="1980"/>
            <w:rPr>
              <w:rFonts w:asciiTheme="minorHAnsi" w:hAnsiTheme="minorHAnsi" w:cstheme="minorBidi"/>
              <w:noProof/>
              <w:sz w:val="22"/>
            </w:rPr>
          </w:pPr>
          <w:hyperlink w:anchor="_Toc32310237" w:history="1">
            <w:r w:rsidR="00BC561B" w:rsidRPr="009D31FB">
              <w:rPr>
                <w:rStyle w:val="Hyperlink"/>
                <w:noProof/>
              </w:rPr>
              <w:t>3.1.3.</w:t>
            </w:r>
            <w:r w:rsidR="00BC561B">
              <w:rPr>
                <w:rFonts w:asciiTheme="minorHAnsi" w:hAnsiTheme="minorHAnsi" w:cstheme="minorBidi"/>
                <w:noProof/>
                <w:sz w:val="22"/>
              </w:rPr>
              <w:tab/>
            </w:r>
            <w:r w:rsidR="00BC561B" w:rsidRPr="009D31FB">
              <w:rPr>
                <w:rStyle w:val="Hyperlink"/>
                <w:noProof/>
              </w:rPr>
              <w:t xml:space="preserve">Analysis: The SB 1477 Pilot Program Budget and Compliance Costs Shall Be Apportioned Across the Four Gas Corporations According to Each Gas Corporation’s Percentage Share of Allocated Cap-and-Trade Allowances and Shall </w:t>
            </w:r>
            <w:r w:rsidR="000E38E6">
              <w:rPr>
                <w:rStyle w:val="Hyperlink"/>
                <w:noProof/>
              </w:rPr>
              <w:br/>
            </w:r>
            <w:r w:rsidR="00BC561B" w:rsidRPr="009D31FB">
              <w:rPr>
                <w:rStyle w:val="Hyperlink"/>
                <w:noProof/>
              </w:rPr>
              <w:t>Comply with Cap-and-Trade Regulations</w:t>
            </w:r>
            <w:r w:rsidR="00BC561B">
              <w:rPr>
                <w:noProof/>
                <w:webHidden/>
              </w:rPr>
              <w:tab/>
            </w:r>
            <w:r w:rsidR="00BC561B">
              <w:rPr>
                <w:noProof/>
                <w:webHidden/>
              </w:rPr>
              <w:fldChar w:fldCharType="begin"/>
            </w:r>
            <w:r w:rsidR="00BC561B">
              <w:rPr>
                <w:noProof/>
                <w:webHidden/>
              </w:rPr>
              <w:instrText xml:space="preserve"> PAGEREF _Toc32310237 \h </w:instrText>
            </w:r>
            <w:r w:rsidR="00BC561B">
              <w:rPr>
                <w:noProof/>
                <w:webHidden/>
              </w:rPr>
            </w:r>
            <w:r w:rsidR="00BC561B">
              <w:rPr>
                <w:noProof/>
                <w:webHidden/>
              </w:rPr>
              <w:fldChar w:fldCharType="separate"/>
            </w:r>
            <w:r>
              <w:rPr>
                <w:noProof/>
                <w:webHidden/>
              </w:rPr>
              <w:t>24</w:t>
            </w:r>
            <w:r w:rsidR="00BC561B">
              <w:rPr>
                <w:noProof/>
                <w:webHidden/>
              </w:rPr>
              <w:fldChar w:fldCharType="end"/>
            </w:r>
          </w:hyperlink>
        </w:p>
        <w:p w14:paraId="4E6B6665" w14:textId="728B0BBC" w:rsidR="00BC561B" w:rsidRDefault="00081764" w:rsidP="00BC561B">
          <w:pPr>
            <w:pStyle w:val="TOC3"/>
            <w:tabs>
              <w:tab w:val="right" w:leader="dot" w:pos="9350"/>
            </w:tabs>
            <w:ind w:left="1980"/>
            <w:rPr>
              <w:rFonts w:asciiTheme="minorHAnsi" w:hAnsiTheme="minorHAnsi" w:cstheme="minorBidi"/>
              <w:noProof/>
              <w:sz w:val="22"/>
            </w:rPr>
          </w:pPr>
          <w:hyperlink w:anchor="_Toc32310238" w:history="1">
            <w:r w:rsidR="00BC561B" w:rsidRPr="009D31FB">
              <w:rPr>
                <w:rStyle w:val="Hyperlink"/>
                <w:noProof/>
              </w:rPr>
              <w:t>3.1.4.</w:t>
            </w:r>
            <w:r w:rsidR="00BC561B">
              <w:rPr>
                <w:rFonts w:asciiTheme="minorHAnsi" w:hAnsiTheme="minorHAnsi" w:cstheme="minorBidi"/>
                <w:noProof/>
                <w:sz w:val="22"/>
              </w:rPr>
              <w:tab/>
            </w:r>
            <w:r w:rsidR="00BC561B" w:rsidRPr="009D31FB">
              <w:rPr>
                <w:rStyle w:val="Hyperlink"/>
                <w:noProof/>
              </w:rPr>
              <w:t xml:space="preserve">Analysis: </w:t>
            </w:r>
            <w:r w:rsidR="00A00CE1">
              <w:rPr>
                <w:rStyle w:val="Hyperlink"/>
                <w:noProof/>
              </w:rPr>
              <w:t xml:space="preserve"> </w:t>
            </w:r>
            <w:r w:rsidR="00BC561B" w:rsidRPr="009D31FB">
              <w:rPr>
                <w:rStyle w:val="Hyperlink"/>
                <w:noProof/>
              </w:rPr>
              <w:t xml:space="preserve">The SB 1477 Pilot Program Budget  Shall Appropriate 40 Percent of Program Funds to the BUILD Program </w:t>
            </w:r>
            <w:r w:rsidR="00FF12CE">
              <w:rPr>
                <w:rStyle w:val="Hyperlink"/>
                <w:noProof/>
              </w:rPr>
              <w:br/>
            </w:r>
            <w:r w:rsidR="00BC561B" w:rsidRPr="009D31FB">
              <w:rPr>
                <w:rStyle w:val="Hyperlink"/>
                <w:noProof/>
              </w:rPr>
              <w:t>and 60 Percent of  Program Funds to the TECH Initiative</w:t>
            </w:r>
            <w:r w:rsidR="00BC561B">
              <w:rPr>
                <w:noProof/>
                <w:webHidden/>
              </w:rPr>
              <w:tab/>
            </w:r>
            <w:r w:rsidR="00BC561B">
              <w:rPr>
                <w:noProof/>
                <w:webHidden/>
              </w:rPr>
              <w:fldChar w:fldCharType="begin"/>
            </w:r>
            <w:r w:rsidR="00BC561B">
              <w:rPr>
                <w:noProof/>
                <w:webHidden/>
              </w:rPr>
              <w:instrText xml:space="preserve"> PAGEREF _Toc32310238 \h </w:instrText>
            </w:r>
            <w:r w:rsidR="00BC561B">
              <w:rPr>
                <w:noProof/>
                <w:webHidden/>
              </w:rPr>
            </w:r>
            <w:r w:rsidR="00BC561B">
              <w:rPr>
                <w:noProof/>
                <w:webHidden/>
              </w:rPr>
              <w:fldChar w:fldCharType="separate"/>
            </w:r>
            <w:r>
              <w:rPr>
                <w:noProof/>
                <w:webHidden/>
              </w:rPr>
              <w:t>28</w:t>
            </w:r>
            <w:r w:rsidR="00BC561B">
              <w:rPr>
                <w:noProof/>
                <w:webHidden/>
              </w:rPr>
              <w:fldChar w:fldCharType="end"/>
            </w:r>
          </w:hyperlink>
        </w:p>
        <w:p w14:paraId="09440AFC" w14:textId="5D8F05C9" w:rsidR="00BC561B" w:rsidRDefault="00081764" w:rsidP="00BC561B">
          <w:pPr>
            <w:pStyle w:val="TOC2"/>
            <w:tabs>
              <w:tab w:val="right" w:leader="dot" w:pos="9350"/>
            </w:tabs>
            <w:ind w:left="1080"/>
            <w:rPr>
              <w:rFonts w:asciiTheme="minorHAnsi" w:hAnsiTheme="minorHAnsi" w:cstheme="minorBidi"/>
              <w:noProof/>
              <w:sz w:val="22"/>
            </w:rPr>
          </w:pPr>
          <w:hyperlink w:anchor="_Toc32310239" w:history="1">
            <w:r w:rsidR="00BC561B" w:rsidRPr="009D31FB">
              <w:rPr>
                <w:rStyle w:val="Hyperlink"/>
                <w:bCs/>
                <w:noProof/>
              </w:rPr>
              <w:t>3.2.</w:t>
            </w:r>
            <w:r w:rsidR="00BC561B">
              <w:rPr>
                <w:rFonts w:asciiTheme="minorHAnsi" w:hAnsiTheme="minorHAnsi" w:cstheme="minorBidi"/>
                <w:noProof/>
                <w:sz w:val="22"/>
              </w:rPr>
              <w:tab/>
            </w:r>
            <w:r w:rsidR="00BC561B" w:rsidRPr="009D31FB">
              <w:rPr>
                <w:rStyle w:val="Hyperlink"/>
                <w:noProof/>
              </w:rPr>
              <w:t xml:space="preserve">Pilot Program Guidelines, Program Metrics,  </w:t>
            </w:r>
            <w:r w:rsidR="00BC561B">
              <w:rPr>
                <w:rStyle w:val="Hyperlink"/>
                <w:noProof/>
              </w:rPr>
              <w:br/>
            </w:r>
            <w:r w:rsidR="00BC561B" w:rsidRPr="009D31FB">
              <w:rPr>
                <w:rStyle w:val="Hyperlink"/>
                <w:noProof/>
              </w:rPr>
              <w:t>and Performance Evaluation</w:t>
            </w:r>
            <w:r w:rsidR="00BC561B">
              <w:rPr>
                <w:noProof/>
                <w:webHidden/>
              </w:rPr>
              <w:tab/>
            </w:r>
            <w:r w:rsidR="00BC561B">
              <w:rPr>
                <w:noProof/>
                <w:webHidden/>
              </w:rPr>
              <w:fldChar w:fldCharType="begin"/>
            </w:r>
            <w:r w:rsidR="00BC561B">
              <w:rPr>
                <w:noProof/>
                <w:webHidden/>
              </w:rPr>
              <w:instrText xml:space="preserve"> PAGEREF _Toc32310239 \h </w:instrText>
            </w:r>
            <w:r w:rsidR="00BC561B">
              <w:rPr>
                <w:noProof/>
                <w:webHidden/>
              </w:rPr>
            </w:r>
            <w:r w:rsidR="00BC561B">
              <w:rPr>
                <w:noProof/>
                <w:webHidden/>
              </w:rPr>
              <w:fldChar w:fldCharType="separate"/>
            </w:r>
            <w:r>
              <w:rPr>
                <w:noProof/>
                <w:webHidden/>
              </w:rPr>
              <w:t>32</w:t>
            </w:r>
            <w:r w:rsidR="00BC561B">
              <w:rPr>
                <w:noProof/>
                <w:webHidden/>
              </w:rPr>
              <w:fldChar w:fldCharType="end"/>
            </w:r>
          </w:hyperlink>
        </w:p>
        <w:p w14:paraId="1266144E" w14:textId="22A12292" w:rsidR="00BC561B" w:rsidRDefault="00081764" w:rsidP="00BC561B">
          <w:pPr>
            <w:pStyle w:val="TOC3"/>
            <w:tabs>
              <w:tab w:val="right" w:leader="dot" w:pos="9350"/>
            </w:tabs>
            <w:ind w:left="1980"/>
            <w:rPr>
              <w:rFonts w:asciiTheme="minorHAnsi" w:hAnsiTheme="minorHAnsi" w:cstheme="minorBidi"/>
              <w:noProof/>
              <w:sz w:val="22"/>
            </w:rPr>
          </w:pPr>
          <w:hyperlink w:anchor="_Toc32310240" w:history="1">
            <w:r w:rsidR="00BC561B" w:rsidRPr="009D31FB">
              <w:rPr>
                <w:rStyle w:val="Hyperlink"/>
                <w:noProof/>
              </w:rPr>
              <w:t>3.2.1.</w:t>
            </w:r>
            <w:r w:rsidR="00BC561B">
              <w:rPr>
                <w:rFonts w:asciiTheme="minorHAnsi" w:hAnsiTheme="minorHAnsi" w:cstheme="minorBidi"/>
                <w:noProof/>
                <w:sz w:val="22"/>
              </w:rPr>
              <w:tab/>
            </w:r>
            <w:r w:rsidR="00BC561B" w:rsidRPr="009D31FB">
              <w:rPr>
                <w:rStyle w:val="Hyperlink"/>
                <w:noProof/>
              </w:rPr>
              <w:t>Staff Proposal Summary</w:t>
            </w:r>
            <w:r w:rsidR="00BC561B">
              <w:rPr>
                <w:noProof/>
                <w:webHidden/>
              </w:rPr>
              <w:tab/>
            </w:r>
            <w:r w:rsidR="00BC561B">
              <w:rPr>
                <w:noProof/>
                <w:webHidden/>
              </w:rPr>
              <w:fldChar w:fldCharType="begin"/>
            </w:r>
            <w:r w:rsidR="00BC561B">
              <w:rPr>
                <w:noProof/>
                <w:webHidden/>
              </w:rPr>
              <w:instrText xml:space="preserve"> PAGEREF _Toc32310240 \h </w:instrText>
            </w:r>
            <w:r w:rsidR="00BC561B">
              <w:rPr>
                <w:noProof/>
                <w:webHidden/>
              </w:rPr>
            </w:r>
            <w:r w:rsidR="00BC561B">
              <w:rPr>
                <w:noProof/>
                <w:webHidden/>
              </w:rPr>
              <w:fldChar w:fldCharType="separate"/>
            </w:r>
            <w:r>
              <w:rPr>
                <w:noProof/>
                <w:webHidden/>
              </w:rPr>
              <w:t>32</w:t>
            </w:r>
            <w:r w:rsidR="00BC561B">
              <w:rPr>
                <w:noProof/>
                <w:webHidden/>
              </w:rPr>
              <w:fldChar w:fldCharType="end"/>
            </w:r>
          </w:hyperlink>
        </w:p>
        <w:p w14:paraId="7125B4FF" w14:textId="1D432FC2" w:rsidR="00BC561B" w:rsidRDefault="00081764" w:rsidP="00BC561B">
          <w:pPr>
            <w:pStyle w:val="TOC3"/>
            <w:tabs>
              <w:tab w:val="right" w:leader="dot" w:pos="9350"/>
            </w:tabs>
            <w:ind w:left="1980"/>
            <w:rPr>
              <w:rFonts w:asciiTheme="minorHAnsi" w:hAnsiTheme="minorHAnsi" w:cstheme="minorBidi"/>
              <w:noProof/>
              <w:sz w:val="22"/>
            </w:rPr>
          </w:pPr>
          <w:hyperlink w:anchor="_Toc32310241" w:history="1">
            <w:r w:rsidR="00BC561B" w:rsidRPr="009D31FB">
              <w:rPr>
                <w:rStyle w:val="Hyperlink"/>
                <w:noProof/>
              </w:rPr>
              <w:t>3.2.2.</w:t>
            </w:r>
            <w:r w:rsidR="00BC561B">
              <w:rPr>
                <w:rFonts w:asciiTheme="minorHAnsi" w:hAnsiTheme="minorHAnsi" w:cstheme="minorBidi"/>
                <w:noProof/>
                <w:sz w:val="22"/>
              </w:rPr>
              <w:tab/>
            </w:r>
            <w:r w:rsidR="00BC561B" w:rsidRPr="009D31FB">
              <w:rPr>
                <w:rStyle w:val="Hyperlink"/>
                <w:noProof/>
              </w:rPr>
              <w:t>Parties’ Positions</w:t>
            </w:r>
            <w:r w:rsidR="00BC561B">
              <w:rPr>
                <w:noProof/>
                <w:webHidden/>
              </w:rPr>
              <w:tab/>
            </w:r>
            <w:r w:rsidR="00BC561B">
              <w:rPr>
                <w:noProof/>
                <w:webHidden/>
              </w:rPr>
              <w:fldChar w:fldCharType="begin"/>
            </w:r>
            <w:r w:rsidR="00BC561B">
              <w:rPr>
                <w:noProof/>
                <w:webHidden/>
              </w:rPr>
              <w:instrText xml:space="preserve"> PAGEREF _Toc32310241 \h </w:instrText>
            </w:r>
            <w:r w:rsidR="00BC561B">
              <w:rPr>
                <w:noProof/>
                <w:webHidden/>
              </w:rPr>
            </w:r>
            <w:r w:rsidR="00BC561B">
              <w:rPr>
                <w:noProof/>
                <w:webHidden/>
              </w:rPr>
              <w:fldChar w:fldCharType="separate"/>
            </w:r>
            <w:r>
              <w:rPr>
                <w:noProof/>
                <w:webHidden/>
              </w:rPr>
              <w:t>34</w:t>
            </w:r>
            <w:r w:rsidR="00BC561B">
              <w:rPr>
                <w:noProof/>
                <w:webHidden/>
              </w:rPr>
              <w:fldChar w:fldCharType="end"/>
            </w:r>
          </w:hyperlink>
        </w:p>
        <w:p w14:paraId="4E9D9179" w14:textId="519BB3FA" w:rsidR="00BC561B" w:rsidRDefault="00081764" w:rsidP="00BC561B">
          <w:pPr>
            <w:pStyle w:val="TOC3"/>
            <w:tabs>
              <w:tab w:val="right" w:leader="dot" w:pos="9350"/>
            </w:tabs>
            <w:ind w:left="1980"/>
            <w:rPr>
              <w:rFonts w:asciiTheme="minorHAnsi" w:hAnsiTheme="minorHAnsi" w:cstheme="minorBidi"/>
              <w:noProof/>
              <w:sz w:val="22"/>
            </w:rPr>
          </w:pPr>
          <w:hyperlink w:anchor="_Toc32310242" w:history="1">
            <w:r w:rsidR="00BC561B" w:rsidRPr="009D31FB">
              <w:rPr>
                <w:rStyle w:val="Hyperlink"/>
                <w:noProof/>
              </w:rPr>
              <w:t>3.2.3.</w:t>
            </w:r>
            <w:r w:rsidR="00BC561B">
              <w:rPr>
                <w:rFonts w:asciiTheme="minorHAnsi" w:hAnsiTheme="minorHAnsi" w:cstheme="minorBidi"/>
                <w:noProof/>
                <w:sz w:val="22"/>
              </w:rPr>
              <w:tab/>
            </w:r>
            <w:r w:rsidR="00BC561B" w:rsidRPr="009D31FB">
              <w:rPr>
                <w:rStyle w:val="Hyperlink"/>
                <w:noProof/>
              </w:rPr>
              <w:t>Analysis:  To Fulfill SB 1477’s Program Evaluation Requirements, a Single Evaluator Shall Evaluate Both the BUILD Program and the TECH Initiative at the Initiation of Both Pilot Programs,  and Throughout Implementation</w:t>
            </w:r>
            <w:r w:rsidR="00BC561B">
              <w:rPr>
                <w:noProof/>
                <w:webHidden/>
              </w:rPr>
              <w:tab/>
            </w:r>
            <w:r w:rsidR="00BC561B">
              <w:rPr>
                <w:noProof/>
                <w:webHidden/>
              </w:rPr>
              <w:fldChar w:fldCharType="begin"/>
            </w:r>
            <w:r w:rsidR="00BC561B">
              <w:rPr>
                <w:noProof/>
                <w:webHidden/>
              </w:rPr>
              <w:instrText xml:space="preserve"> PAGEREF _Toc32310242 \h </w:instrText>
            </w:r>
            <w:r w:rsidR="00BC561B">
              <w:rPr>
                <w:noProof/>
                <w:webHidden/>
              </w:rPr>
            </w:r>
            <w:r w:rsidR="00BC561B">
              <w:rPr>
                <w:noProof/>
                <w:webHidden/>
              </w:rPr>
              <w:fldChar w:fldCharType="separate"/>
            </w:r>
            <w:r>
              <w:rPr>
                <w:noProof/>
                <w:webHidden/>
              </w:rPr>
              <w:t>37</w:t>
            </w:r>
            <w:r w:rsidR="00BC561B">
              <w:rPr>
                <w:noProof/>
                <w:webHidden/>
              </w:rPr>
              <w:fldChar w:fldCharType="end"/>
            </w:r>
          </w:hyperlink>
        </w:p>
        <w:p w14:paraId="0DE2AC19" w14:textId="061E724E" w:rsidR="00BC561B" w:rsidRDefault="00081764" w:rsidP="00BC561B">
          <w:pPr>
            <w:pStyle w:val="TOC3"/>
            <w:tabs>
              <w:tab w:val="right" w:leader="dot" w:pos="9350"/>
            </w:tabs>
            <w:ind w:left="1980"/>
            <w:rPr>
              <w:rFonts w:asciiTheme="minorHAnsi" w:hAnsiTheme="minorHAnsi" w:cstheme="minorBidi"/>
              <w:noProof/>
              <w:sz w:val="22"/>
            </w:rPr>
          </w:pPr>
          <w:hyperlink w:anchor="_Toc32310243" w:history="1">
            <w:r w:rsidR="00BC561B" w:rsidRPr="009D31FB">
              <w:rPr>
                <w:rStyle w:val="Hyperlink"/>
                <w:noProof/>
              </w:rPr>
              <w:t>3.2.4.</w:t>
            </w:r>
            <w:r w:rsidR="00BC561B">
              <w:rPr>
                <w:rFonts w:asciiTheme="minorHAnsi" w:hAnsiTheme="minorHAnsi" w:cstheme="minorBidi"/>
                <w:noProof/>
                <w:sz w:val="22"/>
              </w:rPr>
              <w:tab/>
            </w:r>
            <w:r w:rsidR="00BC561B" w:rsidRPr="009D31FB">
              <w:rPr>
                <w:rStyle w:val="Hyperlink"/>
                <w:noProof/>
              </w:rPr>
              <w:t xml:space="preserve">Analysis:  The BUILD Program and TECH  Initiative Evaluator Shall Use the GHG Benefits Metrics as a Primary Factor </w:t>
            </w:r>
            <w:r w:rsidR="00BC561B">
              <w:rPr>
                <w:rStyle w:val="Hyperlink"/>
                <w:noProof/>
              </w:rPr>
              <w:br/>
            </w:r>
            <w:r w:rsidR="00BC561B" w:rsidRPr="009D31FB">
              <w:rPr>
                <w:rStyle w:val="Hyperlink"/>
                <w:noProof/>
              </w:rPr>
              <w:t>for Measuring Success</w:t>
            </w:r>
            <w:r w:rsidR="00BC561B">
              <w:rPr>
                <w:noProof/>
                <w:webHidden/>
              </w:rPr>
              <w:tab/>
            </w:r>
            <w:r w:rsidR="00BC561B">
              <w:rPr>
                <w:noProof/>
                <w:webHidden/>
              </w:rPr>
              <w:fldChar w:fldCharType="begin"/>
            </w:r>
            <w:r w:rsidR="00BC561B">
              <w:rPr>
                <w:noProof/>
                <w:webHidden/>
              </w:rPr>
              <w:instrText xml:space="preserve"> PAGEREF _Toc32310243 \h </w:instrText>
            </w:r>
            <w:r w:rsidR="00BC561B">
              <w:rPr>
                <w:noProof/>
                <w:webHidden/>
              </w:rPr>
            </w:r>
            <w:r w:rsidR="00BC561B">
              <w:rPr>
                <w:noProof/>
                <w:webHidden/>
              </w:rPr>
              <w:fldChar w:fldCharType="separate"/>
            </w:r>
            <w:r>
              <w:rPr>
                <w:noProof/>
                <w:webHidden/>
              </w:rPr>
              <w:t>39</w:t>
            </w:r>
            <w:r w:rsidR="00BC561B">
              <w:rPr>
                <w:noProof/>
                <w:webHidden/>
              </w:rPr>
              <w:fldChar w:fldCharType="end"/>
            </w:r>
          </w:hyperlink>
        </w:p>
        <w:p w14:paraId="4BF0E617" w14:textId="6891CD4F" w:rsidR="00BC561B" w:rsidRDefault="00081764" w:rsidP="00BC561B">
          <w:pPr>
            <w:pStyle w:val="TOC2"/>
            <w:tabs>
              <w:tab w:val="right" w:leader="dot" w:pos="9350"/>
            </w:tabs>
            <w:ind w:left="1080"/>
            <w:rPr>
              <w:rFonts w:asciiTheme="minorHAnsi" w:hAnsiTheme="minorHAnsi" w:cstheme="minorBidi"/>
              <w:noProof/>
              <w:sz w:val="22"/>
            </w:rPr>
          </w:pPr>
          <w:hyperlink w:anchor="_Toc32310244" w:history="1">
            <w:r w:rsidR="00BC561B" w:rsidRPr="009D31FB">
              <w:rPr>
                <w:rStyle w:val="Hyperlink"/>
                <w:noProof/>
              </w:rPr>
              <w:t>3.3.</w:t>
            </w:r>
            <w:r w:rsidR="00BC561B">
              <w:rPr>
                <w:rFonts w:asciiTheme="minorHAnsi" w:hAnsiTheme="minorHAnsi" w:cstheme="minorBidi"/>
                <w:noProof/>
                <w:sz w:val="22"/>
              </w:rPr>
              <w:tab/>
            </w:r>
            <w:r w:rsidR="00BC561B" w:rsidRPr="009D31FB">
              <w:rPr>
                <w:rStyle w:val="Hyperlink"/>
                <w:noProof/>
              </w:rPr>
              <w:t>Pilot Programs Education and Outreach</w:t>
            </w:r>
            <w:r w:rsidR="00BC561B">
              <w:rPr>
                <w:noProof/>
                <w:webHidden/>
              </w:rPr>
              <w:tab/>
            </w:r>
            <w:r w:rsidR="00BC561B">
              <w:rPr>
                <w:noProof/>
                <w:webHidden/>
              </w:rPr>
              <w:fldChar w:fldCharType="begin"/>
            </w:r>
            <w:r w:rsidR="00BC561B">
              <w:rPr>
                <w:noProof/>
                <w:webHidden/>
              </w:rPr>
              <w:instrText xml:space="preserve"> PAGEREF _Toc32310244 \h </w:instrText>
            </w:r>
            <w:r w:rsidR="00BC561B">
              <w:rPr>
                <w:noProof/>
                <w:webHidden/>
              </w:rPr>
            </w:r>
            <w:r w:rsidR="00BC561B">
              <w:rPr>
                <w:noProof/>
                <w:webHidden/>
              </w:rPr>
              <w:fldChar w:fldCharType="separate"/>
            </w:r>
            <w:r>
              <w:rPr>
                <w:noProof/>
                <w:webHidden/>
              </w:rPr>
              <w:t>41</w:t>
            </w:r>
            <w:r w:rsidR="00BC561B">
              <w:rPr>
                <w:noProof/>
                <w:webHidden/>
              </w:rPr>
              <w:fldChar w:fldCharType="end"/>
            </w:r>
          </w:hyperlink>
        </w:p>
        <w:p w14:paraId="73B7E43B" w14:textId="525C5EA7" w:rsidR="00BC561B" w:rsidRDefault="00081764" w:rsidP="00BC561B">
          <w:pPr>
            <w:pStyle w:val="TOC3"/>
            <w:tabs>
              <w:tab w:val="right" w:leader="dot" w:pos="9350"/>
            </w:tabs>
            <w:ind w:left="1980"/>
            <w:rPr>
              <w:rFonts w:asciiTheme="minorHAnsi" w:hAnsiTheme="minorHAnsi" w:cstheme="minorBidi"/>
              <w:noProof/>
              <w:sz w:val="22"/>
            </w:rPr>
          </w:pPr>
          <w:hyperlink w:anchor="_Toc32310245" w:history="1">
            <w:r w:rsidR="00BC561B" w:rsidRPr="009D31FB">
              <w:rPr>
                <w:rStyle w:val="Hyperlink"/>
                <w:noProof/>
              </w:rPr>
              <w:t>3.3.1.</w:t>
            </w:r>
            <w:r w:rsidR="00BC561B">
              <w:rPr>
                <w:rFonts w:asciiTheme="minorHAnsi" w:hAnsiTheme="minorHAnsi" w:cstheme="minorBidi"/>
                <w:noProof/>
                <w:sz w:val="22"/>
              </w:rPr>
              <w:tab/>
            </w:r>
            <w:r w:rsidR="00BC561B" w:rsidRPr="009D31FB">
              <w:rPr>
                <w:rStyle w:val="Hyperlink"/>
                <w:noProof/>
              </w:rPr>
              <w:t>Staff Proposal Summary</w:t>
            </w:r>
            <w:r w:rsidR="00BC561B">
              <w:rPr>
                <w:noProof/>
                <w:webHidden/>
              </w:rPr>
              <w:tab/>
            </w:r>
            <w:r w:rsidR="00BC561B">
              <w:rPr>
                <w:noProof/>
                <w:webHidden/>
              </w:rPr>
              <w:fldChar w:fldCharType="begin"/>
            </w:r>
            <w:r w:rsidR="00BC561B">
              <w:rPr>
                <w:noProof/>
                <w:webHidden/>
              </w:rPr>
              <w:instrText xml:space="preserve"> PAGEREF _Toc32310245 \h </w:instrText>
            </w:r>
            <w:r w:rsidR="00BC561B">
              <w:rPr>
                <w:noProof/>
                <w:webHidden/>
              </w:rPr>
            </w:r>
            <w:r w:rsidR="00BC561B">
              <w:rPr>
                <w:noProof/>
                <w:webHidden/>
              </w:rPr>
              <w:fldChar w:fldCharType="separate"/>
            </w:r>
            <w:r>
              <w:rPr>
                <w:noProof/>
                <w:webHidden/>
              </w:rPr>
              <w:t>41</w:t>
            </w:r>
            <w:r w:rsidR="00BC561B">
              <w:rPr>
                <w:noProof/>
                <w:webHidden/>
              </w:rPr>
              <w:fldChar w:fldCharType="end"/>
            </w:r>
          </w:hyperlink>
        </w:p>
        <w:p w14:paraId="70BBB081" w14:textId="16C6471D" w:rsidR="00BC561B" w:rsidRDefault="00081764" w:rsidP="00BC561B">
          <w:pPr>
            <w:pStyle w:val="TOC3"/>
            <w:tabs>
              <w:tab w:val="right" w:leader="dot" w:pos="9350"/>
            </w:tabs>
            <w:ind w:left="1980"/>
            <w:rPr>
              <w:rFonts w:asciiTheme="minorHAnsi" w:hAnsiTheme="minorHAnsi" w:cstheme="minorBidi"/>
              <w:noProof/>
              <w:sz w:val="22"/>
            </w:rPr>
          </w:pPr>
          <w:hyperlink w:anchor="_Toc32310246" w:history="1">
            <w:r w:rsidR="00BC561B" w:rsidRPr="009D31FB">
              <w:rPr>
                <w:rStyle w:val="Hyperlink"/>
                <w:noProof/>
              </w:rPr>
              <w:t>3.3.2.</w:t>
            </w:r>
            <w:r w:rsidR="00BC561B">
              <w:rPr>
                <w:rFonts w:asciiTheme="minorHAnsi" w:hAnsiTheme="minorHAnsi" w:cstheme="minorBidi"/>
                <w:noProof/>
                <w:sz w:val="22"/>
              </w:rPr>
              <w:tab/>
            </w:r>
            <w:r w:rsidR="00BC561B" w:rsidRPr="009D31FB">
              <w:rPr>
                <w:rStyle w:val="Hyperlink"/>
                <w:noProof/>
              </w:rPr>
              <w:t>Parties’ Positions</w:t>
            </w:r>
            <w:r w:rsidR="00BC561B">
              <w:rPr>
                <w:noProof/>
                <w:webHidden/>
              </w:rPr>
              <w:tab/>
            </w:r>
            <w:r w:rsidR="00BC561B">
              <w:rPr>
                <w:noProof/>
                <w:webHidden/>
              </w:rPr>
              <w:fldChar w:fldCharType="begin"/>
            </w:r>
            <w:r w:rsidR="00BC561B">
              <w:rPr>
                <w:noProof/>
                <w:webHidden/>
              </w:rPr>
              <w:instrText xml:space="preserve"> PAGEREF _Toc32310246 \h </w:instrText>
            </w:r>
            <w:r w:rsidR="00BC561B">
              <w:rPr>
                <w:noProof/>
                <w:webHidden/>
              </w:rPr>
            </w:r>
            <w:r w:rsidR="00BC561B">
              <w:rPr>
                <w:noProof/>
                <w:webHidden/>
              </w:rPr>
              <w:fldChar w:fldCharType="separate"/>
            </w:r>
            <w:r>
              <w:rPr>
                <w:noProof/>
                <w:webHidden/>
              </w:rPr>
              <w:t>42</w:t>
            </w:r>
            <w:r w:rsidR="00BC561B">
              <w:rPr>
                <w:noProof/>
                <w:webHidden/>
              </w:rPr>
              <w:fldChar w:fldCharType="end"/>
            </w:r>
          </w:hyperlink>
        </w:p>
        <w:p w14:paraId="6B6F357A" w14:textId="384CDB2A" w:rsidR="00BC561B" w:rsidRDefault="00081764" w:rsidP="00BC561B">
          <w:pPr>
            <w:pStyle w:val="TOC3"/>
            <w:tabs>
              <w:tab w:val="right" w:leader="dot" w:pos="9350"/>
            </w:tabs>
            <w:ind w:left="1980"/>
            <w:rPr>
              <w:rFonts w:asciiTheme="minorHAnsi" w:hAnsiTheme="minorHAnsi" w:cstheme="minorBidi"/>
              <w:noProof/>
              <w:sz w:val="22"/>
            </w:rPr>
          </w:pPr>
          <w:hyperlink w:anchor="_Toc32310247" w:history="1">
            <w:r w:rsidR="00BC561B" w:rsidRPr="009D31FB">
              <w:rPr>
                <w:rStyle w:val="Hyperlink"/>
                <w:noProof/>
              </w:rPr>
              <w:t>3.3.3.</w:t>
            </w:r>
            <w:r w:rsidR="00BC561B">
              <w:rPr>
                <w:rFonts w:asciiTheme="minorHAnsi" w:hAnsiTheme="minorHAnsi" w:cstheme="minorBidi"/>
                <w:noProof/>
                <w:sz w:val="22"/>
              </w:rPr>
              <w:tab/>
            </w:r>
            <w:r w:rsidR="00BC561B" w:rsidRPr="009D31FB">
              <w:rPr>
                <w:rStyle w:val="Hyperlink"/>
                <w:noProof/>
              </w:rPr>
              <w:t xml:space="preserve">Analysis:  A Successful Education and Outreach Campaign for the Pilot Programs Shall Have a Calibrated Approach with Technical Assistance Activities to Ensure Effective Market Adoption of Building Decarbonization Strategies Education and outreach will increase the effectiveness of the </w:t>
            </w:r>
            <w:r w:rsidR="00BC561B">
              <w:rPr>
                <w:rStyle w:val="Hyperlink"/>
                <w:noProof/>
              </w:rPr>
              <w:br/>
            </w:r>
            <w:r w:rsidR="00BC561B" w:rsidRPr="009D31FB">
              <w:rPr>
                <w:rStyle w:val="Hyperlink"/>
                <w:noProof/>
              </w:rPr>
              <w:t>BUILD Program and TECH Initiative</w:t>
            </w:r>
            <w:r w:rsidR="00BC561B">
              <w:rPr>
                <w:noProof/>
                <w:webHidden/>
              </w:rPr>
              <w:tab/>
            </w:r>
            <w:r w:rsidR="00BC561B">
              <w:rPr>
                <w:noProof/>
                <w:webHidden/>
              </w:rPr>
              <w:fldChar w:fldCharType="begin"/>
            </w:r>
            <w:r w:rsidR="00BC561B">
              <w:rPr>
                <w:noProof/>
                <w:webHidden/>
              </w:rPr>
              <w:instrText xml:space="preserve"> PAGEREF _Toc32310247 \h </w:instrText>
            </w:r>
            <w:r w:rsidR="00BC561B">
              <w:rPr>
                <w:noProof/>
                <w:webHidden/>
              </w:rPr>
            </w:r>
            <w:r w:rsidR="00BC561B">
              <w:rPr>
                <w:noProof/>
                <w:webHidden/>
              </w:rPr>
              <w:fldChar w:fldCharType="separate"/>
            </w:r>
            <w:r>
              <w:rPr>
                <w:noProof/>
                <w:webHidden/>
              </w:rPr>
              <w:t>43</w:t>
            </w:r>
            <w:r w:rsidR="00BC561B">
              <w:rPr>
                <w:noProof/>
                <w:webHidden/>
              </w:rPr>
              <w:fldChar w:fldCharType="end"/>
            </w:r>
          </w:hyperlink>
        </w:p>
        <w:p w14:paraId="246389D3" w14:textId="1D2B700B" w:rsidR="00BC561B" w:rsidRDefault="00081764" w:rsidP="00BC561B">
          <w:pPr>
            <w:pStyle w:val="TOC2"/>
            <w:tabs>
              <w:tab w:val="right" w:leader="dot" w:pos="9350"/>
            </w:tabs>
            <w:ind w:left="1080"/>
            <w:rPr>
              <w:rFonts w:asciiTheme="minorHAnsi" w:hAnsiTheme="minorHAnsi" w:cstheme="minorBidi"/>
              <w:noProof/>
              <w:sz w:val="22"/>
            </w:rPr>
          </w:pPr>
          <w:hyperlink w:anchor="_Toc32310248" w:history="1">
            <w:r w:rsidR="00BC561B" w:rsidRPr="009D31FB">
              <w:rPr>
                <w:rStyle w:val="Hyperlink"/>
                <w:noProof/>
              </w:rPr>
              <w:t>3.4.</w:t>
            </w:r>
            <w:r w:rsidR="00BC561B">
              <w:rPr>
                <w:rFonts w:asciiTheme="minorHAnsi" w:hAnsiTheme="minorHAnsi" w:cstheme="minorBidi"/>
                <w:noProof/>
                <w:sz w:val="22"/>
              </w:rPr>
              <w:tab/>
            </w:r>
            <w:r w:rsidR="00BC561B" w:rsidRPr="009D31FB">
              <w:rPr>
                <w:rStyle w:val="Hyperlink"/>
                <w:noProof/>
              </w:rPr>
              <w:t>Refrigerants</w:t>
            </w:r>
            <w:r w:rsidR="00BC561B">
              <w:rPr>
                <w:noProof/>
                <w:webHidden/>
              </w:rPr>
              <w:tab/>
            </w:r>
            <w:r w:rsidR="00BC561B">
              <w:rPr>
                <w:noProof/>
                <w:webHidden/>
              </w:rPr>
              <w:fldChar w:fldCharType="begin"/>
            </w:r>
            <w:r w:rsidR="00BC561B">
              <w:rPr>
                <w:noProof/>
                <w:webHidden/>
              </w:rPr>
              <w:instrText xml:space="preserve"> PAGEREF _Toc32310248 \h </w:instrText>
            </w:r>
            <w:r w:rsidR="00BC561B">
              <w:rPr>
                <w:noProof/>
                <w:webHidden/>
              </w:rPr>
            </w:r>
            <w:r w:rsidR="00BC561B">
              <w:rPr>
                <w:noProof/>
                <w:webHidden/>
              </w:rPr>
              <w:fldChar w:fldCharType="separate"/>
            </w:r>
            <w:r>
              <w:rPr>
                <w:noProof/>
                <w:webHidden/>
              </w:rPr>
              <w:t>45</w:t>
            </w:r>
            <w:r w:rsidR="00BC561B">
              <w:rPr>
                <w:noProof/>
                <w:webHidden/>
              </w:rPr>
              <w:fldChar w:fldCharType="end"/>
            </w:r>
          </w:hyperlink>
        </w:p>
        <w:p w14:paraId="19AB2AE9" w14:textId="1D1C0D2E" w:rsidR="00BC561B" w:rsidRDefault="00081764" w:rsidP="00BC561B">
          <w:pPr>
            <w:pStyle w:val="TOC3"/>
            <w:tabs>
              <w:tab w:val="right" w:leader="dot" w:pos="9350"/>
            </w:tabs>
            <w:ind w:left="1980"/>
            <w:rPr>
              <w:rFonts w:asciiTheme="minorHAnsi" w:hAnsiTheme="minorHAnsi" w:cstheme="minorBidi"/>
              <w:noProof/>
              <w:sz w:val="22"/>
            </w:rPr>
          </w:pPr>
          <w:hyperlink w:anchor="_Toc32310249" w:history="1">
            <w:r w:rsidR="00BC561B" w:rsidRPr="009D31FB">
              <w:rPr>
                <w:rStyle w:val="Hyperlink"/>
                <w:noProof/>
              </w:rPr>
              <w:t>3.4.1.</w:t>
            </w:r>
            <w:r w:rsidR="00BC561B">
              <w:rPr>
                <w:rFonts w:asciiTheme="minorHAnsi" w:hAnsiTheme="minorHAnsi" w:cstheme="minorBidi"/>
                <w:noProof/>
                <w:sz w:val="22"/>
              </w:rPr>
              <w:tab/>
            </w:r>
            <w:r w:rsidR="00BC561B" w:rsidRPr="009D31FB">
              <w:rPr>
                <w:rStyle w:val="Hyperlink"/>
                <w:noProof/>
              </w:rPr>
              <w:t>Staff Proposal Summary</w:t>
            </w:r>
            <w:r w:rsidR="00BC561B">
              <w:rPr>
                <w:noProof/>
                <w:webHidden/>
              </w:rPr>
              <w:tab/>
            </w:r>
            <w:r w:rsidR="00BC561B">
              <w:rPr>
                <w:noProof/>
                <w:webHidden/>
              </w:rPr>
              <w:fldChar w:fldCharType="begin"/>
            </w:r>
            <w:r w:rsidR="00BC561B">
              <w:rPr>
                <w:noProof/>
                <w:webHidden/>
              </w:rPr>
              <w:instrText xml:space="preserve"> PAGEREF _Toc32310249 \h </w:instrText>
            </w:r>
            <w:r w:rsidR="00BC561B">
              <w:rPr>
                <w:noProof/>
                <w:webHidden/>
              </w:rPr>
            </w:r>
            <w:r w:rsidR="00BC561B">
              <w:rPr>
                <w:noProof/>
                <w:webHidden/>
              </w:rPr>
              <w:fldChar w:fldCharType="separate"/>
            </w:r>
            <w:r>
              <w:rPr>
                <w:noProof/>
                <w:webHidden/>
              </w:rPr>
              <w:t>46</w:t>
            </w:r>
            <w:r w:rsidR="00BC561B">
              <w:rPr>
                <w:noProof/>
                <w:webHidden/>
              </w:rPr>
              <w:fldChar w:fldCharType="end"/>
            </w:r>
          </w:hyperlink>
        </w:p>
        <w:p w14:paraId="5699FC84" w14:textId="1CC63718" w:rsidR="00BC561B" w:rsidRDefault="00081764" w:rsidP="00BC561B">
          <w:pPr>
            <w:pStyle w:val="TOC3"/>
            <w:tabs>
              <w:tab w:val="right" w:leader="dot" w:pos="9350"/>
            </w:tabs>
            <w:ind w:left="1980"/>
            <w:rPr>
              <w:rFonts w:asciiTheme="minorHAnsi" w:hAnsiTheme="minorHAnsi" w:cstheme="minorBidi"/>
              <w:noProof/>
              <w:sz w:val="22"/>
            </w:rPr>
          </w:pPr>
          <w:hyperlink w:anchor="_Toc32310250" w:history="1">
            <w:r w:rsidR="00BC561B" w:rsidRPr="009D31FB">
              <w:rPr>
                <w:rStyle w:val="Hyperlink"/>
                <w:noProof/>
              </w:rPr>
              <w:t>3.4.2.</w:t>
            </w:r>
            <w:r w:rsidR="00BC561B">
              <w:rPr>
                <w:rFonts w:asciiTheme="minorHAnsi" w:hAnsiTheme="minorHAnsi" w:cstheme="minorBidi"/>
                <w:noProof/>
                <w:sz w:val="22"/>
              </w:rPr>
              <w:tab/>
            </w:r>
            <w:r w:rsidR="00BC561B" w:rsidRPr="009D31FB">
              <w:rPr>
                <w:rStyle w:val="Hyperlink"/>
                <w:noProof/>
              </w:rPr>
              <w:t>Parties’ Positions</w:t>
            </w:r>
            <w:r w:rsidR="00BC561B">
              <w:rPr>
                <w:noProof/>
                <w:webHidden/>
              </w:rPr>
              <w:tab/>
            </w:r>
            <w:r w:rsidR="00BC561B">
              <w:rPr>
                <w:noProof/>
                <w:webHidden/>
              </w:rPr>
              <w:fldChar w:fldCharType="begin"/>
            </w:r>
            <w:r w:rsidR="00BC561B">
              <w:rPr>
                <w:noProof/>
                <w:webHidden/>
              </w:rPr>
              <w:instrText xml:space="preserve"> PAGEREF _Toc32310250 \h </w:instrText>
            </w:r>
            <w:r w:rsidR="00BC561B">
              <w:rPr>
                <w:noProof/>
                <w:webHidden/>
              </w:rPr>
            </w:r>
            <w:r w:rsidR="00BC561B">
              <w:rPr>
                <w:noProof/>
                <w:webHidden/>
              </w:rPr>
              <w:fldChar w:fldCharType="separate"/>
            </w:r>
            <w:r>
              <w:rPr>
                <w:noProof/>
                <w:webHidden/>
              </w:rPr>
              <w:t>46</w:t>
            </w:r>
            <w:r w:rsidR="00BC561B">
              <w:rPr>
                <w:noProof/>
                <w:webHidden/>
              </w:rPr>
              <w:fldChar w:fldCharType="end"/>
            </w:r>
          </w:hyperlink>
        </w:p>
        <w:p w14:paraId="6C7945EB" w14:textId="570D6696" w:rsidR="00BC561B" w:rsidRDefault="00081764" w:rsidP="00BC561B">
          <w:pPr>
            <w:pStyle w:val="TOC3"/>
            <w:tabs>
              <w:tab w:val="right" w:leader="dot" w:pos="9350"/>
            </w:tabs>
            <w:ind w:left="1980"/>
            <w:rPr>
              <w:rFonts w:asciiTheme="minorHAnsi" w:hAnsiTheme="minorHAnsi" w:cstheme="minorBidi"/>
              <w:noProof/>
              <w:sz w:val="22"/>
            </w:rPr>
          </w:pPr>
          <w:hyperlink w:anchor="_Toc32310251" w:history="1">
            <w:r w:rsidR="00BC561B" w:rsidRPr="009D31FB">
              <w:rPr>
                <w:rStyle w:val="Hyperlink"/>
                <w:noProof/>
              </w:rPr>
              <w:t>3.4.3.</w:t>
            </w:r>
            <w:r w:rsidR="00BC561B">
              <w:rPr>
                <w:rFonts w:asciiTheme="minorHAnsi" w:hAnsiTheme="minorHAnsi" w:cstheme="minorBidi"/>
                <w:noProof/>
                <w:sz w:val="22"/>
              </w:rPr>
              <w:tab/>
            </w:r>
            <w:r w:rsidR="00BC561B" w:rsidRPr="009D31FB">
              <w:rPr>
                <w:rStyle w:val="Hyperlink"/>
                <w:noProof/>
              </w:rPr>
              <w:t>Analysis:  Reducing Refrigerant-based GHG Emissions has some of the Greatest Potential to Reduce GHG Emissions in California and the Adoption of a Lower GWP Will Further the Objectives of SB 1477 to Promote Emerging Building Decarbonization Technologies and Strategies</w:t>
            </w:r>
            <w:r w:rsidR="00BC561B">
              <w:rPr>
                <w:noProof/>
                <w:webHidden/>
              </w:rPr>
              <w:tab/>
            </w:r>
            <w:r w:rsidR="00BC561B">
              <w:rPr>
                <w:noProof/>
                <w:webHidden/>
              </w:rPr>
              <w:fldChar w:fldCharType="begin"/>
            </w:r>
            <w:r w:rsidR="00BC561B">
              <w:rPr>
                <w:noProof/>
                <w:webHidden/>
              </w:rPr>
              <w:instrText xml:space="preserve"> PAGEREF _Toc32310251 \h </w:instrText>
            </w:r>
            <w:r w:rsidR="00BC561B">
              <w:rPr>
                <w:noProof/>
                <w:webHidden/>
              </w:rPr>
            </w:r>
            <w:r w:rsidR="00BC561B">
              <w:rPr>
                <w:noProof/>
                <w:webHidden/>
              </w:rPr>
              <w:fldChar w:fldCharType="separate"/>
            </w:r>
            <w:r>
              <w:rPr>
                <w:noProof/>
                <w:webHidden/>
              </w:rPr>
              <w:t>47</w:t>
            </w:r>
            <w:r w:rsidR="00BC561B">
              <w:rPr>
                <w:noProof/>
                <w:webHidden/>
              </w:rPr>
              <w:fldChar w:fldCharType="end"/>
            </w:r>
          </w:hyperlink>
        </w:p>
        <w:p w14:paraId="037C2CC7" w14:textId="10A4013D" w:rsidR="00BC561B" w:rsidRDefault="00081764">
          <w:pPr>
            <w:pStyle w:val="TOC1"/>
            <w:tabs>
              <w:tab w:val="right" w:leader="dot" w:pos="9350"/>
            </w:tabs>
            <w:rPr>
              <w:rFonts w:asciiTheme="minorHAnsi" w:hAnsiTheme="minorHAnsi" w:cstheme="minorBidi"/>
              <w:noProof/>
              <w:sz w:val="22"/>
            </w:rPr>
          </w:pPr>
          <w:hyperlink w:anchor="_Toc32310252" w:history="1">
            <w:r w:rsidR="00BC561B" w:rsidRPr="009D31FB">
              <w:rPr>
                <w:rStyle w:val="Hyperlink"/>
                <w:noProof/>
              </w:rPr>
              <w:t>4.</w:t>
            </w:r>
            <w:r w:rsidR="00BC561B">
              <w:rPr>
                <w:rFonts w:asciiTheme="minorHAnsi" w:hAnsiTheme="minorHAnsi" w:cstheme="minorBidi"/>
                <w:noProof/>
                <w:sz w:val="22"/>
              </w:rPr>
              <w:tab/>
            </w:r>
            <w:r w:rsidR="00BC561B" w:rsidRPr="009D31FB">
              <w:rPr>
                <w:rStyle w:val="Hyperlink"/>
                <w:noProof/>
              </w:rPr>
              <w:t>BUILD Program</w:t>
            </w:r>
            <w:r w:rsidR="00BC561B">
              <w:rPr>
                <w:noProof/>
                <w:webHidden/>
              </w:rPr>
              <w:tab/>
            </w:r>
            <w:r w:rsidR="00BC561B">
              <w:rPr>
                <w:noProof/>
                <w:webHidden/>
              </w:rPr>
              <w:fldChar w:fldCharType="begin"/>
            </w:r>
            <w:r w:rsidR="00BC561B">
              <w:rPr>
                <w:noProof/>
                <w:webHidden/>
              </w:rPr>
              <w:instrText xml:space="preserve"> PAGEREF _Toc32310252 \h </w:instrText>
            </w:r>
            <w:r w:rsidR="00BC561B">
              <w:rPr>
                <w:noProof/>
                <w:webHidden/>
              </w:rPr>
            </w:r>
            <w:r w:rsidR="00BC561B">
              <w:rPr>
                <w:noProof/>
                <w:webHidden/>
              </w:rPr>
              <w:fldChar w:fldCharType="separate"/>
            </w:r>
            <w:r>
              <w:rPr>
                <w:noProof/>
                <w:webHidden/>
              </w:rPr>
              <w:t>48</w:t>
            </w:r>
            <w:r w:rsidR="00BC561B">
              <w:rPr>
                <w:noProof/>
                <w:webHidden/>
              </w:rPr>
              <w:fldChar w:fldCharType="end"/>
            </w:r>
          </w:hyperlink>
        </w:p>
        <w:p w14:paraId="4DCE910E" w14:textId="1668CCE7" w:rsidR="00BC561B" w:rsidRDefault="00081764" w:rsidP="00BC561B">
          <w:pPr>
            <w:pStyle w:val="TOC2"/>
            <w:tabs>
              <w:tab w:val="right" w:leader="dot" w:pos="9350"/>
            </w:tabs>
            <w:ind w:left="1080"/>
            <w:rPr>
              <w:rFonts w:asciiTheme="minorHAnsi" w:hAnsiTheme="minorHAnsi" w:cstheme="minorBidi"/>
              <w:noProof/>
              <w:sz w:val="22"/>
            </w:rPr>
          </w:pPr>
          <w:hyperlink w:anchor="_Toc32310253" w:history="1">
            <w:r w:rsidR="00BC561B" w:rsidRPr="009D31FB">
              <w:rPr>
                <w:rStyle w:val="Hyperlink"/>
                <w:noProof/>
              </w:rPr>
              <w:t>4.1.</w:t>
            </w:r>
            <w:r w:rsidR="00BC561B">
              <w:rPr>
                <w:rFonts w:asciiTheme="minorHAnsi" w:hAnsiTheme="minorHAnsi" w:cstheme="minorBidi"/>
                <w:noProof/>
                <w:sz w:val="22"/>
              </w:rPr>
              <w:tab/>
            </w:r>
            <w:r w:rsidR="00BC561B" w:rsidRPr="009D31FB">
              <w:rPr>
                <w:rStyle w:val="Hyperlink"/>
                <w:noProof/>
              </w:rPr>
              <w:t>BUILD Program Administrator</w:t>
            </w:r>
            <w:r w:rsidR="00BC561B">
              <w:rPr>
                <w:noProof/>
                <w:webHidden/>
              </w:rPr>
              <w:tab/>
            </w:r>
            <w:r w:rsidR="00BC561B">
              <w:rPr>
                <w:noProof/>
                <w:webHidden/>
              </w:rPr>
              <w:fldChar w:fldCharType="begin"/>
            </w:r>
            <w:r w:rsidR="00BC561B">
              <w:rPr>
                <w:noProof/>
                <w:webHidden/>
              </w:rPr>
              <w:instrText xml:space="preserve"> PAGEREF _Toc32310253 \h </w:instrText>
            </w:r>
            <w:r w:rsidR="00BC561B">
              <w:rPr>
                <w:noProof/>
                <w:webHidden/>
              </w:rPr>
            </w:r>
            <w:r w:rsidR="00BC561B">
              <w:rPr>
                <w:noProof/>
                <w:webHidden/>
              </w:rPr>
              <w:fldChar w:fldCharType="separate"/>
            </w:r>
            <w:r>
              <w:rPr>
                <w:noProof/>
                <w:webHidden/>
              </w:rPr>
              <w:t>49</w:t>
            </w:r>
            <w:r w:rsidR="00BC561B">
              <w:rPr>
                <w:noProof/>
                <w:webHidden/>
              </w:rPr>
              <w:fldChar w:fldCharType="end"/>
            </w:r>
          </w:hyperlink>
        </w:p>
        <w:p w14:paraId="089F99DC" w14:textId="3063DD41" w:rsidR="00BC561B" w:rsidRDefault="00081764" w:rsidP="00BC561B">
          <w:pPr>
            <w:pStyle w:val="TOC3"/>
            <w:tabs>
              <w:tab w:val="right" w:leader="dot" w:pos="9350"/>
            </w:tabs>
            <w:ind w:left="1980"/>
            <w:rPr>
              <w:rFonts w:asciiTheme="minorHAnsi" w:hAnsiTheme="minorHAnsi" w:cstheme="minorBidi"/>
              <w:noProof/>
              <w:sz w:val="22"/>
            </w:rPr>
          </w:pPr>
          <w:hyperlink w:anchor="_Toc32310254" w:history="1">
            <w:r w:rsidR="00BC561B" w:rsidRPr="009D31FB">
              <w:rPr>
                <w:rStyle w:val="Hyperlink"/>
                <w:noProof/>
              </w:rPr>
              <w:t>4.1.1.</w:t>
            </w:r>
            <w:r w:rsidR="00BC561B">
              <w:rPr>
                <w:rFonts w:asciiTheme="minorHAnsi" w:hAnsiTheme="minorHAnsi" w:cstheme="minorBidi"/>
                <w:noProof/>
                <w:sz w:val="22"/>
              </w:rPr>
              <w:tab/>
            </w:r>
            <w:r w:rsidR="00BC561B" w:rsidRPr="009D31FB">
              <w:rPr>
                <w:rStyle w:val="Hyperlink"/>
                <w:noProof/>
              </w:rPr>
              <w:t>Staff Proposal Summary</w:t>
            </w:r>
            <w:r w:rsidR="00BC561B">
              <w:rPr>
                <w:noProof/>
                <w:webHidden/>
              </w:rPr>
              <w:tab/>
            </w:r>
            <w:r w:rsidR="00BC561B">
              <w:rPr>
                <w:noProof/>
                <w:webHidden/>
              </w:rPr>
              <w:fldChar w:fldCharType="begin"/>
            </w:r>
            <w:r w:rsidR="00BC561B">
              <w:rPr>
                <w:noProof/>
                <w:webHidden/>
              </w:rPr>
              <w:instrText xml:space="preserve"> PAGEREF _Toc32310254 \h </w:instrText>
            </w:r>
            <w:r w:rsidR="00BC561B">
              <w:rPr>
                <w:noProof/>
                <w:webHidden/>
              </w:rPr>
            </w:r>
            <w:r w:rsidR="00BC561B">
              <w:rPr>
                <w:noProof/>
                <w:webHidden/>
              </w:rPr>
              <w:fldChar w:fldCharType="separate"/>
            </w:r>
            <w:r>
              <w:rPr>
                <w:noProof/>
                <w:webHidden/>
              </w:rPr>
              <w:t>49</w:t>
            </w:r>
            <w:r w:rsidR="00BC561B">
              <w:rPr>
                <w:noProof/>
                <w:webHidden/>
              </w:rPr>
              <w:fldChar w:fldCharType="end"/>
            </w:r>
          </w:hyperlink>
        </w:p>
        <w:p w14:paraId="6DDE433E" w14:textId="6876D200" w:rsidR="00BC561B" w:rsidRDefault="00081764" w:rsidP="00BC561B">
          <w:pPr>
            <w:pStyle w:val="TOC3"/>
            <w:tabs>
              <w:tab w:val="right" w:leader="dot" w:pos="9350"/>
            </w:tabs>
            <w:ind w:left="1980"/>
            <w:rPr>
              <w:rFonts w:asciiTheme="minorHAnsi" w:hAnsiTheme="minorHAnsi" w:cstheme="minorBidi"/>
              <w:noProof/>
              <w:sz w:val="22"/>
            </w:rPr>
          </w:pPr>
          <w:hyperlink w:anchor="_Toc32310255" w:history="1">
            <w:r w:rsidR="00BC561B" w:rsidRPr="009D31FB">
              <w:rPr>
                <w:rStyle w:val="Hyperlink"/>
                <w:noProof/>
              </w:rPr>
              <w:t>4.1.2.</w:t>
            </w:r>
            <w:r w:rsidR="00BC561B">
              <w:rPr>
                <w:rFonts w:asciiTheme="minorHAnsi" w:hAnsiTheme="minorHAnsi" w:cstheme="minorBidi"/>
                <w:noProof/>
                <w:sz w:val="22"/>
              </w:rPr>
              <w:tab/>
            </w:r>
            <w:r w:rsidR="00BC561B" w:rsidRPr="009D31FB">
              <w:rPr>
                <w:rStyle w:val="Hyperlink"/>
                <w:noProof/>
              </w:rPr>
              <w:t>Parties’ Positions</w:t>
            </w:r>
            <w:r w:rsidR="00BC561B">
              <w:rPr>
                <w:noProof/>
                <w:webHidden/>
              </w:rPr>
              <w:tab/>
            </w:r>
            <w:r w:rsidR="00BC561B">
              <w:rPr>
                <w:noProof/>
                <w:webHidden/>
              </w:rPr>
              <w:fldChar w:fldCharType="begin"/>
            </w:r>
            <w:r w:rsidR="00BC561B">
              <w:rPr>
                <w:noProof/>
                <w:webHidden/>
              </w:rPr>
              <w:instrText xml:space="preserve"> PAGEREF _Toc32310255 \h </w:instrText>
            </w:r>
            <w:r w:rsidR="00BC561B">
              <w:rPr>
                <w:noProof/>
                <w:webHidden/>
              </w:rPr>
            </w:r>
            <w:r w:rsidR="00BC561B">
              <w:rPr>
                <w:noProof/>
                <w:webHidden/>
              </w:rPr>
              <w:fldChar w:fldCharType="separate"/>
            </w:r>
            <w:r>
              <w:rPr>
                <w:noProof/>
                <w:webHidden/>
              </w:rPr>
              <w:t>49</w:t>
            </w:r>
            <w:r w:rsidR="00BC561B">
              <w:rPr>
                <w:noProof/>
                <w:webHidden/>
              </w:rPr>
              <w:fldChar w:fldCharType="end"/>
            </w:r>
          </w:hyperlink>
        </w:p>
        <w:p w14:paraId="02C695D1" w14:textId="462BB7B5" w:rsidR="00BC561B" w:rsidRDefault="00081764" w:rsidP="00BC561B">
          <w:pPr>
            <w:pStyle w:val="TOC3"/>
            <w:tabs>
              <w:tab w:val="right" w:leader="dot" w:pos="9350"/>
            </w:tabs>
            <w:ind w:left="1980"/>
            <w:rPr>
              <w:rFonts w:asciiTheme="minorHAnsi" w:hAnsiTheme="minorHAnsi" w:cstheme="minorBidi"/>
              <w:noProof/>
              <w:sz w:val="22"/>
            </w:rPr>
          </w:pPr>
          <w:hyperlink w:anchor="_Toc32310256" w:history="1">
            <w:r w:rsidR="00BC561B" w:rsidRPr="009D31FB">
              <w:rPr>
                <w:rStyle w:val="Hyperlink"/>
                <w:noProof/>
              </w:rPr>
              <w:t>4.1.3.</w:t>
            </w:r>
            <w:r w:rsidR="00BC561B">
              <w:rPr>
                <w:rFonts w:asciiTheme="minorHAnsi" w:hAnsiTheme="minorHAnsi" w:cstheme="minorBidi"/>
                <w:noProof/>
                <w:sz w:val="22"/>
              </w:rPr>
              <w:tab/>
            </w:r>
            <w:r w:rsidR="00BC561B" w:rsidRPr="009D31FB">
              <w:rPr>
                <w:rStyle w:val="Hyperlink"/>
                <w:noProof/>
              </w:rPr>
              <w:t xml:space="preserve">Analysis:  The CEC Shall Administer the  </w:t>
            </w:r>
            <w:r w:rsidR="002117DB">
              <w:rPr>
                <w:rStyle w:val="Hyperlink"/>
                <w:noProof/>
              </w:rPr>
              <w:br/>
            </w:r>
            <w:r w:rsidR="00BC561B" w:rsidRPr="009D31FB">
              <w:rPr>
                <w:rStyle w:val="Hyperlink"/>
                <w:noProof/>
              </w:rPr>
              <w:t>BUILD Program With Commission Oversight</w:t>
            </w:r>
            <w:r w:rsidR="00BC561B">
              <w:rPr>
                <w:noProof/>
                <w:webHidden/>
              </w:rPr>
              <w:tab/>
            </w:r>
            <w:r w:rsidR="00BC561B">
              <w:rPr>
                <w:noProof/>
                <w:webHidden/>
              </w:rPr>
              <w:fldChar w:fldCharType="begin"/>
            </w:r>
            <w:r w:rsidR="00BC561B">
              <w:rPr>
                <w:noProof/>
                <w:webHidden/>
              </w:rPr>
              <w:instrText xml:space="preserve"> PAGEREF _Toc32310256 \h </w:instrText>
            </w:r>
            <w:r w:rsidR="00BC561B">
              <w:rPr>
                <w:noProof/>
                <w:webHidden/>
              </w:rPr>
            </w:r>
            <w:r w:rsidR="00BC561B">
              <w:rPr>
                <w:noProof/>
                <w:webHidden/>
              </w:rPr>
              <w:fldChar w:fldCharType="separate"/>
            </w:r>
            <w:r>
              <w:rPr>
                <w:noProof/>
                <w:webHidden/>
              </w:rPr>
              <w:t>50</w:t>
            </w:r>
            <w:r w:rsidR="00BC561B">
              <w:rPr>
                <w:noProof/>
                <w:webHidden/>
              </w:rPr>
              <w:fldChar w:fldCharType="end"/>
            </w:r>
          </w:hyperlink>
        </w:p>
        <w:p w14:paraId="176E22CF" w14:textId="4FB09585" w:rsidR="00BC561B" w:rsidRDefault="00081764" w:rsidP="00BC561B">
          <w:pPr>
            <w:pStyle w:val="TOC2"/>
            <w:tabs>
              <w:tab w:val="right" w:leader="dot" w:pos="9350"/>
            </w:tabs>
            <w:ind w:left="1080"/>
            <w:rPr>
              <w:rFonts w:asciiTheme="minorHAnsi" w:hAnsiTheme="minorHAnsi" w:cstheme="minorBidi"/>
              <w:noProof/>
              <w:sz w:val="22"/>
            </w:rPr>
          </w:pPr>
          <w:hyperlink w:anchor="_Toc32310257" w:history="1">
            <w:r w:rsidR="00BC561B" w:rsidRPr="009D31FB">
              <w:rPr>
                <w:rStyle w:val="Hyperlink"/>
                <w:noProof/>
              </w:rPr>
              <w:t>4.2.</w:t>
            </w:r>
            <w:r w:rsidR="00BC561B">
              <w:rPr>
                <w:rFonts w:asciiTheme="minorHAnsi" w:hAnsiTheme="minorHAnsi" w:cstheme="minorBidi"/>
                <w:noProof/>
                <w:sz w:val="22"/>
              </w:rPr>
              <w:tab/>
            </w:r>
            <w:r w:rsidR="00BC561B" w:rsidRPr="009D31FB">
              <w:rPr>
                <w:rStyle w:val="Hyperlink"/>
                <w:noProof/>
              </w:rPr>
              <w:t>BUILD Program Parameters for New  Low-Income Housing and Disadvantaged  Communities with Technical Assistance</w:t>
            </w:r>
            <w:r w:rsidR="00BC561B">
              <w:rPr>
                <w:noProof/>
                <w:webHidden/>
              </w:rPr>
              <w:tab/>
            </w:r>
            <w:r w:rsidR="00BC561B">
              <w:rPr>
                <w:noProof/>
                <w:webHidden/>
              </w:rPr>
              <w:fldChar w:fldCharType="begin"/>
            </w:r>
            <w:r w:rsidR="00BC561B">
              <w:rPr>
                <w:noProof/>
                <w:webHidden/>
              </w:rPr>
              <w:instrText xml:space="preserve"> PAGEREF _Toc32310257 \h </w:instrText>
            </w:r>
            <w:r w:rsidR="00BC561B">
              <w:rPr>
                <w:noProof/>
                <w:webHidden/>
              </w:rPr>
            </w:r>
            <w:r w:rsidR="00BC561B">
              <w:rPr>
                <w:noProof/>
                <w:webHidden/>
              </w:rPr>
              <w:fldChar w:fldCharType="separate"/>
            </w:r>
            <w:r>
              <w:rPr>
                <w:noProof/>
                <w:webHidden/>
              </w:rPr>
              <w:t>52</w:t>
            </w:r>
            <w:r w:rsidR="00BC561B">
              <w:rPr>
                <w:noProof/>
                <w:webHidden/>
              </w:rPr>
              <w:fldChar w:fldCharType="end"/>
            </w:r>
          </w:hyperlink>
        </w:p>
        <w:p w14:paraId="773A154C" w14:textId="6D8B1E20" w:rsidR="00BC561B" w:rsidRDefault="00081764" w:rsidP="00BC561B">
          <w:pPr>
            <w:pStyle w:val="TOC3"/>
            <w:tabs>
              <w:tab w:val="right" w:leader="dot" w:pos="9350"/>
            </w:tabs>
            <w:ind w:left="1980"/>
            <w:rPr>
              <w:rFonts w:asciiTheme="minorHAnsi" w:hAnsiTheme="minorHAnsi" w:cstheme="minorBidi"/>
              <w:noProof/>
              <w:sz w:val="22"/>
            </w:rPr>
          </w:pPr>
          <w:hyperlink w:anchor="_Toc32310258" w:history="1">
            <w:r w:rsidR="00BC561B" w:rsidRPr="009D31FB">
              <w:rPr>
                <w:rStyle w:val="Hyperlink"/>
                <w:noProof/>
              </w:rPr>
              <w:t>4.2.1.</w:t>
            </w:r>
            <w:r w:rsidR="00BC561B">
              <w:rPr>
                <w:rFonts w:asciiTheme="minorHAnsi" w:hAnsiTheme="minorHAnsi" w:cstheme="minorBidi"/>
                <w:noProof/>
                <w:sz w:val="22"/>
              </w:rPr>
              <w:tab/>
            </w:r>
            <w:r w:rsidR="00BC561B" w:rsidRPr="009D31FB">
              <w:rPr>
                <w:rStyle w:val="Hyperlink"/>
                <w:noProof/>
              </w:rPr>
              <w:t>Staff Proposal Summary</w:t>
            </w:r>
            <w:r w:rsidR="00BC561B">
              <w:rPr>
                <w:noProof/>
                <w:webHidden/>
              </w:rPr>
              <w:tab/>
            </w:r>
            <w:r w:rsidR="00BC561B">
              <w:rPr>
                <w:noProof/>
                <w:webHidden/>
              </w:rPr>
              <w:fldChar w:fldCharType="begin"/>
            </w:r>
            <w:r w:rsidR="00BC561B">
              <w:rPr>
                <w:noProof/>
                <w:webHidden/>
              </w:rPr>
              <w:instrText xml:space="preserve"> PAGEREF _Toc32310258 \h </w:instrText>
            </w:r>
            <w:r w:rsidR="00BC561B">
              <w:rPr>
                <w:noProof/>
                <w:webHidden/>
              </w:rPr>
            </w:r>
            <w:r w:rsidR="00BC561B">
              <w:rPr>
                <w:noProof/>
                <w:webHidden/>
              </w:rPr>
              <w:fldChar w:fldCharType="separate"/>
            </w:r>
            <w:r>
              <w:rPr>
                <w:noProof/>
                <w:webHidden/>
              </w:rPr>
              <w:t>53</w:t>
            </w:r>
            <w:r w:rsidR="00BC561B">
              <w:rPr>
                <w:noProof/>
                <w:webHidden/>
              </w:rPr>
              <w:fldChar w:fldCharType="end"/>
            </w:r>
          </w:hyperlink>
        </w:p>
        <w:p w14:paraId="0A4FFB00" w14:textId="2AB36B64" w:rsidR="00BC561B" w:rsidRDefault="00081764" w:rsidP="00BC561B">
          <w:pPr>
            <w:pStyle w:val="TOC3"/>
            <w:tabs>
              <w:tab w:val="right" w:leader="dot" w:pos="9350"/>
            </w:tabs>
            <w:ind w:left="1980"/>
            <w:rPr>
              <w:rFonts w:asciiTheme="minorHAnsi" w:hAnsiTheme="minorHAnsi" w:cstheme="minorBidi"/>
              <w:noProof/>
              <w:sz w:val="22"/>
            </w:rPr>
          </w:pPr>
          <w:hyperlink w:anchor="_Toc32310259" w:history="1">
            <w:r w:rsidR="00BC561B" w:rsidRPr="009D31FB">
              <w:rPr>
                <w:rStyle w:val="Hyperlink"/>
                <w:rFonts w:eastAsia="Times New Roman"/>
                <w:noProof/>
              </w:rPr>
              <w:t>4.2.2.</w:t>
            </w:r>
            <w:r w:rsidR="00BC561B">
              <w:rPr>
                <w:rFonts w:asciiTheme="minorHAnsi" w:hAnsiTheme="minorHAnsi" w:cstheme="minorBidi"/>
                <w:noProof/>
                <w:sz w:val="22"/>
              </w:rPr>
              <w:tab/>
            </w:r>
            <w:r w:rsidR="00BC561B" w:rsidRPr="009D31FB">
              <w:rPr>
                <w:rStyle w:val="Hyperlink"/>
                <w:rFonts w:eastAsia="Times New Roman"/>
                <w:noProof/>
              </w:rPr>
              <w:t>Parties’ Positions</w:t>
            </w:r>
            <w:r w:rsidR="00BC561B">
              <w:rPr>
                <w:noProof/>
                <w:webHidden/>
              </w:rPr>
              <w:tab/>
            </w:r>
            <w:r w:rsidR="00BC561B">
              <w:rPr>
                <w:noProof/>
                <w:webHidden/>
              </w:rPr>
              <w:fldChar w:fldCharType="begin"/>
            </w:r>
            <w:r w:rsidR="00BC561B">
              <w:rPr>
                <w:noProof/>
                <w:webHidden/>
              </w:rPr>
              <w:instrText xml:space="preserve"> PAGEREF _Toc32310259 \h </w:instrText>
            </w:r>
            <w:r w:rsidR="00BC561B">
              <w:rPr>
                <w:noProof/>
                <w:webHidden/>
              </w:rPr>
            </w:r>
            <w:r w:rsidR="00BC561B">
              <w:rPr>
                <w:noProof/>
                <w:webHidden/>
              </w:rPr>
              <w:fldChar w:fldCharType="separate"/>
            </w:r>
            <w:r>
              <w:rPr>
                <w:noProof/>
                <w:webHidden/>
              </w:rPr>
              <w:t>54</w:t>
            </w:r>
            <w:r w:rsidR="00BC561B">
              <w:rPr>
                <w:noProof/>
                <w:webHidden/>
              </w:rPr>
              <w:fldChar w:fldCharType="end"/>
            </w:r>
          </w:hyperlink>
        </w:p>
        <w:p w14:paraId="395CE22D" w14:textId="67A1267D" w:rsidR="00BC561B" w:rsidRDefault="00081764" w:rsidP="00BC561B">
          <w:pPr>
            <w:pStyle w:val="TOC3"/>
            <w:tabs>
              <w:tab w:val="right" w:leader="dot" w:pos="9350"/>
            </w:tabs>
            <w:ind w:left="1980"/>
            <w:rPr>
              <w:rFonts w:asciiTheme="minorHAnsi" w:hAnsiTheme="minorHAnsi" w:cstheme="minorBidi"/>
              <w:noProof/>
              <w:sz w:val="22"/>
            </w:rPr>
          </w:pPr>
          <w:hyperlink w:anchor="_Toc32310260" w:history="1">
            <w:r w:rsidR="00BC561B" w:rsidRPr="009D31FB">
              <w:rPr>
                <w:rStyle w:val="Hyperlink"/>
                <w:noProof/>
              </w:rPr>
              <w:t>4.2.3.</w:t>
            </w:r>
            <w:r w:rsidR="00BC561B">
              <w:rPr>
                <w:rFonts w:asciiTheme="minorHAnsi" w:hAnsiTheme="minorHAnsi" w:cstheme="minorBidi"/>
                <w:noProof/>
                <w:sz w:val="22"/>
              </w:rPr>
              <w:tab/>
            </w:r>
            <w:r w:rsidR="00BC561B" w:rsidRPr="009D31FB">
              <w:rPr>
                <w:rStyle w:val="Hyperlink"/>
                <w:noProof/>
              </w:rPr>
              <w:t xml:space="preserve">Analysis: 30 Percent of the  SB 1477 Funds Allocated to New Low-Income Residential Housing of the BUILD Program </w:t>
            </w:r>
            <w:r w:rsidR="00BC561B">
              <w:rPr>
                <w:rStyle w:val="Hyperlink"/>
                <w:noProof/>
              </w:rPr>
              <w:br/>
            </w:r>
            <w:r w:rsidR="00BC561B" w:rsidRPr="009D31FB">
              <w:rPr>
                <w:rStyle w:val="Hyperlink"/>
                <w:noProof/>
              </w:rPr>
              <w:t>is a Floor, Not a Ceiling</w:t>
            </w:r>
            <w:r w:rsidR="00BC561B">
              <w:rPr>
                <w:noProof/>
                <w:webHidden/>
              </w:rPr>
              <w:tab/>
            </w:r>
            <w:r w:rsidR="00BC561B">
              <w:rPr>
                <w:noProof/>
                <w:webHidden/>
              </w:rPr>
              <w:fldChar w:fldCharType="begin"/>
            </w:r>
            <w:r w:rsidR="00BC561B">
              <w:rPr>
                <w:noProof/>
                <w:webHidden/>
              </w:rPr>
              <w:instrText xml:space="preserve"> PAGEREF _Toc32310260 \h </w:instrText>
            </w:r>
            <w:r w:rsidR="00BC561B">
              <w:rPr>
                <w:noProof/>
                <w:webHidden/>
              </w:rPr>
            </w:r>
            <w:r w:rsidR="00BC561B">
              <w:rPr>
                <w:noProof/>
                <w:webHidden/>
              </w:rPr>
              <w:fldChar w:fldCharType="separate"/>
            </w:r>
            <w:r>
              <w:rPr>
                <w:noProof/>
                <w:webHidden/>
              </w:rPr>
              <w:t>56</w:t>
            </w:r>
            <w:r w:rsidR="00BC561B">
              <w:rPr>
                <w:noProof/>
                <w:webHidden/>
              </w:rPr>
              <w:fldChar w:fldCharType="end"/>
            </w:r>
          </w:hyperlink>
        </w:p>
        <w:p w14:paraId="3B5DB483" w14:textId="5AF109FE" w:rsidR="00BC561B" w:rsidRDefault="00081764" w:rsidP="00BC561B">
          <w:pPr>
            <w:pStyle w:val="TOC2"/>
            <w:tabs>
              <w:tab w:val="right" w:leader="dot" w:pos="9350"/>
            </w:tabs>
            <w:ind w:left="1080"/>
            <w:rPr>
              <w:rFonts w:asciiTheme="minorHAnsi" w:hAnsiTheme="minorHAnsi" w:cstheme="minorBidi"/>
              <w:noProof/>
              <w:sz w:val="22"/>
            </w:rPr>
          </w:pPr>
          <w:hyperlink w:anchor="_Toc32310261" w:history="1">
            <w:r w:rsidR="00BC561B" w:rsidRPr="009D31FB">
              <w:rPr>
                <w:rStyle w:val="Hyperlink"/>
                <w:noProof/>
              </w:rPr>
              <w:t>4.3.</w:t>
            </w:r>
            <w:r w:rsidR="00BC561B">
              <w:rPr>
                <w:rFonts w:asciiTheme="minorHAnsi" w:hAnsiTheme="minorHAnsi" w:cstheme="minorBidi"/>
                <w:noProof/>
                <w:sz w:val="22"/>
              </w:rPr>
              <w:tab/>
            </w:r>
            <w:r w:rsidR="00BC561B" w:rsidRPr="009D31FB">
              <w:rPr>
                <w:rStyle w:val="Hyperlink"/>
                <w:noProof/>
              </w:rPr>
              <w:t>BUILD Program Incentive Architecture</w:t>
            </w:r>
            <w:r w:rsidR="00BC561B">
              <w:rPr>
                <w:noProof/>
                <w:webHidden/>
              </w:rPr>
              <w:tab/>
            </w:r>
            <w:r w:rsidR="00BC561B">
              <w:rPr>
                <w:noProof/>
                <w:webHidden/>
              </w:rPr>
              <w:fldChar w:fldCharType="begin"/>
            </w:r>
            <w:r w:rsidR="00BC561B">
              <w:rPr>
                <w:noProof/>
                <w:webHidden/>
              </w:rPr>
              <w:instrText xml:space="preserve"> PAGEREF _Toc32310261 \h </w:instrText>
            </w:r>
            <w:r w:rsidR="00BC561B">
              <w:rPr>
                <w:noProof/>
                <w:webHidden/>
              </w:rPr>
            </w:r>
            <w:r w:rsidR="00BC561B">
              <w:rPr>
                <w:noProof/>
                <w:webHidden/>
              </w:rPr>
              <w:fldChar w:fldCharType="separate"/>
            </w:r>
            <w:r>
              <w:rPr>
                <w:noProof/>
                <w:webHidden/>
              </w:rPr>
              <w:t>59</w:t>
            </w:r>
            <w:r w:rsidR="00BC561B">
              <w:rPr>
                <w:noProof/>
                <w:webHidden/>
              </w:rPr>
              <w:fldChar w:fldCharType="end"/>
            </w:r>
          </w:hyperlink>
        </w:p>
        <w:p w14:paraId="14E2C91A" w14:textId="1E4DD068" w:rsidR="00BC561B" w:rsidRDefault="00081764" w:rsidP="00BC561B">
          <w:pPr>
            <w:pStyle w:val="TOC3"/>
            <w:tabs>
              <w:tab w:val="right" w:leader="dot" w:pos="9350"/>
            </w:tabs>
            <w:ind w:left="1980"/>
            <w:rPr>
              <w:rFonts w:asciiTheme="minorHAnsi" w:hAnsiTheme="minorHAnsi" w:cstheme="minorBidi"/>
              <w:noProof/>
              <w:sz w:val="22"/>
            </w:rPr>
          </w:pPr>
          <w:hyperlink w:anchor="_Toc32310262" w:history="1">
            <w:r w:rsidR="00BC561B" w:rsidRPr="009D31FB">
              <w:rPr>
                <w:rStyle w:val="Hyperlink"/>
                <w:noProof/>
              </w:rPr>
              <w:t>4.3.1.</w:t>
            </w:r>
            <w:r w:rsidR="00BC561B">
              <w:rPr>
                <w:rFonts w:asciiTheme="minorHAnsi" w:hAnsiTheme="minorHAnsi" w:cstheme="minorBidi"/>
                <w:noProof/>
                <w:sz w:val="22"/>
              </w:rPr>
              <w:tab/>
            </w:r>
            <w:r w:rsidR="00BC561B" w:rsidRPr="009D31FB">
              <w:rPr>
                <w:rStyle w:val="Hyperlink"/>
                <w:noProof/>
              </w:rPr>
              <w:t>Staff Proposal Summary</w:t>
            </w:r>
            <w:r w:rsidR="00BC561B">
              <w:rPr>
                <w:noProof/>
                <w:webHidden/>
              </w:rPr>
              <w:tab/>
            </w:r>
            <w:r w:rsidR="00BC561B">
              <w:rPr>
                <w:noProof/>
                <w:webHidden/>
              </w:rPr>
              <w:fldChar w:fldCharType="begin"/>
            </w:r>
            <w:r w:rsidR="00BC561B">
              <w:rPr>
                <w:noProof/>
                <w:webHidden/>
              </w:rPr>
              <w:instrText xml:space="preserve"> PAGEREF _Toc32310262 \h </w:instrText>
            </w:r>
            <w:r w:rsidR="00BC561B">
              <w:rPr>
                <w:noProof/>
                <w:webHidden/>
              </w:rPr>
            </w:r>
            <w:r w:rsidR="00BC561B">
              <w:rPr>
                <w:noProof/>
                <w:webHidden/>
              </w:rPr>
              <w:fldChar w:fldCharType="separate"/>
            </w:r>
            <w:r>
              <w:rPr>
                <w:noProof/>
                <w:webHidden/>
              </w:rPr>
              <w:t>60</w:t>
            </w:r>
            <w:r w:rsidR="00BC561B">
              <w:rPr>
                <w:noProof/>
                <w:webHidden/>
              </w:rPr>
              <w:fldChar w:fldCharType="end"/>
            </w:r>
          </w:hyperlink>
        </w:p>
        <w:p w14:paraId="5B49B72C" w14:textId="16E6B31D" w:rsidR="00BC561B" w:rsidRDefault="00081764" w:rsidP="00BC561B">
          <w:pPr>
            <w:pStyle w:val="TOC3"/>
            <w:tabs>
              <w:tab w:val="right" w:leader="dot" w:pos="9350"/>
            </w:tabs>
            <w:ind w:left="1980"/>
            <w:rPr>
              <w:rFonts w:asciiTheme="minorHAnsi" w:hAnsiTheme="minorHAnsi" w:cstheme="minorBidi"/>
              <w:noProof/>
              <w:sz w:val="22"/>
            </w:rPr>
          </w:pPr>
          <w:hyperlink w:anchor="_Toc32310263" w:history="1">
            <w:r w:rsidR="00BC561B" w:rsidRPr="009D31FB">
              <w:rPr>
                <w:rStyle w:val="Hyperlink"/>
                <w:noProof/>
              </w:rPr>
              <w:t>4.3.2.</w:t>
            </w:r>
            <w:r w:rsidR="00BC561B">
              <w:rPr>
                <w:rFonts w:asciiTheme="minorHAnsi" w:hAnsiTheme="minorHAnsi" w:cstheme="minorBidi"/>
                <w:noProof/>
                <w:sz w:val="22"/>
              </w:rPr>
              <w:tab/>
            </w:r>
            <w:r w:rsidR="00BC561B" w:rsidRPr="009D31FB">
              <w:rPr>
                <w:rStyle w:val="Hyperlink"/>
                <w:noProof/>
              </w:rPr>
              <w:t>Parties’ Position</w:t>
            </w:r>
            <w:r w:rsidR="00BC561B">
              <w:rPr>
                <w:noProof/>
                <w:webHidden/>
              </w:rPr>
              <w:tab/>
            </w:r>
            <w:r w:rsidR="00BC561B">
              <w:rPr>
                <w:noProof/>
                <w:webHidden/>
              </w:rPr>
              <w:fldChar w:fldCharType="begin"/>
            </w:r>
            <w:r w:rsidR="00BC561B">
              <w:rPr>
                <w:noProof/>
                <w:webHidden/>
              </w:rPr>
              <w:instrText xml:space="preserve"> PAGEREF _Toc32310263 \h </w:instrText>
            </w:r>
            <w:r w:rsidR="00BC561B">
              <w:rPr>
                <w:noProof/>
                <w:webHidden/>
              </w:rPr>
            </w:r>
            <w:r w:rsidR="00BC561B">
              <w:rPr>
                <w:noProof/>
                <w:webHidden/>
              </w:rPr>
              <w:fldChar w:fldCharType="separate"/>
            </w:r>
            <w:r>
              <w:rPr>
                <w:noProof/>
                <w:webHidden/>
              </w:rPr>
              <w:t>61</w:t>
            </w:r>
            <w:r w:rsidR="00BC561B">
              <w:rPr>
                <w:noProof/>
                <w:webHidden/>
              </w:rPr>
              <w:fldChar w:fldCharType="end"/>
            </w:r>
          </w:hyperlink>
        </w:p>
        <w:p w14:paraId="3604ECD3" w14:textId="54D40ECB" w:rsidR="00BC561B" w:rsidRDefault="00081764" w:rsidP="00BC561B">
          <w:pPr>
            <w:pStyle w:val="TOC3"/>
            <w:tabs>
              <w:tab w:val="right" w:leader="dot" w:pos="9350"/>
            </w:tabs>
            <w:ind w:left="1980"/>
            <w:rPr>
              <w:rFonts w:asciiTheme="minorHAnsi" w:hAnsiTheme="minorHAnsi" w:cstheme="minorBidi"/>
              <w:noProof/>
              <w:sz w:val="22"/>
            </w:rPr>
          </w:pPr>
          <w:hyperlink w:anchor="_Toc32310264" w:history="1">
            <w:r w:rsidR="00BC561B" w:rsidRPr="009D31FB">
              <w:rPr>
                <w:rStyle w:val="Hyperlink"/>
                <w:noProof/>
              </w:rPr>
              <w:t>4.3.3.</w:t>
            </w:r>
            <w:r w:rsidR="00BC561B">
              <w:rPr>
                <w:rFonts w:asciiTheme="minorHAnsi" w:hAnsiTheme="minorHAnsi" w:cstheme="minorBidi"/>
                <w:noProof/>
                <w:sz w:val="22"/>
              </w:rPr>
              <w:tab/>
            </w:r>
            <w:r w:rsidR="00BC561B" w:rsidRPr="009D31FB">
              <w:rPr>
                <w:rStyle w:val="Hyperlink"/>
                <w:noProof/>
              </w:rPr>
              <w:t xml:space="preserve">Analysis: BUILD Program Incentives Shall Be Appropriated Only to Newly Constructed Projects  That Are All Electric, Consistent with the State Requirements to </w:t>
            </w:r>
            <w:r w:rsidR="00BC561B">
              <w:rPr>
                <w:rStyle w:val="Hyperlink"/>
                <w:noProof/>
              </w:rPr>
              <w:br/>
            </w:r>
            <w:r w:rsidR="00BC561B" w:rsidRPr="009D31FB">
              <w:rPr>
                <w:rStyle w:val="Hyperlink"/>
                <w:noProof/>
              </w:rPr>
              <w:t>a Zero-GHG Emissions Future</w:t>
            </w:r>
            <w:r w:rsidR="00BC561B">
              <w:rPr>
                <w:noProof/>
                <w:webHidden/>
              </w:rPr>
              <w:tab/>
            </w:r>
            <w:r w:rsidR="00BC561B">
              <w:rPr>
                <w:noProof/>
                <w:webHidden/>
              </w:rPr>
              <w:fldChar w:fldCharType="begin"/>
            </w:r>
            <w:r w:rsidR="00BC561B">
              <w:rPr>
                <w:noProof/>
                <w:webHidden/>
              </w:rPr>
              <w:instrText xml:space="preserve"> PAGEREF _Toc32310264 \h </w:instrText>
            </w:r>
            <w:r w:rsidR="00BC561B">
              <w:rPr>
                <w:noProof/>
                <w:webHidden/>
              </w:rPr>
            </w:r>
            <w:r w:rsidR="00BC561B">
              <w:rPr>
                <w:noProof/>
                <w:webHidden/>
              </w:rPr>
              <w:fldChar w:fldCharType="separate"/>
            </w:r>
            <w:r>
              <w:rPr>
                <w:noProof/>
                <w:webHidden/>
              </w:rPr>
              <w:t>65</w:t>
            </w:r>
            <w:r w:rsidR="00BC561B">
              <w:rPr>
                <w:noProof/>
                <w:webHidden/>
              </w:rPr>
              <w:fldChar w:fldCharType="end"/>
            </w:r>
          </w:hyperlink>
        </w:p>
        <w:p w14:paraId="75FE2C52" w14:textId="00812015" w:rsidR="00BC561B" w:rsidRDefault="00081764" w:rsidP="00BC561B">
          <w:pPr>
            <w:pStyle w:val="TOC3"/>
            <w:tabs>
              <w:tab w:val="right" w:leader="dot" w:pos="9350"/>
            </w:tabs>
            <w:ind w:left="1980"/>
            <w:rPr>
              <w:rFonts w:asciiTheme="minorHAnsi" w:hAnsiTheme="minorHAnsi" w:cstheme="minorBidi"/>
              <w:noProof/>
              <w:sz w:val="22"/>
            </w:rPr>
          </w:pPr>
          <w:hyperlink w:anchor="_Toc32310265" w:history="1">
            <w:r w:rsidR="00BC561B" w:rsidRPr="009D31FB">
              <w:rPr>
                <w:rStyle w:val="Hyperlink"/>
                <w:noProof/>
              </w:rPr>
              <w:t>4.3.4.</w:t>
            </w:r>
            <w:r w:rsidR="00BC561B">
              <w:rPr>
                <w:rFonts w:asciiTheme="minorHAnsi" w:hAnsiTheme="minorHAnsi" w:cstheme="minorBidi"/>
                <w:noProof/>
                <w:sz w:val="22"/>
              </w:rPr>
              <w:tab/>
            </w:r>
            <w:r w:rsidR="00BC561B" w:rsidRPr="009D31FB">
              <w:rPr>
                <w:rStyle w:val="Hyperlink"/>
                <w:noProof/>
              </w:rPr>
              <w:t xml:space="preserve">Analysis: </w:t>
            </w:r>
            <w:r w:rsidR="005028AB">
              <w:rPr>
                <w:rStyle w:val="Hyperlink"/>
                <w:noProof/>
              </w:rPr>
              <w:t xml:space="preserve"> </w:t>
            </w:r>
            <w:r w:rsidR="00BC561B" w:rsidRPr="009D31FB">
              <w:rPr>
                <w:rStyle w:val="Hyperlink"/>
                <w:noProof/>
              </w:rPr>
              <w:t>The CEC Shall Structure BUILD Program Incentive Design and Distribution, and Ensure that Such Incentives are Proportionally Allocated by Service Territory, Consistent with Cap-and-Trade Regulations</w:t>
            </w:r>
            <w:r w:rsidR="00BC561B">
              <w:rPr>
                <w:noProof/>
                <w:webHidden/>
              </w:rPr>
              <w:tab/>
            </w:r>
            <w:r w:rsidR="00BC561B">
              <w:rPr>
                <w:noProof/>
                <w:webHidden/>
              </w:rPr>
              <w:fldChar w:fldCharType="begin"/>
            </w:r>
            <w:r w:rsidR="00BC561B">
              <w:rPr>
                <w:noProof/>
                <w:webHidden/>
              </w:rPr>
              <w:instrText xml:space="preserve"> PAGEREF _Toc32310265 \h </w:instrText>
            </w:r>
            <w:r w:rsidR="00BC561B">
              <w:rPr>
                <w:noProof/>
                <w:webHidden/>
              </w:rPr>
            </w:r>
            <w:r w:rsidR="00BC561B">
              <w:rPr>
                <w:noProof/>
                <w:webHidden/>
              </w:rPr>
              <w:fldChar w:fldCharType="separate"/>
            </w:r>
            <w:r>
              <w:rPr>
                <w:noProof/>
                <w:webHidden/>
              </w:rPr>
              <w:t>67</w:t>
            </w:r>
            <w:r w:rsidR="00BC561B">
              <w:rPr>
                <w:noProof/>
                <w:webHidden/>
              </w:rPr>
              <w:fldChar w:fldCharType="end"/>
            </w:r>
          </w:hyperlink>
        </w:p>
        <w:p w14:paraId="32F7458B" w14:textId="64724DD3" w:rsidR="00BC561B" w:rsidRDefault="00081764">
          <w:pPr>
            <w:pStyle w:val="TOC1"/>
            <w:tabs>
              <w:tab w:val="right" w:leader="dot" w:pos="9350"/>
            </w:tabs>
            <w:rPr>
              <w:rFonts w:asciiTheme="minorHAnsi" w:hAnsiTheme="minorHAnsi" w:cstheme="minorBidi"/>
              <w:noProof/>
              <w:sz w:val="22"/>
            </w:rPr>
          </w:pPr>
          <w:hyperlink w:anchor="_Toc32310266" w:history="1">
            <w:r w:rsidR="00BC561B" w:rsidRPr="009D31FB">
              <w:rPr>
                <w:rStyle w:val="Hyperlink"/>
                <w:noProof/>
              </w:rPr>
              <w:t>5.</w:t>
            </w:r>
            <w:r w:rsidR="00BC561B">
              <w:rPr>
                <w:rFonts w:asciiTheme="minorHAnsi" w:hAnsiTheme="minorHAnsi" w:cstheme="minorBidi"/>
                <w:noProof/>
                <w:sz w:val="22"/>
              </w:rPr>
              <w:tab/>
            </w:r>
            <w:r w:rsidR="00BC561B" w:rsidRPr="009D31FB">
              <w:rPr>
                <w:rStyle w:val="Hyperlink"/>
                <w:noProof/>
              </w:rPr>
              <w:t>TECH Initiative</w:t>
            </w:r>
            <w:r w:rsidR="00BC561B">
              <w:rPr>
                <w:noProof/>
                <w:webHidden/>
              </w:rPr>
              <w:tab/>
            </w:r>
            <w:r w:rsidR="00BC561B">
              <w:rPr>
                <w:noProof/>
                <w:webHidden/>
              </w:rPr>
              <w:fldChar w:fldCharType="begin"/>
            </w:r>
            <w:r w:rsidR="00BC561B">
              <w:rPr>
                <w:noProof/>
                <w:webHidden/>
              </w:rPr>
              <w:instrText xml:space="preserve"> PAGEREF _Toc32310266 \h </w:instrText>
            </w:r>
            <w:r w:rsidR="00BC561B">
              <w:rPr>
                <w:noProof/>
                <w:webHidden/>
              </w:rPr>
            </w:r>
            <w:r w:rsidR="00BC561B">
              <w:rPr>
                <w:noProof/>
                <w:webHidden/>
              </w:rPr>
              <w:fldChar w:fldCharType="separate"/>
            </w:r>
            <w:r>
              <w:rPr>
                <w:noProof/>
                <w:webHidden/>
              </w:rPr>
              <w:t>69</w:t>
            </w:r>
            <w:r w:rsidR="00BC561B">
              <w:rPr>
                <w:noProof/>
                <w:webHidden/>
              </w:rPr>
              <w:fldChar w:fldCharType="end"/>
            </w:r>
          </w:hyperlink>
        </w:p>
        <w:p w14:paraId="5333B3CC" w14:textId="4A1BA483" w:rsidR="00BC561B" w:rsidRDefault="00081764" w:rsidP="00BC561B">
          <w:pPr>
            <w:pStyle w:val="TOC2"/>
            <w:tabs>
              <w:tab w:val="right" w:leader="dot" w:pos="9350"/>
            </w:tabs>
            <w:ind w:left="1080"/>
            <w:rPr>
              <w:rFonts w:asciiTheme="minorHAnsi" w:hAnsiTheme="minorHAnsi" w:cstheme="minorBidi"/>
              <w:noProof/>
              <w:sz w:val="22"/>
            </w:rPr>
          </w:pPr>
          <w:hyperlink w:anchor="_Toc32310267" w:history="1">
            <w:r w:rsidR="00BC561B" w:rsidRPr="009D31FB">
              <w:rPr>
                <w:rStyle w:val="Hyperlink"/>
                <w:noProof/>
              </w:rPr>
              <w:t>5.1.</w:t>
            </w:r>
            <w:r w:rsidR="00BC561B">
              <w:rPr>
                <w:rFonts w:asciiTheme="minorHAnsi" w:hAnsiTheme="minorHAnsi" w:cstheme="minorBidi"/>
                <w:noProof/>
                <w:sz w:val="22"/>
              </w:rPr>
              <w:tab/>
            </w:r>
            <w:r w:rsidR="00BC561B" w:rsidRPr="009D31FB">
              <w:rPr>
                <w:rStyle w:val="Hyperlink"/>
                <w:noProof/>
              </w:rPr>
              <w:t>TECH Initiative Implementer Selection</w:t>
            </w:r>
            <w:r w:rsidR="00BC561B">
              <w:rPr>
                <w:noProof/>
                <w:webHidden/>
              </w:rPr>
              <w:tab/>
            </w:r>
            <w:r w:rsidR="00BC561B">
              <w:rPr>
                <w:noProof/>
                <w:webHidden/>
              </w:rPr>
              <w:fldChar w:fldCharType="begin"/>
            </w:r>
            <w:r w:rsidR="00BC561B">
              <w:rPr>
                <w:noProof/>
                <w:webHidden/>
              </w:rPr>
              <w:instrText xml:space="preserve"> PAGEREF _Toc32310267 \h </w:instrText>
            </w:r>
            <w:r w:rsidR="00BC561B">
              <w:rPr>
                <w:noProof/>
                <w:webHidden/>
              </w:rPr>
            </w:r>
            <w:r w:rsidR="00BC561B">
              <w:rPr>
                <w:noProof/>
                <w:webHidden/>
              </w:rPr>
              <w:fldChar w:fldCharType="separate"/>
            </w:r>
            <w:r>
              <w:rPr>
                <w:noProof/>
                <w:webHidden/>
              </w:rPr>
              <w:t>70</w:t>
            </w:r>
            <w:r w:rsidR="00BC561B">
              <w:rPr>
                <w:noProof/>
                <w:webHidden/>
              </w:rPr>
              <w:fldChar w:fldCharType="end"/>
            </w:r>
          </w:hyperlink>
        </w:p>
        <w:p w14:paraId="01856BD6" w14:textId="3AB78EDC" w:rsidR="00BC561B" w:rsidRDefault="00081764" w:rsidP="00BC561B">
          <w:pPr>
            <w:pStyle w:val="TOC3"/>
            <w:tabs>
              <w:tab w:val="right" w:leader="dot" w:pos="9350"/>
            </w:tabs>
            <w:ind w:left="1980"/>
            <w:rPr>
              <w:rFonts w:asciiTheme="minorHAnsi" w:hAnsiTheme="minorHAnsi" w:cstheme="minorBidi"/>
              <w:noProof/>
              <w:sz w:val="22"/>
            </w:rPr>
          </w:pPr>
          <w:hyperlink w:anchor="_Toc32310268" w:history="1">
            <w:r w:rsidR="00BC561B" w:rsidRPr="009D31FB">
              <w:rPr>
                <w:rStyle w:val="Hyperlink"/>
                <w:noProof/>
              </w:rPr>
              <w:t>5.1.1.</w:t>
            </w:r>
            <w:r w:rsidR="00BC561B">
              <w:rPr>
                <w:rFonts w:asciiTheme="minorHAnsi" w:hAnsiTheme="minorHAnsi" w:cstheme="minorBidi"/>
                <w:noProof/>
                <w:sz w:val="22"/>
              </w:rPr>
              <w:tab/>
            </w:r>
            <w:r w:rsidR="00BC561B" w:rsidRPr="009D31FB">
              <w:rPr>
                <w:rStyle w:val="Hyperlink"/>
                <w:noProof/>
              </w:rPr>
              <w:t>Staff Proposal Summary</w:t>
            </w:r>
            <w:r w:rsidR="00BC561B">
              <w:rPr>
                <w:noProof/>
                <w:webHidden/>
              </w:rPr>
              <w:tab/>
            </w:r>
            <w:r w:rsidR="00BC561B">
              <w:rPr>
                <w:noProof/>
                <w:webHidden/>
              </w:rPr>
              <w:fldChar w:fldCharType="begin"/>
            </w:r>
            <w:r w:rsidR="00BC561B">
              <w:rPr>
                <w:noProof/>
                <w:webHidden/>
              </w:rPr>
              <w:instrText xml:space="preserve"> PAGEREF _Toc32310268 \h </w:instrText>
            </w:r>
            <w:r w:rsidR="00BC561B">
              <w:rPr>
                <w:noProof/>
                <w:webHidden/>
              </w:rPr>
            </w:r>
            <w:r w:rsidR="00BC561B">
              <w:rPr>
                <w:noProof/>
                <w:webHidden/>
              </w:rPr>
              <w:fldChar w:fldCharType="separate"/>
            </w:r>
            <w:r>
              <w:rPr>
                <w:noProof/>
                <w:webHidden/>
              </w:rPr>
              <w:t>70</w:t>
            </w:r>
            <w:r w:rsidR="00BC561B">
              <w:rPr>
                <w:noProof/>
                <w:webHidden/>
              </w:rPr>
              <w:fldChar w:fldCharType="end"/>
            </w:r>
          </w:hyperlink>
        </w:p>
        <w:p w14:paraId="7686923B" w14:textId="56AA0271" w:rsidR="00BC561B" w:rsidRDefault="00081764" w:rsidP="00BC561B">
          <w:pPr>
            <w:pStyle w:val="TOC3"/>
            <w:tabs>
              <w:tab w:val="right" w:leader="dot" w:pos="9350"/>
            </w:tabs>
            <w:ind w:left="1980"/>
            <w:rPr>
              <w:rFonts w:asciiTheme="minorHAnsi" w:hAnsiTheme="minorHAnsi" w:cstheme="minorBidi"/>
              <w:noProof/>
              <w:sz w:val="22"/>
            </w:rPr>
          </w:pPr>
          <w:hyperlink w:anchor="_Toc32310269" w:history="1">
            <w:r w:rsidR="00BC561B" w:rsidRPr="009D31FB">
              <w:rPr>
                <w:rStyle w:val="Hyperlink"/>
                <w:noProof/>
              </w:rPr>
              <w:t>5.1.2.</w:t>
            </w:r>
            <w:r w:rsidR="00BC561B">
              <w:rPr>
                <w:rFonts w:asciiTheme="minorHAnsi" w:hAnsiTheme="minorHAnsi" w:cstheme="minorBidi"/>
                <w:noProof/>
                <w:sz w:val="22"/>
              </w:rPr>
              <w:tab/>
            </w:r>
            <w:r w:rsidR="00BC561B" w:rsidRPr="009D31FB">
              <w:rPr>
                <w:rStyle w:val="Hyperlink"/>
                <w:noProof/>
              </w:rPr>
              <w:t>Parties’ Positions</w:t>
            </w:r>
            <w:r w:rsidR="00BC561B">
              <w:rPr>
                <w:noProof/>
                <w:webHidden/>
              </w:rPr>
              <w:tab/>
            </w:r>
            <w:r w:rsidR="00BC561B">
              <w:rPr>
                <w:noProof/>
                <w:webHidden/>
              </w:rPr>
              <w:fldChar w:fldCharType="begin"/>
            </w:r>
            <w:r w:rsidR="00BC561B">
              <w:rPr>
                <w:noProof/>
                <w:webHidden/>
              </w:rPr>
              <w:instrText xml:space="preserve"> PAGEREF _Toc32310269 \h </w:instrText>
            </w:r>
            <w:r w:rsidR="00BC561B">
              <w:rPr>
                <w:noProof/>
                <w:webHidden/>
              </w:rPr>
            </w:r>
            <w:r w:rsidR="00BC561B">
              <w:rPr>
                <w:noProof/>
                <w:webHidden/>
              </w:rPr>
              <w:fldChar w:fldCharType="separate"/>
            </w:r>
            <w:r>
              <w:rPr>
                <w:noProof/>
                <w:webHidden/>
              </w:rPr>
              <w:t>70</w:t>
            </w:r>
            <w:r w:rsidR="00BC561B">
              <w:rPr>
                <w:noProof/>
                <w:webHidden/>
              </w:rPr>
              <w:fldChar w:fldCharType="end"/>
            </w:r>
          </w:hyperlink>
        </w:p>
        <w:p w14:paraId="23A4E90F" w14:textId="71D94621" w:rsidR="00BC561B" w:rsidRDefault="00081764" w:rsidP="00BC561B">
          <w:pPr>
            <w:pStyle w:val="TOC3"/>
            <w:tabs>
              <w:tab w:val="right" w:leader="dot" w:pos="9350"/>
            </w:tabs>
            <w:ind w:left="1980"/>
            <w:rPr>
              <w:rFonts w:asciiTheme="minorHAnsi" w:hAnsiTheme="minorHAnsi" w:cstheme="minorBidi"/>
              <w:noProof/>
              <w:sz w:val="22"/>
            </w:rPr>
          </w:pPr>
          <w:hyperlink w:anchor="_Toc32310270" w:history="1">
            <w:r w:rsidR="00BC561B" w:rsidRPr="009D31FB">
              <w:rPr>
                <w:rStyle w:val="Hyperlink"/>
                <w:noProof/>
              </w:rPr>
              <w:t>5.1.3.</w:t>
            </w:r>
            <w:r w:rsidR="00BC561B">
              <w:rPr>
                <w:rFonts w:asciiTheme="minorHAnsi" w:hAnsiTheme="minorHAnsi" w:cstheme="minorBidi"/>
                <w:noProof/>
                <w:sz w:val="22"/>
              </w:rPr>
              <w:tab/>
            </w:r>
            <w:r w:rsidR="00BC561B" w:rsidRPr="009D31FB">
              <w:rPr>
                <w:rStyle w:val="Hyperlink"/>
                <w:noProof/>
              </w:rPr>
              <w:t xml:space="preserve">Analysis: </w:t>
            </w:r>
            <w:r w:rsidR="00E64106">
              <w:rPr>
                <w:rStyle w:val="Hyperlink"/>
                <w:noProof/>
              </w:rPr>
              <w:t xml:space="preserve"> </w:t>
            </w:r>
            <w:r w:rsidR="00BC561B" w:rsidRPr="009D31FB">
              <w:rPr>
                <w:rStyle w:val="Hyperlink"/>
                <w:noProof/>
              </w:rPr>
              <w:t xml:space="preserve">Selection of the TECH Initiative Implementer </w:t>
            </w:r>
            <w:r w:rsidR="00E64106">
              <w:rPr>
                <w:rStyle w:val="Hyperlink"/>
                <w:noProof/>
              </w:rPr>
              <w:br/>
            </w:r>
            <w:r w:rsidR="00BC561B" w:rsidRPr="009D31FB">
              <w:rPr>
                <w:rStyle w:val="Hyperlink"/>
                <w:noProof/>
              </w:rPr>
              <w:t xml:space="preserve">shall be led by an Energy Division selection process, </w:t>
            </w:r>
            <w:r w:rsidR="00BC561B">
              <w:rPr>
                <w:rStyle w:val="Hyperlink"/>
                <w:noProof/>
              </w:rPr>
              <w:br/>
            </w:r>
            <w:r w:rsidR="00BC561B" w:rsidRPr="009D31FB">
              <w:rPr>
                <w:rStyle w:val="Hyperlink"/>
                <w:noProof/>
              </w:rPr>
              <w:t>with expert advice and stakeholder advice</w:t>
            </w:r>
            <w:r w:rsidR="00BC561B">
              <w:rPr>
                <w:noProof/>
                <w:webHidden/>
              </w:rPr>
              <w:tab/>
            </w:r>
            <w:r w:rsidR="00BC561B">
              <w:rPr>
                <w:noProof/>
                <w:webHidden/>
              </w:rPr>
              <w:fldChar w:fldCharType="begin"/>
            </w:r>
            <w:r w:rsidR="00BC561B">
              <w:rPr>
                <w:noProof/>
                <w:webHidden/>
              </w:rPr>
              <w:instrText xml:space="preserve"> PAGEREF _Toc32310270 \h </w:instrText>
            </w:r>
            <w:r w:rsidR="00BC561B">
              <w:rPr>
                <w:noProof/>
                <w:webHidden/>
              </w:rPr>
            </w:r>
            <w:r w:rsidR="00BC561B">
              <w:rPr>
                <w:noProof/>
                <w:webHidden/>
              </w:rPr>
              <w:fldChar w:fldCharType="separate"/>
            </w:r>
            <w:r>
              <w:rPr>
                <w:noProof/>
                <w:webHidden/>
              </w:rPr>
              <w:t>71</w:t>
            </w:r>
            <w:r w:rsidR="00BC561B">
              <w:rPr>
                <w:noProof/>
                <w:webHidden/>
              </w:rPr>
              <w:fldChar w:fldCharType="end"/>
            </w:r>
          </w:hyperlink>
        </w:p>
        <w:p w14:paraId="088D9AA0" w14:textId="1FB715F7" w:rsidR="00BC561B" w:rsidRDefault="00081764" w:rsidP="00BC561B">
          <w:pPr>
            <w:pStyle w:val="TOC2"/>
            <w:tabs>
              <w:tab w:val="right" w:leader="dot" w:pos="9350"/>
            </w:tabs>
            <w:ind w:left="1080"/>
            <w:rPr>
              <w:rFonts w:asciiTheme="minorHAnsi" w:hAnsiTheme="minorHAnsi" w:cstheme="minorBidi"/>
              <w:noProof/>
              <w:sz w:val="22"/>
            </w:rPr>
          </w:pPr>
          <w:hyperlink w:anchor="_Toc32310271" w:history="1">
            <w:r w:rsidR="00BC561B" w:rsidRPr="009D31FB">
              <w:rPr>
                <w:rStyle w:val="Hyperlink"/>
                <w:noProof/>
              </w:rPr>
              <w:t>5.2.</w:t>
            </w:r>
            <w:r w:rsidR="00BC561B">
              <w:rPr>
                <w:rFonts w:asciiTheme="minorHAnsi" w:hAnsiTheme="minorHAnsi" w:cstheme="minorBidi"/>
                <w:noProof/>
                <w:sz w:val="22"/>
              </w:rPr>
              <w:tab/>
            </w:r>
            <w:r w:rsidR="00BC561B" w:rsidRPr="009D31FB">
              <w:rPr>
                <w:rStyle w:val="Hyperlink"/>
                <w:noProof/>
              </w:rPr>
              <w:t>TECH Initiative Market Development Parameters</w:t>
            </w:r>
            <w:r w:rsidR="00BC561B">
              <w:rPr>
                <w:noProof/>
                <w:webHidden/>
              </w:rPr>
              <w:tab/>
            </w:r>
            <w:r w:rsidR="00BC561B">
              <w:rPr>
                <w:noProof/>
                <w:webHidden/>
              </w:rPr>
              <w:fldChar w:fldCharType="begin"/>
            </w:r>
            <w:r w:rsidR="00BC561B">
              <w:rPr>
                <w:noProof/>
                <w:webHidden/>
              </w:rPr>
              <w:instrText xml:space="preserve"> PAGEREF _Toc32310271 \h </w:instrText>
            </w:r>
            <w:r w:rsidR="00BC561B">
              <w:rPr>
                <w:noProof/>
                <w:webHidden/>
              </w:rPr>
            </w:r>
            <w:r w:rsidR="00BC561B">
              <w:rPr>
                <w:noProof/>
                <w:webHidden/>
              </w:rPr>
              <w:fldChar w:fldCharType="separate"/>
            </w:r>
            <w:r>
              <w:rPr>
                <w:noProof/>
                <w:webHidden/>
              </w:rPr>
              <w:t>77</w:t>
            </w:r>
            <w:r w:rsidR="00BC561B">
              <w:rPr>
                <w:noProof/>
                <w:webHidden/>
              </w:rPr>
              <w:fldChar w:fldCharType="end"/>
            </w:r>
          </w:hyperlink>
        </w:p>
        <w:p w14:paraId="3B71AC1D" w14:textId="1C54BAFC" w:rsidR="00BC561B" w:rsidRDefault="00081764" w:rsidP="00BC561B">
          <w:pPr>
            <w:pStyle w:val="TOC3"/>
            <w:tabs>
              <w:tab w:val="right" w:leader="dot" w:pos="9350"/>
            </w:tabs>
            <w:ind w:left="1980"/>
            <w:rPr>
              <w:rFonts w:asciiTheme="minorHAnsi" w:hAnsiTheme="minorHAnsi" w:cstheme="minorBidi"/>
              <w:noProof/>
              <w:sz w:val="22"/>
            </w:rPr>
          </w:pPr>
          <w:hyperlink w:anchor="_Toc32310272" w:history="1">
            <w:r w:rsidR="00BC561B" w:rsidRPr="009D31FB">
              <w:rPr>
                <w:rStyle w:val="Hyperlink"/>
                <w:noProof/>
              </w:rPr>
              <w:t>5.2.1.</w:t>
            </w:r>
            <w:r w:rsidR="00BC561B">
              <w:rPr>
                <w:rFonts w:asciiTheme="minorHAnsi" w:hAnsiTheme="minorHAnsi" w:cstheme="minorBidi"/>
                <w:noProof/>
                <w:sz w:val="22"/>
              </w:rPr>
              <w:tab/>
            </w:r>
            <w:r w:rsidR="00BC561B" w:rsidRPr="009D31FB">
              <w:rPr>
                <w:rStyle w:val="Hyperlink"/>
                <w:noProof/>
              </w:rPr>
              <w:t>Staff Proposal Summary</w:t>
            </w:r>
            <w:r w:rsidR="00BC561B">
              <w:rPr>
                <w:noProof/>
                <w:webHidden/>
              </w:rPr>
              <w:tab/>
            </w:r>
            <w:r w:rsidR="00BC561B">
              <w:rPr>
                <w:noProof/>
                <w:webHidden/>
              </w:rPr>
              <w:fldChar w:fldCharType="begin"/>
            </w:r>
            <w:r w:rsidR="00BC561B">
              <w:rPr>
                <w:noProof/>
                <w:webHidden/>
              </w:rPr>
              <w:instrText xml:space="preserve"> PAGEREF _Toc32310272 \h </w:instrText>
            </w:r>
            <w:r w:rsidR="00BC561B">
              <w:rPr>
                <w:noProof/>
                <w:webHidden/>
              </w:rPr>
            </w:r>
            <w:r w:rsidR="00BC561B">
              <w:rPr>
                <w:noProof/>
                <w:webHidden/>
              </w:rPr>
              <w:fldChar w:fldCharType="separate"/>
            </w:r>
            <w:r>
              <w:rPr>
                <w:noProof/>
                <w:webHidden/>
              </w:rPr>
              <w:t>78</w:t>
            </w:r>
            <w:r w:rsidR="00BC561B">
              <w:rPr>
                <w:noProof/>
                <w:webHidden/>
              </w:rPr>
              <w:fldChar w:fldCharType="end"/>
            </w:r>
          </w:hyperlink>
        </w:p>
        <w:p w14:paraId="12E4B306" w14:textId="0E82BEB9" w:rsidR="00BC561B" w:rsidRDefault="00081764" w:rsidP="00BC561B">
          <w:pPr>
            <w:pStyle w:val="TOC3"/>
            <w:tabs>
              <w:tab w:val="right" w:leader="dot" w:pos="9350"/>
            </w:tabs>
            <w:ind w:left="1980"/>
            <w:rPr>
              <w:rFonts w:asciiTheme="minorHAnsi" w:hAnsiTheme="minorHAnsi" w:cstheme="minorBidi"/>
              <w:noProof/>
              <w:sz w:val="22"/>
            </w:rPr>
          </w:pPr>
          <w:hyperlink w:anchor="_Toc32310273" w:history="1">
            <w:r w:rsidR="00BC561B" w:rsidRPr="009D31FB">
              <w:rPr>
                <w:rStyle w:val="Hyperlink"/>
                <w:noProof/>
              </w:rPr>
              <w:t>5.2.2.</w:t>
            </w:r>
            <w:r w:rsidR="00BC561B">
              <w:rPr>
                <w:rFonts w:asciiTheme="minorHAnsi" w:hAnsiTheme="minorHAnsi" w:cstheme="minorBidi"/>
                <w:noProof/>
                <w:sz w:val="22"/>
              </w:rPr>
              <w:tab/>
            </w:r>
            <w:r w:rsidR="00BC561B" w:rsidRPr="009D31FB">
              <w:rPr>
                <w:rStyle w:val="Hyperlink"/>
                <w:noProof/>
              </w:rPr>
              <w:t>Parties’ Positions</w:t>
            </w:r>
            <w:r w:rsidR="00BC561B">
              <w:rPr>
                <w:noProof/>
                <w:webHidden/>
              </w:rPr>
              <w:tab/>
            </w:r>
            <w:r w:rsidR="00BC561B">
              <w:rPr>
                <w:noProof/>
                <w:webHidden/>
              </w:rPr>
              <w:fldChar w:fldCharType="begin"/>
            </w:r>
            <w:r w:rsidR="00BC561B">
              <w:rPr>
                <w:noProof/>
                <w:webHidden/>
              </w:rPr>
              <w:instrText xml:space="preserve"> PAGEREF _Toc32310273 \h </w:instrText>
            </w:r>
            <w:r w:rsidR="00BC561B">
              <w:rPr>
                <w:noProof/>
                <w:webHidden/>
              </w:rPr>
            </w:r>
            <w:r w:rsidR="00BC561B">
              <w:rPr>
                <w:noProof/>
                <w:webHidden/>
              </w:rPr>
              <w:fldChar w:fldCharType="separate"/>
            </w:r>
            <w:r>
              <w:rPr>
                <w:noProof/>
                <w:webHidden/>
              </w:rPr>
              <w:t>80</w:t>
            </w:r>
            <w:r w:rsidR="00BC561B">
              <w:rPr>
                <w:noProof/>
                <w:webHidden/>
              </w:rPr>
              <w:fldChar w:fldCharType="end"/>
            </w:r>
          </w:hyperlink>
        </w:p>
        <w:p w14:paraId="6AB4A287" w14:textId="2591F7D6" w:rsidR="00BC561B" w:rsidRDefault="00081764" w:rsidP="00BC561B">
          <w:pPr>
            <w:pStyle w:val="TOC3"/>
            <w:tabs>
              <w:tab w:val="right" w:leader="dot" w:pos="9350"/>
            </w:tabs>
            <w:ind w:left="1980"/>
            <w:rPr>
              <w:rFonts w:asciiTheme="minorHAnsi" w:hAnsiTheme="minorHAnsi" w:cstheme="minorBidi"/>
              <w:noProof/>
              <w:sz w:val="22"/>
            </w:rPr>
          </w:pPr>
          <w:hyperlink w:anchor="_Toc32310274" w:history="1">
            <w:r w:rsidR="00BC561B" w:rsidRPr="009D31FB">
              <w:rPr>
                <w:rStyle w:val="Hyperlink"/>
                <w:noProof/>
              </w:rPr>
              <w:t>5.2.3.</w:t>
            </w:r>
            <w:r w:rsidR="00BC561B">
              <w:rPr>
                <w:rFonts w:asciiTheme="minorHAnsi" w:hAnsiTheme="minorHAnsi" w:cstheme="minorBidi"/>
                <w:noProof/>
                <w:sz w:val="22"/>
              </w:rPr>
              <w:tab/>
            </w:r>
            <w:r w:rsidR="00BC561B" w:rsidRPr="009D31FB">
              <w:rPr>
                <w:rStyle w:val="Hyperlink"/>
                <w:noProof/>
              </w:rPr>
              <w:t>Analysis:  The TECH Initiative Implementer Shall Approach the Initiative with a Menu of Tactics but must Implement an Upstream and Mid-Stream Market Approach to Drive Market Transformation Consistent with Statutory Requirements</w:t>
            </w:r>
            <w:r w:rsidR="00BC561B">
              <w:rPr>
                <w:noProof/>
                <w:webHidden/>
              </w:rPr>
              <w:tab/>
            </w:r>
            <w:r w:rsidR="00BC561B">
              <w:rPr>
                <w:noProof/>
                <w:webHidden/>
              </w:rPr>
              <w:fldChar w:fldCharType="begin"/>
            </w:r>
            <w:r w:rsidR="00BC561B">
              <w:rPr>
                <w:noProof/>
                <w:webHidden/>
              </w:rPr>
              <w:instrText xml:space="preserve"> PAGEREF _Toc32310274 \h </w:instrText>
            </w:r>
            <w:r w:rsidR="00BC561B">
              <w:rPr>
                <w:noProof/>
                <w:webHidden/>
              </w:rPr>
            </w:r>
            <w:r w:rsidR="00BC561B">
              <w:rPr>
                <w:noProof/>
                <w:webHidden/>
              </w:rPr>
              <w:fldChar w:fldCharType="separate"/>
            </w:r>
            <w:r>
              <w:rPr>
                <w:noProof/>
                <w:webHidden/>
              </w:rPr>
              <w:t>82</w:t>
            </w:r>
            <w:r w:rsidR="00BC561B">
              <w:rPr>
                <w:noProof/>
                <w:webHidden/>
              </w:rPr>
              <w:fldChar w:fldCharType="end"/>
            </w:r>
          </w:hyperlink>
        </w:p>
        <w:p w14:paraId="2ECBFB79" w14:textId="2C55ECF7" w:rsidR="00BC561B" w:rsidRDefault="00081764" w:rsidP="00BC561B">
          <w:pPr>
            <w:pStyle w:val="TOC2"/>
            <w:tabs>
              <w:tab w:val="right" w:leader="dot" w:pos="9350"/>
            </w:tabs>
            <w:ind w:left="1080"/>
            <w:rPr>
              <w:rFonts w:asciiTheme="minorHAnsi" w:hAnsiTheme="minorHAnsi" w:cstheme="minorBidi"/>
              <w:noProof/>
              <w:sz w:val="22"/>
            </w:rPr>
          </w:pPr>
          <w:hyperlink w:anchor="_Toc32310275" w:history="1">
            <w:r w:rsidR="00BC561B" w:rsidRPr="009D31FB">
              <w:rPr>
                <w:rStyle w:val="Hyperlink"/>
                <w:noProof/>
              </w:rPr>
              <w:t>5.3.</w:t>
            </w:r>
            <w:r w:rsidR="00BC561B">
              <w:rPr>
                <w:rFonts w:asciiTheme="minorHAnsi" w:hAnsiTheme="minorHAnsi" w:cstheme="minorBidi"/>
                <w:noProof/>
                <w:sz w:val="22"/>
              </w:rPr>
              <w:tab/>
            </w:r>
            <w:r w:rsidR="00BC561B" w:rsidRPr="009D31FB">
              <w:rPr>
                <w:rStyle w:val="Hyperlink"/>
                <w:noProof/>
              </w:rPr>
              <w:t>TECH Initiative Technology Parameters</w:t>
            </w:r>
            <w:r w:rsidR="00BC561B">
              <w:rPr>
                <w:noProof/>
                <w:webHidden/>
              </w:rPr>
              <w:tab/>
            </w:r>
            <w:r w:rsidR="00BC561B">
              <w:rPr>
                <w:noProof/>
                <w:webHidden/>
              </w:rPr>
              <w:fldChar w:fldCharType="begin"/>
            </w:r>
            <w:r w:rsidR="00BC561B">
              <w:rPr>
                <w:noProof/>
                <w:webHidden/>
              </w:rPr>
              <w:instrText xml:space="preserve"> PAGEREF _Toc32310275 \h </w:instrText>
            </w:r>
            <w:r w:rsidR="00BC561B">
              <w:rPr>
                <w:noProof/>
                <w:webHidden/>
              </w:rPr>
            </w:r>
            <w:r w:rsidR="00BC561B">
              <w:rPr>
                <w:noProof/>
                <w:webHidden/>
              </w:rPr>
              <w:fldChar w:fldCharType="separate"/>
            </w:r>
            <w:r>
              <w:rPr>
                <w:noProof/>
                <w:webHidden/>
              </w:rPr>
              <w:t>86</w:t>
            </w:r>
            <w:r w:rsidR="00BC561B">
              <w:rPr>
                <w:noProof/>
                <w:webHidden/>
              </w:rPr>
              <w:fldChar w:fldCharType="end"/>
            </w:r>
          </w:hyperlink>
        </w:p>
        <w:p w14:paraId="627B100B" w14:textId="32B26AE4" w:rsidR="00BC561B" w:rsidRDefault="00081764" w:rsidP="00BC561B">
          <w:pPr>
            <w:pStyle w:val="TOC3"/>
            <w:tabs>
              <w:tab w:val="right" w:leader="dot" w:pos="9350"/>
            </w:tabs>
            <w:ind w:left="1980"/>
            <w:rPr>
              <w:rFonts w:asciiTheme="minorHAnsi" w:hAnsiTheme="minorHAnsi" w:cstheme="minorBidi"/>
              <w:noProof/>
              <w:sz w:val="22"/>
            </w:rPr>
          </w:pPr>
          <w:hyperlink w:anchor="_Toc32310276" w:history="1">
            <w:r w:rsidR="00BC561B" w:rsidRPr="009D31FB">
              <w:rPr>
                <w:rStyle w:val="Hyperlink"/>
                <w:noProof/>
              </w:rPr>
              <w:t>5.3.1.</w:t>
            </w:r>
            <w:r w:rsidR="00BC561B">
              <w:rPr>
                <w:rFonts w:asciiTheme="minorHAnsi" w:hAnsiTheme="minorHAnsi" w:cstheme="minorBidi"/>
                <w:noProof/>
                <w:sz w:val="22"/>
              </w:rPr>
              <w:tab/>
            </w:r>
            <w:r w:rsidR="00BC561B" w:rsidRPr="009D31FB">
              <w:rPr>
                <w:rStyle w:val="Hyperlink"/>
                <w:noProof/>
              </w:rPr>
              <w:t>Staff Proposal Summary</w:t>
            </w:r>
            <w:r w:rsidR="00BC561B">
              <w:rPr>
                <w:noProof/>
                <w:webHidden/>
              </w:rPr>
              <w:tab/>
            </w:r>
            <w:r w:rsidR="00BC561B">
              <w:rPr>
                <w:noProof/>
                <w:webHidden/>
              </w:rPr>
              <w:fldChar w:fldCharType="begin"/>
            </w:r>
            <w:r w:rsidR="00BC561B">
              <w:rPr>
                <w:noProof/>
                <w:webHidden/>
              </w:rPr>
              <w:instrText xml:space="preserve"> PAGEREF _Toc32310276 \h </w:instrText>
            </w:r>
            <w:r w:rsidR="00BC561B">
              <w:rPr>
                <w:noProof/>
                <w:webHidden/>
              </w:rPr>
            </w:r>
            <w:r w:rsidR="00BC561B">
              <w:rPr>
                <w:noProof/>
                <w:webHidden/>
              </w:rPr>
              <w:fldChar w:fldCharType="separate"/>
            </w:r>
            <w:r>
              <w:rPr>
                <w:noProof/>
                <w:webHidden/>
              </w:rPr>
              <w:t>87</w:t>
            </w:r>
            <w:r w:rsidR="00BC561B">
              <w:rPr>
                <w:noProof/>
                <w:webHidden/>
              </w:rPr>
              <w:fldChar w:fldCharType="end"/>
            </w:r>
          </w:hyperlink>
        </w:p>
        <w:p w14:paraId="262373F4" w14:textId="0DA0D40B" w:rsidR="00BC561B" w:rsidRDefault="00081764" w:rsidP="00BC561B">
          <w:pPr>
            <w:pStyle w:val="TOC3"/>
            <w:tabs>
              <w:tab w:val="right" w:leader="dot" w:pos="9350"/>
            </w:tabs>
            <w:ind w:left="1980"/>
            <w:rPr>
              <w:rFonts w:asciiTheme="minorHAnsi" w:hAnsiTheme="minorHAnsi" w:cstheme="minorBidi"/>
              <w:noProof/>
              <w:sz w:val="22"/>
            </w:rPr>
          </w:pPr>
          <w:hyperlink w:anchor="_Toc32310277" w:history="1">
            <w:r w:rsidR="00BC561B" w:rsidRPr="009D31FB">
              <w:rPr>
                <w:rStyle w:val="Hyperlink"/>
                <w:noProof/>
              </w:rPr>
              <w:t>5.3.2.</w:t>
            </w:r>
            <w:r w:rsidR="00BC561B">
              <w:rPr>
                <w:rFonts w:asciiTheme="minorHAnsi" w:hAnsiTheme="minorHAnsi" w:cstheme="minorBidi"/>
                <w:noProof/>
                <w:sz w:val="22"/>
              </w:rPr>
              <w:tab/>
            </w:r>
            <w:r w:rsidR="00BC561B" w:rsidRPr="009D31FB">
              <w:rPr>
                <w:rStyle w:val="Hyperlink"/>
                <w:noProof/>
              </w:rPr>
              <w:t>Parties Positions</w:t>
            </w:r>
            <w:r w:rsidR="00BC561B">
              <w:rPr>
                <w:noProof/>
                <w:webHidden/>
              </w:rPr>
              <w:tab/>
            </w:r>
            <w:r w:rsidR="00BC561B">
              <w:rPr>
                <w:noProof/>
                <w:webHidden/>
              </w:rPr>
              <w:fldChar w:fldCharType="begin"/>
            </w:r>
            <w:r w:rsidR="00BC561B">
              <w:rPr>
                <w:noProof/>
                <w:webHidden/>
              </w:rPr>
              <w:instrText xml:space="preserve"> PAGEREF _Toc32310277 \h </w:instrText>
            </w:r>
            <w:r w:rsidR="00BC561B">
              <w:rPr>
                <w:noProof/>
                <w:webHidden/>
              </w:rPr>
            </w:r>
            <w:r w:rsidR="00BC561B">
              <w:rPr>
                <w:noProof/>
                <w:webHidden/>
              </w:rPr>
              <w:fldChar w:fldCharType="separate"/>
            </w:r>
            <w:r>
              <w:rPr>
                <w:noProof/>
                <w:webHidden/>
              </w:rPr>
              <w:t>88</w:t>
            </w:r>
            <w:r w:rsidR="00BC561B">
              <w:rPr>
                <w:noProof/>
                <w:webHidden/>
              </w:rPr>
              <w:fldChar w:fldCharType="end"/>
            </w:r>
          </w:hyperlink>
        </w:p>
        <w:p w14:paraId="39241814" w14:textId="2E8EFA07" w:rsidR="00BC561B" w:rsidRDefault="00081764" w:rsidP="00BC561B">
          <w:pPr>
            <w:pStyle w:val="TOC3"/>
            <w:tabs>
              <w:tab w:val="right" w:leader="dot" w:pos="9350"/>
            </w:tabs>
            <w:ind w:left="1980"/>
            <w:rPr>
              <w:rFonts w:asciiTheme="minorHAnsi" w:hAnsiTheme="minorHAnsi" w:cstheme="minorBidi"/>
              <w:noProof/>
              <w:sz w:val="22"/>
            </w:rPr>
          </w:pPr>
          <w:hyperlink w:anchor="_Toc32310278" w:history="1">
            <w:r w:rsidR="00BC561B" w:rsidRPr="009D31FB">
              <w:rPr>
                <w:rStyle w:val="Hyperlink"/>
                <w:noProof/>
              </w:rPr>
              <w:t>5.3.3.</w:t>
            </w:r>
            <w:r w:rsidR="00BC561B">
              <w:rPr>
                <w:rFonts w:asciiTheme="minorHAnsi" w:hAnsiTheme="minorHAnsi" w:cstheme="minorBidi"/>
                <w:noProof/>
                <w:sz w:val="22"/>
              </w:rPr>
              <w:tab/>
            </w:r>
            <w:r w:rsidR="00BC561B" w:rsidRPr="009D31FB">
              <w:rPr>
                <w:rStyle w:val="Hyperlink"/>
                <w:noProof/>
              </w:rPr>
              <w:t>Analysis:</w:t>
            </w:r>
            <w:r w:rsidR="00346482">
              <w:rPr>
                <w:rStyle w:val="Hyperlink"/>
                <w:noProof/>
              </w:rPr>
              <w:t xml:space="preserve"> </w:t>
            </w:r>
            <w:r w:rsidR="00BC561B" w:rsidRPr="009D31FB">
              <w:rPr>
                <w:rStyle w:val="Hyperlink"/>
                <w:noProof/>
              </w:rPr>
              <w:t xml:space="preserve"> The TECH Initiative Implementer Shall Select Eligible Technologies With a Performance-based Approach on GHG Emission Reduction Baselines to Best Meet Program Goals</w:t>
            </w:r>
            <w:r w:rsidR="00BC561B">
              <w:rPr>
                <w:noProof/>
                <w:webHidden/>
              </w:rPr>
              <w:tab/>
            </w:r>
            <w:r w:rsidR="00BC561B">
              <w:rPr>
                <w:noProof/>
                <w:webHidden/>
              </w:rPr>
              <w:fldChar w:fldCharType="begin"/>
            </w:r>
            <w:r w:rsidR="00BC561B">
              <w:rPr>
                <w:noProof/>
                <w:webHidden/>
              </w:rPr>
              <w:instrText xml:space="preserve"> PAGEREF _Toc32310278 \h </w:instrText>
            </w:r>
            <w:r w:rsidR="00BC561B">
              <w:rPr>
                <w:noProof/>
                <w:webHidden/>
              </w:rPr>
            </w:r>
            <w:r w:rsidR="00BC561B">
              <w:rPr>
                <w:noProof/>
                <w:webHidden/>
              </w:rPr>
              <w:fldChar w:fldCharType="separate"/>
            </w:r>
            <w:r>
              <w:rPr>
                <w:noProof/>
                <w:webHidden/>
              </w:rPr>
              <w:t>90</w:t>
            </w:r>
            <w:r w:rsidR="00BC561B">
              <w:rPr>
                <w:noProof/>
                <w:webHidden/>
              </w:rPr>
              <w:fldChar w:fldCharType="end"/>
            </w:r>
          </w:hyperlink>
        </w:p>
        <w:p w14:paraId="38BC9933" w14:textId="1F297B6B" w:rsidR="00BC561B" w:rsidRDefault="00081764">
          <w:pPr>
            <w:pStyle w:val="TOC1"/>
            <w:tabs>
              <w:tab w:val="right" w:leader="dot" w:pos="9350"/>
            </w:tabs>
            <w:rPr>
              <w:rFonts w:asciiTheme="minorHAnsi" w:hAnsiTheme="minorHAnsi" w:cstheme="minorBidi"/>
              <w:noProof/>
              <w:sz w:val="22"/>
            </w:rPr>
          </w:pPr>
          <w:hyperlink w:anchor="_Toc32310279" w:history="1">
            <w:r w:rsidR="00BC561B" w:rsidRPr="009D31FB">
              <w:rPr>
                <w:rStyle w:val="Hyperlink"/>
                <w:noProof/>
              </w:rPr>
              <w:t>6.</w:t>
            </w:r>
            <w:r w:rsidR="00BC561B">
              <w:rPr>
                <w:rFonts w:asciiTheme="minorHAnsi" w:hAnsiTheme="minorHAnsi" w:cstheme="minorBidi"/>
                <w:noProof/>
                <w:sz w:val="22"/>
              </w:rPr>
              <w:tab/>
            </w:r>
            <w:r w:rsidR="00BC561B" w:rsidRPr="009D31FB">
              <w:rPr>
                <w:rStyle w:val="Hyperlink"/>
                <w:noProof/>
              </w:rPr>
              <w:t>Conclusion</w:t>
            </w:r>
            <w:r w:rsidR="00BC561B">
              <w:rPr>
                <w:noProof/>
                <w:webHidden/>
              </w:rPr>
              <w:tab/>
            </w:r>
            <w:r w:rsidR="00BC561B">
              <w:rPr>
                <w:noProof/>
                <w:webHidden/>
              </w:rPr>
              <w:fldChar w:fldCharType="begin"/>
            </w:r>
            <w:r w:rsidR="00BC561B">
              <w:rPr>
                <w:noProof/>
                <w:webHidden/>
              </w:rPr>
              <w:instrText xml:space="preserve"> PAGEREF _Toc32310279 \h </w:instrText>
            </w:r>
            <w:r w:rsidR="00BC561B">
              <w:rPr>
                <w:noProof/>
                <w:webHidden/>
              </w:rPr>
            </w:r>
            <w:r w:rsidR="00BC561B">
              <w:rPr>
                <w:noProof/>
                <w:webHidden/>
              </w:rPr>
              <w:fldChar w:fldCharType="separate"/>
            </w:r>
            <w:r>
              <w:rPr>
                <w:noProof/>
                <w:webHidden/>
              </w:rPr>
              <w:t>91</w:t>
            </w:r>
            <w:r w:rsidR="00BC561B">
              <w:rPr>
                <w:noProof/>
                <w:webHidden/>
              </w:rPr>
              <w:fldChar w:fldCharType="end"/>
            </w:r>
          </w:hyperlink>
        </w:p>
        <w:p w14:paraId="364DFC84" w14:textId="16D2AFFD" w:rsidR="00BC561B" w:rsidRDefault="00081764">
          <w:pPr>
            <w:pStyle w:val="TOC1"/>
            <w:tabs>
              <w:tab w:val="right" w:leader="dot" w:pos="9350"/>
            </w:tabs>
            <w:rPr>
              <w:rFonts w:asciiTheme="minorHAnsi" w:hAnsiTheme="minorHAnsi" w:cstheme="minorBidi"/>
              <w:noProof/>
              <w:sz w:val="22"/>
            </w:rPr>
          </w:pPr>
          <w:hyperlink w:anchor="_Toc32310280" w:history="1">
            <w:r w:rsidR="00BC561B" w:rsidRPr="009D31FB">
              <w:rPr>
                <w:rStyle w:val="Hyperlink"/>
                <w:noProof/>
              </w:rPr>
              <w:t>7.</w:t>
            </w:r>
            <w:r w:rsidR="00BC561B">
              <w:rPr>
                <w:rFonts w:asciiTheme="minorHAnsi" w:hAnsiTheme="minorHAnsi" w:cstheme="minorBidi"/>
                <w:noProof/>
                <w:sz w:val="22"/>
              </w:rPr>
              <w:tab/>
            </w:r>
            <w:r w:rsidR="00BC561B" w:rsidRPr="009D31FB">
              <w:rPr>
                <w:rStyle w:val="Hyperlink"/>
                <w:noProof/>
              </w:rPr>
              <w:t>Comments on Proposed Decision</w:t>
            </w:r>
            <w:r w:rsidR="00BC561B">
              <w:rPr>
                <w:noProof/>
                <w:webHidden/>
              </w:rPr>
              <w:tab/>
            </w:r>
            <w:r w:rsidR="00BC561B">
              <w:rPr>
                <w:noProof/>
                <w:webHidden/>
              </w:rPr>
              <w:fldChar w:fldCharType="begin"/>
            </w:r>
            <w:r w:rsidR="00BC561B">
              <w:rPr>
                <w:noProof/>
                <w:webHidden/>
              </w:rPr>
              <w:instrText xml:space="preserve"> PAGEREF _Toc32310280 \h </w:instrText>
            </w:r>
            <w:r w:rsidR="00BC561B">
              <w:rPr>
                <w:noProof/>
                <w:webHidden/>
              </w:rPr>
            </w:r>
            <w:r w:rsidR="00BC561B">
              <w:rPr>
                <w:noProof/>
                <w:webHidden/>
              </w:rPr>
              <w:fldChar w:fldCharType="separate"/>
            </w:r>
            <w:r>
              <w:rPr>
                <w:noProof/>
                <w:webHidden/>
              </w:rPr>
              <w:t>95</w:t>
            </w:r>
            <w:r w:rsidR="00BC561B">
              <w:rPr>
                <w:noProof/>
                <w:webHidden/>
              </w:rPr>
              <w:fldChar w:fldCharType="end"/>
            </w:r>
          </w:hyperlink>
        </w:p>
        <w:p w14:paraId="68DD1643" w14:textId="06A7A06F" w:rsidR="00BC561B" w:rsidRDefault="00081764">
          <w:pPr>
            <w:pStyle w:val="TOC1"/>
            <w:tabs>
              <w:tab w:val="right" w:leader="dot" w:pos="9350"/>
            </w:tabs>
            <w:rPr>
              <w:rFonts w:asciiTheme="minorHAnsi" w:hAnsiTheme="minorHAnsi" w:cstheme="minorBidi"/>
              <w:noProof/>
              <w:sz w:val="22"/>
            </w:rPr>
          </w:pPr>
          <w:hyperlink w:anchor="_Toc32310281" w:history="1">
            <w:r w:rsidR="00BC561B" w:rsidRPr="009D31FB">
              <w:rPr>
                <w:rStyle w:val="Hyperlink"/>
                <w:noProof/>
              </w:rPr>
              <w:t>8.</w:t>
            </w:r>
            <w:r w:rsidR="00BC561B">
              <w:rPr>
                <w:rFonts w:asciiTheme="minorHAnsi" w:hAnsiTheme="minorHAnsi" w:cstheme="minorBidi"/>
                <w:noProof/>
                <w:sz w:val="22"/>
              </w:rPr>
              <w:tab/>
            </w:r>
            <w:r w:rsidR="00BC561B" w:rsidRPr="009D31FB">
              <w:rPr>
                <w:rStyle w:val="Hyperlink"/>
                <w:noProof/>
              </w:rPr>
              <w:t>Assignment of Proceeding</w:t>
            </w:r>
            <w:r w:rsidR="00BC561B">
              <w:rPr>
                <w:noProof/>
                <w:webHidden/>
              </w:rPr>
              <w:tab/>
            </w:r>
            <w:r w:rsidR="00BC561B">
              <w:rPr>
                <w:noProof/>
                <w:webHidden/>
              </w:rPr>
              <w:fldChar w:fldCharType="begin"/>
            </w:r>
            <w:r w:rsidR="00BC561B">
              <w:rPr>
                <w:noProof/>
                <w:webHidden/>
              </w:rPr>
              <w:instrText xml:space="preserve"> PAGEREF _Toc32310281 \h </w:instrText>
            </w:r>
            <w:r w:rsidR="00BC561B">
              <w:rPr>
                <w:noProof/>
                <w:webHidden/>
              </w:rPr>
            </w:r>
            <w:r w:rsidR="00BC561B">
              <w:rPr>
                <w:noProof/>
                <w:webHidden/>
              </w:rPr>
              <w:fldChar w:fldCharType="separate"/>
            </w:r>
            <w:r>
              <w:rPr>
                <w:noProof/>
                <w:webHidden/>
              </w:rPr>
              <w:t>95</w:t>
            </w:r>
            <w:r w:rsidR="00BC561B">
              <w:rPr>
                <w:noProof/>
                <w:webHidden/>
              </w:rPr>
              <w:fldChar w:fldCharType="end"/>
            </w:r>
          </w:hyperlink>
        </w:p>
        <w:p w14:paraId="04ABFF08" w14:textId="2BDD37BF" w:rsidR="00BC561B" w:rsidRDefault="00081764">
          <w:pPr>
            <w:pStyle w:val="TOC1"/>
            <w:tabs>
              <w:tab w:val="right" w:leader="dot" w:pos="9350"/>
            </w:tabs>
            <w:rPr>
              <w:rFonts w:asciiTheme="minorHAnsi" w:hAnsiTheme="minorHAnsi" w:cstheme="minorBidi"/>
              <w:noProof/>
              <w:sz w:val="22"/>
            </w:rPr>
          </w:pPr>
          <w:hyperlink w:anchor="_Toc32310282" w:history="1">
            <w:r w:rsidR="00BC561B" w:rsidRPr="009D31FB">
              <w:rPr>
                <w:rStyle w:val="Hyperlink"/>
                <w:noProof/>
              </w:rPr>
              <w:t>Findings of Fact</w:t>
            </w:r>
            <w:r w:rsidR="00BC561B">
              <w:rPr>
                <w:noProof/>
                <w:webHidden/>
              </w:rPr>
              <w:tab/>
            </w:r>
            <w:r w:rsidR="00BC561B">
              <w:rPr>
                <w:noProof/>
                <w:webHidden/>
              </w:rPr>
              <w:fldChar w:fldCharType="begin"/>
            </w:r>
            <w:r w:rsidR="00BC561B">
              <w:rPr>
                <w:noProof/>
                <w:webHidden/>
              </w:rPr>
              <w:instrText xml:space="preserve"> PAGEREF _Toc32310282 \h </w:instrText>
            </w:r>
            <w:r w:rsidR="00BC561B">
              <w:rPr>
                <w:noProof/>
                <w:webHidden/>
              </w:rPr>
            </w:r>
            <w:r w:rsidR="00BC561B">
              <w:rPr>
                <w:noProof/>
                <w:webHidden/>
              </w:rPr>
              <w:fldChar w:fldCharType="separate"/>
            </w:r>
            <w:r>
              <w:rPr>
                <w:noProof/>
                <w:webHidden/>
              </w:rPr>
              <w:t>96</w:t>
            </w:r>
            <w:r w:rsidR="00BC561B">
              <w:rPr>
                <w:noProof/>
                <w:webHidden/>
              </w:rPr>
              <w:fldChar w:fldCharType="end"/>
            </w:r>
          </w:hyperlink>
        </w:p>
        <w:p w14:paraId="55637E97" w14:textId="6BAFAF04" w:rsidR="00BC561B" w:rsidRDefault="00081764">
          <w:pPr>
            <w:pStyle w:val="TOC1"/>
            <w:tabs>
              <w:tab w:val="right" w:leader="dot" w:pos="9350"/>
            </w:tabs>
            <w:rPr>
              <w:rFonts w:asciiTheme="minorHAnsi" w:hAnsiTheme="minorHAnsi" w:cstheme="minorBidi"/>
              <w:noProof/>
              <w:sz w:val="22"/>
            </w:rPr>
          </w:pPr>
          <w:hyperlink w:anchor="_Toc32310283" w:history="1">
            <w:r w:rsidR="00BC561B" w:rsidRPr="009D31FB">
              <w:rPr>
                <w:rStyle w:val="Hyperlink"/>
                <w:noProof/>
              </w:rPr>
              <w:t>Conclusions of Law</w:t>
            </w:r>
            <w:r w:rsidR="00BC561B">
              <w:rPr>
                <w:noProof/>
                <w:webHidden/>
              </w:rPr>
              <w:tab/>
            </w:r>
            <w:r w:rsidR="00BC561B">
              <w:rPr>
                <w:noProof/>
                <w:webHidden/>
              </w:rPr>
              <w:fldChar w:fldCharType="begin"/>
            </w:r>
            <w:r w:rsidR="00BC561B">
              <w:rPr>
                <w:noProof/>
                <w:webHidden/>
              </w:rPr>
              <w:instrText xml:space="preserve"> PAGEREF _Toc32310283 \h </w:instrText>
            </w:r>
            <w:r w:rsidR="00BC561B">
              <w:rPr>
                <w:noProof/>
                <w:webHidden/>
              </w:rPr>
            </w:r>
            <w:r w:rsidR="00BC561B">
              <w:rPr>
                <w:noProof/>
                <w:webHidden/>
              </w:rPr>
              <w:fldChar w:fldCharType="separate"/>
            </w:r>
            <w:r>
              <w:rPr>
                <w:noProof/>
                <w:webHidden/>
              </w:rPr>
              <w:t>98</w:t>
            </w:r>
            <w:r w:rsidR="00BC561B">
              <w:rPr>
                <w:noProof/>
                <w:webHidden/>
              </w:rPr>
              <w:fldChar w:fldCharType="end"/>
            </w:r>
          </w:hyperlink>
        </w:p>
        <w:p w14:paraId="64FC58E5" w14:textId="4526C3D5" w:rsidR="00BC561B" w:rsidRDefault="00081764">
          <w:pPr>
            <w:pStyle w:val="TOC1"/>
            <w:tabs>
              <w:tab w:val="right" w:leader="dot" w:pos="9350"/>
            </w:tabs>
            <w:rPr>
              <w:rFonts w:asciiTheme="minorHAnsi" w:hAnsiTheme="minorHAnsi" w:cstheme="minorBidi"/>
              <w:noProof/>
              <w:sz w:val="22"/>
            </w:rPr>
          </w:pPr>
          <w:hyperlink w:anchor="_Toc32310284" w:history="1">
            <w:r w:rsidR="00BC561B" w:rsidRPr="009D31FB">
              <w:rPr>
                <w:rStyle w:val="Hyperlink"/>
                <w:noProof/>
              </w:rPr>
              <w:t>ORDER</w:t>
            </w:r>
            <w:r w:rsidR="00BC561B">
              <w:rPr>
                <w:noProof/>
                <w:webHidden/>
              </w:rPr>
              <w:tab/>
            </w:r>
            <w:r w:rsidR="00BC561B">
              <w:rPr>
                <w:noProof/>
                <w:webHidden/>
              </w:rPr>
              <w:fldChar w:fldCharType="begin"/>
            </w:r>
            <w:r w:rsidR="00BC561B">
              <w:rPr>
                <w:noProof/>
                <w:webHidden/>
              </w:rPr>
              <w:instrText xml:space="preserve"> PAGEREF _Toc32310284 \h </w:instrText>
            </w:r>
            <w:r w:rsidR="00BC561B">
              <w:rPr>
                <w:noProof/>
                <w:webHidden/>
              </w:rPr>
            </w:r>
            <w:r w:rsidR="00BC561B">
              <w:rPr>
                <w:noProof/>
                <w:webHidden/>
              </w:rPr>
              <w:fldChar w:fldCharType="separate"/>
            </w:r>
            <w:r>
              <w:rPr>
                <w:noProof/>
                <w:webHidden/>
              </w:rPr>
              <w:t>106</w:t>
            </w:r>
            <w:r w:rsidR="00BC561B">
              <w:rPr>
                <w:noProof/>
                <w:webHidden/>
              </w:rPr>
              <w:fldChar w:fldCharType="end"/>
            </w:r>
          </w:hyperlink>
        </w:p>
        <w:p w14:paraId="4AAE60E9" w14:textId="3FEB3490" w:rsidR="00D82A43" w:rsidRDefault="00B30B79" w:rsidP="00B30B79">
          <w:pPr>
            <w:pStyle w:val="TOC1"/>
            <w:tabs>
              <w:tab w:val="right" w:leader="dot" w:pos="9350"/>
            </w:tabs>
          </w:pPr>
          <w:r>
            <w:rPr>
              <w:rFonts w:asciiTheme="minorHAnsi" w:hAnsiTheme="minorHAnsi"/>
              <w:sz w:val="22"/>
            </w:rPr>
            <w:fldChar w:fldCharType="end"/>
          </w:r>
        </w:p>
      </w:sdtContent>
    </w:sdt>
    <w:p w14:paraId="1EC8B0ED" w14:textId="6A373732" w:rsidR="0098655A" w:rsidRPr="0098655A" w:rsidRDefault="0098655A" w:rsidP="00D50119">
      <w:pPr>
        <w:spacing w:line="240" w:lineRule="auto"/>
        <w:ind w:firstLine="0"/>
        <w:rPr>
          <w:rFonts w:cs="Arial"/>
          <w:szCs w:val="26"/>
        </w:rPr>
      </w:pPr>
      <w:r w:rsidRPr="0098655A">
        <w:rPr>
          <w:rFonts w:cs="Arial"/>
          <w:b/>
          <w:szCs w:val="26"/>
        </w:rPr>
        <w:t>Appendix A</w:t>
      </w:r>
      <w:r w:rsidRPr="0098655A">
        <w:rPr>
          <w:rFonts w:cs="Arial"/>
          <w:szCs w:val="26"/>
        </w:rPr>
        <w:t xml:space="preserve"> –</w:t>
      </w:r>
      <w:r w:rsidR="00E23CBB">
        <w:rPr>
          <w:rFonts w:cs="Arial"/>
          <w:szCs w:val="26"/>
        </w:rPr>
        <w:t xml:space="preserve"> </w:t>
      </w:r>
      <w:r w:rsidR="000960C2">
        <w:rPr>
          <w:rFonts w:cs="Arial"/>
          <w:szCs w:val="26"/>
        </w:rPr>
        <w:t>Additional Pilot Program Guidelines</w:t>
      </w:r>
    </w:p>
    <w:p w14:paraId="364953AF" w14:textId="634D6343" w:rsidR="00D44DB6" w:rsidRDefault="00D44DB6" w:rsidP="00D44DB6">
      <w:pPr>
        <w:spacing w:line="240" w:lineRule="auto"/>
        <w:ind w:firstLine="0"/>
        <w:rPr>
          <w:rFonts w:cs="Arial"/>
          <w:szCs w:val="26"/>
        </w:rPr>
      </w:pPr>
    </w:p>
    <w:p w14:paraId="361C2330" w14:textId="76B76AEF" w:rsidR="00D44DB6" w:rsidRPr="001A442E" w:rsidRDefault="00D44DB6" w:rsidP="00D44DB6">
      <w:pPr>
        <w:spacing w:line="240" w:lineRule="auto"/>
        <w:ind w:firstLine="0"/>
        <w:rPr>
          <w:rFonts w:cs="Arial"/>
          <w:iCs/>
          <w:szCs w:val="26"/>
        </w:rPr>
        <w:sectPr w:rsidR="00D44DB6" w:rsidRPr="001A442E" w:rsidSect="00D44DB6">
          <w:headerReference w:type="default" r:id="rId13"/>
          <w:footerReference w:type="default" r:id="rId14"/>
          <w:pgSz w:w="12240" w:h="15840"/>
          <w:pgMar w:top="1728" w:right="1440" w:bottom="1440" w:left="1440" w:header="720" w:footer="720" w:gutter="0"/>
          <w:pgNumType w:fmt="lowerRoman" w:start="1"/>
          <w:cols w:space="720"/>
          <w:docGrid w:linePitch="360"/>
        </w:sectPr>
      </w:pPr>
    </w:p>
    <w:p w14:paraId="707EAE45" w14:textId="24B2383C" w:rsidR="0098655A" w:rsidRDefault="00304706" w:rsidP="00D82A43">
      <w:pPr>
        <w:pStyle w:val="Main"/>
        <w:spacing w:after="240"/>
      </w:pPr>
      <w:bookmarkStart w:id="1" w:name="_Toc32310225"/>
      <w:r>
        <w:lastRenderedPageBreak/>
        <w:t>DECISION ESTA</w:t>
      </w:r>
      <w:r w:rsidR="0069438E">
        <w:t>B</w:t>
      </w:r>
      <w:r>
        <w:t xml:space="preserve">LISHING BUILDING </w:t>
      </w:r>
      <w:r w:rsidR="0085350C">
        <w:br/>
      </w:r>
      <w:r>
        <w:t>DECARBONIZATION PILOT PROGRAMS</w:t>
      </w:r>
      <w:bookmarkEnd w:id="1"/>
    </w:p>
    <w:p w14:paraId="46F071FF" w14:textId="77777777" w:rsidR="005A148C" w:rsidRDefault="005A148C" w:rsidP="005A148C">
      <w:pPr>
        <w:pStyle w:val="Dummy"/>
      </w:pPr>
      <w:bookmarkStart w:id="2" w:name="_Toc8123714"/>
      <w:bookmarkStart w:id="3" w:name="_Toc12866683"/>
      <w:bookmarkStart w:id="4" w:name="_Toc32310226"/>
      <w:r>
        <w:t>Summary</w:t>
      </w:r>
      <w:bookmarkEnd w:id="2"/>
      <w:bookmarkEnd w:id="3"/>
      <w:bookmarkEnd w:id="4"/>
    </w:p>
    <w:p w14:paraId="115210E4" w14:textId="1A59D1F2" w:rsidR="00304706" w:rsidRDefault="00304706" w:rsidP="00304706">
      <w:pPr>
        <w:pStyle w:val="Standard"/>
      </w:pPr>
      <w:r>
        <w:t xml:space="preserve">This decision establishes a framework for California Public Utilities Commission </w:t>
      </w:r>
      <w:r w:rsidR="00D45E86">
        <w:t>(Commission</w:t>
      </w:r>
      <w:r w:rsidR="00E123D8">
        <w:t xml:space="preserve"> or CPUC</w:t>
      </w:r>
      <w:r w:rsidR="00D45E86">
        <w:t xml:space="preserve">) </w:t>
      </w:r>
      <w:r>
        <w:t xml:space="preserve">oversight of Senate Bill </w:t>
      </w:r>
      <w:r w:rsidR="00A5730D">
        <w:t xml:space="preserve">(SB) </w:t>
      </w:r>
      <w:r>
        <w:t xml:space="preserve">1477’s (Stern, 2018) two building decarbonization pilot programs – the Building Initiative for Low-Emissions Development </w:t>
      </w:r>
      <w:r w:rsidR="007C0F5A">
        <w:t>(BUILD</w:t>
      </w:r>
      <w:r w:rsidR="00DB02E1">
        <w:t xml:space="preserve"> Program</w:t>
      </w:r>
      <w:r w:rsidR="007C0F5A">
        <w:t xml:space="preserve">) </w:t>
      </w:r>
      <w:r>
        <w:t>program and the Technology and Equipment for Clean Heating</w:t>
      </w:r>
      <w:r w:rsidR="007C0F5A">
        <w:t xml:space="preserve"> (TECH</w:t>
      </w:r>
      <w:r w:rsidR="00DB02E1">
        <w:t xml:space="preserve"> Initiative</w:t>
      </w:r>
      <w:r w:rsidR="007C0F5A">
        <w:t>)</w:t>
      </w:r>
      <w:r>
        <w:t xml:space="preserve"> initiative.  These two pilot programs </w:t>
      </w:r>
      <w:r w:rsidR="00DB02E1">
        <w:t xml:space="preserve">are designed </w:t>
      </w:r>
      <w:r>
        <w:t xml:space="preserve">to develop valuable market experience for the purpose of decarbonizing California’s </w:t>
      </w:r>
      <w:r w:rsidR="006B45F2">
        <w:t>residential buildings in order</w:t>
      </w:r>
      <w:r>
        <w:t xml:space="preserve"> to achieve </w:t>
      </w:r>
      <w:r w:rsidR="006B45F2">
        <w:t>California’s</w:t>
      </w:r>
      <w:r>
        <w:t xml:space="preserve"> zero-emissions goals. </w:t>
      </w:r>
    </w:p>
    <w:p w14:paraId="145EB8B9" w14:textId="76F1045B" w:rsidR="00304706" w:rsidRDefault="00BC7E07" w:rsidP="00304706">
      <w:pPr>
        <w:pStyle w:val="Standard"/>
      </w:pPr>
      <w:r>
        <w:t>B</w:t>
      </w:r>
      <w:r w:rsidR="00304706">
        <w:t>uilding decarbonization pilot program funding is authorized and financed pursuant to SB 1477.  SB 1477 makes available $</w:t>
      </w:r>
      <w:r w:rsidR="006B45F2">
        <w:t xml:space="preserve">50 </w:t>
      </w:r>
      <w:r w:rsidR="00304706">
        <w:t xml:space="preserve">million annually </w:t>
      </w:r>
      <w:r w:rsidR="001235B4">
        <w:t xml:space="preserve">for </w:t>
      </w:r>
      <w:r w:rsidR="00304706">
        <w:t>four years,</w:t>
      </w:r>
      <w:r w:rsidR="00304706">
        <w:rPr>
          <w:rStyle w:val="FootnoteReference"/>
        </w:rPr>
        <w:footnoteReference w:id="2"/>
      </w:r>
      <w:r w:rsidR="00304706">
        <w:t xml:space="preserve"> </w:t>
      </w:r>
      <w:r w:rsidR="006B45F2">
        <w:t xml:space="preserve">for a total of $200 million, </w:t>
      </w:r>
      <w:r w:rsidR="00304706">
        <w:t xml:space="preserve">derived from the revenue generated from the greenhouse gas </w:t>
      </w:r>
      <w:r w:rsidR="00281D3E">
        <w:t xml:space="preserve">(GHG) </w:t>
      </w:r>
      <w:r w:rsidR="00304706">
        <w:t xml:space="preserve">emission allowances directly allocated to gas corporations and consigned to auction as part of the California Air Resources Board’s </w:t>
      </w:r>
      <w:r w:rsidR="00DB02E1">
        <w:t xml:space="preserve">(CARB’s) </w:t>
      </w:r>
      <w:r w:rsidR="00304706">
        <w:t>Cap</w:t>
      </w:r>
      <w:r w:rsidR="00D5528C">
        <w:noBreakHyphen/>
      </w:r>
      <w:r w:rsidR="00304706">
        <w:t>and</w:t>
      </w:r>
      <w:r w:rsidR="00D5528C">
        <w:noBreakHyphen/>
      </w:r>
      <w:r w:rsidR="00304706">
        <w:t>Trade program.</w:t>
      </w:r>
      <w:r w:rsidR="006B45F2">
        <w:rPr>
          <w:rStyle w:val="FootnoteReference"/>
        </w:rPr>
        <w:footnoteReference w:id="3"/>
      </w:r>
      <w:r w:rsidR="00304706">
        <w:t xml:space="preserve">  </w:t>
      </w:r>
      <w:r w:rsidR="00DB02E1">
        <w:t xml:space="preserve">This decision </w:t>
      </w:r>
      <w:r w:rsidR="00304706">
        <w:t>appropriate</w:t>
      </w:r>
      <w:r w:rsidR="00DB02E1">
        <w:t>s</w:t>
      </w:r>
      <w:r w:rsidR="00304706">
        <w:t xml:space="preserve"> </w:t>
      </w:r>
      <w:r w:rsidR="006B45F2">
        <w:t>40</w:t>
      </w:r>
      <w:r w:rsidR="00C16A70">
        <w:t> </w:t>
      </w:r>
      <w:r w:rsidR="006B45F2">
        <w:t>percent</w:t>
      </w:r>
      <w:r w:rsidR="00304706">
        <w:t xml:space="preserve"> of the $200 million budget for the </w:t>
      </w:r>
      <w:r w:rsidR="00DB02E1">
        <w:t>BUILD Program</w:t>
      </w:r>
      <w:r w:rsidR="00304706">
        <w:t xml:space="preserve"> and </w:t>
      </w:r>
      <w:r w:rsidR="006B45F2">
        <w:t>60 percent</w:t>
      </w:r>
      <w:r w:rsidR="00304706">
        <w:t xml:space="preserve"> for the </w:t>
      </w:r>
      <w:r w:rsidR="00DB02E1">
        <w:t>TECH I</w:t>
      </w:r>
      <w:r w:rsidR="00304706">
        <w:t xml:space="preserve">nitiative. </w:t>
      </w:r>
    </w:p>
    <w:p w14:paraId="10E14609" w14:textId="69140D68" w:rsidR="00304706" w:rsidRDefault="00304706" w:rsidP="00304706">
      <w:r>
        <w:t xml:space="preserve">To comply with </w:t>
      </w:r>
      <w:r w:rsidR="00DB02E1">
        <w:t>CARB</w:t>
      </w:r>
      <w:r>
        <w:t xml:space="preserve"> rules regarding Cap</w:t>
      </w:r>
      <w:r w:rsidR="0040411F">
        <w:noBreakHyphen/>
      </w:r>
      <w:r>
        <w:t>and</w:t>
      </w:r>
      <w:r w:rsidR="0040411F">
        <w:noBreakHyphen/>
      </w:r>
      <w:r>
        <w:t xml:space="preserve">Trade funds, spending for the </w:t>
      </w:r>
      <w:r w:rsidR="00DB02E1">
        <w:t>BUILD Program</w:t>
      </w:r>
      <w:r>
        <w:t xml:space="preserve"> and</w:t>
      </w:r>
      <w:r w:rsidR="006B45F2">
        <w:t xml:space="preserve"> the</w:t>
      </w:r>
      <w:r>
        <w:t xml:space="preserve"> </w:t>
      </w:r>
      <w:r w:rsidR="00DB02E1">
        <w:t>TECH I</w:t>
      </w:r>
      <w:r>
        <w:t xml:space="preserve">nitiative shall be proportionally directed to </w:t>
      </w:r>
      <w:r>
        <w:lastRenderedPageBreak/>
        <w:t>the gas corporation service territories where the funds are derived.</w:t>
      </w:r>
      <w:r>
        <w:rPr>
          <w:rStyle w:val="FootnoteReference"/>
        </w:rPr>
        <w:footnoteReference w:id="4"/>
      </w:r>
      <w:r>
        <w:t xml:space="preserve">  The percentage allocation for </w:t>
      </w:r>
      <w:r w:rsidR="006B45F2">
        <w:t xml:space="preserve">pilot program spending in </w:t>
      </w:r>
      <w:r>
        <w:t>each gas corporation service territory</w:t>
      </w:r>
      <w:r w:rsidR="006B45F2">
        <w:t xml:space="preserve"> shall be consistent with each gas corporation’s allocation of Cap</w:t>
      </w:r>
      <w:r w:rsidR="00405D8E">
        <w:noBreakHyphen/>
      </w:r>
      <w:r w:rsidR="006B45F2">
        <w:t>and</w:t>
      </w:r>
      <w:r w:rsidR="00405D8E">
        <w:noBreakHyphen/>
      </w:r>
      <w:r w:rsidR="006B45F2">
        <w:t>Trade allowances:</w:t>
      </w:r>
      <w:r>
        <w:t xml:space="preserve">  </w:t>
      </w:r>
    </w:p>
    <w:p w14:paraId="19BDD5AB" w14:textId="795922B0" w:rsidR="00DB02E1" w:rsidRDefault="00DB02E1" w:rsidP="00733EC7">
      <w:pPr>
        <w:spacing w:line="240" w:lineRule="auto"/>
      </w:pPr>
      <w:r>
        <w:t>Southern California Gas Company:</w:t>
      </w:r>
      <w:r w:rsidR="00733EC7">
        <w:t xml:space="preserve"> </w:t>
      </w:r>
      <w:r>
        <w:t xml:space="preserve"> 49.26 percent</w:t>
      </w:r>
    </w:p>
    <w:p w14:paraId="22BAC1F0" w14:textId="6B94B411" w:rsidR="00DB02E1" w:rsidDel="00EA4D14" w:rsidRDefault="00DB02E1" w:rsidP="00733EC7">
      <w:pPr>
        <w:spacing w:line="240" w:lineRule="auto"/>
      </w:pPr>
      <w:r>
        <w:t>Pacific Gas and Electric Company:</w:t>
      </w:r>
      <w:r w:rsidR="00733EC7">
        <w:t xml:space="preserve"> </w:t>
      </w:r>
      <w:r>
        <w:t xml:space="preserve"> 42.34 percent </w:t>
      </w:r>
    </w:p>
    <w:p w14:paraId="71AECC3B" w14:textId="42CCF360" w:rsidR="00DB02E1" w:rsidRDefault="00DB02E1" w:rsidP="00733EC7">
      <w:pPr>
        <w:spacing w:line="240" w:lineRule="auto"/>
      </w:pPr>
      <w:r>
        <w:t xml:space="preserve">San Diego Gas &amp; Electric Company: </w:t>
      </w:r>
      <w:r w:rsidR="00733EC7">
        <w:t xml:space="preserve"> </w:t>
      </w:r>
      <w:r>
        <w:t>6.77 percent</w:t>
      </w:r>
    </w:p>
    <w:p w14:paraId="59DDEE8A" w14:textId="7E9B1F6D" w:rsidR="00DB02E1" w:rsidRDefault="00DB02E1" w:rsidP="00DB02E1">
      <w:r>
        <w:t>Southwest Gas</w:t>
      </w:r>
      <w:r w:rsidR="00E123D8">
        <w:t xml:space="preserve"> Corporation</w:t>
      </w:r>
      <w:r>
        <w:t xml:space="preserve">: </w:t>
      </w:r>
      <w:r w:rsidR="00733EC7">
        <w:t xml:space="preserve"> </w:t>
      </w:r>
      <w:r>
        <w:t>1.63 percent</w:t>
      </w:r>
    </w:p>
    <w:p w14:paraId="217BC356" w14:textId="17410641" w:rsidR="00304706" w:rsidRDefault="00E61FD8" w:rsidP="00304706">
      <w:pPr>
        <w:pStyle w:val="Standard"/>
      </w:pPr>
      <w:r>
        <w:t>Any spending for the BUILD Program and the TECH Initiative with</w:t>
      </w:r>
      <w:r w:rsidRPr="006079B9">
        <w:t xml:space="preserve"> statewide or cross-territory benefits</w:t>
      </w:r>
      <w:r>
        <w:t>, including but not limited to administrative and evaluation spending,</w:t>
      </w:r>
      <w:r w:rsidRPr="006079B9">
        <w:t xml:space="preserve"> sh</w:t>
      </w:r>
      <w:r>
        <w:t>all</w:t>
      </w:r>
      <w:r w:rsidRPr="006079B9">
        <w:t xml:space="preserve"> be attributed to the gas </w:t>
      </w:r>
      <w:r>
        <w:t xml:space="preserve">corporation service </w:t>
      </w:r>
      <w:r w:rsidRPr="006079B9">
        <w:t>territories in proportion to their original funding contribution.</w:t>
      </w:r>
      <w:r w:rsidRPr="008E7167">
        <w:t xml:space="preserve"> </w:t>
      </w:r>
      <w:r>
        <w:t xml:space="preserve"> </w:t>
      </w:r>
      <w:r w:rsidR="00304706" w:rsidRPr="008E7167">
        <w:t xml:space="preserve">To the extent </w:t>
      </w:r>
      <w:r w:rsidR="00304706">
        <w:t xml:space="preserve">that </w:t>
      </w:r>
      <w:r w:rsidR="00304706" w:rsidRPr="008E7167">
        <w:t xml:space="preserve">there are unspent </w:t>
      </w:r>
      <w:r w:rsidR="00281D3E">
        <w:t>GHG</w:t>
      </w:r>
      <w:r w:rsidR="00304706">
        <w:t xml:space="preserve"> </w:t>
      </w:r>
      <w:r w:rsidR="00304706" w:rsidRPr="008E7167">
        <w:t xml:space="preserve">allowance proceeds </w:t>
      </w:r>
      <w:r w:rsidR="00304706">
        <w:t>allocated for an individual gas corporation’s service territory,</w:t>
      </w:r>
      <w:r w:rsidR="00304706" w:rsidRPr="008E7167">
        <w:t xml:space="preserve"> and no remaining eligible projects within that service territory, the remaining </w:t>
      </w:r>
      <w:r w:rsidR="00CF32B6">
        <w:t>GHG</w:t>
      </w:r>
      <w:r w:rsidR="00304706">
        <w:t xml:space="preserve"> </w:t>
      </w:r>
      <w:r w:rsidR="00304706" w:rsidRPr="008E7167">
        <w:t>allowance proceeds may be spent</w:t>
      </w:r>
      <w:r>
        <w:t xml:space="preserve"> outside of that gas corporation’s service territory</w:t>
      </w:r>
      <w:r w:rsidR="00DB02E1">
        <w:t>, starting</w:t>
      </w:r>
      <w:r w:rsidR="00304706">
        <w:t xml:space="preserve"> two years </w:t>
      </w:r>
      <w:r w:rsidR="00DB02E1">
        <w:t xml:space="preserve">after </w:t>
      </w:r>
      <w:r w:rsidR="00304706">
        <w:t>implementation.</w:t>
      </w:r>
      <w:r w:rsidR="00E123D8">
        <w:t xml:space="preserve"> </w:t>
      </w:r>
      <w:r w:rsidR="00E123D8" w:rsidRPr="00D8128F">
        <w:t xml:space="preserve">Any unspent funds remaining as of July 1, 2033 shall be returned to the ratepayers of the respective gas corporations </w:t>
      </w:r>
      <w:r w:rsidR="00E123D8">
        <w:t>as part of the California Climate Credit</w:t>
      </w:r>
      <w:r w:rsidR="00E123D8" w:rsidRPr="00D8128F">
        <w:t>.</w:t>
      </w:r>
    </w:p>
    <w:p w14:paraId="2401701E" w14:textId="115BF406" w:rsidR="00304706" w:rsidRDefault="00304706" w:rsidP="00304706">
      <w:pPr>
        <w:pStyle w:val="Standard"/>
      </w:pPr>
      <w:r>
        <w:t xml:space="preserve">The </w:t>
      </w:r>
      <w:r w:rsidR="00DB02E1">
        <w:t>BUILD Program</w:t>
      </w:r>
      <w:r>
        <w:t xml:space="preserve"> shall be administered by the California Energy </w:t>
      </w:r>
      <w:r w:rsidR="00CF32B6">
        <w:t>CEC</w:t>
      </w:r>
      <w:r>
        <w:t xml:space="preserve">, with </w:t>
      </w:r>
      <w:r w:rsidR="00CF32B6">
        <w:t>Commission</w:t>
      </w:r>
      <w:r w:rsidR="00E51D30">
        <w:t xml:space="preserve"> </w:t>
      </w:r>
      <w:r>
        <w:t>oversight.</w:t>
      </w:r>
      <w:r w:rsidR="00FE2512">
        <w:rPr>
          <w:rStyle w:val="FootnoteReference"/>
        </w:rPr>
        <w:footnoteReference w:id="5"/>
      </w:r>
      <w:r>
        <w:t xml:space="preserve">  </w:t>
      </w:r>
      <w:r w:rsidR="00BC7E07">
        <w:t>The CEC should aim</w:t>
      </w:r>
      <w:r w:rsidR="000972EA">
        <w:t xml:space="preserve"> </w:t>
      </w:r>
      <w:r>
        <w:t xml:space="preserve">to design the </w:t>
      </w:r>
      <w:r w:rsidR="00DB02E1">
        <w:t>BUILD P</w:t>
      </w:r>
      <w:r>
        <w:t xml:space="preserve">rogram </w:t>
      </w:r>
      <w:r>
        <w:lastRenderedPageBreak/>
        <w:t xml:space="preserve">with the goal </w:t>
      </w:r>
      <w:r w:rsidR="006B45F2">
        <w:t>to deploy near-zero emission building technologies in</w:t>
      </w:r>
      <w:r>
        <w:t xml:space="preserve"> the largest number of </w:t>
      </w:r>
      <w:r w:rsidR="00EB5C30">
        <w:t xml:space="preserve">new </w:t>
      </w:r>
      <w:r w:rsidR="00A74A1F">
        <w:t xml:space="preserve">residential housing </w:t>
      </w:r>
      <w:r>
        <w:t xml:space="preserve">units possible.  To achieve that aim, at least </w:t>
      </w:r>
      <w:r w:rsidR="00EB5C30">
        <w:t xml:space="preserve">30 </w:t>
      </w:r>
      <w:r>
        <w:t>percent of the total $200</w:t>
      </w:r>
      <w:r w:rsidR="000972EA">
        <w:t> </w:t>
      </w:r>
      <w:r>
        <w:t>million</w:t>
      </w:r>
      <w:r w:rsidR="00EB5C30">
        <w:t xml:space="preserve"> in total</w:t>
      </w:r>
      <w:r>
        <w:t xml:space="preserve"> funding authorized by</w:t>
      </w:r>
      <w:r w:rsidR="00BC5CAE">
        <w:t xml:space="preserve"> SB 1477 (</w:t>
      </w:r>
      <w:r w:rsidR="00E61FD8">
        <w:rPr>
          <w:i/>
          <w:iCs/>
        </w:rPr>
        <w:t>i.e.,</w:t>
      </w:r>
      <w:r w:rsidR="00BC5CAE">
        <w:t xml:space="preserve"> $</w:t>
      </w:r>
      <w:r w:rsidR="00E123D8">
        <w:t>60</w:t>
      </w:r>
      <w:r w:rsidR="00BC5CAE">
        <w:t xml:space="preserve"> million)</w:t>
      </w:r>
      <w:r>
        <w:t xml:space="preserve"> is appropriated for new low-income residential housing under </w:t>
      </w:r>
      <w:r w:rsidR="00EB5C30">
        <w:t>BUILD</w:t>
      </w:r>
      <w:r w:rsidR="00FF273A">
        <w:t xml:space="preserve"> </w:t>
      </w:r>
      <w:r w:rsidR="00EB5C30">
        <w:t>P</w:t>
      </w:r>
      <w:r>
        <w:t xml:space="preserve">rogram.  </w:t>
      </w:r>
      <w:r w:rsidR="00DB02E1">
        <w:t>T</w:t>
      </w:r>
      <w:r>
        <w:t xml:space="preserve">his percentage is not the ceiling for spending on low-income </w:t>
      </w:r>
      <w:r w:rsidR="00DB02E1">
        <w:t xml:space="preserve">housing </w:t>
      </w:r>
      <w:r>
        <w:t xml:space="preserve">but rather, the floor.  </w:t>
      </w:r>
    </w:p>
    <w:p w14:paraId="33C758C3" w14:textId="1E5556C7" w:rsidR="00E61FD8" w:rsidRDefault="00304706" w:rsidP="00E61FD8">
      <w:pPr>
        <w:pStyle w:val="Standard"/>
      </w:pPr>
      <w:r>
        <w:t xml:space="preserve">Incentive eligibility for the </w:t>
      </w:r>
      <w:r w:rsidR="00DB02E1">
        <w:t>BUILD P</w:t>
      </w:r>
      <w:r>
        <w:t xml:space="preserve">rogram shall be limited strictly to </w:t>
      </w:r>
      <w:r w:rsidR="00E61FD8" w:rsidRPr="00D60750">
        <w:t>new</w:t>
      </w:r>
      <w:r w:rsidR="00E61FD8">
        <w:t xml:space="preserve"> residential housing</w:t>
      </w:r>
      <w:r w:rsidR="00E61FD8" w:rsidRPr="00D60750" w:rsidDel="00E61FD8">
        <w:t xml:space="preserve"> </w:t>
      </w:r>
      <w:r>
        <w:t xml:space="preserve"> building projects</w:t>
      </w:r>
      <w:r w:rsidR="00E708EB">
        <w:t xml:space="preserve"> that are all-electric and have no</w:t>
      </w:r>
      <w:r>
        <w:t xml:space="preserve"> hookup to the gas distribution grid.</w:t>
      </w:r>
      <w:r w:rsidR="000972EA">
        <w:t xml:space="preserve"> </w:t>
      </w:r>
      <w:r>
        <w:t xml:space="preserve"> </w:t>
      </w:r>
      <w:r w:rsidR="00E61FD8">
        <w:t>New residential housing is defined as one of the following:</w:t>
      </w:r>
    </w:p>
    <w:p w14:paraId="047EE237" w14:textId="044ACB66" w:rsidR="00E61FD8" w:rsidRDefault="00BC7E07" w:rsidP="00E61FD8">
      <w:pPr>
        <w:pStyle w:val="Standard"/>
        <w:numPr>
          <w:ilvl w:val="0"/>
          <w:numId w:val="36"/>
        </w:numPr>
      </w:pPr>
      <w:r>
        <w:t>A</w:t>
      </w:r>
      <w:r w:rsidR="00E61FD8">
        <w:t xml:space="preserve"> building that has never been used or occupied for any purpose;</w:t>
      </w:r>
      <w:r>
        <w:rPr>
          <w:rStyle w:val="FootnoteReference"/>
        </w:rPr>
        <w:footnoteReference w:id="6"/>
      </w:r>
      <w:r>
        <w:t xml:space="preserve"> or</w:t>
      </w:r>
    </w:p>
    <w:p w14:paraId="6A5E5223" w14:textId="3FA49D6B" w:rsidR="00E61FD8" w:rsidRDefault="00BC7E07" w:rsidP="00F14BCE">
      <w:pPr>
        <w:pStyle w:val="Standard"/>
        <w:numPr>
          <w:ilvl w:val="0"/>
          <w:numId w:val="36"/>
        </w:numPr>
        <w:spacing w:after="120" w:line="240" w:lineRule="auto"/>
      </w:pPr>
      <w:r>
        <w:t>A</w:t>
      </w:r>
      <w:r w:rsidR="00E61FD8">
        <w:t>ny work, addition to, remodel, repair, renovation, or alteration of any building(s) or structure(s) when 50 percent or more of the exterior weight bearing walls are removed or demolished;</w:t>
      </w:r>
      <w:r>
        <w:rPr>
          <w:rStyle w:val="FootnoteReference"/>
        </w:rPr>
        <w:footnoteReference w:id="7"/>
      </w:r>
      <w:r w:rsidR="00E61FD8">
        <w:t xml:space="preserve"> </w:t>
      </w:r>
      <w:r w:rsidR="00E123D8">
        <w:t>or</w:t>
      </w:r>
    </w:p>
    <w:p w14:paraId="6F18A0A5" w14:textId="1ED7DE0B" w:rsidR="00E61FD8" w:rsidRDefault="00E61FD8" w:rsidP="00F14BCE">
      <w:pPr>
        <w:pStyle w:val="Standard"/>
        <w:numPr>
          <w:ilvl w:val="0"/>
          <w:numId w:val="36"/>
        </w:numPr>
        <w:spacing w:after="120" w:line="240" w:lineRule="auto"/>
      </w:pPr>
      <w:r>
        <w:t>An existing building repurposed for housing, whose original use was not residential.</w:t>
      </w:r>
    </w:p>
    <w:p w14:paraId="681636BF" w14:textId="07047EF3" w:rsidR="004B7131" w:rsidRDefault="00304706" w:rsidP="004B7131">
      <w:pPr>
        <w:pStyle w:val="Standard"/>
      </w:pPr>
      <w:r>
        <w:t xml:space="preserve">In the event that </w:t>
      </w:r>
      <w:r w:rsidR="004B7131">
        <w:t xml:space="preserve">funds reserved </w:t>
      </w:r>
      <w:r>
        <w:t>for new low</w:t>
      </w:r>
      <w:r w:rsidR="00705387">
        <w:noBreakHyphen/>
      </w:r>
      <w:r>
        <w:t xml:space="preserve">income residential housing </w:t>
      </w:r>
      <w:r w:rsidR="004B7131">
        <w:t xml:space="preserve">remain unspent </w:t>
      </w:r>
      <w:r>
        <w:t xml:space="preserve">two years </w:t>
      </w:r>
      <w:r w:rsidR="00E708EB">
        <w:t>after</w:t>
      </w:r>
      <w:r w:rsidR="00E61FD8">
        <w:t xml:space="preserve"> </w:t>
      </w:r>
      <w:r w:rsidR="00500439">
        <w:t xml:space="preserve">outreach and </w:t>
      </w:r>
      <w:r w:rsidR="00E708EB">
        <w:t xml:space="preserve">implementation of the </w:t>
      </w:r>
      <w:r w:rsidR="00DB02E1">
        <w:t>BUILD P</w:t>
      </w:r>
      <w:r>
        <w:t xml:space="preserve">rogram implementation, the </w:t>
      </w:r>
      <w:r w:rsidR="00705387">
        <w:t>CEC</w:t>
      </w:r>
      <w:r>
        <w:t xml:space="preserve">, </w:t>
      </w:r>
      <w:r w:rsidR="00DE1604">
        <w:t>after informal</w:t>
      </w:r>
      <w:r>
        <w:t xml:space="preserve"> consultation with the Commission</w:t>
      </w:r>
      <w:r w:rsidR="005B6862">
        <w:t>’s Energy Division</w:t>
      </w:r>
      <w:r w:rsidR="006D4517">
        <w:t xml:space="preserve"> staff</w:t>
      </w:r>
      <w:r>
        <w:t xml:space="preserve">, </w:t>
      </w:r>
      <w:r w:rsidR="004B7131" w:rsidRPr="008A7825">
        <w:t>and through the implementation plan approval</w:t>
      </w:r>
      <w:r w:rsidR="004B7131">
        <w:t xml:space="preserve"> process</w:t>
      </w:r>
      <w:r w:rsidR="004B7131" w:rsidRPr="008A7825">
        <w:t>, may</w:t>
      </w:r>
      <w:r w:rsidR="004B7131" w:rsidRPr="00F15740">
        <w:t xml:space="preserve"> </w:t>
      </w:r>
      <w:r w:rsidR="004B7131">
        <w:t xml:space="preserve">change </w:t>
      </w:r>
      <w:r w:rsidR="00E61FD8">
        <w:t>program</w:t>
      </w:r>
      <w:r w:rsidR="004B7131">
        <w:t xml:space="preserve"> eligibility requirements, as allowed </w:t>
      </w:r>
      <w:r w:rsidR="004B7131">
        <w:lastRenderedPageBreak/>
        <w:t>under Public Utilities Code Section</w:t>
      </w:r>
      <w:r w:rsidR="00E42005">
        <w:t> </w:t>
      </w:r>
      <w:r w:rsidR="004B7131">
        <w:t>921.1(c)(2), to include, but not be limited to, the following</w:t>
      </w:r>
      <w:r w:rsidR="004B7131" w:rsidRPr="008A7825">
        <w:t>:</w:t>
      </w:r>
    </w:p>
    <w:p w14:paraId="7C979725" w14:textId="3A6F10AF" w:rsidR="00E61FD8" w:rsidRDefault="00E61FD8" w:rsidP="00E61FD8">
      <w:pPr>
        <w:pStyle w:val="Standard"/>
        <w:numPr>
          <w:ilvl w:val="0"/>
          <w:numId w:val="28"/>
        </w:numPr>
        <w:spacing w:after="120" w:line="240" w:lineRule="auto"/>
        <w:ind w:right="1440"/>
      </w:pPr>
      <w:r>
        <w:t xml:space="preserve">Extending BUILD </w:t>
      </w:r>
      <w:r w:rsidR="00D2740D">
        <w:t>P</w:t>
      </w:r>
      <w:r>
        <w:t xml:space="preserve">rogram to address any barriers to scaling decarbonization in low income residential housing identified by </w:t>
      </w:r>
      <w:r w:rsidR="00D2740D">
        <w:t xml:space="preserve">the </w:t>
      </w:r>
      <w:r>
        <w:t>program evaluator, the Disadvantaged Communities Advisory Group, or the Low Income Oversight Board, and consistent with the legislative intent of SB 1477</w:t>
      </w:r>
      <w:r w:rsidR="00BC7E07">
        <w:t>;</w:t>
      </w:r>
    </w:p>
    <w:p w14:paraId="373F24F0" w14:textId="408130DC" w:rsidR="004B7131" w:rsidRDefault="004B7131" w:rsidP="004A341E">
      <w:pPr>
        <w:pStyle w:val="Standard"/>
        <w:numPr>
          <w:ilvl w:val="0"/>
          <w:numId w:val="28"/>
        </w:numPr>
        <w:spacing w:after="120" w:line="240" w:lineRule="auto"/>
        <w:ind w:right="1440"/>
      </w:pPr>
      <w:r>
        <w:t>Extending unspent funds to new market-rate housing projects;</w:t>
      </w:r>
      <w:r w:rsidR="00BC7E07">
        <w:t xml:space="preserve"> and</w:t>
      </w:r>
    </w:p>
    <w:p w14:paraId="18D888EB" w14:textId="531EE85B" w:rsidR="004B7131" w:rsidRDefault="004B7131" w:rsidP="00BC7E07">
      <w:pPr>
        <w:pStyle w:val="Standard"/>
        <w:numPr>
          <w:ilvl w:val="0"/>
          <w:numId w:val="28"/>
        </w:numPr>
        <w:spacing w:after="120" w:line="240" w:lineRule="auto"/>
        <w:ind w:right="1440"/>
      </w:pPr>
      <w:r>
        <w:t>Extending funding eligibility to electric-ready retrofits to ease future transitions toward all-electric buildings</w:t>
      </w:r>
      <w:r w:rsidDel="000C2A11">
        <w:t>.</w:t>
      </w:r>
    </w:p>
    <w:p w14:paraId="74DF9309" w14:textId="4BB58669" w:rsidR="00304706" w:rsidRDefault="008A5D7C" w:rsidP="008A5D7C">
      <w:pPr>
        <w:pStyle w:val="Standard"/>
      </w:pPr>
      <w:r w:rsidRPr="00C418A0">
        <w:t xml:space="preserve">The </w:t>
      </w:r>
      <w:r w:rsidR="00E61FD8">
        <w:t>CEC</w:t>
      </w:r>
      <w:r w:rsidRPr="00C418A0">
        <w:t xml:space="preserve"> shall ensure that </w:t>
      </w:r>
      <w:r w:rsidR="00E708EB">
        <w:t xml:space="preserve">program outreach has begun and </w:t>
      </w:r>
      <w:r w:rsidRPr="00C418A0">
        <w:t xml:space="preserve">technical assistance </w:t>
      </w:r>
      <w:r>
        <w:t xml:space="preserve">is available </w:t>
      </w:r>
      <w:r w:rsidRPr="00C418A0">
        <w:t xml:space="preserve">to all prospective applicants for new low-income residential housing </w:t>
      </w:r>
      <w:r w:rsidR="00E61FD8">
        <w:t xml:space="preserve">prior to the start of implementation </w:t>
      </w:r>
      <w:r w:rsidRPr="00C418A0">
        <w:t>in order to encourage greater participation in</w:t>
      </w:r>
      <w:r w:rsidR="006C3B4E">
        <w:t xml:space="preserve"> </w:t>
      </w:r>
      <w:r>
        <w:t xml:space="preserve">the </w:t>
      </w:r>
      <w:r w:rsidR="00DB02E1">
        <w:t>BUILD P</w:t>
      </w:r>
      <w:r w:rsidR="00304706">
        <w:t xml:space="preserve">rogram. </w:t>
      </w:r>
      <w:r w:rsidR="00E27B1A">
        <w:t xml:space="preserve"> </w:t>
      </w:r>
      <w:r w:rsidR="00304706">
        <w:t xml:space="preserve">If necessary, the </w:t>
      </w:r>
      <w:r w:rsidR="005072C6">
        <w:t>CEC</w:t>
      </w:r>
      <w:r w:rsidR="00304706">
        <w:t xml:space="preserve"> has the discretion to solicit a third-party contractor to </w:t>
      </w:r>
      <w:r>
        <w:t xml:space="preserve">provide technical assistance or to implement </w:t>
      </w:r>
      <w:r w:rsidR="00304706">
        <w:t xml:space="preserve">any parts of the </w:t>
      </w:r>
      <w:r w:rsidR="00DB02E1">
        <w:t>BUILD P</w:t>
      </w:r>
      <w:r w:rsidR="00304706">
        <w:t xml:space="preserve">rogram for effective implementation. </w:t>
      </w:r>
      <w:r w:rsidR="00500439" w:rsidRPr="00E708EB">
        <w:t>Following the approval of the implementation plan, and after having completed the statutory and regulatory requirements necessary to begin implementation, the CEC shall publicly notice the commencement of the BUILD Program to signal that applications for the program are being accepted.  Implementation shall be considered to have begun from the date the notice is published.</w:t>
      </w:r>
      <w:r w:rsidR="00500439" w:rsidRPr="00D30F33" w:rsidDel="008465C6">
        <w:t xml:space="preserve"> </w:t>
      </w:r>
      <w:r w:rsidR="00500439">
        <w:t xml:space="preserve"> </w:t>
      </w:r>
    </w:p>
    <w:p w14:paraId="4018BEAD" w14:textId="0DF236CD" w:rsidR="00304706" w:rsidRDefault="00304706" w:rsidP="00304706">
      <w:pPr>
        <w:pStyle w:val="Standard"/>
      </w:pPr>
      <w:r>
        <w:t xml:space="preserve">The </w:t>
      </w:r>
      <w:r w:rsidR="00DB02E1">
        <w:t>TECH I</w:t>
      </w:r>
      <w:r>
        <w:t xml:space="preserve">nitiative shall be effectuated by a third-party implementer.  The third-party implementer shall be selected with Commission oversight.  The Commission directs Southern California Edison Company </w:t>
      </w:r>
      <w:r w:rsidR="00133617">
        <w:t xml:space="preserve">(SCE) </w:t>
      </w:r>
      <w:r>
        <w:t xml:space="preserve">to act as the contracting agent responsible for managing the solicitation for the third-party implementer.  </w:t>
      </w:r>
      <w:r w:rsidR="00133617">
        <w:t>SCE</w:t>
      </w:r>
      <w:r>
        <w:t xml:space="preserve"> is entitled to a portion of the </w:t>
      </w:r>
      <w:r w:rsidR="009274FE">
        <w:t>TECH I</w:t>
      </w:r>
      <w:r>
        <w:t xml:space="preserve">nitiative funding, to recover expenses that may be incurred while serving as the contracting agent.  </w:t>
      </w:r>
      <w:r w:rsidR="008A5D7C">
        <w:lastRenderedPageBreak/>
        <w:t xml:space="preserve">The selection of the implementer shall occur through a request for proposal </w:t>
      </w:r>
      <w:r w:rsidR="00E61FD8">
        <w:t xml:space="preserve">(RFP) </w:t>
      </w:r>
      <w:r w:rsidR="008A5D7C">
        <w:t xml:space="preserve">process.  </w:t>
      </w:r>
      <w:r>
        <w:t xml:space="preserve">The Commission’s Energy Division, alongside a panel of financially disinterested experts, shall score proposals and select a bidder to serve as the third-party implementer for the </w:t>
      </w:r>
      <w:r w:rsidR="009274FE">
        <w:t>TECH I</w:t>
      </w:r>
      <w:r>
        <w:t xml:space="preserve">nitiative.  Upon the conclusion of the selection process, </w:t>
      </w:r>
      <w:r w:rsidR="00133617">
        <w:t>SCE</w:t>
      </w:r>
      <w:r>
        <w:t xml:space="preserve"> shall file a Tier </w:t>
      </w:r>
      <w:r w:rsidR="00E318D4">
        <w:t>2</w:t>
      </w:r>
      <w:r w:rsidR="000C4DB5">
        <w:t xml:space="preserve"> </w:t>
      </w:r>
      <w:r>
        <w:t xml:space="preserve">advice letter </w:t>
      </w:r>
      <w:r w:rsidR="000C4DB5">
        <w:t>seeking</w:t>
      </w:r>
      <w:r>
        <w:t xml:space="preserve"> approval of </w:t>
      </w:r>
      <w:r w:rsidR="000C4DB5">
        <w:t>candidate-</w:t>
      </w:r>
      <w:r>
        <w:t xml:space="preserve">implementer for the </w:t>
      </w:r>
      <w:r w:rsidR="009274FE">
        <w:t>TECH I</w:t>
      </w:r>
      <w:r>
        <w:t xml:space="preserve">nitiative. </w:t>
      </w:r>
    </w:p>
    <w:p w14:paraId="1057B6D0" w14:textId="0B64227E" w:rsidR="00304706" w:rsidRPr="00D156B1" w:rsidRDefault="00304706" w:rsidP="00304706">
      <w:pPr>
        <w:pStyle w:val="Standard"/>
        <w:rPr>
          <w:iCs/>
        </w:rPr>
      </w:pPr>
      <w:r>
        <w:t xml:space="preserve">To accelerate market development and adoption of building decarbonization technologies targeted under the </w:t>
      </w:r>
      <w:r w:rsidR="009274FE">
        <w:t>TECH I</w:t>
      </w:r>
      <w:r>
        <w:t xml:space="preserve">nitiative, we allow the implementer </w:t>
      </w:r>
      <w:r w:rsidR="00E708EB">
        <w:t>discretion</w:t>
      </w:r>
      <w:r>
        <w:t xml:space="preserve"> to </w:t>
      </w:r>
      <w:r w:rsidR="008A5D7C">
        <w:t>consider or build upon</w:t>
      </w:r>
      <w:r>
        <w:t xml:space="preserve"> an array of tactics and approaches.  However, we require the implementer to</w:t>
      </w:r>
      <w:r w:rsidR="008A5D7C">
        <w:t>, at a minimum,</w:t>
      </w:r>
      <w:r>
        <w:t xml:space="preserve"> use the upstream and midstream approaches we adopt here</w:t>
      </w:r>
      <w:r w:rsidR="000C4DB5">
        <w:t>,</w:t>
      </w:r>
      <w:r>
        <w:t xml:space="preserve"> </w:t>
      </w:r>
      <w:r w:rsidR="008A5D7C">
        <w:t xml:space="preserve">as well as provide </w:t>
      </w:r>
      <w:r w:rsidR="008A5D7C" w:rsidRPr="00FC1847">
        <w:t>consumer education, contractor</w:t>
      </w:r>
      <w:r w:rsidR="008A5D7C">
        <w:t xml:space="preserve"> training,</w:t>
      </w:r>
      <w:r w:rsidR="008A5D7C" w:rsidRPr="00FC1847">
        <w:t xml:space="preserve"> and vendor training</w:t>
      </w:r>
      <w:r>
        <w:t xml:space="preserve">.  </w:t>
      </w:r>
      <w:r w:rsidR="008A5D7C">
        <w:t>W</w:t>
      </w:r>
      <w:r>
        <w:t xml:space="preserve">e decline to adopt a prescriptive list of eligible technologies and products, until an implementer is selected for the </w:t>
      </w:r>
      <w:r w:rsidR="009274FE">
        <w:t>TECH I</w:t>
      </w:r>
      <w:r>
        <w:t>nitiative</w:t>
      </w:r>
      <w:r w:rsidR="00E61FD8">
        <w:t>.</w:t>
      </w:r>
      <w:r w:rsidR="008A5D7C">
        <w:t xml:space="preserve"> </w:t>
      </w:r>
      <w:r w:rsidR="00B417A5">
        <w:t xml:space="preserve"> </w:t>
      </w:r>
      <w:r w:rsidR="00ED5D80">
        <w:t xml:space="preserve">Applicants in </w:t>
      </w:r>
      <w:r w:rsidR="00ED5D80">
        <w:rPr>
          <w:iCs/>
        </w:rPr>
        <w:t xml:space="preserve">the </w:t>
      </w:r>
      <w:r w:rsidR="00E61FD8">
        <w:rPr>
          <w:iCs/>
        </w:rPr>
        <w:t>RFP</w:t>
      </w:r>
      <w:r w:rsidR="00ED5D80">
        <w:rPr>
          <w:iCs/>
        </w:rPr>
        <w:t xml:space="preserve"> process shall propose the most promising market segments areas for focused implementation efforts.</w:t>
      </w:r>
      <w:r>
        <w:t xml:space="preserve">  We support the development of program designs that consider barriers to participation faced by low-income, disadvantaged, and hard-to-reach customers </w:t>
      </w:r>
      <w:r w:rsidR="008A5D7C">
        <w:t xml:space="preserve">in order </w:t>
      </w:r>
      <w:r>
        <w:t>to maximize the market development benefits for these customer segments.</w:t>
      </w:r>
    </w:p>
    <w:p w14:paraId="100CF360" w14:textId="6363308A" w:rsidR="00304706" w:rsidRDefault="00304706" w:rsidP="006E6574">
      <w:pPr>
        <w:pStyle w:val="Standard"/>
      </w:pPr>
      <w:r>
        <w:t xml:space="preserve">Finally, a single, independent program evaluator shall evaluate both pilot programs.  </w:t>
      </w:r>
      <w:r w:rsidR="00D5528C">
        <w:t>SCE</w:t>
      </w:r>
      <w:r>
        <w:t xml:space="preserve"> shall procure </w:t>
      </w:r>
      <w:r w:rsidR="008A5D7C">
        <w:t xml:space="preserve">the </w:t>
      </w:r>
      <w:r>
        <w:t xml:space="preserve">independent program evaluator through a </w:t>
      </w:r>
      <w:r w:rsidR="00E61FD8">
        <w:t>RFP</w:t>
      </w:r>
      <w:r>
        <w:t xml:space="preserve"> process at the same time as </w:t>
      </w:r>
      <w:r w:rsidR="00297A1F">
        <w:t xml:space="preserve">the </w:t>
      </w:r>
      <w:r>
        <w:t xml:space="preserve">implementer for the </w:t>
      </w:r>
      <w:r w:rsidR="009274FE">
        <w:t>TECH I</w:t>
      </w:r>
      <w:r>
        <w:t>nitiative is procured.  The program evaluator shall be engaged throughout the initiation of the</w:t>
      </w:r>
      <w:r w:rsidR="00297A1F">
        <w:t xml:space="preserve"> two</w:t>
      </w:r>
      <w:r>
        <w:t xml:space="preserve"> pilot programs and during the administration of them to ensure that substantive, real</w:t>
      </w:r>
      <w:r w:rsidR="00297A1F">
        <w:t>-</w:t>
      </w:r>
      <w:r>
        <w:t xml:space="preserve">time feedback is given, and data and information gathering is meaningful to support </w:t>
      </w:r>
      <w:r w:rsidR="00297A1F">
        <w:t>programmatic success</w:t>
      </w:r>
      <w:r>
        <w:t>.</w:t>
      </w:r>
    </w:p>
    <w:p w14:paraId="5BE16AFC" w14:textId="77777777" w:rsidR="005A148C" w:rsidRPr="00121089" w:rsidRDefault="002C7FE9" w:rsidP="00A55ACD">
      <w:pPr>
        <w:pStyle w:val="Heading1"/>
        <w:numPr>
          <w:ilvl w:val="0"/>
          <w:numId w:val="1"/>
        </w:numPr>
      </w:pPr>
      <w:bookmarkStart w:id="5" w:name="_Toc8123715"/>
      <w:bookmarkStart w:id="6" w:name="_Toc12866684"/>
      <w:bookmarkStart w:id="7" w:name="_Toc32310227"/>
      <w:r w:rsidRPr="00121089">
        <w:lastRenderedPageBreak/>
        <w:t>Background</w:t>
      </w:r>
      <w:bookmarkEnd w:id="5"/>
      <w:bookmarkEnd w:id="6"/>
      <w:bookmarkEnd w:id="7"/>
    </w:p>
    <w:p w14:paraId="71D23FD4" w14:textId="06CE79B3" w:rsidR="000007B4" w:rsidRDefault="000007B4" w:rsidP="000007B4">
      <w:pPr>
        <w:pStyle w:val="Standard"/>
      </w:pPr>
      <w:r>
        <w:t xml:space="preserve">The California Public Utilities Commission (Commission or CPUC) initiated this rulemaking to craft a policy regarding the decarbonization of buildings in California.  </w:t>
      </w:r>
      <w:r w:rsidR="00E61FD8">
        <w:t>The first phase</w:t>
      </w:r>
      <w:r>
        <w:t xml:space="preserve"> of this proceeding focuses on the implementation of Senate Bill (SB) 1477 (Stern, 2018), which requires the Commission to develop two programs, designed to test two specific programmatic approaches to building decarbonization.  The two SB 1477 pilot programs are: (1) the Building Initiative for Low Emissions Development or BUILD (BUILD Program); and (2) the Technology and Equipment for Clean Heating (TECH Initiative). </w:t>
      </w:r>
    </w:p>
    <w:p w14:paraId="29E792A4" w14:textId="78A2FEE3" w:rsidR="000007B4" w:rsidRDefault="000007B4" w:rsidP="000007B4">
      <w:pPr>
        <w:pStyle w:val="Standard"/>
      </w:pPr>
      <w:r>
        <w:t xml:space="preserve">First, the BUILD Program, codified under </w:t>
      </w:r>
      <w:r w:rsidR="008A5CCE">
        <w:t>S</w:t>
      </w:r>
      <w:r>
        <w:t>ections 921 and 921.1,</w:t>
      </w:r>
      <w:r>
        <w:rPr>
          <w:rStyle w:val="FootnoteReference"/>
        </w:rPr>
        <w:footnoteReference w:id="8"/>
      </w:r>
      <w:r>
        <w:t xml:space="preserve"> is aimed to incent the deployment of </w:t>
      </w:r>
      <w:r w:rsidR="00297A1F">
        <w:t xml:space="preserve">near-zero </w:t>
      </w:r>
      <w:r>
        <w:t xml:space="preserve">building technologies in new residential buildings that reduce GHG emissions significantly beyond what otherwise would </w:t>
      </w:r>
      <w:r w:rsidR="00297A1F" w:rsidRPr="00943373">
        <w:t xml:space="preserve">be expected to result from the implementation of the prescriptive standards described in </w:t>
      </w:r>
      <w:r w:rsidR="00297A1F">
        <w:t xml:space="preserve">Part 6 of Title 24 of the California Code of Regulations (California </w:t>
      </w:r>
      <w:r w:rsidR="00297A1F" w:rsidRPr="00DC0DF9">
        <w:t xml:space="preserve">Energy </w:t>
      </w:r>
      <w:r w:rsidR="00297A1F">
        <w:t>Code)</w:t>
      </w:r>
      <w:r w:rsidR="00FF273A">
        <w:t>.</w:t>
      </w:r>
      <w:r w:rsidR="00297A1F">
        <w:rPr>
          <w:rStyle w:val="FootnoteReference"/>
        </w:rPr>
        <w:footnoteReference w:id="9"/>
      </w:r>
      <w:r w:rsidR="00297A1F">
        <w:t xml:space="preserve">  </w:t>
      </w:r>
      <w:r>
        <w:t xml:space="preserve">Second, the TECH Initiative, codified under </w:t>
      </w:r>
      <w:r w:rsidR="00D20A4C">
        <w:t>S</w:t>
      </w:r>
      <w:r>
        <w:t>ection</w:t>
      </w:r>
      <w:r w:rsidR="00490609">
        <w:t> </w:t>
      </w:r>
      <w:r>
        <w:t xml:space="preserve">922, is </w:t>
      </w:r>
      <w:r w:rsidR="00E708EB">
        <w:t xml:space="preserve">intended </w:t>
      </w:r>
      <w:r>
        <w:t xml:space="preserve">to </w:t>
      </w:r>
      <w:r w:rsidR="00297A1F">
        <w:t xml:space="preserve">advance California’s market for </w:t>
      </w:r>
      <w:r>
        <w:t>low</w:t>
      </w:r>
      <w:r>
        <w:noBreakHyphen/>
        <w:t xml:space="preserve">emissions space and water heating </w:t>
      </w:r>
      <w:r w:rsidR="00297A1F">
        <w:t xml:space="preserve">equipment </w:t>
      </w:r>
      <w:r>
        <w:t xml:space="preserve">that </w:t>
      </w:r>
      <w:r w:rsidR="00297A1F">
        <w:t xml:space="preserve">is </w:t>
      </w:r>
      <w:r>
        <w:t xml:space="preserve">in an early stage of market development in both new and existing residential buildings. </w:t>
      </w:r>
    </w:p>
    <w:p w14:paraId="1CD0D253" w14:textId="34692E9F" w:rsidR="0083138E" w:rsidRDefault="000007B4" w:rsidP="0083138E">
      <w:pPr>
        <w:pStyle w:val="Standard"/>
      </w:pPr>
      <w:r>
        <w:t xml:space="preserve">The BUILD Program and TECH Initiative are </w:t>
      </w:r>
      <w:r w:rsidR="000C4DB5">
        <w:t xml:space="preserve">building decarbonization </w:t>
      </w:r>
      <w:r>
        <w:t xml:space="preserve">pilot programs intended to raise awareness of building decarbonization technologies and applications, test program and policy designs, and gain </w:t>
      </w:r>
      <w:r>
        <w:lastRenderedPageBreak/>
        <w:t>practical implementation experience and knowledge necessary to develop a larger scale approach in the future.  Scalability is a critical criterion for evaluating different program design and implementation options.</w:t>
      </w:r>
      <w:r w:rsidR="0083138E">
        <w:t xml:space="preserve"> </w:t>
      </w:r>
    </w:p>
    <w:p w14:paraId="4E7CB834" w14:textId="77777777" w:rsidR="000007B4" w:rsidRDefault="000007B4" w:rsidP="000007B4">
      <w:pPr>
        <w:pStyle w:val="Heading2"/>
      </w:pPr>
      <w:bookmarkStart w:id="8" w:name="_Toc32310228"/>
      <w:r>
        <w:t>BUILD Program Statutory Requirements</w:t>
      </w:r>
      <w:bookmarkEnd w:id="8"/>
    </w:p>
    <w:p w14:paraId="21B37431" w14:textId="197D453B" w:rsidR="000007B4" w:rsidRDefault="000007B4" w:rsidP="000007B4">
      <w:pPr>
        <w:pStyle w:val="Standard"/>
      </w:pPr>
      <w:r w:rsidRPr="007A505C">
        <w:t>SB 1477 establishe</w:t>
      </w:r>
      <w:r>
        <w:t xml:space="preserve">s key </w:t>
      </w:r>
      <w:r w:rsidR="00E708EB">
        <w:t xml:space="preserve">parameters </w:t>
      </w:r>
      <w:r>
        <w:t>for the BUILD P</w:t>
      </w:r>
      <w:r w:rsidRPr="007A505C">
        <w:t>rogram</w:t>
      </w:r>
      <w:r>
        <w:t xml:space="preserve">.  First is the BUILD Program’s funding source.  Under </w:t>
      </w:r>
      <w:r w:rsidR="00D20A4C">
        <w:t>S</w:t>
      </w:r>
      <w:r>
        <w:t xml:space="preserve">ections 748.6 and 921.1(a)(3), the Legislature provides that funding for the BUILD Program is available from </w:t>
      </w:r>
      <w:r w:rsidR="00297A1F">
        <w:t>a</w:t>
      </w:r>
      <w:r>
        <w:t xml:space="preserve"> pool of $200 million, collected  </w:t>
      </w:r>
      <w:r w:rsidR="00E61FD8">
        <w:t xml:space="preserve">over </w:t>
      </w:r>
      <w:r>
        <w:t>four</w:t>
      </w:r>
      <w:r w:rsidR="00E61FD8">
        <w:t xml:space="preserve"> years</w:t>
      </w:r>
      <w:r>
        <w:t xml:space="preserve"> </w:t>
      </w:r>
      <w:r w:rsidR="00E61FD8">
        <w:t xml:space="preserve">in increments totaling </w:t>
      </w:r>
      <w:r>
        <w:t xml:space="preserve">$50 million </w:t>
      </w:r>
      <w:r w:rsidR="00297A1F">
        <w:t>annual</w:t>
      </w:r>
      <w:r w:rsidR="00E61FD8">
        <w:t>ly</w:t>
      </w:r>
      <w:r w:rsidR="00490609">
        <w:t xml:space="preserve"> </w:t>
      </w:r>
      <w:r w:rsidR="00E61FD8">
        <w:t xml:space="preserve">starting in </w:t>
      </w:r>
      <w:r>
        <w:t>Fiscal</w:t>
      </w:r>
      <w:r w:rsidR="006B5A8E">
        <w:t> </w:t>
      </w:r>
      <w:r>
        <w:t xml:space="preserve">Year (FY) 2019-20 </w:t>
      </w:r>
      <w:r w:rsidR="00E61FD8">
        <w:t xml:space="preserve">and ending in </w:t>
      </w:r>
      <w:r>
        <w:t>FY 2022-23</w:t>
      </w:r>
      <w:r w:rsidR="00ED5D80">
        <w:t>.  These funds are</w:t>
      </w:r>
      <w:r>
        <w:t xml:space="preserve"> derived from proceeds resulting from</w:t>
      </w:r>
      <w:r w:rsidR="00E708EB">
        <w:t xml:space="preserve"> GHG </w:t>
      </w:r>
      <w:r>
        <w:t xml:space="preserve">emissions allowances directly allocated to gas corporations and consigned </w:t>
      </w:r>
      <w:r w:rsidR="00297A1F">
        <w:t xml:space="preserve">to </w:t>
      </w:r>
      <w:r>
        <w:t>auction as part of the CARB Cap-and-Trade</w:t>
      </w:r>
      <w:r w:rsidR="00297A1F">
        <w:t xml:space="preserve"> program</w:t>
      </w:r>
      <w:r>
        <w:t xml:space="preserve">.   </w:t>
      </w:r>
    </w:p>
    <w:p w14:paraId="7C7D3258" w14:textId="21092B84" w:rsidR="000007B4" w:rsidRDefault="000007B4" w:rsidP="000007B4">
      <w:pPr>
        <w:pStyle w:val="Standard"/>
      </w:pPr>
      <w:r>
        <w:t xml:space="preserve">Second, </w:t>
      </w:r>
      <w:r w:rsidR="00297A1F">
        <w:t>SB 1477</w:t>
      </w:r>
      <w:r>
        <w:t xml:space="preserve"> places specific programmatic emphasis on </w:t>
      </w:r>
      <w:r w:rsidR="00023816">
        <w:t>“</w:t>
      </w:r>
      <w:r>
        <w:t>new, low</w:t>
      </w:r>
      <w:r w:rsidR="00865FAB">
        <w:noBreakHyphen/>
      </w:r>
      <w:r>
        <w:t>income residential housing.</w:t>
      </w:r>
      <w:r w:rsidR="00023816">
        <w:t>”</w:t>
      </w:r>
      <w:r w:rsidR="00023816">
        <w:rPr>
          <w:rStyle w:val="FootnoteReference"/>
        </w:rPr>
        <w:footnoteReference w:id="10"/>
      </w:r>
      <w:r>
        <w:t xml:space="preserve">  SB 1477 requires that no less than </w:t>
      </w:r>
      <w:r w:rsidR="00297A1F">
        <w:t xml:space="preserve">30 </w:t>
      </w:r>
      <w:r>
        <w:t>percent of the total</w:t>
      </w:r>
      <w:r w:rsidR="00F4588C">
        <w:t xml:space="preserve"> BUILD Program</w:t>
      </w:r>
      <w:r>
        <w:t xml:space="preserve"> funding be </w:t>
      </w:r>
      <w:r w:rsidR="00297A1F">
        <w:t xml:space="preserve">reserved </w:t>
      </w:r>
      <w:r>
        <w:t xml:space="preserve">to incentivize </w:t>
      </w:r>
      <w:r w:rsidR="00023816">
        <w:t>“</w:t>
      </w:r>
      <w:r>
        <w:t>new low</w:t>
      </w:r>
      <w:r w:rsidR="00A30DBE">
        <w:noBreakHyphen/>
      </w:r>
      <w:r>
        <w:t>income, residential housing</w:t>
      </w:r>
      <w:r w:rsidR="00093E6B">
        <w:t>.</w:t>
      </w:r>
      <w:r w:rsidR="00023816">
        <w:t>”</w:t>
      </w:r>
      <w:r w:rsidR="00023816">
        <w:rPr>
          <w:rStyle w:val="FootnoteReference"/>
        </w:rPr>
        <w:footnoteReference w:id="11"/>
      </w:r>
      <w:r w:rsidR="00297A1F">
        <w:t xml:space="preserve"> </w:t>
      </w:r>
      <w:r>
        <w:t>SB</w:t>
      </w:r>
      <w:r w:rsidR="00865FAB">
        <w:t> </w:t>
      </w:r>
      <w:r>
        <w:t>1477 also requires</w:t>
      </w:r>
      <w:r w:rsidR="00865FAB">
        <w:t xml:space="preserve"> </w:t>
      </w:r>
      <w:r>
        <w:t>that for new low</w:t>
      </w:r>
      <w:r>
        <w:noBreakHyphen/>
        <w:t>income, residential housing</w:t>
      </w:r>
      <w:r w:rsidR="00E61FD8">
        <w:t>,</w:t>
      </w:r>
      <w:r w:rsidR="00297A1F">
        <w:t xml:space="preserve"> building projects</w:t>
      </w:r>
      <w:r>
        <w:t xml:space="preserve"> must</w:t>
      </w:r>
      <w:r w:rsidR="00297A1F">
        <w:t>:</w:t>
      </w:r>
      <w:r w:rsidR="000F7A8B">
        <w:t xml:space="preserve"> </w:t>
      </w:r>
      <w:r w:rsidR="00297A1F">
        <w:t xml:space="preserve"> (a) receive higher incentives than other types of housing,</w:t>
      </w:r>
      <w:r w:rsidR="00297A1F">
        <w:rPr>
          <w:rStyle w:val="FootnoteReference"/>
        </w:rPr>
        <w:footnoteReference w:id="12"/>
      </w:r>
      <w:r w:rsidR="00297A1F">
        <w:t xml:space="preserve"> (b) be offered technical assistance, and (c)  </w:t>
      </w:r>
      <w:r>
        <w:t>not result in higher utility bills for occupants.</w:t>
      </w:r>
      <w:r>
        <w:rPr>
          <w:rStyle w:val="FootnoteReference"/>
        </w:rPr>
        <w:footnoteReference w:id="13"/>
      </w:r>
      <w:r>
        <w:t xml:space="preserve">  SB 1477 further specifies that an outreach plan must be implemented to encourage applications for projects in new low-income residential housing building projects.</w:t>
      </w:r>
      <w:r>
        <w:rPr>
          <w:rStyle w:val="FootnoteReference"/>
        </w:rPr>
        <w:footnoteReference w:id="14"/>
      </w:r>
      <w:r>
        <w:t xml:space="preserve">  Finally, SB 1477 establishes requirements </w:t>
      </w:r>
      <w:r>
        <w:lastRenderedPageBreak/>
        <w:t>for incentives</w:t>
      </w:r>
      <w:r>
        <w:rPr>
          <w:rStyle w:val="FootnoteReference"/>
        </w:rPr>
        <w:footnoteReference w:id="15"/>
      </w:r>
      <w:r>
        <w:t xml:space="preserve"> and program guidelines</w:t>
      </w:r>
      <w:r w:rsidR="00E708EB">
        <w:t xml:space="preserve"> for all building projects funded by the BUILD Program</w:t>
      </w:r>
      <w:r>
        <w:t>.</w:t>
      </w:r>
      <w:r>
        <w:rPr>
          <w:rStyle w:val="FootnoteReference"/>
        </w:rPr>
        <w:footnoteReference w:id="16"/>
      </w:r>
      <w:r>
        <w:t xml:space="preserve"> </w:t>
      </w:r>
    </w:p>
    <w:p w14:paraId="6A016329" w14:textId="77777777" w:rsidR="000007B4" w:rsidRDefault="000007B4" w:rsidP="000007B4">
      <w:pPr>
        <w:pStyle w:val="Heading2"/>
      </w:pPr>
      <w:bookmarkStart w:id="9" w:name="_Toc32310229"/>
      <w:r>
        <w:t>TECH Initiative Statutory Requirements</w:t>
      </w:r>
      <w:bookmarkEnd w:id="9"/>
    </w:p>
    <w:p w14:paraId="52460C36" w14:textId="563DA353" w:rsidR="000007B4" w:rsidRDefault="000007B4" w:rsidP="000007B4">
      <w:pPr>
        <w:pStyle w:val="Standard"/>
      </w:pPr>
      <w:r w:rsidRPr="007A505C">
        <w:t xml:space="preserve"> SB 1477 </w:t>
      </w:r>
      <w:r>
        <w:t>establishes</w:t>
      </w:r>
      <w:r w:rsidRPr="007A505C">
        <w:t xml:space="preserve"> key parameters for the </w:t>
      </w:r>
      <w:r>
        <w:t xml:space="preserve">TECH Initiative.  First, under </w:t>
      </w:r>
      <w:r w:rsidR="00D05952">
        <w:t>S</w:t>
      </w:r>
      <w:r>
        <w:t xml:space="preserve">ections 748.6 and 922.(d), funding for the TECH Initiative is available from a pool of $200 million, collected </w:t>
      </w:r>
      <w:r w:rsidR="00E61FD8">
        <w:t xml:space="preserve">over </w:t>
      </w:r>
      <w:r>
        <w:t xml:space="preserve">four </w:t>
      </w:r>
      <w:r w:rsidR="00E61FD8">
        <w:t xml:space="preserve">years in increments totaling </w:t>
      </w:r>
      <w:r>
        <w:t>$50 million</w:t>
      </w:r>
      <w:r w:rsidR="00297A1F">
        <w:t xml:space="preserve"> annual</w:t>
      </w:r>
      <w:r w:rsidR="00E61FD8">
        <w:t>ly,</w:t>
      </w:r>
      <w:r>
        <w:t xml:space="preserve"> </w:t>
      </w:r>
      <w:r w:rsidR="00297A1F">
        <w:t xml:space="preserve">starting in </w:t>
      </w:r>
      <w:r>
        <w:t>FY</w:t>
      </w:r>
      <w:r w:rsidR="004356A5">
        <w:t> </w:t>
      </w:r>
      <w:r>
        <w:t xml:space="preserve">2019-20 </w:t>
      </w:r>
      <w:r w:rsidR="00E61FD8">
        <w:t>and ending in</w:t>
      </w:r>
      <w:r>
        <w:t xml:space="preserve"> FY 2022-23</w:t>
      </w:r>
      <w:r w:rsidR="004E5FEA">
        <w:t>, and</w:t>
      </w:r>
      <w:r>
        <w:t xml:space="preserve"> derived from proceeds resulting from </w:t>
      </w:r>
      <w:r w:rsidR="00E708EB">
        <w:t xml:space="preserve">the sale of GHG </w:t>
      </w:r>
      <w:r>
        <w:t>emissions allowances directly allocated to natural gas corporations and consigned at auction as part of the CARB’s Cap</w:t>
      </w:r>
      <w:r w:rsidR="00490609">
        <w:noBreakHyphen/>
      </w:r>
      <w:r>
        <w:t>and-Trade</w:t>
      </w:r>
      <w:r w:rsidR="004E5FEA">
        <w:t xml:space="preserve"> program</w:t>
      </w:r>
      <w:r>
        <w:t>.</w:t>
      </w:r>
      <w:r w:rsidR="001F01EF">
        <w:t xml:space="preserve"> </w:t>
      </w:r>
      <w:r>
        <w:t xml:space="preserve"> This funding source is shared with the BUILD Program.</w:t>
      </w:r>
      <w:r>
        <w:rPr>
          <w:rStyle w:val="FootnoteReference"/>
        </w:rPr>
        <w:footnoteReference w:id="17"/>
      </w:r>
      <w:r>
        <w:t xml:space="preserve">  </w:t>
      </w:r>
    </w:p>
    <w:p w14:paraId="644F582B" w14:textId="0ACEAC9C" w:rsidR="000007B4" w:rsidRDefault="000007B4" w:rsidP="000007B4">
      <w:pPr>
        <w:pStyle w:val="Standard"/>
      </w:pPr>
      <w:r>
        <w:t xml:space="preserve">Second, SB 1477 places specific programmatic emphasis on eligible technology and targeting criteria.  </w:t>
      </w:r>
      <w:r w:rsidR="004E5FEA">
        <w:t>S</w:t>
      </w:r>
      <w:r>
        <w:t>ection 922(b</w:t>
      </w:r>
      <w:r w:rsidR="004E5FEA">
        <w:t>) specifies that</w:t>
      </w:r>
      <w:r>
        <w:t xml:space="preserve"> </w:t>
      </w:r>
      <w:r w:rsidR="004E5FEA">
        <w:t xml:space="preserve">the </w:t>
      </w:r>
      <w:r>
        <w:t>TECH Initiative’s technology and targeting criteria are:</w:t>
      </w:r>
      <w:r w:rsidR="00FB248B">
        <w:t xml:space="preserve"> </w:t>
      </w:r>
      <w:r w:rsidR="001F01EF">
        <w:t xml:space="preserve"> </w:t>
      </w:r>
      <w:r>
        <w:t xml:space="preserve">(1) </w:t>
      </w:r>
      <w:r w:rsidR="004E5FEA">
        <w:t xml:space="preserve">low-emission </w:t>
      </w:r>
      <w:r>
        <w:t>space and water heating; (2)</w:t>
      </w:r>
      <w:r w:rsidR="001F01EF">
        <w:t> </w:t>
      </w:r>
      <w:r>
        <w:t>technology at an early stage of market development; (3)</w:t>
      </w:r>
      <w:r w:rsidR="000469A3">
        <w:t> </w:t>
      </w:r>
      <w:r>
        <w:t>technology with the greatest potential for reducing GHG emissions; and (4)</w:t>
      </w:r>
      <w:r w:rsidR="000469A3">
        <w:t> </w:t>
      </w:r>
      <w:r>
        <w:t xml:space="preserve">technology with the greatest potential for improving health and safety and energy affordability for low-income households. </w:t>
      </w:r>
    </w:p>
    <w:p w14:paraId="52F660AE" w14:textId="1CC1D20F" w:rsidR="000007B4" w:rsidRDefault="000007B4" w:rsidP="000007B4">
      <w:pPr>
        <w:pStyle w:val="Standard"/>
      </w:pPr>
      <w:r>
        <w:lastRenderedPageBreak/>
        <w:t xml:space="preserve">Third, SB 1477 </w:t>
      </w:r>
      <w:r w:rsidR="004E5FEA">
        <w:t xml:space="preserve">requires </w:t>
      </w:r>
      <w:r>
        <w:t xml:space="preserve">the </w:t>
      </w:r>
      <w:r w:rsidR="004E5FEA">
        <w:t>Commission,</w:t>
      </w:r>
      <w:r>
        <w:t xml:space="preserve"> in coordination with the CEC, to </w:t>
      </w:r>
      <w:r w:rsidR="004E5FEA">
        <w:t xml:space="preserve">develop </w:t>
      </w:r>
      <w:r>
        <w:t>guideline</w:t>
      </w:r>
      <w:r w:rsidR="004E5FEA">
        <w:t>s</w:t>
      </w:r>
      <w:r>
        <w:t xml:space="preserve"> and evaluation metrics, implement outreach strategies for hard</w:t>
      </w:r>
      <w:r w:rsidR="00846A59">
        <w:noBreakHyphen/>
      </w:r>
      <w:r>
        <w:t>to</w:t>
      </w:r>
      <w:r w:rsidR="00846A59">
        <w:noBreakHyphen/>
      </w:r>
      <w:r>
        <w:t>reach customers, and provide job training and employment opportunities.</w:t>
      </w:r>
      <w:r>
        <w:rPr>
          <w:rStyle w:val="FootnoteReference"/>
        </w:rPr>
        <w:footnoteReference w:id="18"/>
      </w:r>
      <w:r>
        <w:t xml:space="preserve">  The guidelines</w:t>
      </w:r>
      <w:r>
        <w:rPr>
          <w:rStyle w:val="FootnoteReference"/>
        </w:rPr>
        <w:footnoteReference w:id="19"/>
      </w:r>
      <w:r>
        <w:t xml:space="preserve"> and evaluation metrics</w:t>
      </w:r>
      <w:r>
        <w:rPr>
          <w:rStyle w:val="FootnoteReference"/>
        </w:rPr>
        <w:footnoteReference w:id="20"/>
      </w:r>
      <w:r>
        <w:t xml:space="preserve"> require</w:t>
      </w:r>
      <w:r w:rsidR="004E5FEA">
        <w:t>,</w:t>
      </w:r>
      <w:r>
        <w:t xml:space="preserve"> among other things, consideration of projected utility bill savings.  </w:t>
      </w:r>
    </w:p>
    <w:p w14:paraId="50E7E51A" w14:textId="77777777" w:rsidR="000007B4" w:rsidRDefault="000007B4" w:rsidP="000007B4">
      <w:pPr>
        <w:pStyle w:val="Heading2"/>
      </w:pPr>
      <w:bookmarkStart w:id="10" w:name="_Toc32310230"/>
      <w:r>
        <w:t>SB 1477 Pilot Programs Staff Proposal Summary</w:t>
      </w:r>
      <w:bookmarkEnd w:id="10"/>
    </w:p>
    <w:p w14:paraId="6B4CF3E1" w14:textId="38EAE205" w:rsidR="000007B4" w:rsidRPr="00522EB9" w:rsidRDefault="004E5FEA" w:rsidP="000007B4">
      <w:pPr>
        <w:pStyle w:val="Standard"/>
      </w:pPr>
      <w:r>
        <w:t xml:space="preserve">Commission </w:t>
      </w:r>
      <w:r w:rsidR="000007B4">
        <w:t xml:space="preserve">and CEC staff jointly issued a </w:t>
      </w:r>
      <w:r w:rsidR="000007B4">
        <w:rPr>
          <w:i/>
          <w:iCs/>
        </w:rPr>
        <w:t xml:space="preserve">Staff Proposal for Building Decarbonization Pilot – Draft </w:t>
      </w:r>
      <w:r w:rsidR="000007B4">
        <w:t>(Staff Proposal) on July 16, 2019.</w:t>
      </w:r>
      <w:r>
        <w:rPr>
          <w:rStyle w:val="FootnoteReference"/>
        </w:rPr>
        <w:footnoteReference w:id="21"/>
      </w:r>
      <w:r w:rsidR="000007B4">
        <w:t xml:space="preserve">  The Staff Proposal provides recommendations and proposals for how to implement the BUILD Program and TECH Initiative to promote building decarbonization pursuant to SB 1477.  The Staff Proposal includes policy rationales and frameworks that the Commission could use to support </w:t>
      </w:r>
      <w:r>
        <w:t xml:space="preserve">development </w:t>
      </w:r>
      <w:r w:rsidR="000007B4">
        <w:t xml:space="preserve">of portions of the building market to support faster penetration of technologies </w:t>
      </w:r>
      <w:r>
        <w:t>that will help decarbonize residential buildings in California</w:t>
      </w:r>
      <w:r w:rsidR="000007B4">
        <w:t xml:space="preserve">. </w:t>
      </w:r>
      <w:r w:rsidR="00930B8C">
        <w:t xml:space="preserve"> </w:t>
      </w:r>
      <w:r w:rsidR="000007B4">
        <w:t>The Staff Proposal includes the following key recommendations:</w:t>
      </w:r>
    </w:p>
    <w:p w14:paraId="0234EBFD" w14:textId="3ABA480E" w:rsidR="000007B4" w:rsidRDefault="000007B4" w:rsidP="006F3CC9">
      <w:pPr>
        <w:pStyle w:val="Standard"/>
        <w:numPr>
          <w:ilvl w:val="0"/>
          <w:numId w:val="11"/>
        </w:numPr>
        <w:spacing w:after="120" w:line="240" w:lineRule="auto"/>
        <w:ind w:left="1080" w:right="1440"/>
      </w:pPr>
      <w:r>
        <w:rPr>
          <w:u w:val="single"/>
        </w:rPr>
        <w:t>Guiding Principles</w:t>
      </w:r>
      <w:r w:rsidRPr="0015196D">
        <w:t>:</w:t>
      </w:r>
      <w:r>
        <w:t xml:space="preserve">  the BUILD Program and TECH Initiative should put California on a path to have completely carbon-free homes by 2045.  To do this, the pilot programs should also strive for equity, </w:t>
      </w:r>
      <w:r>
        <w:lastRenderedPageBreak/>
        <w:t>cost</w:t>
      </w:r>
      <w:r w:rsidR="00930B8C">
        <w:noBreakHyphen/>
      </w:r>
      <w:r>
        <w:t>effectiveness, regulatory simplicity, and market transformation.</w:t>
      </w:r>
    </w:p>
    <w:p w14:paraId="20E6BE81" w14:textId="509242A7" w:rsidR="000007B4" w:rsidRDefault="000007B4" w:rsidP="006F3CC9">
      <w:pPr>
        <w:pStyle w:val="Standard"/>
        <w:numPr>
          <w:ilvl w:val="0"/>
          <w:numId w:val="11"/>
        </w:numPr>
        <w:spacing w:after="120" w:line="240" w:lineRule="auto"/>
        <w:ind w:left="1080" w:right="1440"/>
      </w:pPr>
      <w:r>
        <w:rPr>
          <w:u w:val="single"/>
        </w:rPr>
        <w:t>Budget:</w:t>
      </w:r>
      <w:r w:rsidR="00930B8C" w:rsidRPr="0015196D">
        <w:t xml:space="preserve"> </w:t>
      </w:r>
      <w:r>
        <w:t xml:space="preserve"> the CPUC should allocate </w:t>
      </w:r>
      <w:r w:rsidR="004E5FEA">
        <w:t xml:space="preserve">40 </w:t>
      </w:r>
      <w:r>
        <w:t>percent of the total annual funding made available by SB 1477 to the BUILD</w:t>
      </w:r>
      <w:r w:rsidR="00A0722C">
        <w:t> </w:t>
      </w:r>
      <w:r>
        <w:t xml:space="preserve">Program and </w:t>
      </w:r>
      <w:r w:rsidR="004E5FEA">
        <w:t xml:space="preserve">60 </w:t>
      </w:r>
      <w:r>
        <w:t xml:space="preserve">percent to the TECH Initiative, excluding evaluation costs. </w:t>
      </w:r>
    </w:p>
    <w:p w14:paraId="2BE1A8CD" w14:textId="046D56D5" w:rsidR="000007B4" w:rsidRDefault="000007B4" w:rsidP="006F3CC9">
      <w:pPr>
        <w:pStyle w:val="Standard"/>
        <w:numPr>
          <w:ilvl w:val="0"/>
          <w:numId w:val="11"/>
        </w:numPr>
        <w:spacing w:after="120" w:line="240" w:lineRule="auto"/>
        <w:ind w:left="1080" w:right="1440"/>
      </w:pPr>
      <w:r w:rsidRPr="00F7352D">
        <w:rPr>
          <w:u w:val="single"/>
        </w:rPr>
        <w:t>BUILD Program Administration</w:t>
      </w:r>
      <w:r>
        <w:t xml:space="preserve">: </w:t>
      </w:r>
      <w:r w:rsidR="00930B8C">
        <w:t xml:space="preserve"> </w:t>
      </w:r>
      <w:r>
        <w:t xml:space="preserve">the CPUC should provide policy oversight of the BUILD Program, with the CEC potentially designing and administering the program. </w:t>
      </w:r>
    </w:p>
    <w:p w14:paraId="53278AC4" w14:textId="47F00A20" w:rsidR="000007B4" w:rsidRDefault="000007B4" w:rsidP="006F3CC9">
      <w:pPr>
        <w:pStyle w:val="Standard"/>
        <w:numPr>
          <w:ilvl w:val="1"/>
          <w:numId w:val="11"/>
        </w:numPr>
        <w:spacing w:after="120" w:line="240" w:lineRule="auto"/>
        <w:ind w:left="1440" w:right="1440"/>
      </w:pPr>
      <w:r>
        <w:rPr>
          <w:u w:val="single"/>
        </w:rPr>
        <w:t>Incentive Eligibility</w:t>
      </w:r>
      <w:r w:rsidRPr="007F69CC">
        <w:t>:</w:t>
      </w:r>
      <w:r>
        <w:t xml:space="preserve"> </w:t>
      </w:r>
      <w:r w:rsidR="00930B8C">
        <w:t xml:space="preserve"> </w:t>
      </w:r>
      <w:r>
        <w:t>BUILD Program incentives should only be available for all-electric residential new construction projects.</w:t>
      </w:r>
    </w:p>
    <w:p w14:paraId="2E35ED44" w14:textId="25ED9FF4" w:rsidR="000007B4" w:rsidRDefault="000007B4" w:rsidP="006F3CC9">
      <w:pPr>
        <w:pStyle w:val="Standard"/>
        <w:numPr>
          <w:ilvl w:val="1"/>
          <w:numId w:val="11"/>
        </w:numPr>
        <w:spacing w:after="120" w:line="240" w:lineRule="auto"/>
        <w:ind w:left="1440" w:right="1440"/>
      </w:pPr>
      <w:r>
        <w:rPr>
          <w:u w:val="single"/>
        </w:rPr>
        <w:t>Low-income and Disadvantaged Communities with Technical Assistance for Project Developers</w:t>
      </w:r>
      <w:r w:rsidRPr="00930B8C">
        <w:t>:</w:t>
      </w:r>
      <w:r>
        <w:t xml:space="preserve">  the CPUC should set aside </w:t>
      </w:r>
      <w:r w:rsidR="004E5FEA">
        <w:t xml:space="preserve">30 </w:t>
      </w:r>
      <w:r>
        <w:t>percent of the annual funding made available to the BUILD Program for new residential housing in low-income and/or disadvantaged communities.  A portion of these funds should be dedicated for a contractor with low</w:t>
      </w:r>
      <w:r w:rsidR="00930B8C">
        <w:noBreakHyphen/>
      </w:r>
      <w:r>
        <w:t xml:space="preserve">income project development expertise to provide technical assistance to low-income residential building project developers. </w:t>
      </w:r>
    </w:p>
    <w:p w14:paraId="463BA079" w14:textId="0603CFEB" w:rsidR="000007B4" w:rsidRDefault="000007B4" w:rsidP="00666472">
      <w:pPr>
        <w:pStyle w:val="Standard"/>
        <w:numPr>
          <w:ilvl w:val="1"/>
          <w:numId w:val="11"/>
        </w:numPr>
        <w:spacing w:after="120" w:line="240" w:lineRule="auto"/>
        <w:ind w:left="1800" w:right="1440"/>
      </w:pPr>
      <w:r>
        <w:rPr>
          <w:u w:val="single"/>
        </w:rPr>
        <w:t>Incentives Levels by Technology Type and Climate Region</w:t>
      </w:r>
      <w:r>
        <w:t xml:space="preserve">: </w:t>
      </w:r>
      <w:r w:rsidR="00666472">
        <w:t xml:space="preserve"> </w:t>
      </w:r>
      <w:r>
        <w:t>BUILD Program incentives should be established for specific technology categories and climate regions.</w:t>
      </w:r>
    </w:p>
    <w:p w14:paraId="1A6DFDF6" w14:textId="01D50444" w:rsidR="000007B4" w:rsidRDefault="000007B4" w:rsidP="00666472">
      <w:pPr>
        <w:pStyle w:val="Standard"/>
        <w:numPr>
          <w:ilvl w:val="1"/>
          <w:numId w:val="11"/>
        </w:numPr>
        <w:spacing w:after="120" w:line="240" w:lineRule="auto"/>
        <w:ind w:left="1800" w:right="1440"/>
      </w:pPr>
      <w:r>
        <w:rPr>
          <w:u w:val="single"/>
        </w:rPr>
        <w:t>Kicker Incentives</w:t>
      </w:r>
      <w:r w:rsidRPr="00DF5BA2">
        <w:t>:</w:t>
      </w:r>
      <w:r w:rsidR="00FB248B">
        <w:t xml:space="preserve"> </w:t>
      </w:r>
      <w:r>
        <w:t xml:space="preserve"> additional BUILD Program incentives should be made available for a small number of technologies that provide incremental GHG reductions beyond the basic incentives introduced in the Staff Proposal.</w:t>
      </w:r>
    </w:p>
    <w:p w14:paraId="12B2771B" w14:textId="64819D11" w:rsidR="000007B4" w:rsidRDefault="000007B4" w:rsidP="00666472">
      <w:pPr>
        <w:pStyle w:val="Standard"/>
        <w:numPr>
          <w:ilvl w:val="1"/>
          <w:numId w:val="11"/>
        </w:numPr>
        <w:spacing w:after="120" w:line="240" w:lineRule="auto"/>
        <w:ind w:left="1800" w:right="1440"/>
      </w:pPr>
      <w:r>
        <w:rPr>
          <w:u w:val="single"/>
        </w:rPr>
        <w:t>Project Level</w:t>
      </w:r>
      <w:r w:rsidRPr="00DF5BA2">
        <w:t>:</w:t>
      </w:r>
      <w:r>
        <w:t xml:space="preserve">  the CPUC should </w:t>
      </w:r>
      <w:r w:rsidR="004E5FEA">
        <w:t xml:space="preserve">consider offering </w:t>
      </w:r>
      <w:r>
        <w:t>BUILD Program incentives at the subdivision level rather than, or in addition to, the building level.</w:t>
      </w:r>
    </w:p>
    <w:p w14:paraId="240BE501" w14:textId="682FA151" w:rsidR="000007B4" w:rsidRDefault="000007B4" w:rsidP="00666472">
      <w:pPr>
        <w:pStyle w:val="Standard"/>
        <w:numPr>
          <w:ilvl w:val="1"/>
          <w:numId w:val="11"/>
        </w:numPr>
        <w:spacing w:after="120" w:line="240" w:lineRule="auto"/>
        <w:ind w:left="1800" w:right="1440"/>
      </w:pPr>
      <w:r>
        <w:rPr>
          <w:u w:val="single"/>
        </w:rPr>
        <w:t>Education and Outreach for Builders</w:t>
      </w:r>
      <w:r w:rsidRPr="00071834">
        <w:t xml:space="preserve">: </w:t>
      </w:r>
      <w:r>
        <w:t xml:space="preserve"> the CPUC should ensure the provision of outreach materials to </w:t>
      </w:r>
      <w:r>
        <w:lastRenderedPageBreak/>
        <w:t>builders, with specific information about each incentive category, including the type of equipment that is eligible, proper installation guidelines, and expected emission reductions.</w:t>
      </w:r>
    </w:p>
    <w:p w14:paraId="4CF06CAA" w14:textId="77777777" w:rsidR="000007B4" w:rsidRDefault="000007B4" w:rsidP="006F3CC9">
      <w:pPr>
        <w:pStyle w:val="Standard"/>
        <w:numPr>
          <w:ilvl w:val="0"/>
          <w:numId w:val="11"/>
        </w:numPr>
        <w:spacing w:after="120" w:line="240" w:lineRule="auto"/>
        <w:ind w:left="1080" w:right="1440"/>
      </w:pPr>
      <w:r>
        <w:rPr>
          <w:u w:val="single"/>
        </w:rPr>
        <w:t>TECH Initiative Administration</w:t>
      </w:r>
      <w:r w:rsidRPr="0076023B">
        <w:t xml:space="preserve">: </w:t>
      </w:r>
      <w:r>
        <w:t xml:space="preserve"> the CPUC should select a third-party implementer for the TECH Initiative and create a governance structure where the CPUC provides central oversight, while also allowing the CEC and stakeholders to provide collaborative input.</w:t>
      </w:r>
    </w:p>
    <w:p w14:paraId="282A0C7E" w14:textId="32DEFA06" w:rsidR="000007B4" w:rsidRPr="00DD4AB5" w:rsidRDefault="00587949" w:rsidP="006F3CC9">
      <w:pPr>
        <w:pStyle w:val="Standard"/>
        <w:numPr>
          <w:ilvl w:val="1"/>
          <w:numId w:val="11"/>
        </w:numPr>
        <w:spacing w:after="120" w:line="240" w:lineRule="auto"/>
        <w:ind w:left="1440"/>
      </w:pPr>
      <w:r>
        <w:rPr>
          <w:u w:val="single"/>
        </w:rPr>
        <w:t xml:space="preserve">TECH Initiative </w:t>
      </w:r>
      <w:r w:rsidR="000007B4">
        <w:rPr>
          <w:u w:val="single"/>
        </w:rPr>
        <w:t>Program Architecture</w:t>
      </w:r>
    </w:p>
    <w:p w14:paraId="702E0913" w14:textId="2160B319" w:rsidR="000007B4" w:rsidRDefault="000007B4" w:rsidP="00666472">
      <w:pPr>
        <w:pStyle w:val="Standard"/>
        <w:numPr>
          <w:ilvl w:val="2"/>
          <w:numId w:val="27"/>
        </w:numPr>
        <w:spacing w:after="120" w:line="240" w:lineRule="auto"/>
        <w:ind w:left="1800" w:right="1440"/>
      </w:pPr>
      <w:r>
        <w:rPr>
          <w:u w:val="single"/>
        </w:rPr>
        <w:t>Strategy 1 (Upstream)</w:t>
      </w:r>
      <w:r w:rsidRPr="00752CA7">
        <w:t>:</w:t>
      </w:r>
      <w:r w:rsidR="00752CA7">
        <w:t xml:space="preserve"> </w:t>
      </w:r>
      <w:r>
        <w:t xml:space="preserve"> the implementer should partner with supply-side market actors to adopt the most efficient equipment available with incentives.</w:t>
      </w:r>
    </w:p>
    <w:p w14:paraId="0F3AC15C" w14:textId="1022C809" w:rsidR="000007B4" w:rsidRDefault="000007B4" w:rsidP="00666472">
      <w:pPr>
        <w:pStyle w:val="Standard"/>
        <w:numPr>
          <w:ilvl w:val="2"/>
          <w:numId w:val="27"/>
        </w:numPr>
        <w:spacing w:after="120" w:line="240" w:lineRule="auto"/>
        <w:ind w:left="1800" w:right="1440"/>
      </w:pPr>
      <w:r>
        <w:rPr>
          <w:u w:val="single"/>
        </w:rPr>
        <w:t>Strategy 2 (Midstream)</w:t>
      </w:r>
      <w:r w:rsidRPr="00752CA7">
        <w:t>:</w:t>
      </w:r>
      <w:r>
        <w:t xml:space="preserve"> </w:t>
      </w:r>
      <w:r w:rsidR="00752CA7">
        <w:t xml:space="preserve"> </w:t>
      </w:r>
      <w:r>
        <w:t>the implementer should provide incentives to wholesale distributors, retailers, e-commerce companies, and/or contractors to stock and/or sell more efficient products.</w:t>
      </w:r>
    </w:p>
    <w:p w14:paraId="35B28B4A" w14:textId="325387B3" w:rsidR="000007B4" w:rsidRDefault="000007B4" w:rsidP="00666472">
      <w:pPr>
        <w:pStyle w:val="Standard"/>
        <w:numPr>
          <w:ilvl w:val="2"/>
          <w:numId w:val="27"/>
        </w:numPr>
        <w:spacing w:after="120" w:line="240" w:lineRule="auto"/>
        <w:ind w:left="1800" w:right="1440"/>
      </w:pPr>
      <w:r>
        <w:rPr>
          <w:u w:val="single"/>
        </w:rPr>
        <w:t xml:space="preserve">Strategy 3 (Quick Start </w:t>
      </w:r>
      <w:r w:rsidR="00023816">
        <w:rPr>
          <w:u w:val="single"/>
        </w:rPr>
        <w:t>Grants</w:t>
      </w:r>
      <w:r>
        <w:rPr>
          <w:u w:val="single"/>
        </w:rPr>
        <w:t>)</w:t>
      </w:r>
      <w:r w:rsidRPr="00752CA7">
        <w:t>:</w:t>
      </w:r>
      <w:r>
        <w:t xml:space="preserve"> </w:t>
      </w:r>
      <w:r w:rsidR="00752CA7">
        <w:t xml:space="preserve"> </w:t>
      </w:r>
      <w:r>
        <w:t>the implementer should provide a limited carve out of the TECH Initiative budget to create grant money for high</w:t>
      </w:r>
      <w:r w:rsidR="0076023B">
        <w:noBreakHyphen/>
      </w:r>
      <w:r>
        <w:t>impact projects and partnerships that rapidly test market transformation strategies.</w:t>
      </w:r>
    </w:p>
    <w:p w14:paraId="2E5A489D" w14:textId="77777777" w:rsidR="000007B4" w:rsidRDefault="000007B4" w:rsidP="00666472">
      <w:pPr>
        <w:pStyle w:val="Standard"/>
        <w:numPr>
          <w:ilvl w:val="2"/>
          <w:numId w:val="27"/>
        </w:numPr>
        <w:spacing w:after="120" w:line="240" w:lineRule="auto"/>
        <w:ind w:left="1800" w:right="1440"/>
      </w:pPr>
      <w:r>
        <w:rPr>
          <w:u w:val="single"/>
        </w:rPr>
        <w:t>Strategy 4 (Prize Program)</w:t>
      </w:r>
      <w:r w:rsidRPr="00752CA7">
        <w:t>:</w:t>
      </w:r>
      <w:r>
        <w:t xml:space="preserve">  the CPUC, implementer, and stakeholders should set up simple targets for entities to meet, with a prize given to the first entity who hits the target (</w:t>
      </w:r>
      <w:r w:rsidRPr="0076023B">
        <w:rPr>
          <w:i/>
          <w:iCs/>
        </w:rPr>
        <w:t>e.g.,</w:t>
      </w:r>
      <w:r>
        <w:t xml:space="preserve"> the number of heat pump </w:t>
      </w:r>
      <w:r w:rsidR="001C0DF2">
        <w:t>heating ventilation and air conditioning (</w:t>
      </w:r>
      <w:r>
        <w:t>HVAC</w:t>
      </w:r>
      <w:r w:rsidR="001C0DF2">
        <w:t>)</w:t>
      </w:r>
      <w:r>
        <w:t xml:space="preserve"> systems installed). </w:t>
      </w:r>
    </w:p>
    <w:p w14:paraId="2122F163" w14:textId="281E07B8" w:rsidR="000007B4" w:rsidRDefault="000007B4" w:rsidP="00666472">
      <w:pPr>
        <w:pStyle w:val="Standard"/>
        <w:numPr>
          <w:ilvl w:val="1"/>
          <w:numId w:val="11"/>
        </w:numPr>
        <w:spacing w:line="240" w:lineRule="auto"/>
        <w:ind w:left="1800" w:right="1440"/>
      </w:pPr>
      <w:r>
        <w:rPr>
          <w:u w:val="single"/>
        </w:rPr>
        <w:t>Target Geographical Areas</w:t>
      </w:r>
      <w:r>
        <w:t xml:space="preserve">: </w:t>
      </w:r>
      <w:r w:rsidR="00752CA7">
        <w:t xml:space="preserve"> </w:t>
      </w:r>
      <w:r w:rsidR="004E5FEA">
        <w:t xml:space="preserve">the </w:t>
      </w:r>
      <w:r w:rsidR="00EA1C88">
        <w:t>i</w:t>
      </w:r>
      <w:r w:rsidR="004E5FEA">
        <w:t xml:space="preserve">mplementer </w:t>
      </w:r>
      <w:r>
        <w:t xml:space="preserve">should consider a regional approach in its initial targeting of customers who are most likely to see bill savings.  Additional priority should be given to targeting incentives in areas prone to </w:t>
      </w:r>
      <w:r w:rsidRPr="003054B5">
        <w:t>gas infrastructure failures, particularly the area around Aliso Canyon in Southern California</w:t>
      </w:r>
      <w:r>
        <w:t xml:space="preserve">. </w:t>
      </w:r>
    </w:p>
    <w:p w14:paraId="1F4055AB" w14:textId="77777777" w:rsidR="00BC7E07" w:rsidRDefault="00BC7E07" w:rsidP="00BC7E07">
      <w:pPr>
        <w:pStyle w:val="Standard"/>
        <w:spacing w:line="240" w:lineRule="auto"/>
        <w:ind w:left="1800" w:right="1440" w:firstLine="0"/>
      </w:pPr>
    </w:p>
    <w:p w14:paraId="2B438E0B" w14:textId="77777777" w:rsidR="000007B4" w:rsidRDefault="000007B4" w:rsidP="00666472">
      <w:pPr>
        <w:pStyle w:val="Standard"/>
        <w:numPr>
          <w:ilvl w:val="1"/>
          <w:numId w:val="11"/>
        </w:numPr>
        <w:spacing w:after="120" w:line="240" w:lineRule="auto"/>
        <w:ind w:left="1800" w:right="1440"/>
      </w:pPr>
      <w:r>
        <w:rPr>
          <w:u w:val="single"/>
        </w:rPr>
        <w:lastRenderedPageBreak/>
        <w:t>Education and Outreach for the TECH Initiative</w:t>
      </w:r>
      <w:r w:rsidRPr="00752CA7">
        <w:t>:</w:t>
      </w:r>
      <w:r>
        <w:t xml:space="preserve">  the implementer should provide a robust plan to educate key market participants about the TECH </w:t>
      </w:r>
      <w:r w:rsidR="001C0DF2">
        <w:t>I</w:t>
      </w:r>
      <w:r>
        <w:t xml:space="preserve">nitiative. </w:t>
      </w:r>
    </w:p>
    <w:p w14:paraId="5B2C5DF6" w14:textId="35318CC8" w:rsidR="001C0DF2" w:rsidRDefault="000007B4" w:rsidP="006F3CC9">
      <w:pPr>
        <w:pStyle w:val="Standard"/>
        <w:numPr>
          <w:ilvl w:val="0"/>
          <w:numId w:val="11"/>
        </w:numPr>
        <w:spacing w:after="120" w:line="240" w:lineRule="auto"/>
        <w:ind w:left="1080" w:right="1440"/>
      </w:pPr>
      <w:r>
        <w:rPr>
          <w:u w:val="single"/>
        </w:rPr>
        <w:t>Eligible Technologies</w:t>
      </w:r>
      <w:r w:rsidR="00C862B0">
        <w:rPr>
          <w:u w:val="single"/>
        </w:rPr>
        <w:t xml:space="preserve"> for the BUILD Program and the TECH Initiative</w:t>
      </w:r>
      <w:r w:rsidRPr="00752CA7">
        <w:t>:</w:t>
      </w:r>
      <w:r>
        <w:t xml:space="preserve"> </w:t>
      </w:r>
      <w:r w:rsidR="00752CA7">
        <w:t xml:space="preserve"> </w:t>
      </w:r>
      <w:r>
        <w:t>targeted technologies of the BUILD Program and TECH Initiative should include heat pump technologies for space and water heating, and solar thermal technologies for water heating.  Other technologies that achieve comparable heating-related GHG emission reductions to heat pump and solar thermal technologies should be considered.</w:t>
      </w:r>
    </w:p>
    <w:p w14:paraId="1B586E8D" w14:textId="583E988D" w:rsidR="001C0DF2" w:rsidRDefault="000007B4" w:rsidP="006F3CC9">
      <w:pPr>
        <w:pStyle w:val="Standard"/>
        <w:numPr>
          <w:ilvl w:val="0"/>
          <w:numId w:val="11"/>
        </w:numPr>
        <w:spacing w:after="120" w:line="240" w:lineRule="auto"/>
        <w:ind w:left="1080" w:right="1440"/>
      </w:pPr>
      <w:r w:rsidRPr="001C0DF2">
        <w:rPr>
          <w:u w:val="single"/>
        </w:rPr>
        <w:t>Metrics</w:t>
      </w:r>
      <w:r w:rsidR="00587949">
        <w:rPr>
          <w:u w:val="single"/>
        </w:rPr>
        <w:t xml:space="preserve"> for the BUILD Program and TECH Initiative</w:t>
      </w:r>
      <w:r w:rsidRPr="00752CA7">
        <w:t>:</w:t>
      </w:r>
      <w:r>
        <w:t xml:space="preserve"> </w:t>
      </w:r>
      <w:r w:rsidR="00752CA7">
        <w:t xml:space="preserve"> </w:t>
      </w:r>
      <w:r>
        <w:t xml:space="preserve">program success should be measured using the following metrics: </w:t>
      </w:r>
      <w:r w:rsidR="00752CA7">
        <w:t xml:space="preserve"> </w:t>
      </w:r>
      <w:r>
        <w:t>(1) volume of GHG emissions reduced or avoided; (2) cost per metric ton of avoided GHG emissions; (3)</w:t>
      </w:r>
      <w:r w:rsidR="00FB248B">
        <w:t> </w:t>
      </w:r>
      <w:r>
        <w:t>projected utility bill savings; (4)</w:t>
      </w:r>
      <w:r w:rsidR="00752CA7">
        <w:t> </w:t>
      </w:r>
      <w:r>
        <w:t>number of low-emission systems installed (BUILD Program only); and (5)</w:t>
      </w:r>
      <w:r w:rsidR="00FB248B">
        <w:t> </w:t>
      </w:r>
      <w:r>
        <w:t>market share for eligible technologies (TECH Initiative only).</w:t>
      </w:r>
    </w:p>
    <w:p w14:paraId="525406C1" w14:textId="77777777" w:rsidR="001C0DF2" w:rsidRDefault="001C0DF2" w:rsidP="001C0DF2">
      <w:pPr>
        <w:pStyle w:val="Heading2"/>
      </w:pPr>
      <w:bookmarkStart w:id="11" w:name="_Toc32310231"/>
      <w:r>
        <w:t>Parties’ Response to Staff Proposal</w:t>
      </w:r>
      <w:bookmarkEnd w:id="11"/>
      <w:r>
        <w:t xml:space="preserve"> </w:t>
      </w:r>
    </w:p>
    <w:p w14:paraId="7C940568" w14:textId="6FC8FB5B" w:rsidR="001C0DF2" w:rsidRPr="00FC100C" w:rsidRDefault="001C0DF2" w:rsidP="00FC100C">
      <w:pPr>
        <w:pStyle w:val="Standard"/>
      </w:pPr>
      <w:r>
        <w:t xml:space="preserve">Comments on the Staff Proposal were filed on August 13, 2019 by parties.  </w:t>
      </w:r>
      <w:r w:rsidR="0069482F">
        <w:t>The p</w:t>
      </w:r>
      <w:r>
        <w:t>arties are:</w:t>
      </w:r>
      <w:r w:rsidR="001A32C6">
        <w:t xml:space="preserve"> </w:t>
      </w:r>
      <w:r>
        <w:t xml:space="preserve"> (1) Association of Bay Area Governments (</w:t>
      </w:r>
      <w:r w:rsidR="00E318D4">
        <w:t xml:space="preserve">San Francisco Bay Area Regional Energy Network or </w:t>
      </w:r>
      <w:r w:rsidR="001F6972">
        <w:t>BayREN</w:t>
      </w:r>
      <w:r>
        <w:t>); (2) Bioenergy Association of California (BAC</w:t>
      </w:r>
      <w:r w:rsidR="00266BEF">
        <w:t>)</w:t>
      </w:r>
      <w:r>
        <w:t xml:space="preserve"> and American Biogas Council (ABC); (3)</w:t>
      </w:r>
      <w:r w:rsidR="0098452D">
        <w:t> </w:t>
      </w:r>
      <w:r>
        <w:t>California Building Industry Association (CBIA); (4) California Efficiency + Demand Management Council (</w:t>
      </w:r>
      <w:r w:rsidR="00594C1E">
        <w:t xml:space="preserve">The </w:t>
      </w:r>
      <w:r>
        <w:t>Council); (5) California Energy Storage Alliance (CESA); (6)</w:t>
      </w:r>
      <w:r w:rsidR="00A31F8A">
        <w:t> </w:t>
      </w:r>
      <w:r>
        <w:t>California Housing Partnership Corporation (The Partnership); (7)</w:t>
      </w:r>
      <w:r w:rsidR="001A32C6">
        <w:t> </w:t>
      </w:r>
      <w:r>
        <w:t>California Hydrogen Business Council (CHBC); (8) California Solar &amp; Storage Association (CALSSA); (9) Center for Sustainable Energy (CSE); (10)</w:t>
      </w:r>
      <w:r w:rsidR="00FC100C">
        <w:t> </w:t>
      </w:r>
      <w:r>
        <w:t xml:space="preserve">Environmental Defense Fund (EDF); (11) Coalition for Renewable Natural Gas (CRNG); (12) National Fuel Cell Research Center (NFCRC); (13) Pacific Gas &amp; Electric Company </w:t>
      </w:r>
      <w:r>
        <w:lastRenderedPageBreak/>
        <w:t>(PG&amp;E); (14) Public Advocates Office (Cal Advocates); (15)</w:t>
      </w:r>
      <w:r w:rsidR="00FC100C">
        <w:t> </w:t>
      </w:r>
      <w:r>
        <w:t xml:space="preserve">San Diego Gas &amp; Electric Company (SDG&amp;E); (16) </w:t>
      </w:r>
      <w:r w:rsidR="00594C1E">
        <w:t xml:space="preserve">Natural Resources Defense Council, California Environmental Justice Alliance, and Sierra Club (Joint </w:t>
      </w:r>
      <w:r w:rsidR="00C43BB3">
        <w:t>Environmental</w:t>
      </w:r>
      <w:r w:rsidR="00426162">
        <w:t>s</w:t>
      </w:r>
      <w:r w:rsidR="00594C1E">
        <w:t>)</w:t>
      </w:r>
      <w:r>
        <w:t>; (17)</w:t>
      </w:r>
      <w:r w:rsidR="00A31F8A">
        <w:t> </w:t>
      </w:r>
      <w:r>
        <w:t>Small Business Utility Advocates (SBUA); (18)</w:t>
      </w:r>
      <w:r w:rsidR="00C43BB3">
        <w:t> </w:t>
      </w:r>
      <w:r>
        <w:t xml:space="preserve">Sonoma Clean Power, Peninsula Clean Energy, Marin Clean Energy, </w:t>
      </w:r>
      <w:r w:rsidR="00594C1E">
        <w:t xml:space="preserve">and </w:t>
      </w:r>
      <w:r>
        <w:t>Silicon Valley Clean Energy Authority (Joint CCAs); (19)</w:t>
      </w:r>
      <w:r w:rsidR="00FC100C">
        <w:t> </w:t>
      </w:r>
      <w:r>
        <w:t>Southern California Edison Company (SCE); (20)</w:t>
      </w:r>
      <w:r w:rsidR="00874512">
        <w:t> </w:t>
      </w:r>
      <w:r>
        <w:t>Southern California Gas Company (SoCalGas); (21)</w:t>
      </w:r>
      <w:r w:rsidR="00B812E6">
        <w:t> </w:t>
      </w:r>
      <w:r>
        <w:t>Southwest Gas Corporation (SWG); (</w:t>
      </w:r>
      <w:r w:rsidRPr="00FC100C">
        <w:t>22) Vermont Energy Investment Corporation (VEIC); and (23) Wild Tree Foundation.</w:t>
      </w:r>
    </w:p>
    <w:p w14:paraId="55A06B2E" w14:textId="4ED676EB" w:rsidR="0063491C" w:rsidRPr="0063491C" w:rsidRDefault="001C0DF2" w:rsidP="00FC100C">
      <w:pPr>
        <w:pStyle w:val="Standard"/>
      </w:pPr>
      <w:r w:rsidRPr="00FC100C">
        <w:t>Reply Comments were filed on August 20, 2019.  The parties</w:t>
      </w:r>
      <w:r>
        <w:t xml:space="preserve"> that </w:t>
      </w:r>
      <w:r w:rsidR="001F6972">
        <w:t>filed</w:t>
      </w:r>
      <w:r>
        <w:t xml:space="preserve"> reply comments are</w:t>
      </w:r>
      <w:r w:rsidR="00FC100C">
        <w:t xml:space="preserve"> </w:t>
      </w:r>
      <w:r>
        <w:t xml:space="preserve">: </w:t>
      </w:r>
      <w:bookmarkStart w:id="12" w:name="_Hlk23840844"/>
      <w:r w:rsidR="00426162">
        <w:t xml:space="preserve"> </w:t>
      </w:r>
      <w:r>
        <w:t xml:space="preserve">(1) Cal Advocates; (2) Coalition for Renewable Natural Gas (CRNG); (3) </w:t>
      </w:r>
      <w:r w:rsidR="00EA1C88">
        <w:t xml:space="preserve"> </w:t>
      </w:r>
      <w:r w:rsidR="00D2740D">
        <w:t>C</w:t>
      </w:r>
      <w:r>
        <w:t xml:space="preserve">HBC; (4) CSE; (5) CALSSA; (6) EDF; (7) Joint Environmentals; </w:t>
      </w:r>
      <w:r w:rsidR="00594C1E">
        <w:t>(8)</w:t>
      </w:r>
      <w:r w:rsidR="00C96806">
        <w:t> </w:t>
      </w:r>
      <w:r w:rsidR="00594C1E">
        <w:t xml:space="preserve">NFCRC; </w:t>
      </w:r>
      <w:r>
        <w:t>(</w:t>
      </w:r>
      <w:r w:rsidR="00594C1E">
        <w:t>9</w:t>
      </w:r>
      <w:r>
        <w:t>)</w:t>
      </w:r>
      <w:r w:rsidR="00B853F6">
        <w:t> </w:t>
      </w:r>
      <w:r>
        <w:t>SBUA; (</w:t>
      </w:r>
      <w:r w:rsidR="00594C1E">
        <w:t>10</w:t>
      </w:r>
      <w:r>
        <w:t>) SCE; (1</w:t>
      </w:r>
      <w:r w:rsidR="00594C1E">
        <w:t>1</w:t>
      </w:r>
      <w:r>
        <w:t>) SoCalGas; (1</w:t>
      </w:r>
      <w:r w:rsidR="00594C1E">
        <w:t>2</w:t>
      </w:r>
      <w:r>
        <w:t>) SWG; (1</w:t>
      </w:r>
      <w:r w:rsidR="00594C1E">
        <w:t>3</w:t>
      </w:r>
      <w:r>
        <w:t>) VEIC</w:t>
      </w:r>
      <w:bookmarkEnd w:id="12"/>
      <w:r>
        <w:t>; and (1</w:t>
      </w:r>
      <w:r w:rsidR="00594C1E">
        <w:t>4</w:t>
      </w:r>
      <w:r>
        <w:t>)</w:t>
      </w:r>
      <w:r w:rsidR="00C96806">
        <w:t> </w:t>
      </w:r>
      <w:r>
        <w:t>Wild Tree Foundation.</w:t>
      </w:r>
    </w:p>
    <w:p w14:paraId="063C9C0E" w14:textId="77777777" w:rsidR="005A148C" w:rsidRDefault="005939A5" w:rsidP="005939A5">
      <w:pPr>
        <w:pStyle w:val="Heading1"/>
      </w:pPr>
      <w:bookmarkStart w:id="13" w:name="_Toc8123719"/>
      <w:bookmarkStart w:id="14" w:name="_Toc12866688"/>
      <w:bookmarkStart w:id="15" w:name="_Toc32310232"/>
      <w:r>
        <w:t>Issues Before the Commission</w:t>
      </w:r>
      <w:bookmarkEnd w:id="13"/>
      <w:bookmarkEnd w:id="14"/>
      <w:bookmarkEnd w:id="15"/>
    </w:p>
    <w:p w14:paraId="5E3B7E7B" w14:textId="064931FD" w:rsidR="001C0DF2" w:rsidRDefault="001C0DF2" w:rsidP="001C0DF2">
      <w:pPr>
        <w:pStyle w:val="Standard"/>
      </w:pPr>
      <w:r>
        <w:t>The</w:t>
      </w:r>
      <w:r w:rsidR="00EA1C88">
        <w:t xml:space="preserve"> A</w:t>
      </w:r>
      <w:r>
        <w:t>ssigned Commissioner issued a Scoping Memo and Ruling on May</w:t>
      </w:r>
      <w:r w:rsidR="001379E5">
        <w:t> </w:t>
      </w:r>
      <w:r>
        <w:t>17, 2019.</w:t>
      </w:r>
      <w:r w:rsidR="00594C1E" w:rsidRPr="00594C1E">
        <w:rPr>
          <w:rStyle w:val="FootnoteReference"/>
        </w:rPr>
        <w:t xml:space="preserve"> </w:t>
      </w:r>
      <w:r w:rsidR="00594C1E">
        <w:rPr>
          <w:rStyle w:val="FootnoteReference"/>
        </w:rPr>
        <w:footnoteReference w:id="22"/>
      </w:r>
      <w:r w:rsidR="00594C1E">
        <w:t xml:space="preserve"> </w:t>
      </w:r>
      <w:r>
        <w:t xml:space="preserve"> The Scoping Memo determined that </w:t>
      </w:r>
      <w:r w:rsidR="00023816">
        <w:t xml:space="preserve">in the first </w:t>
      </w:r>
      <w:r w:rsidR="001F6972">
        <w:t>p</w:t>
      </w:r>
      <w:r w:rsidR="00023816">
        <w:t>hase of this proceeding</w:t>
      </w:r>
      <w:r>
        <w:t>, will focus on the implementation of SB</w:t>
      </w:r>
      <w:r w:rsidR="00C96806">
        <w:t> </w:t>
      </w:r>
      <w:r>
        <w:t>1477’s two pilot programs, the BUILD Program and the TECH Initiative.  As set forth in the Scoping Memo, the issues</w:t>
      </w:r>
      <w:r w:rsidR="00587949">
        <w:t xml:space="preserve"> for this phase</w:t>
      </w:r>
      <w:r>
        <w:t xml:space="preserve"> are:   </w:t>
      </w:r>
    </w:p>
    <w:p w14:paraId="2B7013C5" w14:textId="77777777" w:rsidR="001C0DF2" w:rsidRPr="007C7407" w:rsidRDefault="001C0DF2" w:rsidP="001C0DF2">
      <w:pPr>
        <w:pStyle w:val="ListParagraph"/>
        <w:numPr>
          <w:ilvl w:val="3"/>
          <w:numId w:val="12"/>
        </w:numPr>
        <w:spacing w:after="200"/>
        <w:ind w:left="1080"/>
        <w:rPr>
          <w:b/>
          <w:szCs w:val="26"/>
        </w:rPr>
      </w:pPr>
      <w:r w:rsidRPr="007C7407">
        <w:rPr>
          <w:rFonts w:eastAsia="Times New Roman"/>
          <w:szCs w:val="26"/>
        </w:rPr>
        <w:t xml:space="preserve">How should the Commission implement </w:t>
      </w:r>
      <w:r>
        <w:rPr>
          <w:rFonts w:eastAsia="Times New Roman"/>
          <w:szCs w:val="26"/>
        </w:rPr>
        <w:t>SB 1477?</w:t>
      </w:r>
    </w:p>
    <w:p w14:paraId="05B3334D" w14:textId="77777777" w:rsidR="001C0DF2" w:rsidRPr="004A4AB5" w:rsidRDefault="001C0DF2" w:rsidP="001379E5">
      <w:pPr>
        <w:pStyle w:val="ListParagraph"/>
        <w:numPr>
          <w:ilvl w:val="4"/>
          <w:numId w:val="12"/>
        </w:numPr>
        <w:spacing w:after="120" w:line="240" w:lineRule="auto"/>
        <w:ind w:left="1440" w:right="1440"/>
        <w:contextualSpacing w:val="0"/>
        <w:rPr>
          <w:b/>
          <w:szCs w:val="26"/>
        </w:rPr>
      </w:pPr>
      <w:r w:rsidRPr="007C7407">
        <w:rPr>
          <w:rFonts w:eastAsia="Times New Roman"/>
          <w:szCs w:val="26"/>
        </w:rPr>
        <w:t xml:space="preserve">Who should the Commission select to administer the </w:t>
      </w:r>
      <w:r>
        <w:rPr>
          <w:rFonts w:eastAsia="Times New Roman"/>
          <w:szCs w:val="26"/>
        </w:rPr>
        <w:t>BUILD P</w:t>
      </w:r>
      <w:r w:rsidRPr="007C7407">
        <w:rPr>
          <w:rFonts w:eastAsia="Times New Roman"/>
          <w:szCs w:val="26"/>
        </w:rPr>
        <w:t>rogram?</w:t>
      </w:r>
    </w:p>
    <w:p w14:paraId="46C3D66E" w14:textId="77777777" w:rsidR="001C0DF2" w:rsidRPr="004A4AB5" w:rsidRDefault="001C0DF2" w:rsidP="00CF6B08">
      <w:pPr>
        <w:pStyle w:val="ListParagraph"/>
        <w:numPr>
          <w:ilvl w:val="5"/>
          <w:numId w:val="12"/>
        </w:numPr>
        <w:spacing w:after="120" w:line="240" w:lineRule="auto"/>
        <w:ind w:left="1901" w:right="1440" w:hanging="274"/>
        <w:contextualSpacing w:val="0"/>
        <w:rPr>
          <w:b/>
          <w:szCs w:val="26"/>
        </w:rPr>
      </w:pPr>
      <w:r>
        <w:rPr>
          <w:rFonts w:eastAsia="Times New Roman"/>
          <w:szCs w:val="26"/>
        </w:rPr>
        <w:lastRenderedPageBreak/>
        <w:t>How should the Commission authorize funding for the BUILD Program and the TECH Initiative pursuant to Section 748.6?</w:t>
      </w:r>
    </w:p>
    <w:p w14:paraId="62062269" w14:textId="77777777" w:rsidR="001C0DF2" w:rsidRPr="00667C86" w:rsidRDefault="001C0DF2" w:rsidP="00CF6B08">
      <w:pPr>
        <w:pStyle w:val="ListParagraph"/>
        <w:numPr>
          <w:ilvl w:val="5"/>
          <w:numId w:val="12"/>
        </w:numPr>
        <w:spacing w:after="120" w:line="240" w:lineRule="auto"/>
        <w:ind w:left="1901" w:right="1440" w:hanging="274"/>
        <w:contextualSpacing w:val="0"/>
        <w:rPr>
          <w:b/>
          <w:szCs w:val="26"/>
        </w:rPr>
      </w:pPr>
      <w:r>
        <w:rPr>
          <w:rFonts w:eastAsia="Times New Roman"/>
          <w:szCs w:val="26"/>
        </w:rPr>
        <w:t>How should the Commission establish budgets for the BUILD Program and TECH Initiative?</w:t>
      </w:r>
    </w:p>
    <w:p w14:paraId="2062F7EE" w14:textId="77777777" w:rsidR="001C0DF2" w:rsidRPr="001379E5" w:rsidRDefault="001C0DF2" w:rsidP="001379E5">
      <w:pPr>
        <w:pStyle w:val="ListParagraph"/>
        <w:numPr>
          <w:ilvl w:val="4"/>
          <w:numId w:val="12"/>
        </w:numPr>
        <w:spacing w:after="120" w:line="240" w:lineRule="auto"/>
        <w:ind w:left="1440" w:right="1440"/>
        <w:contextualSpacing w:val="0"/>
        <w:rPr>
          <w:rFonts w:eastAsia="Times New Roman"/>
          <w:szCs w:val="26"/>
        </w:rPr>
      </w:pPr>
      <w:r w:rsidRPr="007C7407">
        <w:rPr>
          <w:rFonts w:eastAsia="Times New Roman"/>
          <w:szCs w:val="26"/>
        </w:rPr>
        <w:t xml:space="preserve">Who should the Commission select to administer the </w:t>
      </w:r>
      <w:r>
        <w:rPr>
          <w:rFonts w:eastAsia="Times New Roman"/>
          <w:szCs w:val="26"/>
        </w:rPr>
        <w:t>TECH Initiative</w:t>
      </w:r>
      <w:r w:rsidRPr="007C7407">
        <w:rPr>
          <w:rFonts w:eastAsia="Times New Roman"/>
          <w:szCs w:val="26"/>
        </w:rPr>
        <w:t>?</w:t>
      </w:r>
    </w:p>
    <w:p w14:paraId="0FCE1A83" w14:textId="77777777" w:rsidR="001C0DF2" w:rsidRPr="001379E5" w:rsidRDefault="001C0DF2" w:rsidP="001379E5">
      <w:pPr>
        <w:pStyle w:val="ListParagraph"/>
        <w:numPr>
          <w:ilvl w:val="4"/>
          <w:numId w:val="12"/>
        </w:numPr>
        <w:spacing w:after="120" w:line="240" w:lineRule="auto"/>
        <w:ind w:left="1440" w:right="1440"/>
        <w:contextualSpacing w:val="0"/>
        <w:rPr>
          <w:rFonts w:eastAsia="Times New Roman"/>
          <w:szCs w:val="26"/>
        </w:rPr>
      </w:pPr>
      <w:r w:rsidRPr="007C7407">
        <w:rPr>
          <w:rFonts w:eastAsia="Times New Roman"/>
          <w:szCs w:val="26"/>
        </w:rPr>
        <w:t>What program design parameters should the Comm</w:t>
      </w:r>
      <w:r>
        <w:rPr>
          <w:rFonts w:eastAsia="Times New Roman"/>
          <w:szCs w:val="26"/>
        </w:rPr>
        <w:t>ission establish for the BUILD P</w:t>
      </w:r>
      <w:r w:rsidRPr="007C7407">
        <w:rPr>
          <w:rFonts w:eastAsia="Times New Roman"/>
          <w:szCs w:val="26"/>
        </w:rPr>
        <w:t>rogram?</w:t>
      </w:r>
    </w:p>
    <w:p w14:paraId="70DBDE24" w14:textId="77777777" w:rsidR="001C0DF2" w:rsidRPr="00CF6B08" w:rsidRDefault="001C0DF2" w:rsidP="00CF6B08">
      <w:pPr>
        <w:pStyle w:val="ListParagraph"/>
        <w:numPr>
          <w:ilvl w:val="5"/>
          <w:numId w:val="12"/>
        </w:numPr>
        <w:spacing w:after="120" w:line="240" w:lineRule="auto"/>
        <w:ind w:left="1901" w:right="1440" w:hanging="274"/>
        <w:contextualSpacing w:val="0"/>
        <w:rPr>
          <w:rFonts w:eastAsia="Times New Roman"/>
          <w:szCs w:val="26"/>
        </w:rPr>
      </w:pPr>
      <w:r w:rsidRPr="00CF6B08">
        <w:rPr>
          <w:rFonts w:eastAsia="Times New Roman"/>
          <w:szCs w:val="26"/>
        </w:rPr>
        <w:t xml:space="preserve">Technology eligibility criteria; </w:t>
      </w:r>
    </w:p>
    <w:p w14:paraId="3DE60104" w14:textId="77777777" w:rsidR="001C0DF2" w:rsidRPr="00CF6B08" w:rsidRDefault="001C0DF2" w:rsidP="00CF6B08">
      <w:pPr>
        <w:pStyle w:val="ListParagraph"/>
        <w:numPr>
          <w:ilvl w:val="5"/>
          <w:numId w:val="12"/>
        </w:numPr>
        <w:spacing w:after="120" w:line="240" w:lineRule="auto"/>
        <w:ind w:left="1901" w:right="1440" w:hanging="274"/>
        <w:contextualSpacing w:val="0"/>
        <w:rPr>
          <w:rFonts w:eastAsia="Times New Roman"/>
          <w:szCs w:val="26"/>
        </w:rPr>
      </w:pPr>
      <w:r w:rsidRPr="00CF6B08">
        <w:rPr>
          <w:rFonts w:eastAsia="Times New Roman"/>
          <w:szCs w:val="26"/>
        </w:rPr>
        <w:t xml:space="preserve">Process for evaluating new technologies; </w:t>
      </w:r>
    </w:p>
    <w:p w14:paraId="3BC1CCB2" w14:textId="77777777" w:rsidR="001C0DF2" w:rsidRPr="00CF6B08" w:rsidRDefault="001C0DF2" w:rsidP="00CF6B08">
      <w:pPr>
        <w:pStyle w:val="ListParagraph"/>
        <w:numPr>
          <w:ilvl w:val="5"/>
          <w:numId w:val="12"/>
        </w:numPr>
        <w:spacing w:after="120" w:line="240" w:lineRule="auto"/>
        <w:ind w:left="1901" w:right="1440" w:hanging="274"/>
        <w:contextualSpacing w:val="0"/>
        <w:rPr>
          <w:rFonts w:eastAsia="Times New Roman"/>
          <w:szCs w:val="26"/>
        </w:rPr>
      </w:pPr>
      <w:r w:rsidRPr="00CF6B08">
        <w:rPr>
          <w:rFonts w:eastAsia="Times New Roman"/>
          <w:szCs w:val="26"/>
        </w:rPr>
        <w:t xml:space="preserve">Guidelines and evaluation metrics; </w:t>
      </w:r>
    </w:p>
    <w:p w14:paraId="14D6A521" w14:textId="77777777" w:rsidR="001C0DF2" w:rsidRPr="00CF6B08" w:rsidRDefault="001C0DF2" w:rsidP="00CF6B08">
      <w:pPr>
        <w:pStyle w:val="ListParagraph"/>
        <w:numPr>
          <w:ilvl w:val="5"/>
          <w:numId w:val="12"/>
        </w:numPr>
        <w:spacing w:after="120" w:line="240" w:lineRule="auto"/>
        <w:ind w:left="1901" w:right="1440" w:hanging="274"/>
        <w:contextualSpacing w:val="0"/>
        <w:rPr>
          <w:rFonts w:eastAsia="Times New Roman"/>
          <w:szCs w:val="26"/>
        </w:rPr>
      </w:pPr>
      <w:r w:rsidRPr="00CF6B08">
        <w:rPr>
          <w:rFonts w:eastAsia="Times New Roman"/>
          <w:szCs w:val="26"/>
        </w:rPr>
        <w:t>Criteria for scoring and selecting projects; and</w:t>
      </w:r>
    </w:p>
    <w:p w14:paraId="09899C03" w14:textId="44768442" w:rsidR="001C0DF2" w:rsidRPr="00CF6B08" w:rsidRDefault="001C0DF2" w:rsidP="00CF6B08">
      <w:pPr>
        <w:pStyle w:val="ListParagraph"/>
        <w:numPr>
          <w:ilvl w:val="5"/>
          <w:numId w:val="12"/>
        </w:numPr>
        <w:spacing w:after="120" w:line="240" w:lineRule="auto"/>
        <w:ind w:left="1901" w:right="1440" w:hanging="274"/>
        <w:contextualSpacing w:val="0"/>
        <w:rPr>
          <w:rFonts w:eastAsia="Times New Roman"/>
          <w:szCs w:val="26"/>
        </w:rPr>
      </w:pPr>
      <w:r w:rsidRPr="00CF6B08">
        <w:rPr>
          <w:rFonts w:eastAsia="Times New Roman"/>
          <w:szCs w:val="26"/>
        </w:rPr>
        <w:t>Customer eligibility for benefits of the BUILD</w:t>
      </w:r>
      <w:r w:rsidR="0085320F">
        <w:rPr>
          <w:rFonts w:eastAsia="Times New Roman"/>
          <w:szCs w:val="26"/>
        </w:rPr>
        <w:t> </w:t>
      </w:r>
      <w:r w:rsidRPr="00CF6B08">
        <w:rPr>
          <w:rFonts w:eastAsia="Times New Roman"/>
          <w:szCs w:val="26"/>
        </w:rPr>
        <w:t>Program.</w:t>
      </w:r>
    </w:p>
    <w:p w14:paraId="7F32DB54" w14:textId="77777777" w:rsidR="001C0DF2" w:rsidRPr="001379E5" w:rsidRDefault="001C0DF2" w:rsidP="001379E5">
      <w:pPr>
        <w:pStyle w:val="ListParagraph"/>
        <w:numPr>
          <w:ilvl w:val="4"/>
          <w:numId w:val="12"/>
        </w:numPr>
        <w:spacing w:after="120" w:line="240" w:lineRule="auto"/>
        <w:ind w:left="1440" w:right="1440"/>
        <w:contextualSpacing w:val="0"/>
        <w:rPr>
          <w:rFonts w:eastAsia="Times New Roman"/>
          <w:szCs w:val="26"/>
        </w:rPr>
      </w:pPr>
      <w:r w:rsidRPr="007C7407">
        <w:rPr>
          <w:rFonts w:eastAsia="Times New Roman"/>
          <w:szCs w:val="26"/>
        </w:rPr>
        <w:t>What program design parameters should the Commission establ</w:t>
      </w:r>
      <w:r>
        <w:rPr>
          <w:rFonts w:eastAsia="Times New Roman"/>
          <w:szCs w:val="26"/>
        </w:rPr>
        <w:t>ish for the TECH Initiative</w:t>
      </w:r>
      <w:r w:rsidRPr="007C7407">
        <w:rPr>
          <w:rFonts w:eastAsia="Times New Roman"/>
          <w:szCs w:val="26"/>
        </w:rPr>
        <w:t>?</w:t>
      </w:r>
    </w:p>
    <w:p w14:paraId="5D152737" w14:textId="77777777" w:rsidR="001C0DF2" w:rsidRPr="00B5489C" w:rsidRDefault="001C0DF2" w:rsidP="00B5489C">
      <w:pPr>
        <w:pStyle w:val="ListParagraph"/>
        <w:numPr>
          <w:ilvl w:val="5"/>
          <w:numId w:val="12"/>
        </w:numPr>
        <w:spacing w:after="120" w:line="240" w:lineRule="auto"/>
        <w:ind w:left="1901" w:right="1440" w:hanging="274"/>
        <w:contextualSpacing w:val="0"/>
        <w:rPr>
          <w:rFonts w:eastAsia="Times New Roman"/>
          <w:szCs w:val="26"/>
        </w:rPr>
      </w:pPr>
      <w:r w:rsidRPr="00B5489C">
        <w:rPr>
          <w:rFonts w:eastAsia="Times New Roman"/>
          <w:szCs w:val="26"/>
        </w:rPr>
        <w:t xml:space="preserve">Technology eligibility criteria; </w:t>
      </w:r>
    </w:p>
    <w:p w14:paraId="0F8E5302" w14:textId="77777777" w:rsidR="001C0DF2" w:rsidRPr="00B5489C" w:rsidRDefault="001C0DF2" w:rsidP="00B5489C">
      <w:pPr>
        <w:pStyle w:val="ListParagraph"/>
        <w:numPr>
          <w:ilvl w:val="5"/>
          <w:numId w:val="12"/>
        </w:numPr>
        <w:spacing w:after="120" w:line="240" w:lineRule="auto"/>
        <w:ind w:left="1901" w:right="1440" w:hanging="274"/>
        <w:contextualSpacing w:val="0"/>
        <w:rPr>
          <w:rFonts w:eastAsia="Times New Roman"/>
          <w:szCs w:val="26"/>
        </w:rPr>
      </w:pPr>
      <w:r w:rsidRPr="00B5489C">
        <w:rPr>
          <w:rFonts w:eastAsia="Times New Roman"/>
          <w:szCs w:val="26"/>
        </w:rPr>
        <w:t xml:space="preserve">Process for evaluating new technologies; </w:t>
      </w:r>
    </w:p>
    <w:p w14:paraId="62132806" w14:textId="77777777" w:rsidR="001C0DF2" w:rsidRPr="00B5489C" w:rsidRDefault="001C0DF2" w:rsidP="00B5489C">
      <w:pPr>
        <w:pStyle w:val="ListParagraph"/>
        <w:numPr>
          <w:ilvl w:val="5"/>
          <w:numId w:val="12"/>
        </w:numPr>
        <w:spacing w:after="120" w:line="240" w:lineRule="auto"/>
        <w:ind w:left="1901" w:right="1440" w:hanging="274"/>
        <w:contextualSpacing w:val="0"/>
        <w:rPr>
          <w:rFonts w:eastAsia="Times New Roman"/>
          <w:szCs w:val="26"/>
        </w:rPr>
      </w:pPr>
      <w:r w:rsidRPr="00B5489C">
        <w:rPr>
          <w:rFonts w:eastAsia="Times New Roman"/>
          <w:szCs w:val="26"/>
        </w:rPr>
        <w:t xml:space="preserve">Guidelines and evaluation metrics; </w:t>
      </w:r>
    </w:p>
    <w:p w14:paraId="13F36625" w14:textId="77777777" w:rsidR="001C0DF2" w:rsidRPr="00B5489C" w:rsidRDefault="001C0DF2" w:rsidP="00B5489C">
      <w:pPr>
        <w:pStyle w:val="ListParagraph"/>
        <w:numPr>
          <w:ilvl w:val="5"/>
          <w:numId w:val="12"/>
        </w:numPr>
        <w:spacing w:after="120" w:line="240" w:lineRule="auto"/>
        <w:ind w:left="1901" w:right="1440" w:hanging="274"/>
        <w:contextualSpacing w:val="0"/>
        <w:rPr>
          <w:rFonts w:eastAsia="Times New Roman"/>
          <w:szCs w:val="26"/>
        </w:rPr>
      </w:pPr>
      <w:r w:rsidRPr="00B5489C">
        <w:rPr>
          <w:rFonts w:eastAsia="Times New Roman"/>
          <w:szCs w:val="26"/>
        </w:rPr>
        <w:t>Criteria for scoring and selecting projects; and</w:t>
      </w:r>
    </w:p>
    <w:p w14:paraId="7BA2457F" w14:textId="77777777" w:rsidR="001C0DF2" w:rsidRPr="00B5489C" w:rsidRDefault="001C0DF2" w:rsidP="00B5489C">
      <w:pPr>
        <w:pStyle w:val="ListParagraph"/>
        <w:numPr>
          <w:ilvl w:val="5"/>
          <w:numId w:val="12"/>
        </w:numPr>
        <w:spacing w:after="120" w:line="240" w:lineRule="auto"/>
        <w:ind w:left="1901" w:right="1440" w:hanging="274"/>
        <w:contextualSpacing w:val="0"/>
        <w:rPr>
          <w:rFonts w:eastAsia="Times New Roman"/>
          <w:szCs w:val="26"/>
        </w:rPr>
      </w:pPr>
      <w:r w:rsidRPr="00B5489C">
        <w:rPr>
          <w:rFonts w:eastAsia="Times New Roman"/>
          <w:szCs w:val="26"/>
        </w:rPr>
        <w:t xml:space="preserve">Customer eligibility for benefits of the TECH Initiative. </w:t>
      </w:r>
    </w:p>
    <w:p w14:paraId="1B5111D9" w14:textId="77777777" w:rsidR="001C0DF2" w:rsidRPr="001379E5" w:rsidRDefault="001C0DF2" w:rsidP="001379E5">
      <w:pPr>
        <w:pStyle w:val="ListParagraph"/>
        <w:numPr>
          <w:ilvl w:val="4"/>
          <w:numId w:val="12"/>
        </w:numPr>
        <w:spacing w:after="120" w:line="240" w:lineRule="auto"/>
        <w:ind w:left="1440" w:right="1440"/>
        <w:contextualSpacing w:val="0"/>
        <w:rPr>
          <w:rFonts w:eastAsia="Times New Roman"/>
          <w:szCs w:val="26"/>
        </w:rPr>
      </w:pPr>
      <w:r w:rsidRPr="007C7407">
        <w:rPr>
          <w:rFonts w:eastAsia="Times New Roman"/>
          <w:szCs w:val="26"/>
        </w:rPr>
        <w:t>Who should the Commission select to evaluate the BUILD</w:t>
      </w:r>
      <w:r>
        <w:rPr>
          <w:rFonts w:eastAsia="Times New Roman"/>
          <w:szCs w:val="26"/>
        </w:rPr>
        <w:t xml:space="preserve"> Program</w:t>
      </w:r>
      <w:r w:rsidRPr="007C7407">
        <w:rPr>
          <w:rFonts w:eastAsia="Times New Roman"/>
          <w:szCs w:val="26"/>
        </w:rPr>
        <w:t xml:space="preserve"> and TECH </w:t>
      </w:r>
      <w:r>
        <w:rPr>
          <w:rFonts w:eastAsia="Times New Roman"/>
          <w:szCs w:val="26"/>
        </w:rPr>
        <w:t>Initiative</w:t>
      </w:r>
      <w:r w:rsidRPr="007C7407">
        <w:rPr>
          <w:rFonts w:eastAsia="Times New Roman"/>
          <w:szCs w:val="26"/>
        </w:rPr>
        <w:t>?</w:t>
      </w:r>
    </w:p>
    <w:p w14:paraId="2FA12FFD" w14:textId="3A9294EE" w:rsidR="001C0DF2" w:rsidRPr="00F05341" w:rsidRDefault="001C0DF2" w:rsidP="00F05341">
      <w:pPr>
        <w:pStyle w:val="ListParagraph"/>
        <w:numPr>
          <w:ilvl w:val="3"/>
          <w:numId w:val="12"/>
        </w:numPr>
        <w:spacing w:after="120" w:line="240" w:lineRule="auto"/>
        <w:ind w:left="1080" w:right="1440"/>
        <w:contextualSpacing w:val="0"/>
        <w:rPr>
          <w:rFonts w:eastAsia="Times New Roman"/>
          <w:szCs w:val="26"/>
        </w:rPr>
      </w:pPr>
      <w:r w:rsidRPr="00F05341">
        <w:rPr>
          <w:rFonts w:eastAsia="Times New Roman"/>
          <w:szCs w:val="26"/>
        </w:rPr>
        <w:t>Should the Commission implement any programs dedicated specifically to support the construction of decarbonized buildings in communities affected by wildfires?</w:t>
      </w:r>
    </w:p>
    <w:p w14:paraId="55BAC7EA" w14:textId="77777777" w:rsidR="001C0DF2" w:rsidRDefault="001C0DF2" w:rsidP="00F05341">
      <w:pPr>
        <w:pStyle w:val="ListParagraph"/>
        <w:numPr>
          <w:ilvl w:val="3"/>
          <w:numId w:val="12"/>
        </w:numPr>
        <w:spacing w:after="120" w:line="240" w:lineRule="auto"/>
        <w:ind w:left="1080" w:right="1440"/>
        <w:contextualSpacing w:val="0"/>
        <w:rPr>
          <w:rFonts w:eastAsia="Times New Roman"/>
          <w:szCs w:val="26"/>
        </w:rPr>
      </w:pPr>
      <w:r w:rsidRPr="007C7407">
        <w:rPr>
          <w:rFonts w:eastAsia="Times New Roman"/>
          <w:szCs w:val="26"/>
        </w:rPr>
        <w:t xml:space="preserve">Should the Commission make any changes to existing policies, rules, or procedures in order to facilitate better coordination with the development of Title 24 and Title 20 </w:t>
      </w:r>
      <w:r w:rsidRPr="007C7407">
        <w:rPr>
          <w:rFonts w:eastAsia="Times New Roman"/>
          <w:szCs w:val="26"/>
        </w:rPr>
        <w:lastRenderedPageBreak/>
        <w:t xml:space="preserve">standards at the </w:t>
      </w:r>
      <w:r>
        <w:rPr>
          <w:rFonts w:eastAsia="Times New Roman"/>
          <w:szCs w:val="26"/>
        </w:rPr>
        <w:t>CEC</w:t>
      </w:r>
      <w:r w:rsidRPr="007C7407">
        <w:rPr>
          <w:rFonts w:eastAsia="Times New Roman"/>
          <w:szCs w:val="26"/>
        </w:rPr>
        <w:t xml:space="preserve"> that facilitate building decarbonization?</w:t>
      </w:r>
    </w:p>
    <w:p w14:paraId="44DD0346" w14:textId="77777777" w:rsidR="001C0DF2" w:rsidRDefault="001C0DF2" w:rsidP="00F05341">
      <w:pPr>
        <w:pStyle w:val="ListParagraph"/>
        <w:numPr>
          <w:ilvl w:val="3"/>
          <w:numId w:val="12"/>
        </w:numPr>
        <w:spacing w:after="120" w:line="240" w:lineRule="auto"/>
        <w:ind w:left="1080" w:right="1440"/>
        <w:contextualSpacing w:val="0"/>
        <w:rPr>
          <w:rFonts w:eastAsia="Times New Roman"/>
          <w:szCs w:val="26"/>
        </w:rPr>
      </w:pPr>
      <w:r w:rsidRPr="007C7407">
        <w:rPr>
          <w:rFonts w:eastAsia="Times New Roman"/>
          <w:szCs w:val="26"/>
        </w:rPr>
        <w:t>What policies, rules, and procedures should the Commission adopt to facilitate the decarbonization of buildings?</w:t>
      </w:r>
    </w:p>
    <w:p w14:paraId="61E12E41" w14:textId="410F6E48" w:rsidR="005939A5" w:rsidRDefault="001C0DF2" w:rsidP="001C0DF2">
      <w:pPr>
        <w:pStyle w:val="Standard"/>
      </w:pPr>
      <w:r>
        <w:t>Additionally, the Scoping Memo directed the Commission’s Energy Division, in joint consultation and development with CEC staff, to develop the Staff Proposal (discussed above) with a proposed approach to implement SB</w:t>
      </w:r>
      <w:r w:rsidR="00006F78">
        <w:t> </w:t>
      </w:r>
      <w:r>
        <w:t xml:space="preserve"> 1477’s BUILD Program and TECH Initiative.  The assigned Administrative Law Judge</w:t>
      </w:r>
      <w:r w:rsidR="00006F78">
        <w:t xml:space="preserve"> (ALJ)</w:t>
      </w:r>
      <w:r>
        <w:t xml:space="preserve"> issue</w:t>
      </w:r>
      <w:r w:rsidR="00266BEF">
        <w:t>d the Staff Proposal through a r</w:t>
      </w:r>
      <w:r>
        <w:t>uling on July 16, 2019</w:t>
      </w:r>
      <w:r w:rsidR="00594C1E">
        <w:t>,</w:t>
      </w:r>
      <w:r>
        <w:t xml:space="preserve"> requiring parties to this proceeding to comment on the Staff Proposal and respond to specific questions regarding the proposed approaches</w:t>
      </w:r>
      <w:r w:rsidR="005939A5">
        <w:t>.</w:t>
      </w:r>
    </w:p>
    <w:p w14:paraId="16B86F53" w14:textId="61DE4DC7" w:rsidR="005939A5" w:rsidRDefault="005939A5" w:rsidP="005939A5">
      <w:pPr>
        <w:pStyle w:val="Heading1"/>
      </w:pPr>
      <w:bookmarkStart w:id="16" w:name="_Toc8123720"/>
      <w:bookmarkStart w:id="17" w:name="_Toc12866689"/>
      <w:bookmarkStart w:id="18" w:name="_Toc32310233"/>
      <w:r>
        <w:t>Discussion and Analysi</w:t>
      </w:r>
      <w:bookmarkEnd w:id="16"/>
      <w:bookmarkEnd w:id="17"/>
      <w:r w:rsidR="001C0DF2">
        <w:t xml:space="preserve">s of Common Issues </w:t>
      </w:r>
      <w:r w:rsidR="00006F78">
        <w:br/>
      </w:r>
      <w:r w:rsidR="001C0DF2">
        <w:t>Between the BUILD Program and TECH Initiative</w:t>
      </w:r>
      <w:bookmarkEnd w:id="18"/>
      <w:r w:rsidR="001C0DF2">
        <w:t xml:space="preserve"> </w:t>
      </w:r>
    </w:p>
    <w:p w14:paraId="3C93725C" w14:textId="77777777" w:rsidR="001C0DF2" w:rsidRDefault="001C0DF2" w:rsidP="001C0DF2">
      <w:pPr>
        <w:pStyle w:val="Standard"/>
      </w:pPr>
      <w:r>
        <w:t>In SB 1477, the Legislature determined that t</w:t>
      </w:r>
      <w:r w:rsidRPr="006D71E3">
        <w:t xml:space="preserve">he electricity and heating fuels used in buildings are responsible for a quarter of California’s </w:t>
      </w:r>
      <w:r>
        <w:t>GHG</w:t>
      </w:r>
      <w:r w:rsidRPr="006D71E3">
        <w:t xml:space="preserve"> emissions and contribute to indoor and outdoor air pollution.</w:t>
      </w:r>
      <w:r>
        <w:rPr>
          <w:rStyle w:val="FootnoteReference"/>
        </w:rPr>
        <w:footnoteReference w:id="23"/>
      </w:r>
      <w:r>
        <w:t xml:space="preserve">  The Legislature further found that there are a range of technologies that can achieve deep emissions reductions in buildings, including advanced energy efficiency technologies, clean heating technologies, energy storage, and load management strategies.</w:t>
      </w:r>
      <w:r>
        <w:rPr>
          <w:rStyle w:val="FootnoteReference"/>
        </w:rPr>
        <w:footnoteReference w:id="24"/>
      </w:r>
    </w:p>
    <w:p w14:paraId="7F96F787" w14:textId="77777777" w:rsidR="001C0DF2" w:rsidRDefault="001C0DF2" w:rsidP="001C0DF2">
      <w:pPr>
        <w:pStyle w:val="Standard"/>
      </w:pPr>
      <w:r>
        <w:t xml:space="preserve">SB 1477’s findings and declarations also identify the barriers to and benefits of building decarbonization.  Barriers to building decarbonization include, but are not limited to, clean heating technologies that </w:t>
      </w:r>
      <w:r w:rsidRPr="00216C02">
        <w:t>are not widely available in the marketplace</w:t>
      </w:r>
      <w:r>
        <w:t xml:space="preserve"> and </w:t>
      </w:r>
      <w:r w:rsidRPr="00216C02">
        <w:t xml:space="preserve">little uptake of near-zero emissions construction </w:t>
      </w:r>
      <w:r w:rsidRPr="00216C02">
        <w:lastRenderedPageBreak/>
        <w:t>practices</w:t>
      </w:r>
      <w:r>
        <w:t>.</w:t>
      </w:r>
      <w:r>
        <w:rPr>
          <w:rStyle w:val="FootnoteReference"/>
        </w:rPr>
        <w:footnoteReference w:id="25"/>
      </w:r>
      <w:r>
        <w:t xml:space="preserve">  Benefits of building decarbonization include not only reduced GHG emissions, but also the potential for utility bill savings, improved housing affordability, and a greater selection of products available for California consumers.</w:t>
      </w:r>
      <w:r>
        <w:rPr>
          <w:rStyle w:val="FootnoteReference"/>
        </w:rPr>
        <w:footnoteReference w:id="26"/>
      </w:r>
    </w:p>
    <w:p w14:paraId="5DA2FA84" w14:textId="0F8DB7BC" w:rsidR="0073353F" w:rsidRDefault="001C0DF2" w:rsidP="001C0DF2">
      <w:pPr>
        <w:pStyle w:val="Standard"/>
      </w:pPr>
      <w:r>
        <w:t xml:space="preserve">In adopting SB 1477, the Legislature declared </w:t>
      </w:r>
      <w:r w:rsidR="00594C1E">
        <w:t xml:space="preserve">its intent </w:t>
      </w:r>
      <w:r>
        <w:t xml:space="preserve">that California build on its success in incentivizing rooftop solar energy systems </w:t>
      </w:r>
      <w:r w:rsidR="00594C1E">
        <w:t xml:space="preserve">by providing new incentives for </w:t>
      </w:r>
      <w:r>
        <w:t>decarbonized buildings.</w:t>
      </w:r>
      <w:r>
        <w:rPr>
          <w:rStyle w:val="FootnoteReference"/>
        </w:rPr>
        <w:footnoteReference w:id="27"/>
      </w:r>
    </w:p>
    <w:p w14:paraId="50717930" w14:textId="77777777" w:rsidR="00EA36C6" w:rsidRDefault="001C0DF2" w:rsidP="00D2041C">
      <w:pPr>
        <w:pStyle w:val="Heading2"/>
      </w:pPr>
      <w:bookmarkStart w:id="19" w:name="_Toc32310234"/>
      <w:r>
        <w:t>SB 1477 Pilot Program Budgets</w:t>
      </w:r>
      <w:bookmarkEnd w:id="19"/>
    </w:p>
    <w:p w14:paraId="2C42FB1C" w14:textId="25B0F214" w:rsidR="001C0DF2" w:rsidRPr="00B575D7" w:rsidRDefault="001C0DF2" w:rsidP="001C0DF2">
      <w:pPr>
        <w:pStyle w:val="Standard"/>
      </w:pPr>
      <w:r>
        <w:t>Section 748.6 requires the Commission, from</w:t>
      </w:r>
      <w:r w:rsidR="00594C1E">
        <w:t xml:space="preserve"> FY 2019-20</w:t>
      </w:r>
      <w:r>
        <w:t xml:space="preserve"> through </w:t>
      </w:r>
      <w:r w:rsidR="00594C1E">
        <w:t>FY</w:t>
      </w:r>
      <w:r w:rsidR="00874512">
        <w:t> </w:t>
      </w:r>
      <w:r w:rsidR="00594C1E">
        <w:t>2022</w:t>
      </w:r>
      <w:r w:rsidR="00874512">
        <w:noBreakHyphen/>
      </w:r>
      <w:r w:rsidR="00594C1E">
        <w:t>23</w:t>
      </w:r>
      <w:r>
        <w:t>, to allocate $50 million annually, including any accrued interest,</w:t>
      </w:r>
      <w:r>
        <w:rPr>
          <w:rStyle w:val="FootnoteReference"/>
        </w:rPr>
        <w:footnoteReference w:id="28"/>
      </w:r>
      <w:r>
        <w:t xml:space="preserve"> from gas corporations’ GHG allowance </w:t>
      </w:r>
      <w:r w:rsidR="00594C1E">
        <w:t>proceeds to fund</w:t>
      </w:r>
      <w:r>
        <w:t xml:space="preserve"> the BUILD Program and TECH Initiative </w:t>
      </w:r>
      <w:r w:rsidR="00594C1E">
        <w:t>pursuant to</w:t>
      </w:r>
      <w:r>
        <w:t xml:space="preserve"> SB 1477.</w:t>
      </w:r>
    </w:p>
    <w:p w14:paraId="20A81E64" w14:textId="3C2B6763" w:rsidR="001C0DF2" w:rsidRDefault="001C0DF2" w:rsidP="001C0DF2">
      <w:pPr>
        <w:pStyle w:val="Standard"/>
      </w:pPr>
      <w:r>
        <w:t>In the Scoping Memo and Ruling,</w:t>
      </w:r>
      <w:r>
        <w:rPr>
          <w:rStyle w:val="FootnoteReference"/>
        </w:rPr>
        <w:footnoteReference w:id="29"/>
      </w:r>
      <w:r>
        <w:t xml:space="preserve"> and in a subsequent Administrative Law Judge Ruling,</w:t>
      </w:r>
      <w:r>
        <w:rPr>
          <w:rStyle w:val="FootnoteReference"/>
        </w:rPr>
        <w:footnoteReference w:id="30"/>
      </w:r>
      <w:r>
        <w:t xml:space="preserve"> parties were asked:</w:t>
      </w:r>
      <w:r w:rsidR="00C238B8">
        <w:t xml:space="preserve"> </w:t>
      </w:r>
      <w:r>
        <w:t xml:space="preserve"> (</w:t>
      </w:r>
      <w:r w:rsidR="00594C1E">
        <w:t>1</w:t>
      </w:r>
      <w:r>
        <w:t>) whether the Staff Proposal’s approach for using gas corporation revenue from the direct allocation of GHG allowances for funding the BUILD Program and TECH Initiative is reasonable; (</w:t>
      </w:r>
      <w:r w:rsidR="00594C1E">
        <w:t>2</w:t>
      </w:r>
      <w:r>
        <w:t>) whether the Staff Proposal’s approach appropriately prescribes how to prioritize among different authorized uses of directly allocated GHG emission allowance revenues; and (</w:t>
      </w:r>
      <w:r w:rsidR="00594C1E">
        <w:t>3</w:t>
      </w:r>
      <w:r>
        <w:t>) whether the Staff Proposal’s proposed budgets for the BUILD Program and TECH Initiative are appropriate.</w:t>
      </w:r>
    </w:p>
    <w:p w14:paraId="6CA2A529" w14:textId="1928E07C" w:rsidR="001C0DF2" w:rsidRDefault="001C0DF2" w:rsidP="001C0DF2">
      <w:pPr>
        <w:pStyle w:val="Heading3"/>
      </w:pPr>
      <w:bookmarkStart w:id="20" w:name="_Toc32310235"/>
      <w:r>
        <w:lastRenderedPageBreak/>
        <w:t>S</w:t>
      </w:r>
      <w:r w:rsidR="00FB0A32">
        <w:t xml:space="preserve">taff Proposal Recommendations </w:t>
      </w:r>
      <w:r w:rsidR="00C238B8">
        <w:br/>
      </w:r>
      <w:r w:rsidR="00FB0A32">
        <w:t>for</w:t>
      </w:r>
      <w:r>
        <w:t xml:space="preserve"> Pilot Program Appropriations</w:t>
      </w:r>
      <w:bookmarkEnd w:id="20"/>
    </w:p>
    <w:p w14:paraId="36A716FF" w14:textId="1043BDB7" w:rsidR="001C0DF2" w:rsidRDefault="001C0DF2" w:rsidP="001C0DF2">
      <w:pPr>
        <w:pStyle w:val="Standard"/>
      </w:pPr>
      <w:r>
        <w:t>The Staff Proposal provides budgetary guidelines for both the BUILD</w:t>
      </w:r>
      <w:r w:rsidR="002F33B6">
        <w:t> </w:t>
      </w:r>
      <w:r>
        <w:t xml:space="preserve">Program and TECH Initiative.  </w:t>
      </w:r>
      <w:r w:rsidR="00594C1E">
        <w:t>The Staff Proposal recommends allocating 40 percent of $50 million in annual funding to the BUILD Program and 60</w:t>
      </w:r>
      <w:r w:rsidR="002F33B6">
        <w:t> </w:t>
      </w:r>
      <w:r w:rsidR="00594C1E">
        <w:t>percent of $50 million in annual funding to the TECH Initiative</w:t>
      </w:r>
      <w:r>
        <w:t>.  The Staff Proposal recommends a larger allocation of funds for the TECH Initiative than the BUILD Program because a successful decarbonization effort will have to address existing buildings, which is more challenging due to the number of existing buildings, their diversity, and barriers facing home energy retrofits.</w:t>
      </w:r>
      <w:r>
        <w:rPr>
          <w:rStyle w:val="FootnoteReference"/>
        </w:rPr>
        <w:footnoteReference w:id="31"/>
      </w:r>
      <w:r>
        <w:t xml:space="preserve">  </w:t>
      </w:r>
    </w:p>
    <w:p w14:paraId="76C253B2" w14:textId="5CF012BE" w:rsidR="00594C1E" w:rsidRDefault="00594C1E" w:rsidP="00594C1E">
      <w:pPr>
        <w:pStyle w:val="Standard"/>
      </w:pPr>
      <w:r>
        <w:t xml:space="preserve">The Staff Proposal </w:t>
      </w:r>
      <w:r w:rsidR="001F6972">
        <w:t xml:space="preserve">recommends </w:t>
      </w:r>
      <w:r>
        <w:t>that 10 percent of the BUILD Program’s budget ($2 million annually) be used for administration and did not specify an administrative budget for the TECH Initiative.</w:t>
      </w:r>
      <w:r>
        <w:rPr>
          <w:rStyle w:val="FootnoteReference"/>
        </w:rPr>
        <w:footnoteReference w:id="32"/>
      </w:r>
    </w:p>
    <w:p w14:paraId="432A0D47" w14:textId="27EFA63B" w:rsidR="001C0DF2" w:rsidRDefault="000D5963" w:rsidP="001C0DF2">
      <w:pPr>
        <w:pStyle w:val="Standard"/>
      </w:pPr>
      <w:r>
        <w:t xml:space="preserve">Pursuant to SB 1477, as featured in the Staff Proposal, </w:t>
      </w:r>
      <w:r w:rsidR="001C0DF2">
        <w:t xml:space="preserve">$50 million for funding the two pilot programs </w:t>
      </w:r>
      <w:r>
        <w:t xml:space="preserve">is </w:t>
      </w:r>
      <w:r w:rsidR="001C0DF2">
        <w:t xml:space="preserve">available </w:t>
      </w:r>
      <w:r w:rsidR="00023816">
        <w:t xml:space="preserve">annually </w:t>
      </w:r>
      <w:r w:rsidR="001C0DF2">
        <w:t xml:space="preserve">for four years from the GHG allowance proceeds resulting from emission allowances directly allocated to gas corporations and consigned to auction as part of the CARB Cap-and-Trade program.  </w:t>
      </w:r>
    </w:p>
    <w:p w14:paraId="3F4C3210" w14:textId="77777777" w:rsidR="001C0DF2" w:rsidRDefault="001C0DF2" w:rsidP="001C0DF2">
      <w:pPr>
        <w:pStyle w:val="Standard"/>
      </w:pPr>
      <w:r>
        <w:t>With respect to the budget appropriation for program evaluation, the Staff Proposal recommends the following:</w:t>
      </w:r>
    </w:p>
    <w:p w14:paraId="69295E69" w14:textId="010BF944" w:rsidR="001C0DF2" w:rsidRDefault="001C0DF2" w:rsidP="0071169A">
      <w:pPr>
        <w:pStyle w:val="Standard"/>
        <w:numPr>
          <w:ilvl w:val="0"/>
          <w:numId w:val="13"/>
        </w:numPr>
        <w:spacing w:after="120" w:line="240" w:lineRule="auto"/>
        <w:ind w:left="1080" w:right="1440"/>
      </w:pPr>
      <w:r>
        <w:t>The program evaluation budget should be set at four percent of program costs, or $2,000,000 per year;</w:t>
      </w:r>
    </w:p>
    <w:p w14:paraId="7317D0BC" w14:textId="1D51C2AD" w:rsidR="001C0DF2" w:rsidRDefault="001C0DF2" w:rsidP="0071169A">
      <w:pPr>
        <w:pStyle w:val="Standard"/>
        <w:numPr>
          <w:ilvl w:val="0"/>
          <w:numId w:val="13"/>
        </w:numPr>
        <w:spacing w:after="120" w:line="240" w:lineRule="auto"/>
        <w:ind w:left="1080" w:right="1440"/>
      </w:pPr>
      <w:r>
        <w:t xml:space="preserve">The CPUC should hire one evaluator for both </w:t>
      </w:r>
      <w:r w:rsidR="006010E4">
        <w:t xml:space="preserve">pilot </w:t>
      </w:r>
      <w:r>
        <w:t>programs;</w:t>
      </w:r>
      <w:r w:rsidR="006010E4">
        <w:t xml:space="preserve"> and</w:t>
      </w:r>
    </w:p>
    <w:p w14:paraId="73AFC065" w14:textId="64A63419" w:rsidR="001C0DF2" w:rsidRDefault="001C0DF2" w:rsidP="0071169A">
      <w:pPr>
        <w:pStyle w:val="Standard"/>
        <w:numPr>
          <w:ilvl w:val="0"/>
          <w:numId w:val="13"/>
        </w:numPr>
        <w:spacing w:after="120" w:line="240" w:lineRule="auto"/>
        <w:ind w:left="1080" w:right="1440"/>
      </w:pPr>
      <w:r>
        <w:lastRenderedPageBreak/>
        <w:t>The program evaluation budget should be split between both the BUILD Program and TECH Initiative</w:t>
      </w:r>
    </w:p>
    <w:p w14:paraId="6333F5F3" w14:textId="373C20DB" w:rsidR="001C0DF2" w:rsidRDefault="001C0DF2" w:rsidP="001C0DF2">
      <w:pPr>
        <w:pStyle w:val="Heading3"/>
      </w:pPr>
      <w:bookmarkStart w:id="21" w:name="_Toc32310236"/>
      <w:r>
        <w:t>Parties</w:t>
      </w:r>
      <w:r w:rsidR="009274FE">
        <w:t>’</w:t>
      </w:r>
      <w:r>
        <w:t xml:space="preserve"> Positions</w:t>
      </w:r>
      <w:bookmarkEnd w:id="21"/>
    </w:p>
    <w:p w14:paraId="69602736" w14:textId="43664AF1" w:rsidR="006010E4" w:rsidRDefault="006010E4" w:rsidP="006010E4">
      <w:pPr>
        <w:pStyle w:val="Standard"/>
      </w:pPr>
      <w:r>
        <w:t>Parties did not reach a consensus on the Staff Proposal’s allocation of funds</w:t>
      </w:r>
      <w:r w:rsidR="001F6972">
        <w:t>,</w:t>
      </w:r>
      <w:r>
        <w:t xml:space="preserve"> but generally agreed that the Staff Proposal was compliant with the plain language of Sections 748.6, 921.1(a)(3) and 922(d).  We summarize the positions of the parties below.</w:t>
      </w:r>
    </w:p>
    <w:p w14:paraId="5B6F66D5" w14:textId="54D72F2F" w:rsidR="001C0DF2" w:rsidRDefault="001C0DF2" w:rsidP="001C0DF2">
      <w:pPr>
        <w:pStyle w:val="Standard"/>
      </w:pPr>
      <w:r w:rsidRPr="00895FCB">
        <w:t>Joint Environmentals</w:t>
      </w:r>
      <w:r>
        <w:t xml:space="preserve"> recommend that the Commission provide a four-year budget rather than an “annual budget.”</w:t>
      </w:r>
      <w:r>
        <w:rPr>
          <w:rStyle w:val="FootnoteReference"/>
        </w:rPr>
        <w:footnoteReference w:id="33"/>
      </w:r>
      <w:r>
        <w:t xml:space="preserve"> Joint Environmentals recommend that the allotment for low-income program costs should be a minimum, not a cap, and the budget for technical efforts should be benchmarked for similar efforts.</w:t>
      </w:r>
      <w:r>
        <w:rPr>
          <w:rStyle w:val="FootnoteReference"/>
        </w:rPr>
        <w:footnoteReference w:id="34"/>
      </w:r>
      <w:r>
        <w:t xml:space="preserve"> Joint Environmentals agree with the Staff Proposal’s division of funding</w:t>
      </w:r>
      <w:r w:rsidR="006010E4">
        <w:t xml:space="preserve"> between the BUILD Program and TECH Initiative</w:t>
      </w:r>
      <w:r>
        <w:t>.</w:t>
      </w:r>
      <w:r>
        <w:rPr>
          <w:rStyle w:val="FootnoteReference"/>
        </w:rPr>
        <w:footnoteReference w:id="35"/>
      </w:r>
    </w:p>
    <w:p w14:paraId="5BC8E75F" w14:textId="5E3A106A" w:rsidR="001C0DF2" w:rsidRDefault="001C0DF2" w:rsidP="001C0DF2">
      <w:pPr>
        <w:pStyle w:val="Standard"/>
      </w:pPr>
      <w:r>
        <w:t>Cal Advocates offer that to implement the statutorily required funding mechanism, the Commission should direct the gas corporations to file a Tier 1 advice letter creating an SB 1477 balancing account in which to record authorized Cap-and-Trade proceeds for the BUILD Program and TECH Initiative and from which to disburse funds to the pilot program’s administrators and evaluators.</w:t>
      </w:r>
      <w:r>
        <w:rPr>
          <w:rStyle w:val="FootnoteReference"/>
        </w:rPr>
        <w:footnoteReference w:id="36"/>
      </w:r>
      <w:r>
        <w:t xml:space="preserve">  Cal Advocates recommends that each gas corporation should also adjust the annual climate credit beginning with the April 2020 climate credit.</w:t>
      </w:r>
      <w:r>
        <w:rPr>
          <w:rStyle w:val="FootnoteReference"/>
        </w:rPr>
        <w:footnoteReference w:id="37"/>
      </w:r>
      <w:r>
        <w:t xml:space="preserve"> Cal</w:t>
      </w:r>
      <w:r w:rsidR="00E84A6A">
        <w:t> </w:t>
      </w:r>
      <w:r>
        <w:t xml:space="preserve">Advocates also recommends that the Commission should only authorize the </w:t>
      </w:r>
      <w:r>
        <w:lastRenderedPageBreak/>
        <w:t>first year of the budget based on the Staff Proposal, and, in parallel, move forward with a phase of the proceeding to develop budgets for years two through four.</w:t>
      </w:r>
      <w:r>
        <w:rPr>
          <w:rStyle w:val="FootnoteReference"/>
        </w:rPr>
        <w:footnoteReference w:id="38"/>
      </w:r>
      <w:r>
        <w:t xml:space="preserve">  </w:t>
      </w:r>
    </w:p>
    <w:p w14:paraId="45611A3A" w14:textId="3857198F" w:rsidR="001C0DF2" w:rsidRDefault="001C0DF2" w:rsidP="001C0DF2">
      <w:pPr>
        <w:pStyle w:val="Standard"/>
      </w:pPr>
      <w:r>
        <w:t>BAC asserts that the budget is too small and needs a portfolio of decarbonized fuels and technologies.</w:t>
      </w:r>
      <w:r>
        <w:rPr>
          <w:rStyle w:val="FootnoteReference"/>
        </w:rPr>
        <w:footnoteReference w:id="39"/>
      </w:r>
      <w:r>
        <w:t xml:space="preserve"> </w:t>
      </w:r>
      <w:r w:rsidRPr="00895FCB">
        <w:t>CHBC</w:t>
      </w:r>
      <w:r>
        <w:t>,</w:t>
      </w:r>
      <w:r w:rsidRPr="00895FCB">
        <w:rPr>
          <w:rStyle w:val="FootnoteReference"/>
        </w:rPr>
        <w:footnoteReference w:id="40"/>
      </w:r>
      <w:r>
        <w:t xml:space="preserve"> BayREN</w:t>
      </w:r>
      <w:r>
        <w:rPr>
          <w:rStyle w:val="FootnoteReference"/>
        </w:rPr>
        <w:footnoteReference w:id="41"/>
      </w:r>
      <w:r w:rsidRPr="00895FCB">
        <w:t xml:space="preserve"> and W</w:t>
      </w:r>
      <w:r>
        <w:t xml:space="preserve">ild </w:t>
      </w:r>
      <w:r w:rsidRPr="00895FCB">
        <w:t>T</w:t>
      </w:r>
      <w:r>
        <w:t xml:space="preserve">ree </w:t>
      </w:r>
      <w:r w:rsidRPr="00895FCB">
        <w:t>F</w:t>
      </w:r>
      <w:r>
        <w:t>oundation</w:t>
      </w:r>
      <w:r>
        <w:rPr>
          <w:rStyle w:val="FootnoteReference"/>
        </w:rPr>
        <w:footnoteReference w:id="42"/>
      </w:r>
      <w:r>
        <w:t xml:space="preserve"> support the Staff Proposal’s funding allocation division with 40</w:t>
      </w:r>
      <w:r w:rsidR="00406E8D">
        <w:t> </w:t>
      </w:r>
      <w:r>
        <w:t xml:space="preserve">percent of the funds going to the BUILD Program and 60 percent going to the TECH Initiative. </w:t>
      </w:r>
    </w:p>
    <w:p w14:paraId="3938006F" w14:textId="283FC22C" w:rsidR="001C0DF2" w:rsidRDefault="001C0DF2" w:rsidP="001C0DF2">
      <w:pPr>
        <w:pStyle w:val="Standard"/>
      </w:pPr>
      <w:r w:rsidRPr="00895FCB">
        <w:t>CALSSA</w:t>
      </w:r>
      <w:r>
        <w:t xml:space="preserve"> supports the budgetary division in the Staff Proposal, stating that retrofitting existing buildings is a “more important and more difficult challenge … and should therefore receive a high portion of funding”</w:t>
      </w:r>
      <w:r>
        <w:rPr>
          <w:rStyle w:val="FootnoteReference"/>
        </w:rPr>
        <w:footnoteReference w:id="43"/>
      </w:r>
      <w:r>
        <w:t xml:space="preserve">  CALSSA recommends the Commission consider allocating up to 70 </w:t>
      </w:r>
      <w:r w:rsidR="007073B4">
        <w:t>percent of funding</w:t>
      </w:r>
      <w:r>
        <w:t xml:space="preserve"> for the TECH </w:t>
      </w:r>
      <w:r w:rsidR="007073B4">
        <w:t>I</w:t>
      </w:r>
      <w:r>
        <w:t>nitiative and 30 percent for the BUILD Program.</w:t>
      </w:r>
      <w:r>
        <w:rPr>
          <w:rStyle w:val="FootnoteReference"/>
        </w:rPr>
        <w:footnoteReference w:id="44"/>
      </w:r>
    </w:p>
    <w:p w14:paraId="3475623D" w14:textId="503A1A3A" w:rsidR="001C0DF2" w:rsidRDefault="001C0DF2" w:rsidP="001C0DF2">
      <w:pPr>
        <w:pStyle w:val="Standard"/>
      </w:pPr>
      <w:r w:rsidRPr="00895FCB">
        <w:t>EDF</w:t>
      </w:r>
      <w:r>
        <w:t xml:space="preserve"> believes that 40 percent of funding for the BUILD Program and 60</w:t>
      </w:r>
      <w:r w:rsidR="00CC6228">
        <w:t> </w:t>
      </w:r>
      <w:r>
        <w:t>percent for the TECH Initiative is an appropriate allocation for an overall budget</w:t>
      </w:r>
      <w:r w:rsidR="001F6972">
        <w:t>,</w:t>
      </w:r>
      <w:r>
        <w:t xml:space="preserve"> but recommends that both budgets be adjusted for a 50/50 split to equally fund program evaluation efforts.</w:t>
      </w:r>
      <w:r>
        <w:rPr>
          <w:rStyle w:val="FootnoteReference"/>
        </w:rPr>
        <w:footnoteReference w:id="45"/>
      </w:r>
    </w:p>
    <w:p w14:paraId="164695AE" w14:textId="3108E66E" w:rsidR="001C0DF2" w:rsidRDefault="001C0DF2" w:rsidP="001C0DF2">
      <w:pPr>
        <w:pStyle w:val="Standard"/>
      </w:pPr>
      <w:r>
        <w:lastRenderedPageBreak/>
        <w:t>SCE supports the Staff Proposal’s proposed budgetary split.</w:t>
      </w:r>
      <w:r>
        <w:rPr>
          <w:rStyle w:val="FootnoteReference"/>
        </w:rPr>
        <w:footnoteReference w:id="46"/>
      </w:r>
      <w:r>
        <w:t xml:space="preserve"> </w:t>
      </w:r>
      <w:r w:rsidR="00EC0912">
        <w:t xml:space="preserve"> </w:t>
      </w:r>
      <w:r>
        <w:t>The Council recommends a 75 percent budget for the TECH Initiative and a 25 percent budget for the BUILD Program.</w:t>
      </w:r>
      <w:r>
        <w:rPr>
          <w:rStyle w:val="FootnoteReference"/>
        </w:rPr>
        <w:footnoteReference w:id="47"/>
      </w:r>
      <w:r>
        <w:t xml:space="preserve">  </w:t>
      </w:r>
    </w:p>
    <w:p w14:paraId="2CE8EDAF" w14:textId="2E365C44" w:rsidR="001C0DF2" w:rsidRDefault="001C0DF2" w:rsidP="001C0DF2">
      <w:pPr>
        <w:pStyle w:val="Standard"/>
      </w:pPr>
      <w:r>
        <w:t>VEIC recommends that the Commission plan for a four-year budget rather than an annual budget and that the BUILD Program allotment for low-income program costs should be designated as a minimum threshold, not a cap.</w:t>
      </w:r>
      <w:r>
        <w:rPr>
          <w:rStyle w:val="FootnoteReference"/>
        </w:rPr>
        <w:footnoteReference w:id="48"/>
      </w:r>
      <w:r>
        <w:t xml:space="preserve">  VEIC also recommends reducing the administrative and/or evaluation budget to increase program impact.</w:t>
      </w:r>
      <w:r>
        <w:rPr>
          <w:rStyle w:val="FootnoteReference"/>
        </w:rPr>
        <w:footnoteReference w:id="49"/>
      </w:r>
      <w:r>
        <w:t xml:space="preserve">  Finally, VEIC encourages the Commission</w:t>
      </w:r>
      <w:r w:rsidR="00930118">
        <w:t xml:space="preserve"> to</w:t>
      </w:r>
      <w:r>
        <w:t xml:space="preserve"> allocate 70</w:t>
      </w:r>
      <w:r w:rsidR="00EC0912">
        <w:t> </w:t>
      </w:r>
      <w:r>
        <w:t>percent for the TECH Initiative and 30 percent for the BUILD Program.</w:t>
      </w:r>
      <w:r>
        <w:rPr>
          <w:rStyle w:val="FootnoteReference"/>
        </w:rPr>
        <w:footnoteReference w:id="50"/>
      </w:r>
    </w:p>
    <w:p w14:paraId="7EF31242" w14:textId="3D7CD8A3" w:rsidR="001C0DF2" w:rsidRDefault="001C0DF2" w:rsidP="001C0DF2">
      <w:pPr>
        <w:pStyle w:val="Standard"/>
      </w:pPr>
      <w:r w:rsidRPr="00B5356A">
        <w:t>CSE</w:t>
      </w:r>
      <w:r>
        <w:rPr>
          <w:rStyle w:val="FootnoteReference"/>
        </w:rPr>
        <w:footnoteReference w:id="51"/>
      </w:r>
      <w:r>
        <w:t xml:space="preserve"> and CHBC</w:t>
      </w:r>
      <w:r>
        <w:rPr>
          <w:rStyle w:val="FootnoteReference"/>
        </w:rPr>
        <w:footnoteReference w:id="52"/>
      </w:r>
      <w:r>
        <w:t xml:space="preserve"> support the Staff Proposal’s greater portion of budgetary allocation to the TECH Initiative.  </w:t>
      </w:r>
    </w:p>
    <w:p w14:paraId="4E107D50" w14:textId="77777777" w:rsidR="001C0DF2" w:rsidRDefault="001C0DF2" w:rsidP="001C0DF2">
      <w:pPr>
        <w:pStyle w:val="Standard"/>
      </w:pPr>
      <w:r w:rsidRPr="00B5356A">
        <w:t>PG&amp;E</w:t>
      </w:r>
      <w:r>
        <w:t xml:space="preserve"> states that the TECH Initiative may warrant a higher level of funding, beyond 60 percent.</w:t>
      </w:r>
      <w:r>
        <w:rPr>
          <w:rStyle w:val="FootnoteReference"/>
        </w:rPr>
        <w:footnoteReference w:id="53"/>
      </w:r>
      <w:r>
        <w:t xml:space="preserve">  PG&amp;E states that the TECH Initiative will prove a larger challenge because it involves transforming the retrofit market, which has greater barriers to entry.</w:t>
      </w:r>
      <w:r>
        <w:rPr>
          <w:rStyle w:val="FootnoteReference"/>
        </w:rPr>
        <w:footnoteReference w:id="54"/>
      </w:r>
    </w:p>
    <w:p w14:paraId="69A45255" w14:textId="798FB469" w:rsidR="001C0DF2" w:rsidRDefault="001C0DF2" w:rsidP="001C0DF2">
      <w:pPr>
        <w:pStyle w:val="Standard"/>
      </w:pPr>
      <w:r w:rsidRPr="00B5356A">
        <w:t>SBUA c</w:t>
      </w:r>
      <w:r>
        <w:t>ontends that the annual budgets should not be constant</w:t>
      </w:r>
      <w:r>
        <w:rPr>
          <w:rStyle w:val="FootnoteReference"/>
        </w:rPr>
        <w:footnoteReference w:id="55"/>
      </w:r>
      <w:r>
        <w:t xml:space="preserve"> and  recommends that the administrative costs should be frontloaded</w:t>
      </w:r>
      <w:r w:rsidR="007073B4">
        <w:rPr>
          <w:rStyle w:val="FootnoteReference"/>
        </w:rPr>
        <w:footnoteReference w:id="56"/>
      </w:r>
      <w:r w:rsidR="007073B4">
        <w:t xml:space="preserve"> </w:t>
      </w:r>
      <w:r>
        <w:t xml:space="preserve">and </w:t>
      </w:r>
      <w:r>
        <w:lastRenderedPageBreak/>
        <w:t>evaluation costs capped.</w:t>
      </w:r>
      <w:r>
        <w:rPr>
          <w:rStyle w:val="FootnoteReference"/>
        </w:rPr>
        <w:footnoteReference w:id="57"/>
      </w:r>
      <w:r>
        <w:t xml:space="preserve">  SBUA recommends that that the initial funding level for both programs should be set at 40 percent with the remaining 20 percent to be re</w:t>
      </w:r>
      <w:r w:rsidR="00EC0912">
        <w:noBreakHyphen/>
      </w:r>
      <w:r>
        <w:t>allocated for the third and fourth years of the programs based on lessons learned and relative merits of available opportunities at that time.</w:t>
      </w:r>
      <w:r>
        <w:rPr>
          <w:rStyle w:val="FootnoteReference"/>
        </w:rPr>
        <w:footnoteReference w:id="58"/>
      </w:r>
    </w:p>
    <w:p w14:paraId="5FF772C6" w14:textId="600CF770" w:rsidR="001C0DF2" w:rsidRDefault="001C0DF2" w:rsidP="001C0DF2">
      <w:pPr>
        <w:pStyle w:val="Standard"/>
      </w:pPr>
      <w:r w:rsidRPr="00B5356A">
        <w:t>SoCalGas</w:t>
      </w:r>
      <w:r>
        <w:rPr>
          <w:rStyle w:val="FootnoteReference"/>
        </w:rPr>
        <w:footnoteReference w:id="59"/>
      </w:r>
      <w:r>
        <w:t xml:space="preserve"> argues against using natural gas ratepayer funds to market against specific products. </w:t>
      </w:r>
      <w:r w:rsidR="001F6972">
        <w:t xml:space="preserve"> </w:t>
      </w:r>
      <w:r w:rsidRPr="00B5356A">
        <w:t>SWG</w:t>
      </w:r>
      <w:r>
        <w:rPr>
          <w:rStyle w:val="FootnoteReference"/>
        </w:rPr>
        <w:footnoteReference w:id="60"/>
      </w:r>
      <w:r>
        <w:t xml:space="preserve"> disagrees with </w:t>
      </w:r>
      <w:r w:rsidR="007073B4">
        <w:t xml:space="preserve">the </w:t>
      </w:r>
      <w:r>
        <w:t>Staff</w:t>
      </w:r>
      <w:r w:rsidR="007073B4">
        <w:t xml:space="preserve"> Proposal’s</w:t>
      </w:r>
      <w:r>
        <w:t xml:space="preserve"> suggested use of natural gas ratepayer funds to fund electrification.</w:t>
      </w:r>
    </w:p>
    <w:p w14:paraId="32FB0559" w14:textId="74949363" w:rsidR="001C0DF2" w:rsidRDefault="001C0DF2" w:rsidP="001C0DF2">
      <w:pPr>
        <w:pStyle w:val="Standard"/>
      </w:pPr>
      <w:r>
        <w:t xml:space="preserve">Joint CCAs recommend that the Commission: </w:t>
      </w:r>
      <w:r w:rsidR="00EC0912">
        <w:t xml:space="preserve"> </w:t>
      </w:r>
      <w:r>
        <w:t>(1) adopt a cap on the administrative budget for the TECH Initiative; (2) eliminate the prize program so funds can be better spent; and (3) support the low-income/disadvantaged community set aside.</w:t>
      </w:r>
      <w:r>
        <w:rPr>
          <w:rStyle w:val="FootnoteReference"/>
        </w:rPr>
        <w:footnoteReference w:id="61"/>
      </w:r>
      <w:r>
        <w:t xml:space="preserve">  </w:t>
      </w:r>
    </w:p>
    <w:p w14:paraId="630904FE" w14:textId="0632877C" w:rsidR="001C0DF2" w:rsidRDefault="001C0DF2" w:rsidP="001C0DF2">
      <w:pPr>
        <w:pStyle w:val="Standard"/>
      </w:pPr>
      <w:r>
        <w:t>The Partnership asserts that the Commission should set aside at least 50</w:t>
      </w:r>
      <w:r w:rsidR="00EC0912">
        <w:t> </w:t>
      </w:r>
      <w:r>
        <w:t>percent of the total budget for the BUILD Program</w:t>
      </w:r>
      <w:r w:rsidR="007073B4">
        <w:rPr>
          <w:rStyle w:val="FootnoteReference"/>
        </w:rPr>
        <w:footnoteReference w:id="62"/>
      </w:r>
      <w:r>
        <w:t xml:space="preserve"> and </w:t>
      </w:r>
      <w:r w:rsidR="007073B4">
        <w:t xml:space="preserve">that the </w:t>
      </w:r>
      <w:r>
        <w:t>TECH Initiative budget should have a specific allocation for low-income and residents in disadvantaged communities.</w:t>
      </w:r>
      <w:r>
        <w:rPr>
          <w:rStyle w:val="FootnoteReference"/>
        </w:rPr>
        <w:footnoteReference w:id="63"/>
      </w:r>
      <w:r w:rsidR="008529B9">
        <w:t xml:space="preserve"> </w:t>
      </w:r>
    </w:p>
    <w:p w14:paraId="4ED00717" w14:textId="1C146113" w:rsidR="007073B4" w:rsidRDefault="007073B4" w:rsidP="007073B4">
      <w:pPr>
        <w:pStyle w:val="Standard"/>
      </w:pPr>
      <w:r>
        <w:t xml:space="preserve">Several parties commented on the appropriate levels of funding for program administration, including CEDMC, CBIA, SCE, Joint Environmentals, EDF, and VEIC.  Parties were divided with regard to the 10 percent </w:t>
      </w:r>
      <w:r>
        <w:lastRenderedPageBreak/>
        <w:t>administrative budget for the BUILD Program, with EDF, CEDMC, CBIA, and VEIC stating that 10 percent is too high and SCE recommending maintaining the 10 percent level for the BUILD Program in their recommended budget.</w:t>
      </w:r>
    </w:p>
    <w:p w14:paraId="6C11600F" w14:textId="3A19F467" w:rsidR="001C0DF2" w:rsidRPr="007413C0" w:rsidRDefault="001C0DF2" w:rsidP="001C0DF2">
      <w:pPr>
        <w:pStyle w:val="Standard"/>
      </w:pPr>
      <w:r>
        <w:t>With respect to the overall evaluation budget for both the BUILD Program and TECH Initiative</w:t>
      </w:r>
      <w:r w:rsidR="001F6972">
        <w:t>,</w:t>
      </w:r>
      <w:r>
        <w:t xml:space="preserve"> parties agreed to a smaller budgetary allotment.  For example, SBUA argues that the evaluation budget should be based</w:t>
      </w:r>
      <w:r w:rsidR="00C862B0">
        <w:t xml:space="preserve"> on</w:t>
      </w:r>
      <w:r>
        <w:t xml:space="preserve"> RFP bids and the budget should not be fixed, but rather capped at an appropriate level with the actual price based on competitive bidding by prospective program evaluators.</w:t>
      </w:r>
      <w:r>
        <w:rPr>
          <w:rStyle w:val="FootnoteReference"/>
        </w:rPr>
        <w:footnoteReference w:id="64"/>
      </w:r>
      <w:r>
        <w:t xml:space="preserve">  </w:t>
      </w:r>
    </w:p>
    <w:p w14:paraId="719F0CD8" w14:textId="4F746A15" w:rsidR="001C0DF2" w:rsidRDefault="001C0DF2" w:rsidP="001C0DF2">
      <w:pPr>
        <w:pStyle w:val="Standard"/>
      </w:pPr>
      <w:r>
        <w:t>VEIC</w:t>
      </w:r>
      <w:r>
        <w:rPr>
          <w:rStyle w:val="FootnoteReference"/>
        </w:rPr>
        <w:footnoteReference w:id="65"/>
      </w:r>
      <w:r>
        <w:t xml:space="preserve"> and CSE</w:t>
      </w:r>
      <w:r>
        <w:rPr>
          <w:rStyle w:val="FootnoteReference"/>
        </w:rPr>
        <w:footnoteReference w:id="66"/>
      </w:r>
      <w:r>
        <w:t xml:space="preserve"> recommend that the Commission contract with an independent program evaluator at the same time that the TECH Initiative implementer is selected to ensure the evaluation process is embedded within the program design early. </w:t>
      </w:r>
    </w:p>
    <w:p w14:paraId="7DBC9BCC" w14:textId="787328C5" w:rsidR="001C0DF2" w:rsidRDefault="001C0DF2" w:rsidP="001C0DF2">
      <w:pPr>
        <w:pStyle w:val="Standard"/>
      </w:pPr>
      <w:r>
        <w:t>Joint Environmentals argue that the evaluation budget is too large, and should be reconsidered.</w:t>
      </w:r>
      <w:r>
        <w:rPr>
          <w:rStyle w:val="FootnoteReference"/>
        </w:rPr>
        <w:footnoteReference w:id="67"/>
      </w:r>
      <w:r>
        <w:t xml:space="preserve">  Joint Environmentals recommend a total evaluation budget of $6 million over the program life.</w:t>
      </w:r>
      <w:r>
        <w:rPr>
          <w:rStyle w:val="FootnoteReference"/>
        </w:rPr>
        <w:footnoteReference w:id="68"/>
      </w:r>
      <w:r>
        <w:t xml:space="preserve">  EDF recommends an $800,000 evaluation budget to maximize program efficiencies.</w:t>
      </w:r>
      <w:r>
        <w:rPr>
          <w:rStyle w:val="FootnoteReference"/>
        </w:rPr>
        <w:footnoteReference w:id="69"/>
      </w:r>
      <w:r>
        <w:t xml:space="preserve"> EDF also recommends that evaluators be given guidance on how non-market participants share information.</w:t>
      </w:r>
      <w:r>
        <w:rPr>
          <w:rStyle w:val="FootnoteReference"/>
        </w:rPr>
        <w:footnoteReference w:id="70"/>
      </w:r>
    </w:p>
    <w:p w14:paraId="47B1DF83" w14:textId="454FF782" w:rsidR="001C0DF2" w:rsidRDefault="001C0DF2" w:rsidP="001C0DF2">
      <w:pPr>
        <w:pStyle w:val="Heading3"/>
      </w:pPr>
      <w:bookmarkStart w:id="22" w:name="_Toc32310237"/>
      <w:r>
        <w:lastRenderedPageBreak/>
        <w:t>Analysis: The SB 1477 Pilot Program Budget and Compliance Costs Shall Be Apportioned Across the Four Gas Corporations According to Each Gas Corporation’s Percentage Share of Allocated Cap-and-Trade Allowances and Shall Comply with Cap-and-Trade Regulations</w:t>
      </w:r>
      <w:bookmarkEnd w:id="22"/>
    </w:p>
    <w:p w14:paraId="0DD88EEB" w14:textId="38890040" w:rsidR="001C0DF2" w:rsidRDefault="001C0DF2" w:rsidP="001C0DF2">
      <w:pPr>
        <w:pStyle w:val="Standard"/>
      </w:pPr>
      <w:r>
        <w:t xml:space="preserve">Section 748.6 </w:t>
      </w:r>
      <w:r w:rsidR="000D5963">
        <w:t>states</w:t>
      </w:r>
      <w:r>
        <w:t>:</w:t>
      </w:r>
    </w:p>
    <w:p w14:paraId="47EF772E" w14:textId="3A2CE4D9" w:rsidR="001C0DF2" w:rsidRDefault="001C0DF2" w:rsidP="00CE3E2F">
      <w:pPr>
        <w:pStyle w:val="Standard"/>
        <w:spacing w:after="120" w:line="240" w:lineRule="auto"/>
        <w:ind w:left="720" w:right="1440" w:firstLine="0"/>
      </w:pPr>
      <w:r w:rsidRPr="00DA6E8E">
        <w:t>Beginning with the fiscal year commencing July 1, 2019, and ending with the fiscal year ending June 30, 2023, the commission shall annually allocate fifty million dollars ($50,000,000) of the revenues, including any accrued interest, received by a gas corporation as a result of the direct allocation of greenhouse gas emissions allowances provided to gas corporations as part of a market-based compliance mechanism adopted pursuant to subdivision (c) of Section</w:t>
      </w:r>
      <w:r w:rsidR="006B5174">
        <w:t> </w:t>
      </w:r>
      <w:r w:rsidRPr="00DA6E8E">
        <w:t xml:space="preserve">38562 of the Health and Safety Code to fund the </w:t>
      </w:r>
      <w:r>
        <w:t>[</w:t>
      </w:r>
      <w:r w:rsidRPr="00DA6E8E">
        <w:t>BUILD</w:t>
      </w:r>
      <w:r>
        <w:t>]</w:t>
      </w:r>
      <w:r w:rsidRPr="00DA6E8E">
        <w:t xml:space="preserve"> Program (Article 12 (commencing with Section 921)) and the </w:t>
      </w:r>
      <w:r>
        <w:t>[</w:t>
      </w:r>
      <w:r w:rsidRPr="00DA6E8E">
        <w:t>TECH</w:t>
      </w:r>
      <w:r>
        <w:t>]</w:t>
      </w:r>
      <w:r w:rsidRPr="00DA6E8E">
        <w:t xml:space="preserve"> Initiative</w:t>
      </w:r>
      <w:r w:rsidR="007073B4">
        <w:t xml:space="preserve">  (Article 13 (commencing with Section 922)</w:t>
      </w:r>
      <w:r>
        <w:t>.</w:t>
      </w:r>
    </w:p>
    <w:p w14:paraId="706C905B" w14:textId="69192678" w:rsidR="001C0DF2" w:rsidDel="00336997" w:rsidRDefault="001C0DF2" w:rsidP="00E318D4">
      <w:pPr>
        <w:pStyle w:val="Standard"/>
      </w:pPr>
      <w:r>
        <w:t xml:space="preserve">Thus, </w:t>
      </w:r>
      <w:r w:rsidRPr="00DA6E8E">
        <w:t xml:space="preserve">all gas corporations who receive allowances </w:t>
      </w:r>
      <w:r>
        <w:t>as part of</w:t>
      </w:r>
      <w:r w:rsidRPr="00DA6E8E">
        <w:t xml:space="preserve"> </w:t>
      </w:r>
      <w:r>
        <w:t xml:space="preserve">the </w:t>
      </w:r>
      <w:r w:rsidRPr="00DA6E8E">
        <w:t>CARB</w:t>
      </w:r>
      <w:r>
        <w:t xml:space="preserve"> Cap-and-Trade program</w:t>
      </w:r>
      <w:r w:rsidRPr="00DA6E8E">
        <w:t xml:space="preserve"> are required </w:t>
      </w:r>
      <w:r>
        <w:t>collectively</w:t>
      </w:r>
      <w:r w:rsidR="009274FE">
        <w:t xml:space="preserve"> to</w:t>
      </w:r>
      <w:r>
        <w:t xml:space="preserve"> </w:t>
      </w:r>
      <w:r w:rsidRPr="00DA6E8E">
        <w:t xml:space="preserve">contribute </w:t>
      </w:r>
      <w:r>
        <w:t xml:space="preserve">$50 million annually for four years </w:t>
      </w:r>
      <w:r w:rsidRPr="00DA6E8E">
        <w:t>to</w:t>
      </w:r>
      <w:r>
        <w:t xml:space="preserve"> fund</w:t>
      </w:r>
      <w:r w:rsidRPr="00DA6E8E">
        <w:t xml:space="preserve"> </w:t>
      </w:r>
      <w:r>
        <w:t>the two SB 1477 pilot programs, beginning in FY</w:t>
      </w:r>
      <w:r w:rsidR="006B5174">
        <w:t> </w:t>
      </w:r>
      <w:r>
        <w:t>2019-20 and ending in FY 2022-23</w:t>
      </w:r>
      <w:r w:rsidRPr="00DA6E8E">
        <w:t>.</w:t>
      </w:r>
      <w:r w:rsidR="007B357E">
        <w:t xml:space="preserve">  The four-year allocation may be spent over the duration of the </w:t>
      </w:r>
      <w:r w:rsidR="00E318D4">
        <w:t>pilot p</w:t>
      </w:r>
      <w:r w:rsidR="007B357E">
        <w:t>rogram</w:t>
      </w:r>
      <w:r w:rsidR="00E318D4">
        <w:t>s</w:t>
      </w:r>
      <w:r w:rsidR="007B357E">
        <w:t>.  Once allocated, there is no restriction on annual spending, provided it is within the overall budget and funds are available.</w:t>
      </w:r>
      <w:r w:rsidR="00E318D4">
        <w:t xml:space="preserve"> </w:t>
      </w:r>
      <w:r w:rsidR="00E46A29">
        <w:t xml:space="preserve"> </w:t>
      </w:r>
      <w:r w:rsidR="00E318D4">
        <w:t xml:space="preserve">Any unspent funds remaining on July 1, 2033 shall </w:t>
      </w:r>
      <w:r w:rsidR="00E318D4" w:rsidRPr="00D8128F">
        <w:t xml:space="preserve">be returned to the ratepayers of the respective gas corporations </w:t>
      </w:r>
      <w:r w:rsidR="00E318D4">
        <w:t>as part of the California Climate Credit.</w:t>
      </w:r>
    </w:p>
    <w:p w14:paraId="0FEADDAF" w14:textId="3C5B5332" w:rsidR="001C0DF2" w:rsidRDefault="001C0DF2" w:rsidP="001C0DF2">
      <w:pPr>
        <w:pStyle w:val="Standard"/>
      </w:pPr>
      <w:r w:rsidRPr="008C5BD6">
        <w:t>D.15-10-032</w:t>
      </w:r>
      <w:r>
        <w:t xml:space="preserve"> </w:t>
      </w:r>
      <w:r w:rsidR="000D5963">
        <w:t>determined</w:t>
      </w:r>
      <w:r>
        <w:t xml:space="preserve"> – and </w:t>
      </w:r>
      <w:r w:rsidRPr="00AE6587">
        <w:t>D</w:t>
      </w:r>
      <w:r>
        <w:t>.</w:t>
      </w:r>
      <w:r w:rsidRPr="00AE6587">
        <w:t>18</w:t>
      </w:r>
      <w:r>
        <w:t>-</w:t>
      </w:r>
      <w:r w:rsidRPr="00AE6587">
        <w:t>03</w:t>
      </w:r>
      <w:r>
        <w:t>-</w:t>
      </w:r>
      <w:r w:rsidRPr="00AE6587">
        <w:t>017</w:t>
      </w:r>
      <w:r>
        <w:t xml:space="preserve"> reaffirmed – that 100 percent of GHG allowance proceeds </w:t>
      </w:r>
      <w:r w:rsidR="000D5963">
        <w:t>shall</w:t>
      </w:r>
      <w:r>
        <w:t xml:space="preserve"> be returned to residential natural gas customers </w:t>
      </w:r>
      <w:r>
        <w:lastRenderedPageBreak/>
        <w:t>in the form of a single annual bill credit</w:t>
      </w:r>
      <w:r w:rsidR="000D5963">
        <w:t>,</w:t>
      </w:r>
      <w:r>
        <w:t xml:space="preserve"> called the “California Climate Credit.”</w:t>
      </w:r>
      <w:r>
        <w:rPr>
          <w:rStyle w:val="FootnoteReference"/>
        </w:rPr>
        <w:footnoteReference w:id="71"/>
      </w:r>
      <w:r>
        <w:t xml:space="preserve">  </w:t>
      </w:r>
      <w:r w:rsidRPr="008C5BD6">
        <w:t>D.15-10-032</w:t>
      </w:r>
      <w:r>
        <w:t xml:space="preserve"> further specified the way in which gas corporations must report their GHG allowance proceeds – including all interest accrued from those proceeds – to the </w:t>
      </w:r>
      <w:r w:rsidR="007073B4">
        <w:t>Commission</w:t>
      </w:r>
      <w:r>
        <w:t xml:space="preserve">, as well as what expenses to deduct from those proceeds in order to determine “Net GHG Proceeds Available for Customer Returns.”  Each year, gas corporations must file an advice letter with the </w:t>
      </w:r>
      <w:r w:rsidR="007073B4">
        <w:t>Commission</w:t>
      </w:r>
      <w:r>
        <w:t xml:space="preserve">, pursuant to Ordering Paragraph 5 of </w:t>
      </w:r>
      <w:r w:rsidRPr="00A97AEA">
        <w:t>D.15-10-032</w:t>
      </w:r>
      <w:r>
        <w:t>.  In these advice letters, among other things, gas corporations must seek approval for their per household California Climate Credit amounts.</w:t>
      </w:r>
    </w:p>
    <w:p w14:paraId="59B43D9B" w14:textId="74F001C7" w:rsidR="007B357E" w:rsidRDefault="001C0DF2" w:rsidP="001C0DF2">
      <w:pPr>
        <w:pStyle w:val="Standard"/>
      </w:pPr>
      <w:r>
        <w:t xml:space="preserve">The introduction of the BUILD Program and TECH Initiative necessitates changes to the existing process used to establish per household California Climate Credit amounts.  Resolution </w:t>
      </w:r>
      <w:r w:rsidRPr="0095155B">
        <w:t>G-3565</w:t>
      </w:r>
      <w:r>
        <w:t xml:space="preserve">, </w:t>
      </w:r>
      <w:r w:rsidR="007B357E">
        <w:t>approved by</w:t>
      </w:r>
      <w:r>
        <w:t xml:space="preserve"> the </w:t>
      </w:r>
      <w:r w:rsidR="000E00DB">
        <w:t>Commission</w:t>
      </w:r>
      <w:r>
        <w:t xml:space="preserve"> on February 6, 2020, en</w:t>
      </w:r>
      <w:r w:rsidR="000E00DB">
        <w:t>sures</w:t>
      </w:r>
      <w:r>
        <w:t xml:space="preserve"> that </w:t>
      </w:r>
      <w:r w:rsidR="000E00DB">
        <w:t xml:space="preserve">the gas corporations make available </w:t>
      </w:r>
      <w:r>
        <w:t xml:space="preserve">first year </w:t>
      </w:r>
      <w:r w:rsidR="007B357E">
        <w:t>(</w:t>
      </w:r>
      <w:r w:rsidR="007B357E">
        <w:rPr>
          <w:i/>
          <w:iCs/>
        </w:rPr>
        <w:t>i.e.,</w:t>
      </w:r>
      <w:r w:rsidR="007B357E">
        <w:t xml:space="preserve"> FY 2019-20) </w:t>
      </w:r>
      <w:r>
        <w:t xml:space="preserve">funding for SB 1477 </w:t>
      </w:r>
      <w:r w:rsidR="000E00DB">
        <w:t>pilot program implementation</w:t>
      </w:r>
      <w:r w:rsidR="007B357E">
        <w:t xml:space="preserve"> before determining their per household California Climate Credit amounts</w:t>
      </w:r>
      <w:r>
        <w:t>.</w:t>
      </w:r>
      <w:r w:rsidR="007073B4">
        <w:rPr>
          <w:rStyle w:val="FootnoteReference"/>
        </w:rPr>
        <w:footnoteReference w:id="72"/>
      </w:r>
      <w:r>
        <w:t xml:space="preserve">  </w:t>
      </w:r>
    </w:p>
    <w:p w14:paraId="13A1A398" w14:textId="0E05EE96" w:rsidR="007B357E" w:rsidRDefault="001C0DF2" w:rsidP="001C0DF2">
      <w:pPr>
        <w:pStyle w:val="Standard"/>
      </w:pPr>
      <w:r>
        <w:t xml:space="preserve">In order to provide funding for the following three years, each gas corporation in </w:t>
      </w:r>
      <w:r w:rsidRPr="005552E1">
        <w:t xml:space="preserve">its annual natural gas true-up advice letters that set </w:t>
      </w:r>
      <w:r w:rsidR="007073B4">
        <w:t xml:space="preserve">natural gas </w:t>
      </w:r>
      <w:r w:rsidRPr="005552E1">
        <w:t>transportation rates</w:t>
      </w:r>
      <w:r>
        <w:t xml:space="preserve"> </w:t>
      </w:r>
      <w:r w:rsidR="007B357E">
        <w:t xml:space="preserve">and determine per household California Climate Credit </w:t>
      </w:r>
      <w:r w:rsidR="007B357E">
        <w:lastRenderedPageBreak/>
        <w:t xml:space="preserve">amounts for 2021, 2022, and 2023 </w:t>
      </w:r>
      <w:r>
        <w:t xml:space="preserve">shall </w:t>
      </w:r>
      <w:r w:rsidR="007B357E" w:rsidRPr="00A03D61">
        <w:t>modify the table format established by D.15-10-032 (</w:t>
      </w:r>
      <w:r w:rsidR="007B357E" w:rsidRPr="00BC6059">
        <w:rPr>
          <w:i/>
          <w:iCs/>
        </w:rPr>
        <w:t>i.e.,</w:t>
      </w:r>
      <w:r w:rsidR="007B357E" w:rsidRPr="00A03D61">
        <w:t xml:space="preserve"> Table C of Appendix A of that </w:t>
      </w:r>
      <w:r w:rsidR="007B357E">
        <w:t>d</w:t>
      </w:r>
      <w:r w:rsidR="007B357E" w:rsidRPr="00A03D61">
        <w:t>ecision) to include below line 9 a new line numbered 9b and titled “SB 1477 Compliance Costs.”</w:t>
      </w:r>
      <w:r w:rsidR="007B357E">
        <w:t xml:space="preserve">  </w:t>
      </w:r>
      <w:r w:rsidR="007B357E" w:rsidRPr="00A03D61">
        <w:t xml:space="preserve">This line shall record each gas utility’s share of the SB 1477 funding, as </w:t>
      </w:r>
      <w:r w:rsidR="007B357E">
        <w:t>established by</w:t>
      </w:r>
      <w:r w:rsidR="007B357E" w:rsidRPr="00A03D61">
        <w:t xml:space="preserve"> this </w:t>
      </w:r>
      <w:r w:rsidR="007B357E">
        <w:t>d</w:t>
      </w:r>
      <w:r w:rsidR="007B357E" w:rsidRPr="00A03D61">
        <w:t>ecision.</w:t>
      </w:r>
      <w:r w:rsidR="007B357E">
        <w:t xml:space="preserve">  </w:t>
      </w:r>
      <w:r w:rsidR="007B357E" w:rsidRPr="009C694D">
        <w:t xml:space="preserve">Line 10 of Table C of Appendix A of D.15-10-032 shall also be modified to equal the Subtotal Allowance Proceeds minus Outreach and Admin Expenses minus the SB 1477 Compliance Costs. </w:t>
      </w:r>
      <w:r w:rsidR="007B357E">
        <w:t xml:space="preserve"> </w:t>
      </w:r>
      <w:r w:rsidR="007B357E" w:rsidRPr="009C694D">
        <w:t>In order to reflect this change, the four gas utilities shall further modify the template for Table C by changing the description of Line 10 of Table C of Appendix A of D.15-10-032 to “Net GHG Proceeds Available for Customer Returns ($) (Line 8 + Line 9 + Line 9b).”</w:t>
      </w:r>
    </w:p>
    <w:p w14:paraId="40474855" w14:textId="72892D74" w:rsidR="001C0DF2" w:rsidRDefault="001C0DF2" w:rsidP="001C0DF2">
      <w:pPr>
        <w:pStyle w:val="Standard"/>
      </w:pPr>
      <w:r>
        <w:t>SB</w:t>
      </w:r>
      <w:r w:rsidR="00BF1A50">
        <w:t> </w:t>
      </w:r>
      <w:r>
        <w:t>1477 Compliance Costs shall be apportioned across the four gas corporations according to each gas corporation’s percentage share of allocated Cap-and-Trade allowances and remain the same each year for the duration of the pilot programs:</w:t>
      </w:r>
    </w:p>
    <w:p w14:paraId="09AEC2D8" w14:textId="77777777" w:rsidR="001C0DF2" w:rsidRDefault="001C0DF2" w:rsidP="00951BBD">
      <w:pPr>
        <w:pStyle w:val="Standard"/>
        <w:spacing w:line="240" w:lineRule="auto"/>
      </w:pPr>
      <w:r>
        <w:t>SoCalGas: $</w:t>
      </w:r>
      <w:r w:rsidRPr="0095155B">
        <w:t>24,630,000</w:t>
      </w:r>
      <w:r>
        <w:t xml:space="preserve"> (49.26 percent of $50 million)</w:t>
      </w:r>
    </w:p>
    <w:p w14:paraId="10758368" w14:textId="77777777" w:rsidR="001C0DF2" w:rsidRDefault="001C0DF2" w:rsidP="00951BBD">
      <w:pPr>
        <w:pStyle w:val="Standard"/>
        <w:spacing w:line="240" w:lineRule="auto"/>
      </w:pPr>
      <w:r>
        <w:t>PG&amp;E: $</w:t>
      </w:r>
      <w:r w:rsidRPr="0095155B">
        <w:t>21,170,000</w:t>
      </w:r>
      <w:r>
        <w:t xml:space="preserve"> (42.34 percent of $50 million) </w:t>
      </w:r>
    </w:p>
    <w:p w14:paraId="073EE355" w14:textId="77777777" w:rsidR="001C0DF2" w:rsidRDefault="001C0DF2" w:rsidP="00951BBD">
      <w:pPr>
        <w:pStyle w:val="Standard"/>
        <w:spacing w:line="240" w:lineRule="auto"/>
      </w:pPr>
      <w:r>
        <w:t>SDG&amp;E: $</w:t>
      </w:r>
      <w:r w:rsidRPr="0095155B">
        <w:t>3,385,000</w:t>
      </w:r>
      <w:r>
        <w:t xml:space="preserve"> (6.77 percent of $50 million)</w:t>
      </w:r>
    </w:p>
    <w:p w14:paraId="12A3F059" w14:textId="77777777" w:rsidR="001C0DF2" w:rsidRDefault="001C0DF2" w:rsidP="00CD62DE">
      <w:pPr>
        <w:pStyle w:val="Standard"/>
        <w:spacing w:after="120" w:line="240" w:lineRule="auto"/>
      </w:pPr>
      <w:r>
        <w:t>SWG: $</w:t>
      </w:r>
      <w:r w:rsidRPr="0095155B">
        <w:t>815,000</w:t>
      </w:r>
      <w:r>
        <w:t xml:space="preserve"> (1.63 percent of $50 million)</w:t>
      </w:r>
    </w:p>
    <w:p w14:paraId="36485036" w14:textId="709503CF" w:rsidR="001C0DF2" w:rsidRDefault="001C0DF2" w:rsidP="000E00DB">
      <w:pPr>
        <w:pStyle w:val="Standard"/>
      </w:pPr>
      <w:r>
        <w:t>The</w:t>
      </w:r>
      <w:r w:rsidRPr="00DA6E8E">
        <w:t xml:space="preserve"> gas corporation</w:t>
      </w:r>
      <w:r>
        <w:t>s</w:t>
      </w:r>
      <w:r w:rsidRPr="00DA6E8E">
        <w:t xml:space="preserve"> shall</w:t>
      </w:r>
      <w:r w:rsidR="00AE3269">
        <w:t xml:space="preserve"> </w:t>
      </w:r>
      <w:bookmarkStart w:id="23" w:name="_Hlk29551296"/>
      <w:r>
        <w:t xml:space="preserve">remit their respective “SB 1477 Compliance Costs” </w:t>
      </w:r>
      <w:r w:rsidRPr="00DA6E8E">
        <w:t>directly</w:t>
      </w:r>
      <w:r>
        <w:t xml:space="preserve"> </w:t>
      </w:r>
      <w:r w:rsidRPr="00DA6E8E">
        <w:t xml:space="preserve">to the </w:t>
      </w:r>
      <w:r w:rsidR="000E00DB">
        <w:t>designated building decarbonization pilot program contracting a</w:t>
      </w:r>
      <w:r>
        <w:t>gent</w:t>
      </w:r>
      <w:r w:rsidR="000E00DB">
        <w:t xml:space="preserve"> (contracting agent)</w:t>
      </w:r>
      <w:r w:rsidR="007B357E">
        <w:t xml:space="preserve"> on a quarterly basis in four equal installments.  Quarterly remittances shall be made on or before March 1, June 1, September 1, and December 1 so as to follow CARB’s quarterly auctions in February, May, August, and November</w:t>
      </w:r>
      <w:r w:rsidR="000E00DB">
        <w:t xml:space="preserve">.  </w:t>
      </w:r>
      <w:r>
        <w:t xml:space="preserve">SCE, serving in the capacity of </w:t>
      </w:r>
      <w:r w:rsidR="000E00DB">
        <w:t xml:space="preserve">the </w:t>
      </w:r>
      <w:r>
        <w:t xml:space="preserve">contracting agent (discussed in detail below), shall, within 15 days of the approval of this decision, file a Tier 1 advice letter with Energy Division formalizing a new balancing account </w:t>
      </w:r>
      <w:r w:rsidR="007B357E">
        <w:t>to collect and track these remittances.</w:t>
      </w:r>
      <w:r>
        <w:t xml:space="preserve">. </w:t>
      </w:r>
      <w:r w:rsidR="00C51BE5">
        <w:t xml:space="preserve"> </w:t>
      </w:r>
      <w:r w:rsidR="007B357E">
        <w:t>T</w:t>
      </w:r>
      <w:r w:rsidR="006A5B3F">
        <w:t xml:space="preserve">he </w:t>
      </w:r>
      <w:r w:rsidR="006A5B3F">
        <w:lastRenderedPageBreak/>
        <w:t>gas corporations</w:t>
      </w:r>
      <w:r w:rsidR="007B357E">
        <w:t xml:space="preserve"> shall, on or before June 1, 2020, disburse to the contracting agent the entire</w:t>
      </w:r>
      <w:r w:rsidR="00D2740D">
        <w:t xml:space="preserve"> </w:t>
      </w:r>
      <w:r w:rsidR="006A5B3F">
        <w:t>first year funding set aside as directed by Resolution G</w:t>
      </w:r>
      <w:r w:rsidR="00C51BE5">
        <w:noBreakHyphen/>
      </w:r>
      <w:r w:rsidR="006A5B3F">
        <w:t xml:space="preserve">3565.  </w:t>
      </w:r>
      <w:r w:rsidR="007B357E">
        <w:t xml:space="preserve">The first quarterly remittances shall be made on or before September 1, 2020 and the last quarterly remittances shall be made on or before June 1, 2023.  </w:t>
      </w:r>
      <w:r>
        <w:t>SCE shall account for all interest accrued</w:t>
      </w:r>
      <w:r w:rsidR="007B357E">
        <w:t xml:space="preserve"> while pilot program funds reside in its possession.</w:t>
      </w:r>
      <w:r>
        <w:t>.</w:t>
      </w:r>
    </w:p>
    <w:bookmarkEnd w:id="23"/>
    <w:p w14:paraId="0F3A0535" w14:textId="10FD3ED1" w:rsidR="001C0DF2" w:rsidRDefault="001C0DF2" w:rsidP="001C0DF2">
      <w:pPr>
        <w:pStyle w:val="Standard"/>
      </w:pPr>
      <w:r>
        <w:t>A</w:t>
      </w:r>
      <w:r w:rsidRPr="00163A36">
        <w:t xml:space="preserve">ll requests for </w:t>
      </w:r>
      <w:r>
        <w:t xml:space="preserve">pilot </w:t>
      </w:r>
      <w:r w:rsidRPr="00163A36">
        <w:t>program funding</w:t>
      </w:r>
      <w:r w:rsidR="007073B4">
        <w:t xml:space="preserve"> disbursement</w:t>
      </w:r>
      <w:r w:rsidRPr="00163A36">
        <w:t xml:space="preserve"> shall be made </w:t>
      </w:r>
      <w:r>
        <w:t xml:space="preserve">in writing </w:t>
      </w:r>
      <w:r w:rsidRPr="00163A36">
        <w:t xml:space="preserve">by the </w:t>
      </w:r>
      <w:r w:rsidR="000E00DB">
        <w:t>BUILD Program a</w:t>
      </w:r>
      <w:r>
        <w:t>dministrator</w:t>
      </w:r>
      <w:r w:rsidRPr="00163A36">
        <w:t xml:space="preserve"> and</w:t>
      </w:r>
      <w:r w:rsidR="00587949">
        <w:t xml:space="preserve"> or the</w:t>
      </w:r>
      <w:r w:rsidRPr="00163A36">
        <w:t xml:space="preserve"> TECH </w:t>
      </w:r>
      <w:r>
        <w:t>Initiative i</w:t>
      </w:r>
      <w:r w:rsidRPr="00163A36">
        <w:t>mplementer</w:t>
      </w:r>
      <w:r w:rsidR="00587949">
        <w:t>, as applicable,</w:t>
      </w:r>
      <w:r w:rsidRPr="00163A36">
        <w:t xml:space="preserve"> to </w:t>
      </w:r>
      <w:r>
        <w:t>SCE who shall disburse funds and provide monthly updates to Energy Division</w:t>
      </w:r>
      <w:r w:rsidR="00E318D4">
        <w:t>, the BUILD Program administrator, and the TECH Initiative implementer</w:t>
      </w:r>
      <w:r>
        <w:t xml:space="preserve"> regarding all </w:t>
      </w:r>
      <w:r w:rsidR="007073B4">
        <w:t xml:space="preserve">funding </w:t>
      </w:r>
      <w:r>
        <w:t>disbursements made and the status of funds available</w:t>
      </w:r>
      <w:r w:rsidRPr="00DA6E8E">
        <w:t xml:space="preserve">. </w:t>
      </w:r>
      <w:r>
        <w:t xml:space="preserve"> </w:t>
      </w:r>
      <w:r w:rsidRPr="00163A36">
        <w:t>Any interest that may have acc</w:t>
      </w:r>
      <w:r>
        <w:t xml:space="preserve">rued while program funds </w:t>
      </w:r>
      <w:r w:rsidR="00587949">
        <w:t xml:space="preserve">are held by </w:t>
      </w:r>
      <w:r>
        <w:t xml:space="preserve"> with SCE</w:t>
      </w:r>
      <w:r w:rsidRPr="00163A36">
        <w:t xml:space="preserve"> shall be </w:t>
      </w:r>
      <w:r>
        <w:t>made available</w:t>
      </w:r>
      <w:r w:rsidRPr="00163A36">
        <w:t xml:space="preserve"> to the </w:t>
      </w:r>
      <w:r>
        <w:t xml:space="preserve">BUILD Program </w:t>
      </w:r>
      <w:r w:rsidR="00627B98">
        <w:t>a</w:t>
      </w:r>
      <w:r>
        <w:t xml:space="preserve">dministrator </w:t>
      </w:r>
      <w:r w:rsidRPr="00163A36">
        <w:t xml:space="preserve">and TECH </w:t>
      </w:r>
      <w:r>
        <w:t>Initiative i</w:t>
      </w:r>
      <w:r w:rsidRPr="00163A36">
        <w:t>mplementer for additional non</w:t>
      </w:r>
      <w:r w:rsidR="00AE3269">
        <w:noBreakHyphen/>
      </w:r>
      <w:r w:rsidRPr="00163A36">
        <w:t xml:space="preserve">administrative spending in proportion to each </w:t>
      </w:r>
      <w:r>
        <w:t xml:space="preserve">pilot </w:t>
      </w:r>
      <w:r w:rsidRPr="00163A36">
        <w:t>program’s share of total funding (</w:t>
      </w:r>
      <w:r w:rsidR="007B357E">
        <w:rPr>
          <w:i/>
          <w:iCs/>
        </w:rPr>
        <w:t>i.e</w:t>
      </w:r>
      <w:r w:rsidR="007073B4">
        <w:rPr>
          <w:i/>
          <w:iCs/>
        </w:rPr>
        <w:t xml:space="preserve">., </w:t>
      </w:r>
      <w:r w:rsidRPr="00163A36">
        <w:t>40</w:t>
      </w:r>
      <w:r>
        <w:t xml:space="preserve"> percent</w:t>
      </w:r>
      <w:r w:rsidRPr="00163A36">
        <w:t xml:space="preserve"> </w:t>
      </w:r>
      <w:r>
        <w:t xml:space="preserve">for the BUILD Program </w:t>
      </w:r>
      <w:r w:rsidRPr="00163A36">
        <w:t>and 60</w:t>
      </w:r>
      <w:r>
        <w:t xml:space="preserve"> percent for the TECH Initiative</w:t>
      </w:r>
      <w:r w:rsidRPr="00163A36">
        <w:t xml:space="preserve">). </w:t>
      </w:r>
      <w:r>
        <w:t xml:space="preserve"> </w:t>
      </w:r>
      <w:r w:rsidRPr="00163A36">
        <w:t>Energy Division shall provide annual updates to the Legislature</w:t>
      </w:r>
      <w:r>
        <w:t xml:space="preserve"> regarding funding and expenditures for the two pilot programs</w:t>
      </w:r>
      <w:r w:rsidRPr="00163A36">
        <w:t>, as directed by Section 910.4.</w:t>
      </w:r>
    </w:p>
    <w:p w14:paraId="3A88BCE7" w14:textId="149BB00E" w:rsidR="00930118" w:rsidRDefault="001D415E" w:rsidP="00587949">
      <w:r>
        <w:rPr>
          <w:szCs w:val="26"/>
        </w:rPr>
        <w:t>Title</w:t>
      </w:r>
      <w:r w:rsidR="007073B4">
        <w:rPr>
          <w:szCs w:val="26"/>
        </w:rPr>
        <w:t xml:space="preserve"> </w:t>
      </w:r>
      <w:r w:rsidR="001C0DF2">
        <w:rPr>
          <w:szCs w:val="26"/>
        </w:rPr>
        <w:t>17</w:t>
      </w:r>
      <w:r w:rsidR="007073B4">
        <w:rPr>
          <w:szCs w:val="26"/>
        </w:rPr>
        <w:t xml:space="preserve"> of the</w:t>
      </w:r>
      <w:r w:rsidR="001C0DF2">
        <w:rPr>
          <w:szCs w:val="26"/>
        </w:rPr>
        <w:t xml:space="preserve"> C</w:t>
      </w:r>
      <w:r w:rsidR="009A715A">
        <w:rPr>
          <w:szCs w:val="26"/>
        </w:rPr>
        <w:t xml:space="preserve">alifornia </w:t>
      </w:r>
      <w:r w:rsidR="001C0DF2">
        <w:rPr>
          <w:szCs w:val="26"/>
        </w:rPr>
        <w:t>C</w:t>
      </w:r>
      <w:r w:rsidR="009A715A">
        <w:rPr>
          <w:szCs w:val="26"/>
        </w:rPr>
        <w:t xml:space="preserve">ode of </w:t>
      </w:r>
      <w:r w:rsidR="001C0DF2">
        <w:rPr>
          <w:szCs w:val="26"/>
        </w:rPr>
        <w:t>R</w:t>
      </w:r>
      <w:r w:rsidR="009A715A">
        <w:rPr>
          <w:szCs w:val="26"/>
        </w:rPr>
        <w:t>egulations (17 C</w:t>
      </w:r>
      <w:r w:rsidR="007073B4">
        <w:rPr>
          <w:szCs w:val="26"/>
        </w:rPr>
        <w:t>C</w:t>
      </w:r>
      <w:r w:rsidR="009A715A">
        <w:rPr>
          <w:szCs w:val="26"/>
        </w:rPr>
        <w:t>R)</w:t>
      </w:r>
      <w:r w:rsidR="001C0DF2">
        <w:rPr>
          <w:szCs w:val="26"/>
        </w:rPr>
        <w:t xml:space="preserve"> </w:t>
      </w:r>
      <w:r w:rsidR="001C0DF2" w:rsidRPr="00A54EE3">
        <w:rPr>
          <w:szCs w:val="26"/>
        </w:rPr>
        <w:t>S</w:t>
      </w:r>
      <w:r w:rsidR="001C0DF2" w:rsidRPr="005F4233">
        <w:rPr>
          <w:rFonts w:cs="Arial"/>
          <w:color w:val="000000"/>
          <w:szCs w:val="26"/>
        </w:rPr>
        <w:t>ection</w:t>
      </w:r>
      <w:r w:rsidR="001C0DF2">
        <w:rPr>
          <w:rFonts w:cs="Arial"/>
          <w:color w:val="000000"/>
          <w:szCs w:val="26"/>
        </w:rPr>
        <w:t xml:space="preserve"> </w:t>
      </w:r>
      <w:r w:rsidR="001C0DF2" w:rsidRPr="005F4233">
        <w:rPr>
          <w:rFonts w:cs="Arial"/>
          <w:color w:val="000000"/>
          <w:szCs w:val="26"/>
        </w:rPr>
        <w:t>95893(d)(3)</w:t>
      </w:r>
      <w:r w:rsidR="001C0DF2" w:rsidRPr="00A54EE3">
        <w:rPr>
          <w:szCs w:val="26"/>
        </w:rPr>
        <w:t xml:space="preserve"> states, </w:t>
      </w:r>
      <w:r w:rsidR="001C0DF2" w:rsidRPr="00875F2F">
        <w:rPr>
          <w:szCs w:val="26"/>
        </w:rPr>
        <w:t>“</w:t>
      </w:r>
      <w:r w:rsidR="001C0DF2" w:rsidRPr="0008416A">
        <w:rPr>
          <w:szCs w:val="26"/>
        </w:rPr>
        <w:t xml:space="preserve">Allowance value, including any allocated allowance auction proceeds, obtained by a </w:t>
      </w:r>
      <w:r w:rsidR="001C0DF2" w:rsidRPr="00BE046E">
        <w:rPr>
          <w:szCs w:val="26"/>
        </w:rPr>
        <w:t>natural g</w:t>
      </w:r>
      <w:r w:rsidR="001C0DF2" w:rsidRPr="00A03973">
        <w:rPr>
          <w:szCs w:val="26"/>
        </w:rPr>
        <w:t>as supplier must be used for the primary benefit of retail natural gas ratepayers of each natural gas supplier, consistent</w:t>
      </w:r>
      <w:r w:rsidR="001C0DF2">
        <w:t xml:space="preserve"> with the goals of AB 32, and may not be used for the benefit of entities of persons other than such ratepayers.”  Therefore, the regional spending for the BUILD Program and TECH Initiative must be proportionally directed in the gas corporation service territories where the funds are derived.  The percentages allocated for each gas </w:t>
      </w:r>
      <w:r w:rsidR="001C0DF2">
        <w:lastRenderedPageBreak/>
        <w:t xml:space="preserve">corporation service territory are consistent with the compliance cost shares outlined above:  </w:t>
      </w:r>
    </w:p>
    <w:p w14:paraId="067EC146" w14:textId="1BA7D502" w:rsidR="001C0DF2" w:rsidDel="00061A28" w:rsidRDefault="001C0DF2" w:rsidP="00E40E82">
      <w:pPr>
        <w:pStyle w:val="Standard"/>
        <w:spacing w:line="240" w:lineRule="auto"/>
      </w:pPr>
      <w:r>
        <w:t>SoCalGas:</w:t>
      </w:r>
      <w:r w:rsidR="00FB19B6">
        <w:t xml:space="preserve"> </w:t>
      </w:r>
      <w:r>
        <w:t xml:space="preserve"> 49.26 percent</w:t>
      </w:r>
    </w:p>
    <w:p w14:paraId="47C95506" w14:textId="10A3669A" w:rsidR="001C0DF2" w:rsidDel="00061A28" w:rsidRDefault="001C0DF2" w:rsidP="00E40E82">
      <w:pPr>
        <w:pStyle w:val="Standard"/>
        <w:spacing w:line="240" w:lineRule="auto"/>
      </w:pPr>
      <w:r>
        <w:t xml:space="preserve">PG&amp;E: </w:t>
      </w:r>
      <w:r w:rsidR="00FB19B6">
        <w:t xml:space="preserve"> </w:t>
      </w:r>
      <w:r>
        <w:t>42.34 percent</w:t>
      </w:r>
    </w:p>
    <w:p w14:paraId="11CFA2AC" w14:textId="67A3D040" w:rsidR="001C0DF2" w:rsidRDefault="001C0DF2" w:rsidP="00E40E82">
      <w:pPr>
        <w:pStyle w:val="Standard"/>
        <w:spacing w:line="240" w:lineRule="auto"/>
      </w:pPr>
      <w:r>
        <w:t xml:space="preserve">SDG&amp;E: </w:t>
      </w:r>
      <w:r w:rsidR="00FB19B6">
        <w:t xml:space="preserve"> </w:t>
      </w:r>
      <w:r>
        <w:t>6.77 percent</w:t>
      </w:r>
    </w:p>
    <w:p w14:paraId="65A04BA4" w14:textId="12790AD5" w:rsidR="001C0DF2" w:rsidRDefault="007073B4" w:rsidP="00E40E82">
      <w:pPr>
        <w:pStyle w:val="Standard"/>
        <w:spacing w:line="240" w:lineRule="auto"/>
      </w:pPr>
      <w:r>
        <w:t>SWG</w:t>
      </w:r>
      <w:r w:rsidR="001C0DF2">
        <w:t xml:space="preserve">: </w:t>
      </w:r>
      <w:r w:rsidR="00FB19B6">
        <w:t xml:space="preserve"> </w:t>
      </w:r>
      <w:r w:rsidR="001C0DF2">
        <w:t xml:space="preserve">1.63 percent </w:t>
      </w:r>
    </w:p>
    <w:p w14:paraId="5182C465" w14:textId="4870496B" w:rsidR="001C0DF2" w:rsidRDefault="007B357E" w:rsidP="00897CF1">
      <w:pPr>
        <w:pStyle w:val="Standard"/>
        <w:spacing w:before="120"/>
      </w:pPr>
      <w:r>
        <w:t>Any spending for the BUILD Program and the TECH Initiative with</w:t>
      </w:r>
      <w:r w:rsidRPr="006079B9">
        <w:t xml:space="preserve"> statewide or cross-territory benefits</w:t>
      </w:r>
      <w:r>
        <w:t>, including but not limited to administrative and evaluation spending,</w:t>
      </w:r>
      <w:r w:rsidRPr="006079B9">
        <w:t xml:space="preserve"> sh</w:t>
      </w:r>
      <w:r>
        <w:t>all</w:t>
      </w:r>
      <w:r w:rsidRPr="006079B9">
        <w:t xml:space="preserve"> be attributed to the gas </w:t>
      </w:r>
      <w:r>
        <w:t xml:space="preserve">corporation service </w:t>
      </w:r>
      <w:r w:rsidRPr="006079B9">
        <w:t>territories in proportion to their original funding contribution.</w:t>
      </w:r>
      <w:r w:rsidRPr="008E7167">
        <w:t xml:space="preserve"> </w:t>
      </w:r>
      <w:r>
        <w:t xml:space="preserve"> </w:t>
      </w:r>
      <w:r w:rsidR="001C0DF2" w:rsidRPr="008E7167">
        <w:t xml:space="preserve">To the extent </w:t>
      </w:r>
      <w:r w:rsidR="001C0DF2">
        <w:t xml:space="preserve">that </w:t>
      </w:r>
      <w:r w:rsidR="001C0DF2" w:rsidRPr="008E7167">
        <w:t xml:space="preserve">there are unspent </w:t>
      </w:r>
      <w:r w:rsidR="001C0DF2">
        <w:t xml:space="preserve">GHG </w:t>
      </w:r>
      <w:r w:rsidR="001C0DF2" w:rsidRPr="008E7167">
        <w:t xml:space="preserve">allowance proceeds </w:t>
      </w:r>
      <w:r w:rsidR="001C0DF2">
        <w:t>allocated for a particular gas corporation’s service territory</w:t>
      </w:r>
      <w:r w:rsidR="001C0DF2" w:rsidRPr="008E7167">
        <w:t xml:space="preserve"> and no remaining eligible projects within that service territory, the remaining </w:t>
      </w:r>
      <w:r w:rsidR="001C0DF2">
        <w:t xml:space="preserve">GHG </w:t>
      </w:r>
      <w:r w:rsidR="001C0DF2" w:rsidRPr="008E7167">
        <w:t xml:space="preserve">allowance proceeds may be spent </w:t>
      </w:r>
      <w:r>
        <w:t xml:space="preserve">outside of that gas corporation’s service territory starting </w:t>
      </w:r>
      <w:r w:rsidR="001C0DF2">
        <w:t xml:space="preserve">two years </w:t>
      </w:r>
      <w:r w:rsidR="00897CF1">
        <w:t xml:space="preserve">after pilot program </w:t>
      </w:r>
      <w:r w:rsidR="001C0DF2">
        <w:t>implementation.</w:t>
      </w:r>
      <w:r w:rsidR="00897CF1">
        <w:t xml:space="preserve"> </w:t>
      </w:r>
      <w:r w:rsidR="00897CF1" w:rsidRPr="00D8128F">
        <w:t>Any unspent funds remaining as of July 1, 20</w:t>
      </w:r>
      <w:r w:rsidR="00897CF1">
        <w:t>3</w:t>
      </w:r>
      <w:r w:rsidR="00897CF1" w:rsidRPr="00D8128F">
        <w:t xml:space="preserve">3 shall be returned to the ratepayers of the respective gas corporations </w:t>
      </w:r>
      <w:r w:rsidR="00897CF1">
        <w:t>as part of the California Climate Credit</w:t>
      </w:r>
      <w:r w:rsidR="00897CF1" w:rsidRPr="00D8128F">
        <w:t>.</w:t>
      </w:r>
    </w:p>
    <w:p w14:paraId="20B52D29" w14:textId="3B47717B" w:rsidR="001C0DF2" w:rsidRDefault="001C0DF2" w:rsidP="001C0DF2">
      <w:pPr>
        <w:pStyle w:val="Heading3"/>
      </w:pPr>
      <w:bookmarkStart w:id="24" w:name="_Toc32310238"/>
      <w:r>
        <w:t xml:space="preserve">Analysis: The SB 1477 Pilot Program Budget </w:t>
      </w:r>
      <w:r w:rsidR="00837FED">
        <w:br/>
      </w:r>
      <w:r>
        <w:t>Shall Appropriate 40 Percent of Program Funds</w:t>
      </w:r>
      <w:r w:rsidR="00837FED">
        <w:br/>
      </w:r>
      <w:r>
        <w:t xml:space="preserve">to the BUILD Program and 60 Percent of </w:t>
      </w:r>
      <w:r w:rsidR="00837FED">
        <w:br/>
      </w:r>
      <w:r>
        <w:t xml:space="preserve">Program Funds to the TECH </w:t>
      </w:r>
      <w:r w:rsidR="00425D89">
        <w:t>Initiative</w:t>
      </w:r>
      <w:bookmarkEnd w:id="24"/>
    </w:p>
    <w:p w14:paraId="1305658C" w14:textId="16BD5D39" w:rsidR="008529B9" w:rsidRDefault="003E6FAB" w:rsidP="00B7487C">
      <w:pPr>
        <w:pStyle w:val="Standard"/>
      </w:pPr>
      <w:r>
        <w:t xml:space="preserve">The funding for these two pilot programs shall be allocated using a </w:t>
      </w:r>
      <w:r w:rsidR="007073B4">
        <w:t>40/60</w:t>
      </w:r>
      <w:r>
        <w:t xml:space="preserve"> percent split, with </w:t>
      </w:r>
      <w:r w:rsidR="007073B4">
        <w:t xml:space="preserve">40 </w:t>
      </w:r>
      <w:r>
        <w:t xml:space="preserve">percent of the funds allocated to the BUILD Program and </w:t>
      </w:r>
      <w:r w:rsidR="007073B4">
        <w:t xml:space="preserve">60 </w:t>
      </w:r>
      <w:r>
        <w:t>percent of the funds allocated to the TECH Initiative.</w:t>
      </w:r>
      <w:r>
        <w:rPr>
          <w:rStyle w:val="FootnoteReference"/>
        </w:rPr>
        <w:footnoteReference w:id="73"/>
      </w:r>
      <w:r>
        <w:t xml:space="preserve">  We agree with parties and the Staff </w:t>
      </w:r>
      <w:r w:rsidR="003C31AF">
        <w:t>Proposal</w:t>
      </w:r>
      <w:r>
        <w:t xml:space="preserve"> that it is easier to build a</w:t>
      </w:r>
      <w:r w:rsidR="007B357E">
        <w:t xml:space="preserve"> new</w:t>
      </w:r>
      <w:r>
        <w:t xml:space="preserve"> zero-</w:t>
      </w:r>
      <w:r w:rsidR="001D415E">
        <w:t xml:space="preserve">emissions </w:t>
      </w:r>
      <w:r>
        <w:t xml:space="preserve">building </w:t>
      </w:r>
      <w:r>
        <w:lastRenderedPageBreak/>
        <w:t xml:space="preserve">than retrofit </w:t>
      </w:r>
      <w:r w:rsidR="00897CF1">
        <w:t xml:space="preserve">an </w:t>
      </w:r>
      <w:r>
        <w:t xml:space="preserve">existing one.  </w:t>
      </w:r>
      <w:r w:rsidR="00900E16">
        <w:t xml:space="preserve">In addition, </w:t>
      </w:r>
      <w:r w:rsidR="00C66F61">
        <w:t>a</w:t>
      </w:r>
      <w:r w:rsidR="008529B9">
        <w:t xml:space="preserve">ppropriating 60 percent of the </w:t>
      </w:r>
      <w:r>
        <w:t xml:space="preserve">budget will provide added support for </w:t>
      </w:r>
      <w:r w:rsidR="00451261">
        <w:t>overall market development of low-carbon technologies</w:t>
      </w:r>
      <w:r>
        <w:t xml:space="preserve">.   </w:t>
      </w:r>
    </w:p>
    <w:p w14:paraId="2581CA20" w14:textId="593552D3" w:rsidR="003E6FAB" w:rsidRDefault="003E6FAB" w:rsidP="003E6FAB">
      <w:pPr>
        <w:pStyle w:val="Standard"/>
      </w:pPr>
      <w:r>
        <w:t>We agree with CBIA, Joint Environmentals, VEIC, CSE</w:t>
      </w:r>
      <w:r w:rsidR="00451261">
        <w:t>,</w:t>
      </w:r>
      <w:r>
        <w:t xml:space="preserve"> and SBUA that a four-year budget is more appropriate than an annual budget.  The year-one costs, will </w:t>
      </w:r>
      <w:r w:rsidR="00451261">
        <w:t xml:space="preserve">likely </w:t>
      </w:r>
      <w:r>
        <w:t xml:space="preserve">be different from the </w:t>
      </w:r>
      <w:r w:rsidR="00C6198B">
        <w:t xml:space="preserve">subsequent </w:t>
      </w:r>
      <w:r>
        <w:t>ongoing costs</w:t>
      </w:r>
      <w:r w:rsidR="00C6198B">
        <w:t xml:space="preserve"> and</w:t>
      </w:r>
      <w:r w:rsidR="00451261">
        <w:t>,</w:t>
      </w:r>
      <w:r w:rsidR="00C6198B">
        <w:t xml:space="preserve"> thus, the BUILD Program administrator and the TECH Initiative implementer are not prescribed a fixed amount of annual spending</w:t>
      </w:r>
      <w:r>
        <w:t>.</w:t>
      </w:r>
      <w:r w:rsidR="00C6198B">
        <w:t xml:space="preserve">  </w:t>
      </w:r>
      <w:r w:rsidR="00897CF1">
        <w:t>We keep in mind that, according to Section 748.6, funding is accrued over four years.  However, funds may be carried beyond the four-year accrual period and must be spent before July</w:t>
      </w:r>
      <w:r w:rsidR="00FB19B6">
        <w:t> </w:t>
      </w:r>
      <w:r w:rsidR="00897CF1">
        <w:t>1,</w:t>
      </w:r>
      <w:r w:rsidR="00FB19B6">
        <w:t> </w:t>
      </w:r>
      <w:r w:rsidR="00897CF1">
        <w:t xml:space="preserve">2033, at the very latest, pursuant to </w:t>
      </w:r>
      <w:r w:rsidR="00897CF1" w:rsidRPr="000B1B2A">
        <w:t>17 CCR</w:t>
      </w:r>
      <w:r w:rsidR="00897CF1">
        <w:t xml:space="preserve"> Section 95893(d)(8). </w:t>
      </w:r>
    </w:p>
    <w:p w14:paraId="7F34001E" w14:textId="2967D9FE" w:rsidR="003E6FAB" w:rsidRDefault="003E6FAB" w:rsidP="003E6FAB">
      <w:pPr>
        <w:pStyle w:val="Standard"/>
      </w:pPr>
      <w:r>
        <w:t xml:space="preserve">Requirements tied to an annual budget may in fact, be restrictive to market </w:t>
      </w:r>
      <w:r w:rsidR="00451261">
        <w:t xml:space="preserve">development </w:t>
      </w:r>
      <w:r>
        <w:t xml:space="preserve">efforts.  It will take time for both the BUILD Program </w:t>
      </w:r>
      <w:r w:rsidR="003C31AF">
        <w:t>a</w:t>
      </w:r>
      <w:r>
        <w:t xml:space="preserve">dministrator and the TECH Initiative implementer to launch the </w:t>
      </w:r>
      <w:r w:rsidR="00451261">
        <w:t xml:space="preserve">pilot </w:t>
      </w:r>
      <w:r>
        <w:t>programs</w:t>
      </w:r>
      <w:r w:rsidR="00451261">
        <w:t>,</w:t>
      </w:r>
      <w:r>
        <w:t xml:space="preserve"> and it will take the market actors – the builders, developers, manufacturers, distributors, contractors, and customers – time to respond to program signals.  We strive to give the </w:t>
      </w:r>
      <w:r w:rsidR="003D025A">
        <w:t xml:space="preserve">BUILD Program </w:t>
      </w:r>
      <w:r>
        <w:t xml:space="preserve">administrator and </w:t>
      </w:r>
      <w:r w:rsidR="003D025A">
        <w:t xml:space="preserve">the TECH Initiative </w:t>
      </w:r>
      <w:r>
        <w:t xml:space="preserve">implementer </w:t>
      </w:r>
      <w:r w:rsidR="00451261">
        <w:t xml:space="preserve">maximal </w:t>
      </w:r>
      <w:r>
        <w:t xml:space="preserve">flexibility, and a four-year budget rather than an annual budget provides this flexibility so they can calibrate the pilot programs to better reflect an evolving market response.  Under the funding mechanism established by this decision, first year funding will be available prior to the start of either pilot program’s implementation.  </w:t>
      </w:r>
      <w:r w:rsidR="00500439">
        <w:t xml:space="preserve">Subsequent </w:t>
      </w:r>
      <w:r>
        <w:t>year funding will be available</w:t>
      </w:r>
      <w:r w:rsidR="00500439">
        <w:t xml:space="preserve"> on a quarterly basis</w:t>
      </w:r>
      <w:r>
        <w:t>.</w:t>
      </w:r>
    </w:p>
    <w:p w14:paraId="592DB521" w14:textId="6ABF4617" w:rsidR="00451261" w:rsidRDefault="003E6FAB" w:rsidP="00451261">
      <w:pPr>
        <w:pStyle w:val="Standard"/>
      </w:pPr>
      <w:r>
        <w:lastRenderedPageBreak/>
        <w:t xml:space="preserve">We </w:t>
      </w:r>
      <w:r w:rsidR="003C31AF">
        <w:t>agree with the Staff Proposal that administrative spending for the BUILD Program should be capped at 10 percent</w:t>
      </w:r>
      <w:r w:rsidR="00765ACF">
        <w:rPr>
          <w:rStyle w:val="FootnoteReference"/>
        </w:rPr>
        <w:footnoteReference w:id="74"/>
      </w:r>
      <w:r w:rsidR="003C31AF">
        <w:t xml:space="preserve"> of the total BUILD Program budget</w:t>
      </w:r>
      <w:r w:rsidR="007B357E">
        <w:t xml:space="preserve"> for the duration of the program</w:t>
      </w:r>
      <w:r w:rsidR="003C31AF">
        <w:t>.</w:t>
      </w:r>
      <w:r w:rsidR="003C31AF">
        <w:rPr>
          <w:rStyle w:val="FootnoteReference"/>
        </w:rPr>
        <w:footnoteReference w:id="75"/>
      </w:r>
      <w:r w:rsidR="003C31AF">
        <w:t xml:space="preserve"> </w:t>
      </w:r>
      <w:r w:rsidR="0070480B">
        <w:t xml:space="preserve"> </w:t>
      </w:r>
      <w:r w:rsidR="00897CF1">
        <w:t>T</w:t>
      </w:r>
      <w:r w:rsidR="00D57D09">
        <w:t xml:space="preserve">he TECH Initiative implementer’s administrative costs shall </w:t>
      </w:r>
      <w:r w:rsidR="007B357E">
        <w:t xml:space="preserve">also be </w:t>
      </w:r>
      <w:r w:rsidR="00D57D09">
        <w:t xml:space="preserve">capped at </w:t>
      </w:r>
      <w:r w:rsidR="007B357E">
        <w:t>10</w:t>
      </w:r>
      <w:r w:rsidR="00451261">
        <w:t xml:space="preserve"> </w:t>
      </w:r>
      <w:r w:rsidR="00D57D09">
        <w:t xml:space="preserve"> percent of the TECH </w:t>
      </w:r>
      <w:r w:rsidR="00425D89">
        <w:t>Initiative</w:t>
      </w:r>
      <w:r w:rsidR="00D57D09">
        <w:t xml:space="preserve"> budget</w:t>
      </w:r>
      <w:r w:rsidR="007B357E">
        <w:t xml:space="preserve"> for the duration of the program</w:t>
      </w:r>
      <w:r w:rsidR="00451261">
        <w:t xml:space="preserve">. If the selected bid to implement the TECH Initiative is below the </w:t>
      </w:r>
      <w:r w:rsidR="007B357E">
        <w:t xml:space="preserve">10 </w:t>
      </w:r>
      <w:r w:rsidR="00451261">
        <w:t xml:space="preserve">percent cap, the difference between the winning bid amount and the </w:t>
      </w:r>
      <w:r w:rsidR="007B357E">
        <w:t xml:space="preserve">10 </w:t>
      </w:r>
      <w:r w:rsidR="00451261">
        <w:t>percent administrative costs</w:t>
      </w:r>
      <w:r w:rsidR="00831E4C">
        <w:rPr>
          <w:rStyle w:val="FootnoteReference"/>
        </w:rPr>
        <w:footnoteReference w:id="76"/>
      </w:r>
      <w:r w:rsidR="00451261">
        <w:t xml:space="preserve"> cap shall be reallocated for program costs.  </w:t>
      </w:r>
    </w:p>
    <w:p w14:paraId="4D05BB06" w14:textId="1F4B9D7F" w:rsidR="003E6FAB" w:rsidRDefault="003E6FAB" w:rsidP="003E6FAB">
      <w:pPr>
        <w:pStyle w:val="Standard"/>
      </w:pPr>
      <w:r>
        <w:t>We believe it is appropriate to have a single, independent program evaluator covering both programs for the purposes of economies of scale in reporting and tracking data</w:t>
      </w:r>
      <w:r w:rsidR="00451261">
        <w:t>, as well as</w:t>
      </w:r>
      <w:r w:rsidR="00187432">
        <w:t xml:space="preserve"> </w:t>
      </w:r>
      <w:r>
        <w:t>illustrating outcomes.  We direct the program evaluator to closely engage with both the BUILD Program administrator and the TECH Initiative implementer early on, to provide real</w:t>
      </w:r>
      <w:r w:rsidR="00AB58ED">
        <w:noBreakHyphen/>
      </w:r>
      <w:r>
        <w:t>time feedback, and  ensure efficient tracking of data.</w:t>
      </w:r>
      <w:r w:rsidR="00D57D09">
        <w:t xml:space="preserve">  </w:t>
      </w:r>
      <w:r w:rsidR="00451261">
        <w:t>A</w:t>
      </w:r>
      <w:r w:rsidR="00D57D09">
        <w:t xml:space="preserve"> joint evaluation budget for both the BUILD Program and TECH Initiative shall not exceed </w:t>
      </w:r>
      <w:r w:rsidR="00831E4C">
        <w:t>2.5</w:t>
      </w:r>
      <w:r w:rsidR="00AB58ED">
        <w:t> </w:t>
      </w:r>
      <w:r w:rsidR="00D57D09">
        <w:t xml:space="preserve">percent of the total funding allocated for the pilot programs. </w:t>
      </w:r>
    </w:p>
    <w:p w14:paraId="74DCC399" w14:textId="32E5E369" w:rsidR="00A75E96" w:rsidRDefault="003E6FAB" w:rsidP="004A207C">
      <w:pPr>
        <w:pStyle w:val="Standard"/>
        <w:spacing w:after="120"/>
      </w:pPr>
      <w:r>
        <w:t xml:space="preserve">The BUILD Program is allocated </w:t>
      </w:r>
      <w:r w:rsidR="00451261">
        <w:t xml:space="preserve">40 </w:t>
      </w:r>
      <w:r>
        <w:t>percent of the $200 million (</w:t>
      </w:r>
      <w:r w:rsidR="00831E4C">
        <w:rPr>
          <w:i/>
        </w:rPr>
        <w:t>i.e</w:t>
      </w:r>
      <w:r>
        <w:rPr>
          <w:i/>
        </w:rPr>
        <w:t>.,</w:t>
      </w:r>
      <w:r>
        <w:t xml:space="preserve"> $80</w:t>
      </w:r>
      <w:r w:rsidR="000C0B4C">
        <w:t> </w:t>
      </w:r>
      <w:r>
        <w:t>million) authorized for the two pilot programs under SB 1477.  Table 1 below summarizes the four-year budgetary allocation for the BUILD Program:</w:t>
      </w:r>
    </w:p>
    <w:tbl>
      <w:tblPr>
        <w:tblStyle w:val="TableGrid"/>
        <w:tblW w:w="8540" w:type="dxa"/>
        <w:jc w:val="center"/>
        <w:tblLook w:val="04A0" w:firstRow="1" w:lastRow="0" w:firstColumn="1" w:lastColumn="0" w:noHBand="0" w:noVBand="1"/>
      </w:tblPr>
      <w:tblGrid>
        <w:gridCol w:w="2846"/>
        <w:gridCol w:w="2847"/>
        <w:gridCol w:w="2847"/>
      </w:tblGrid>
      <w:tr w:rsidR="00777EEF" w:rsidRPr="003865D3" w14:paraId="0C183EFB" w14:textId="77777777" w:rsidTr="00E123D8">
        <w:trPr>
          <w:jc w:val="center"/>
        </w:trPr>
        <w:tc>
          <w:tcPr>
            <w:tcW w:w="8540" w:type="dxa"/>
            <w:gridSpan w:val="3"/>
            <w:tcBorders>
              <w:top w:val="single" w:sz="4" w:space="0" w:color="auto"/>
              <w:left w:val="single" w:sz="4" w:space="0" w:color="auto"/>
              <w:bottom w:val="single" w:sz="4" w:space="0" w:color="auto"/>
              <w:right w:val="single" w:sz="4" w:space="0" w:color="auto"/>
            </w:tcBorders>
          </w:tcPr>
          <w:p w14:paraId="7CA61FA0" w14:textId="6E918150" w:rsidR="00777EEF" w:rsidRPr="003865D3" w:rsidRDefault="00777EEF" w:rsidP="00E123D8">
            <w:pPr>
              <w:spacing w:after="120"/>
              <w:jc w:val="center"/>
              <w:rPr>
                <w:b/>
                <w:bCs/>
                <w:sz w:val="20"/>
                <w:szCs w:val="20"/>
                <w:u w:val="single"/>
              </w:rPr>
            </w:pPr>
            <w:r w:rsidRPr="003865D3">
              <w:rPr>
                <w:b/>
                <w:bCs/>
                <w:sz w:val="20"/>
                <w:szCs w:val="20"/>
                <w:u w:val="single"/>
              </w:rPr>
              <w:lastRenderedPageBreak/>
              <w:t>Table 1: BUILD Program Budget</w:t>
            </w:r>
          </w:p>
        </w:tc>
      </w:tr>
      <w:tr w:rsidR="00777EEF" w:rsidRPr="003865D3" w14:paraId="0A69FE9A" w14:textId="77777777" w:rsidTr="00E123D8">
        <w:trPr>
          <w:jc w:val="center"/>
        </w:trPr>
        <w:tc>
          <w:tcPr>
            <w:tcW w:w="2846" w:type="dxa"/>
            <w:tcBorders>
              <w:top w:val="single" w:sz="4" w:space="0" w:color="auto"/>
              <w:left w:val="single" w:sz="4" w:space="0" w:color="auto"/>
              <w:bottom w:val="single" w:sz="4" w:space="0" w:color="auto"/>
              <w:right w:val="single" w:sz="4" w:space="0" w:color="auto"/>
            </w:tcBorders>
          </w:tcPr>
          <w:p w14:paraId="1934CE6B" w14:textId="77777777" w:rsidR="00777EEF" w:rsidRPr="003865D3" w:rsidRDefault="00777EEF" w:rsidP="00E123D8">
            <w:pPr>
              <w:spacing w:after="120"/>
              <w:rPr>
                <w:b/>
                <w:bCs/>
                <w:sz w:val="20"/>
                <w:szCs w:val="20"/>
              </w:rPr>
            </w:pPr>
            <w:r w:rsidRPr="003865D3">
              <w:rPr>
                <w:b/>
                <w:bCs/>
                <w:sz w:val="20"/>
                <w:szCs w:val="20"/>
              </w:rPr>
              <w:t>Budget Item</w:t>
            </w:r>
          </w:p>
        </w:tc>
        <w:tc>
          <w:tcPr>
            <w:tcW w:w="2847" w:type="dxa"/>
            <w:tcBorders>
              <w:top w:val="single" w:sz="4" w:space="0" w:color="auto"/>
              <w:left w:val="single" w:sz="4" w:space="0" w:color="auto"/>
              <w:bottom w:val="single" w:sz="4" w:space="0" w:color="auto"/>
              <w:right w:val="single" w:sz="4" w:space="0" w:color="auto"/>
            </w:tcBorders>
          </w:tcPr>
          <w:p w14:paraId="19DFB14B" w14:textId="77777777" w:rsidR="00777EEF" w:rsidRPr="003865D3" w:rsidRDefault="00777EEF" w:rsidP="00E123D8">
            <w:pPr>
              <w:spacing w:after="120"/>
              <w:rPr>
                <w:b/>
                <w:bCs/>
                <w:sz w:val="20"/>
                <w:szCs w:val="20"/>
              </w:rPr>
            </w:pPr>
            <w:r w:rsidRPr="003865D3">
              <w:rPr>
                <w:b/>
                <w:bCs/>
                <w:sz w:val="20"/>
                <w:szCs w:val="20"/>
              </w:rPr>
              <w:t>Amount</w:t>
            </w:r>
          </w:p>
        </w:tc>
        <w:tc>
          <w:tcPr>
            <w:tcW w:w="2847" w:type="dxa"/>
            <w:tcBorders>
              <w:top w:val="single" w:sz="4" w:space="0" w:color="auto"/>
              <w:left w:val="single" w:sz="4" w:space="0" w:color="auto"/>
              <w:bottom w:val="single" w:sz="4" w:space="0" w:color="auto"/>
              <w:right w:val="single" w:sz="4" w:space="0" w:color="auto"/>
            </w:tcBorders>
          </w:tcPr>
          <w:p w14:paraId="35A15C98" w14:textId="77777777" w:rsidR="00777EEF" w:rsidRPr="003865D3" w:rsidRDefault="00777EEF" w:rsidP="00E123D8">
            <w:pPr>
              <w:spacing w:after="120"/>
              <w:rPr>
                <w:b/>
                <w:bCs/>
                <w:sz w:val="20"/>
                <w:szCs w:val="20"/>
              </w:rPr>
            </w:pPr>
            <w:r w:rsidRPr="003865D3">
              <w:rPr>
                <w:b/>
                <w:bCs/>
                <w:sz w:val="20"/>
                <w:szCs w:val="20"/>
              </w:rPr>
              <w:t>Notes</w:t>
            </w:r>
          </w:p>
        </w:tc>
      </w:tr>
      <w:tr w:rsidR="00777EEF" w:rsidRPr="003865D3" w14:paraId="5E47A2BA" w14:textId="77777777" w:rsidTr="00E123D8">
        <w:trPr>
          <w:jc w:val="center"/>
        </w:trPr>
        <w:tc>
          <w:tcPr>
            <w:tcW w:w="2846" w:type="dxa"/>
            <w:tcBorders>
              <w:top w:val="single" w:sz="4" w:space="0" w:color="auto"/>
              <w:left w:val="single" w:sz="4" w:space="0" w:color="auto"/>
              <w:bottom w:val="single" w:sz="4" w:space="0" w:color="auto"/>
              <w:right w:val="single" w:sz="4" w:space="0" w:color="auto"/>
            </w:tcBorders>
          </w:tcPr>
          <w:p w14:paraId="1F590315" w14:textId="1A3129B2" w:rsidR="00777EEF" w:rsidRPr="003865D3" w:rsidRDefault="00777EEF" w:rsidP="00E123D8">
            <w:pPr>
              <w:spacing w:line="240" w:lineRule="auto"/>
              <w:ind w:firstLine="0"/>
              <w:jc w:val="center"/>
              <w:rPr>
                <w:sz w:val="20"/>
                <w:szCs w:val="20"/>
                <w:highlight w:val="yellow"/>
              </w:rPr>
            </w:pPr>
            <w:r w:rsidRPr="003865D3">
              <w:rPr>
                <w:sz w:val="20"/>
                <w:szCs w:val="20"/>
              </w:rPr>
              <w:t>Program Costs</w:t>
            </w:r>
            <w:r w:rsidRPr="003865D3">
              <w:rPr>
                <w:rStyle w:val="FootnoteReference"/>
                <w:sz w:val="20"/>
                <w:szCs w:val="20"/>
              </w:rPr>
              <w:footnoteReference w:id="77"/>
            </w:r>
            <w:r w:rsidRPr="003865D3">
              <w:rPr>
                <w:sz w:val="20"/>
                <w:szCs w:val="20"/>
              </w:rPr>
              <w:t xml:space="preserve"> (Low-Income)</w:t>
            </w:r>
            <w:r w:rsidR="00897CF1">
              <w:rPr>
                <w:rStyle w:val="FootnoteReference"/>
                <w:sz w:val="20"/>
                <w:szCs w:val="20"/>
              </w:rPr>
              <w:footnoteReference w:id="78"/>
            </w:r>
          </w:p>
        </w:tc>
        <w:tc>
          <w:tcPr>
            <w:tcW w:w="2847" w:type="dxa"/>
            <w:tcBorders>
              <w:top w:val="single" w:sz="4" w:space="0" w:color="auto"/>
              <w:left w:val="single" w:sz="4" w:space="0" w:color="auto"/>
              <w:bottom w:val="single" w:sz="4" w:space="0" w:color="auto"/>
              <w:right w:val="single" w:sz="4" w:space="0" w:color="auto"/>
            </w:tcBorders>
          </w:tcPr>
          <w:p w14:paraId="34D80BC1" w14:textId="77777777" w:rsidR="00777EEF" w:rsidRPr="003865D3" w:rsidRDefault="00777EEF" w:rsidP="00E123D8">
            <w:pPr>
              <w:spacing w:line="240" w:lineRule="auto"/>
              <w:ind w:firstLine="0"/>
              <w:jc w:val="center"/>
              <w:rPr>
                <w:sz w:val="20"/>
                <w:szCs w:val="20"/>
              </w:rPr>
            </w:pPr>
            <w:r w:rsidRPr="003865D3">
              <w:rPr>
                <w:sz w:val="20"/>
                <w:szCs w:val="20"/>
              </w:rPr>
              <w:t>$60,000,000</w:t>
            </w:r>
          </w:p>
        </w:tc>
        <w:tc>
          <w:tcPr>
            <w:tcW w:w="2847" w:type="dxa"/>
            <w:tcBorders>
              <w:top w:val="single" w:sz="4" w:space="0" w:color="auto"/>
              <w:left w:val="single" w:sz="4" w:space="0" w:color="auto"/>
              <w:bottom w:val="single" w:sz="4" w:space="0" w:color="auto"/>
              <w:right w:val="single" w:sz="4" w:space="0" w:color="auto"/>
            </w:tcBorders>
          </w:tcPr>
          <w:p w14:paraId="5F47BDC2" w14:textId="77777777" w:rsidR="00777EEF" w:rsidRPr="003865D3" w:rsidRDefault="00777EEF" w:rsidP="00E123D8">
            <w:pPr>
              <w:spacing w:line="240" w:lineRule="auto"/>
              <w:ind w:firstLine="40"/>
              <w:rPr>
                <w:sz w:val="20"/>
                <w:szCs w:val="20"/>
              </w:rPr>
            </w:pPr>
            <w:r w:rsidRPr="003865D3">
              <w:rPr>
                <w:rFonts w:eastAsia="TimesNewRomanPSMT"/>
                <w:sz w:val="20"/>
                <w:szCs w:val="20"/>
              </w:rPr>
              <w:t xml:space="preserve">No less than 75% of the BUILD Program’s $80 million </w:t>
            </w:r>
            <w:r w:rsidRPr="003865D3">
              <w:rPr>
                <w:sz w:val="20"/>
                <w:szCs w:val="20"/>
              </w:rPr>
              <w:t>budget</w:t>
            </w:r>
          </w:p>
        </w:tc>
      </w:tr>
      <w:tr w:rsidR="00777EEF" w:rsidRPr="003865D3" w14:paraId="72EF63E0" w14:textId="77777777" w:rsidTr="00E123D8">
        <w:trPr>
          <w:jc w:val="center"/>
        </w:trPr>
        <w:tc>
          <w:tcPr>
            <w:tcW w:w="2846" w:type="dxa"/>
            <w:tcBorders>
              <w:top w:val="single" w:sz="4" w:space="0" w:color="auto"/>
              <w:left w:val="single" w:sz="4" w:space="0" w:color="auto"/>
              <w:bottom w:val="single" w:sz="4" w:space="0" w:color="auto"/>
              <w:right w:val="single" w:sz="4" w:space="0" w:color="auto"/>
            </w:tcBorders>
          </w:tcPr>
          <w:p w14:paraId="7D3A9EF2" w14:textId="77777777" w:rsidR="00777EEF" w:rsidRPr="003865D3" w:rsidRDefault="00777EEF" w:rsidP="00E123D8">
            <w:pPr>
              <w:spacing w:line="240" w:lineRule="auto"/>
              <w:ind w:firstLine="0"/>
              <w:jc w:val="center"/>
              <w:rPr>
                <w:sz w:val="20"/>
                <w:szCs w:val="20"/>
              </w:rPr>
            </w:pPr>
            <w:r w:rsidRPr="003865D3">
              <w:rPr>
                <w:sz w:val="20"/>
                <w:szCs w:val="20"/>
              </w:rPr>
              <w:t>BUILD Program Costs (Other)</w:t>
            </w:r>
            <w:r>
              <w:rPr>
                <w:rStyle w:val="FootnoteReference"/>
                <w:sz w:val="20"/>
                <w:szCs w:val="20"/>
              </w:rPr>
              <w:footnoteReference w:id="79"/>
            </w:r>
          </w:p>
        </w:tc>
        <w:tc>
          <w:tcPr>
            <w:tcW w:w="2847" w:type="dxa"/>
            <w:tcBorders>
              <w:top w:val="single" w:sz="4" w:space="0" w:color="auto"/>
              <w:left w:val="single" w:sz="4" w:space="0" w:color="auto"/>
              <w:bottom w:val="single" w:sz="4" w:space="0" w:color="auto"/>
              <w:right w:val="single" w:sz="4" w:space="0" w:color="auto"/>
            </w:tcBorders>
          </w:tcPr>
          <w:p w14:paraId="4CF0A0E6" w14:textId="77777777" w:rsidR="00777EEF" w:rsidRPr="003865D3" w:rsidRDefault="00777EEF" w:rsidP="00E123D8">
            <w:pPr>
              <w:spacing w:line="240" w:lineRule="auto"/>
              <w:ind w:firstLine="0"/>
              <w:jc w:val="center"/>
              <w:rPr>
                <w:sz w:val="20"/>
                <w:szCs w:val="20"/>
              </w:rPr>
            </w:pPr>
            <w:r w:rsidRPr="003865D3">
              <w:rPr>
                <w:sz w:val="20"/>
                <w:szCs w:val="20"/>
              </w:rPr>
              <w:t>$</w:t>
            </w:r>
            <w:r>
              <w:rPr>
                <w:sz w:val="20"/>
                <w:szCs w:val="20"/>
              </w:rPr>
              <w:t>10,000,000</w:t>
            </w:r>
          </w:p>
        </w:tc>
        <w:tc>
          <w:tcPr>
            <w:tcW w:w="2847" w:type="dxa"/>
            <w:tcBorders>
              <w:top w:val="single" w:sz="4" w:space="0" w:color="auto"/>
              <w:left w:val="single" w:sz="4" w:space="0" w:color="auto"/>
              <w:bottom w:val="single" w:sz="4" w:space="0" w:color="auto"/>
              <w:right w:val="single" w:sz="4" w:space="0" w:color="auto"/>
            </w:tcBorders>
          </w:tcPr>
          <w:p w14:paraId="4659827A" w14:textId="77777777" w:rsidR="00777EEF" w:rsidRPr="003865D3" w:rsidRDefault="00777EEF" w:rsidP="00E123D8">
            <w:pPr>
              <w:spacing w:line="240" w:lineRule="auto"/>
              <w:ind w:firstLine="40"/>
              <w:rPr>
                <w:sz w:val="20"/>
                <w:szCs w:val="20"/>
              </w:rPr>
            </w:pPr>
            <w:r w:rsidRPr="003865D3">
              <w:rPr>
                <w:rFonts w:eastAsia="TimesNewRomanPSMT"/>
                <w:sz w:val="20"/>
                <w:szCs w:val="20"/>
              </w:rPr>
              <w:t xml:space="preserve">No less than </w:t>
            </w:r>
            <w:r>
              <w:rPr>
                <w:rFonts w:eastAsia="TimesNewRomanPSMT"/>
                <w:sz w:val="20"/>
                <w:szCs w:val="20"/>
              </w:rPr>
              <w:t>12.5</w:t>
            </w:r>
            <w:r w:rsidRPr="003865D3">
              <w:rPr>
                <w:rFonts w:eastAsia="TimesNewRomanPSMT"/>
                <w:sz w:val="20"/>
                <w:szCs w:val="20"/>
              </w:rPr>
              <w:t xml:space="preserve">% of the BUILD Program’s $80 million </w:t>
            </w:r>
            <w:r w:rsidRPr="003865D3">
              <w:rPr>
                <w:sz w:val="20"/>
                <w:szCs w:val="20"/>
              </w:rPr>
              <w:t>budget</w:t>
            </w:r>
          </w:p>
        </w:tc>
      </w:tr>
      <w:tr w:rsidR="00777EEF" w:rsidRPr="003865D3" w14:paraId="4E701C11" w14:textId="77777777" w:rsidTr="00E123D8">
        <w:trPr>
          <w:jc w:val="center"/>
        </w:trPr>
        <w:tc>
          <w:tcPr>
            <w:tcW w:w="2846" w:type="dxa"/>
            <w:tcBorders>
              <w:top w:val="single" w:sz="4" w:space="0" w:color="auto"/>
              <w:left w:val="single" w:sz="4" w:space="0" w:color="auto"/>
              <w:bottom w:val="single" w:sz="4" w:space="0" w:color="auto"/>
              <w:right w:val="single" w:sz="4" w:space="0" w:color="auto"/>
            </w:tcBorders>
          </w:tcPr>
          <w:p w14:paraId="64D7753E" w14:textId="77777777" w:rsidR="00777EEF" w:rsidRPr="003865D3" w:rsidRDefault="00777EEF" w:rsidP="00E123D8">
            <w:pPr>
              <w:spacing w:line="240" w:lineRule="auto"/>
              <w:ind w:firstLine="0"/>
              <w:jc w:val="center"/>
              <w:rPr>
                <w:sz w:val="20"/>
                <w:szCs w:val="20"/>
              </w:rPr>
            </w:pPr>
            <w:r w:rsidRPr="003865D3">
              <w:rPr>
                <w:sz w:val="20"/>
                <w:szCs w:val="20"/>
              </w:rPr>
              <w:t>Administrative Costs</w:t>
            </w:r>
          </w:p>
        </w:tc>
        <w:tc>
          <w:tcPr>
            <w:tcW w:w="2847" w:type="dxa"/>
            <w:tcBorders>
              <w:top w:val="single" w:sz="4" w:space="0" w:color="auto"/>
              <w:left w:val="single" w:sz="4" w:space="0" w:color="auto"/>
              <w:bottom w:val="single" w:sz="4" w:space="0" w:color="auto"/>
              <w:right w:val="single" w:sz="4" w:space="0" w:color="auto"/>
            </w:tcBorders>
          </w:tcPr>
          <w:p w14:paraId="38B9C8E1" w14:textId="77777777" w:rsidR="00777EEF" w:rsidRPr="003865D3" w:rsidRDefault="00777EEF" w:rsidP="00E123D8">
            <w:pPr>
              <w:spacing w:line="240" w:lineRule="auto"/>
              <w:ind w:firstLine="0"/>
              <w:jc w:val="center"/>
              <w:rPr>
                <w:sz w:val="20"/>
                <w:szCs w:val="20"/>
              </w:rPr>
            </w:pPr>
            <w:r w:rsidRPr="003865D3">
              <w:rPr>
                <w:sz w:val="20"/>
                <w:szCs w:val="20"/>
              </w:rPr>
              <w:t>$8,000,000</w:t>
            </w:r>
          </w:p>
        </w:tc>
        <w:tc>
          <w:tcPr>
            <w:tcW w:w="2847" w:type="dxa"/>
            <w:tcBorders>
              <w:top w:val="single" w:sz="4" w:space="0" w:color="auto"/>
              <w:left w:val="single" w:sz="4" w:space="0" w:color="auto"/>
              <w:bottom w:val="single" w:sz="4" w:space="0" w:color="auto"/>
              <w:right w:val="single" w:sz="4" w:space="0" w:color="auto"/>
            </w:tcBorders>
          </w:tcPr>
          <w:p w14:paraId="4A5C3528" w14:textId="77777777" w:rsidR="00777EEF" w:rsidRPr="003865D3" w:rsidRDefault="00777EEF" w:rsidP="00E123D8">
            <w:pPr>
              <w:spacing w:line="240" w:lineRule="auto"/>
              <w:ind w:firstLine="40"/>
              <w:rPr>
                <w:rFonts w:eastAsia="TimesNewRomanPSMT"/>
                <w:sz w:val="20"/>
                <w:szCs w:val="20"/>
              </w:rPr>
            </w:pPr>
            <w:r w:rsidRPr="003865D3">
              <w:rPr>
                <w:rFonts w:eastAsia="TimesNewRomanPSMT"/>
                <w:sz w:val="20"/>
                <w:szCs w:val="20"/>
              </w:rPr>
              <w:t xml:space="preserve">No more than 10% of the BUILD Program’s $80 million </w:t>
            </w:r>
            <w:r w:rsidRPr="003865D3">
              <w:rPr>
                <w:sz w:val="20"/>
                <w:szCs w:val="20"/>
              </w:rPr>
              <w:t>budget</w:t>
            </w:r>
          </w:p>
        </w:tc>
      </w:tr>
      <w:tr w:rsidR="00777EEF" w:rsidRPr="003865D3" w14:paraId="760C878A" w14:textId="77777777" w:rsidTr="00E123D8">
        <w:trPr>
          <w:jc w:val="center"/>
        </w:trPr>
        <w:tc>
          <w:tcPr>
            <w:tcW w:w="2846" w:type="dxa"/>
            <w:tcBorders>
              <w:top w:val="single" w:sz="4" w:space="0" w:color="auto"/>
              <w:left w:val="single" w:sz="4" w:space="0" w:color="auto"/>
              <w:bottom w:val="single" w:sz="4" w:space="0" w:color="auto"/>
              <w:right w:val="single" w:sz="4" w:space="0" w:color="auto"/>
            </w:tcBorders>
          </w:tcPr>
          <w:p w14:paraId="3DF19E87" w14:textId="77777777" w:rsidR="00777EEF" w:rsidRPr="003865D3" w:rsidRDefault="00777EEF" w:rsidP="00E123D8">
            <w:pPr>
              <w:spacing w:line="240" w:lineRule="auto"/>
              <w:ind w:firstLine="0"/>
              <w:jc w:val="center"/>
              <w:rPr>
                <w:sz w:val="20"/>
                <w:szCs w:val="20"/>
              </w:rPr>
            </w:pPr>
            <w:r w:rsidRPr="003865D3">
              <w:rPr>
                <w:sz w:val="20"/>
                <w:szCs w:val="20"/>
              </w:rPr>
              <w:t>Joint Evaluation Cost Share</w:t>
            </w:r>
          </w:p>
        </w:tc>
        <w:tc>
          <w:tcPr>
            <w:tcW w:w="2847" w:type="dxa"/>
            <w:tcBorders>
              <w:top w:val="single" w:sz="4" w:space="0" w:color="auto"/>
              <w:left w:val="single" w:sz="4" w:space="0" w:color="auto"/>
              <w:bottom w:val="single" w:sz="4" w:space="0" w:color="auto"/>
              <w:right w:val="single" w:sz="4" w:space="0" w:color="auto"/>
            </w:tcBorders>
          </w:tcPr>
          <w:p w14:paraId="795B7F86" w14:textId="77777777" w:rsidR="00777EEF" w:rsidRPr="003865D3" w:rsidRDefault="00777EEF" w:rsidP="00E123D8">
            <w:pPr>
              <w:spacing w:line="240" w:lineRule="auto"/>
              <w:ind w:firstLine="0"/>
              <w:jc w:val="center"/>
              <w:rPr>
                <w:sz w:val="20"/>
                <w:szCs w:val="20"/>
              </w:rPr>
            </w:pPr>
            <w:r w:rsidRPr="003865D3">
              <w:rPr>
                <w:sz w:val="20"/>
                <w:szCs w:val="20"/>
              </w:rPr>
              <w:t>$</w:t>
            </w:r>
            <w:bdo w:val="ltr">
              <w:r>
                <w:rPr>
                  <w:sz w:val="20"/>
                  <w:szCs w:val="20"/>
                </w:rPr>
                <w:t>2,000,000</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sidRPr="003865D3">
                <w:rPr>
                  <w:rFonts w:ascii="Times New Roman" w:hAnsi="Times New Roman" w:cs="Times New Roman"/>
                  <w:sz w:val="20"/>
                  <w:szCs w:val="20"/>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sidR="00E123D8">
                <w:t>‬</w:t>
              </w:r>
              <w:r w:rsidR="00BC7E07">
                <w:t>‬</w:t>
              </w:r>
              <w:r w:rsidR="00500439">
                <w:t>‬</w:t>
              </w:r>
              <w:r w:rsidR="00971074">
                <w:t>‬</w:t>
              </w:r>
              <w:r w:rsidR="00AD4430">
                <w:t>‬</w:t>
              </w:r>
              <w:r w:rsidR="001C0346">
                <w:t>‬</w:t>
              </w:r>
              <w:r w:rsidR="00440A15">
                <w:t>‬</w:t>
              </w:r>
              <w:r w:rsidR="00F01376">
                <w:t>‬</w:t>
              </w:r>
              <w:r w:rsidR="004371EB">
                <w:t>‬</w:t>
              </w:r>
              <w:r w:rsidR="00081764">
                <w:t>‬</w:t>
              </w:r>
            </w:bdo>
          </w:p>
        </w:tc>
        <w:tc>
          <w:tcPr>
            <w:tcW w:w="2847" w:type="dxa"/>
            <w:tcBorders>
              <w:top w:val="single" w:sz="4" w:space="0" w:color="auto"/>
              <w:left w:val="single" w:sz="4" w:space="0" w:color="auto"/>
              <w:bottom w:val="single" w:sz="4" w:space="0" w:color="auto"/>
              <w:right w:val="single" w:sz="4" w:space="0" w:color="auto"/>
            </w:tcBorders>
          </w:tcPr>
          <w:p w14:paraId="463839C1" w14:textId="77777777" w:rsidR="00777EEF" w:rsidRPr="003865D3" w:rsidRDefault="00777EEF" w:rsidP="00E123D8">
            <w:pPr>
              <w:spacing w:line="240" w:lineRule="auto"/>
              <w:ind w:firstLine="40"/>
              <w:rPr>
                <w:sz w:val="20"/>
                <w:szCs w:val="20"/>
              </w:rPr>
            </w:pPr>
            <w:r w:rsidRPr="003865D3">
              <w:rPr>
                <w:sz w:val="20"/>
                <w:szCs w:val="20"/>
              </w:rPr>
              <w:t xml:space="preserve">No more than </w:t>
            </w:r>
            <w:r>
              <w:rPr>
                <w:sz w:val="20"/>
                <w:szCs w:val="20"/>
              </w:rPr>
              <w:t>2.5</w:t>
            </w:r>
            <w:r w:rsidRPr="003865D3">
              <w:rPr>
                <w:sz w:val="20"/>
                <w:szCs w:val="20"/>
              </w:rPr>
              <w:t>% of the BUILD Program’s $80 million budget</w:t>
            </w:r>
          </w:p>
        </w:tc>
      </w:tr>
      <w:tr w:rsidR="00777EEF" w:rsidRPr="003865D3" w14:paraId="749705AC" w14:textId="77777777" w:rsidTr="00E123D8">
        <w:trPr>
          <w:jc w:val="center"/>
        </w:trPr>
        <w:tc>
          <w:tcPr>
            <w:tcW w:w="2846" w:type="dxa"/>
            <w:tcBorders>
              <w:top w:val="single" w:sz="4" w:space="0" w:color="auto"/>
              <w:left w:val="single" w:sz="4" w:space="0" w:color="auto"/>
              <w:bottom w:val="single" w:sz="4" w:space="0" w:color="auto"/>
              <w:right w:val="single" w:sz="4" w:space="0" w:color="auto"/>
            </w:tcBorders>
          </w:tcPr>
          <w:p w14:paraId="59B89E96" w14:textId="77777777" w:rsidR="00777EEF" w:rsidRPr="003865D3" w:rsidRDefault="00777EEF" w:rsidP="00E123D8">
            <w:pPr>
              <w:spacing w:line="240" w:lineRule="auto"/>
              <w:ind w:firstLine="0"/>
              <w:jc w:val="center"/>
              <w:rPr>
                <w:b/>
                <w:bCs/>
                <w:sz w:val="20"/>
                <w:szCs w:val="20"/>
              </w:rPr>
            </w:pPr>
            <w:r w:rsidRPr="003865D3">
              <w:rPr>
                <w:b/>
                <w:bCs/>
                <w:sz w:val="20"/>
                <w:szCs w:val="20"/>
              </w:rPr>
              <w:t>Total</w:t>
            </w:r>
          </w:p>
        </w:tc>
        <w:tc>
          <w:tcPr>
            <w:tcW w:w="2847" w:type="dxa"/>
            <w:tcBorders>
              <w:top w:val="single" w:sz="4" w:space="0" w:color="auto"/>
              <w:left w:val="single" w:sz="4" w:space="0" w:color="auto"/>
              <w:bottom w:val="single" w:sz="4" w:space="0" w:color="auto"/>
              <w:right w:val="single" w:sz="4" w:space="0" w:color="auto"/>
            </w:tcBorders>
          </w:tcPr>
          <w:p w14:paraId="1AA8B83C" w14:textId="77777777" w:rsidR="00777EEF" w:rsidRPr="003865D3" w:rsidRDefault="00777EEF" w:rsidP="00E123D8">
            <w:pPr>
              <w:spacing w:line="240" w:lineRule="auto"/>
              <w:ind w:firstLine="0"/>
              <w:jc w:val="center"/>
              <w:rPr>
                <w:b/>
                <w:bCs/>
                <w:sz w:val="20"/>
                <w:szCs w:val="20"/>
              </w:rPr>
            </w:pPr>
            <w:r w:rsidRPr="003865D3">
              <w:rPr>
                <w:b/>
                <w:bCs/>
                <w:sz w:val="20"/>
                <w:szCs w:val="20"/>
              </w:rPr>
              <w:t>$80,000,000</w:t>
            </w:r>
          </w:p>
        </w:tc>
        <w:tc>
          <w:tcPr>
            <w:tcW w:w="2847" w:type="dxa"/>
            <w:tcBorders>
              <w:top w:val="single" w:sz="4" w:space="0" w:color="auto"/>
              <w:left w:val="single" w:sz="4" w:space="0" w:color="auto"/>
              <w:bottom w:val="single" w:sz="4" w:space="0" w:color="auto"/>
              <w:right w:val="single" w:sz="4" w:space="0" w:color="auto"/>
            </w:tcBorders>
          </w:tcPr>
          <w:p w14:paraId="55B0A42C" w14:textId="77777777" w:rsidR="00777EEF" w:rsidRPr="003865D3" w:rsidRDefault="00777EEF" w:rsidP="00E123D8">
            <w:pPr>
              <w:spacing w:line="240" w:lineRule="auto"/>
              <w:ind w:firstLine="0"/>
              <w:jc w:val="center"/>
              <w:rPr>
                <w:b/>
                <w:bCs/>
                <w:sz w:val="20"/>
                <w:szCs w:val="20"/>
              </w:rPr>
            </w:pPr>
            <w:r w:rsidRPr="003865D3">
              <w:rPr>
                <w:b/>
                <w:bCs/>
                <w:sz w:val="20"/>
                <w:szCs w:val="20"/>
              </w:rPr>
              <w:t>100%</w:t>
            </w:r>
          </w:p>
        </w:tc>
      </w:tr>
    </w:tbl>
    <w:p w14:paraId="7AFF992B" w14:textId="77777777" w:rsidR="00777EEF" w:rsidRPr="00892CFD" w:rsidRDefault="00777EEF" w:rsidP="00897CF1">
      <w:pPr>
        <w:pStyle w:val="Standard"/>
        <w:ind w:firstLine="0"/>
        <w:rPr>
          <w:sz w:val="12"/>
          <w:szCs w:val="12"/>
        </w:rPr>
      </w:pPr>
    </w:p>
    <w:p w14:paraId="54505D79" w14:textId="0B307E02" w:rsidR="00777EEF" w:rsidRDefault="003E6FAB" w:rsidP="00897CF1">
      <w:pPr>
        <w:pStyle w:val="Standard"/>
      </w:pPr>
      <w:r>
        <w:t>The TECH Initiative is allocated 60 percent of the $200 million (</w:t>
      </w:r>
      <w:r w:rsidR="00831E4C">
        <w:rPr>
          <w:i/>
        </w:rPr>
        <w:t>i.e.,</w:t>
      </w:r>
      <w:r>
        <w:t xml:space="preserve"> $120</w:t>
      </w:r>
      <w:r w:rsidR="00727611">
        <w:t> </w:t>
      </w:r>
      <w:r>
        <w:t>million) authorized for the two pilot programs under SB 1477.  Table 2 below summarizes the four-year budgetary allocation for the TECH Initiative:</w:t>
      </w:r>
    </w:p>
    <w:p w14:paraId="430B0E5D" w14:textId="4CD8A910" w:rsidR="00777EEF" w:rsidRPr="00727611" w:rsidRDefault="00777EEF" w:rsidP="003E6FAB">
      <w:pPr>
        <w:pStyle w:val="Standard"/>
        <w:rPr>
          <w:sz w:val="12"/>
          <w:szCs w:val="12"/>
        </w:rPr>
      </w:pPr>
    </w:p>
    <w:tbl>
      <w:tblPr>
        <w:tblStyle w:val="TableGrid"/>
        <w:tblW w:w="8540" w:type="dxa"/>
        <w:jc w:val="center"/>
        <w:tblLook w:val="04A0" w:firstRow="1" w:lastRow="0" w:firstColumn="1" w:lastColumn="0" w:noHBand="0" w:noVBand="1"/>
      </w:tblPr>
      <w:tblGrid>
        <w:gridCol w:w="2846"/>
        <w:gridCol w:w="2847"/>
        <w:gridCol w:w="2847"/>
      </w:tblGrid>
      <w:tr w:rsidR="00777EEF" w:rsidRPr="003865D3" w14:paraId="10852F3A" w14:textId="77777777" w:rsidTr="00E123D8">
        <w:trPr>
          <w:jc w:val="center"/>
        </w:trPr>
        <w:tc>
          <w:tcPr>
            <w:tcW w:w="8540" w:type="dxa"/>
            <w:gridSpan w:val="3"/>
            <w:tcBorders>
              <w:top w:val="single" w:sz="4" w:space="0" w:color="auto"/>
              <w:left w:val="single" w:sz="4" w:space="0" w:color="auto"/>
              <w:bottom w:val="single" w:sz="4" w:space="0" w:color="auto"/>
              <w:right w:val="single" w:sz="4" w:space="0" w:color="auto"/>
            </w:tcBorders>
          </w:tcPr>
          <w:p w14:paraId="17C58B7E" w14:textId="5F1AD0AC" w:rsidR="00777EEF" w:rsidRPr="003865D3" w:rsidRDefault="00777EEF" w:rsidP="00E123D8">
            <w:pPr>
              <w:keepNext/>
              <w:keepLines/>
              <w:spacing w:line="240" w:lineRule="auto"/>
              <w:jc w:val="center"/>
              <w:rPr>
                <w:b/>
                <w:bCs/>
                <w:sz w:val="20"/>
                <w:szCs w:val="20"/>
                <w:u w:val="single"/>
              </w:rPr>
            </w:pPr>
            <w:r w:rsidRPr="003865D3">
              <w:rPr>
                <w:b/>
                <w:bCs/>
                <w:sz w:val="20"/>
                <w:szCs w:val="20"/>
                <w:u w:val="single"/>
              </w:rPr>
              <w:t>Table 2: TECH Initiative Budget</w:t>
            </w:r>
          </w:p>
        </w:tc>
      </w:tr>
      <w:tr w:rsidR="00777EEF" w:rsidRPr="003865D3" w14:paraId="224E73CA" w14:textId="77777777" w:rsidTr="00E123D8">
        <w:trPr>
          <w:jc w:val="center"/>
        </w:trPr>
        <w:tc>
          <w:tcPr>
            <w:tcW w:w="2846" w:type="dxa"/>
            <w:tcBorders>
              <w:top w:val="single" w:sz="4" w:space="0" w:color="auto"/>
              <w:left w:val="single" w:sz="4" w:space="0" w:color="auto"/>
              <w:bottom w:val="single" w:sz="4" w:space="0" w:color="auto"/>
              <w:right w:val="single" w:sz="4" w:space="0" w:color="auto"/>
            </w:tcBorders>
          </w:tcPr>
          <w:p w14:paraId="60717E5D" w14:textId="77777777" w:rsidR="00777EEF" w:rsidRPr="003865D3" w:rsidRDefault="00777EEF" w:rsidP="00E123D8">
            <w:pPr>
              <w:keepNext/>
              <w:keepLines/>
              <w:spacing w:line="240" w:lineRule="auto"/>
              <w:rPr>
                <w:b/>
                <w:bCs/>
                <w:sz w:val="20"/>
                <w:szCs w:val="20"/>
              </w:rPr>
            </w:pPr>
            <w:r w:rsidRPr="003865D3">
              <w:rPr>
                <w:b/>
                <w:bCs/>
                <w:sz w:val="20"/>
                <w:szCs w:val="20"/>
              </w:rPr>
              <w:t>Budget Item</w:t>
            </w:r>
          </w:p>
        </w:tc>
        <w:tc>
          <w:tcPr>
            <w:tcW w:w="2847" w:type="dxa"/>
            <w:tcBorders>
              <w:top w:val="single" w:sz="4" w:space="0" w:color="auto"/>
              <w:left w:val="single" w:sz="4" w:space="0" w:color="auto"/>
              <w:bottom w:val="single" w:sz="4" w:space="0" w:color="auto"/>
              <w:right w:val="single" w:sz="4" w:space="0" w:color="auto"/>
            </w:tcBorders>
          </w:tcPr>
          <w:p w14:paraId="7D099BC2" w14:textId="77777777" w:rsidR="00777EEF" w:rsidRPr="003865D3" w:rsidRDefault="00777EEF" w:rsidP="00E123D8">
            <w:pPr>
              <w:spacing w:line="240" w:lineRule="auto"/>
              <w:rPr>
                <w:b/>
                <w:bCs/>
                <w:sz w:val="20"/>
                <w:szCs w:val="20"/>
              </w:rPr>
            </w:pPr>
            <w:r w:rsidRPr="003865D3">
              <w:rPr>
                <w:b/>
                <w:bCs/>
                <w:sz w:val="20"/>
                <w:szCs w:val="20"/>
              </w:rPr>
              <w:t>Amount</w:t>
            </w:r>
          </w:p>
        </w:tc>
        <w:tc>
          <w:tcPr>
            <w:tcW w:w="2847" w:type="dxa"/>
            <w:tcBorders>
              <w:top w:val="single" w:sz="4" w:space="0" w:color="auto"/>
              <w:left w:val="single" w:sz="4" w:space="0" w:color="auto"/>
              <w:bottom w:val="single" w:sz="4" w:space="0" w:color="auto"/>
              <w:right w:val="single" w:sz="4" w:space="0" w:color="auto"/>
            </w:tcBorders>
          </w:tcPr>
          <w:p w14:paraId="74A969D8" w14:textId="77777777" w:rsidR="00777EEF" w:rsidRPr="003865D3" w:rsidRDefault="00777EEF" w:rsidP="00E123D8">
            <w:pPr>
              <w:spacing w:line="240" w:lineRule="auto"/>
              <w:rPr>
                <w:b/>
                <w:bCs/>
                <w:sz w:val="20"/>
                <w:szCs w:val="20"/>
              </w:rPr>
            </w:pPr>
            <w:r w:rsidRPr="003865D3">
              <w:rPr>
                <w:b/>
                <w:bCs/>
                <w:sz w:val="20"/>
                <w:szCs w:val="20"/>
              </w:rPr>
              <w:t>Notes</w:t>
            </w:r>
          </w:p>
        </w:tc>
      </w:tr>
      <w:tr w:rsidR="00777EEF" w:rsidRPr="003865D3" w14:paraId="2B01F819" w14:textId="77777777" w:rsidTr="00E123D8">
        <w:trPr>
          <w:jc w:val="center"/>
        </w:trPr>
        <w:tc>
          <w:tcPr>
            <w:tcW w:w="2846" w:type="dxa"/>
            <w:tcBorders>
              <w:top w:val="single" w:sz="4" w:space="0" w:color="auto"/>
              <w:left w:val="single" w:sz="4" w:space="0" w:color="auto"/>
              <w:bottom w:val="single" w:sz="4" w:space="0" w:color="auto"/>
              <w:right w:val="single" w:sz="4" w:space="0" w:color="auto"/>
            </w:tcBorders>
          </w:tcPr>
          <w:p w14:paraId="36BCCAA6" w14:textId="77777777" w:rsidR="00777EEF" w:rsidRPr="003865D3" w:rsidRDefault="00777EEF" w:rsidP="00E123D8">
            <w:pPr>
              <w:keepNext/>
              <w:keepLines/>
              <w:spacing w:line="240" w:lineRule="auto"/>
              <w:jc w:val="center"/>
              <w:rPr>
                <w:sz w:val="20"/>
                <w:szCs w:val="20"/>
              </w:rPr>
            </w:pPr>
            <w:r w:rsidRPr="003865D3">
              <w:rPr>
                <w:sz w:val="20"/>
                <w:szCs w:val="20"/>
              </w:rPr>
              <w:t>Program Costs</w:t>
            </w:r>
          </w:p>
        </w:tc>
        <w:tc>
          <w:tcPr>
            <w:tcW w:w="2847" w:type="dxa"/>
            <w:tcBorders>
              <w:top w:val="single" w:sz="4" w:space="0" w:color="auto"/>
              <w:left w:val="single" w:sz="4" w:space="0" w:color="auto"/>
              <w:bottom w:val="single" w:sz="4" w:space="0" w:color="auto"/>
              <w:right w:val="single" w:sz="4" w:space="0" w:color="auto"/>
            </w:tcBorders>
          </w:tcPr>
          <w:p w14:paraId="03B719FA" w14:textId="77777777" w:rsidR="00777EEF" w:rsidRPr="003865D3" w:rsidRDefault="00777EEF" w:rsidP="00E123D8">
            <w:pPr>
              <w:spacing w:line="240" w:lineRule="auto"/>
              <w:jc w:val="center"/>
              <w:rPr>
                <w:sz w:val="20"/>
                <w:szCs w:val="20"/>
              </w:rPr>
            </w:pPr>
            <w:r w:rsidRPr="003865D3">
              <w:rPr>
                <w:sz w:val="20"/>
                <w:szCs w:val="20"/>
              </w:rPr>
              <w:t>$</w:t>
            </w:r>
            <w:r>
              <w:rPr>
                <w:sz w:val="20"/>
                <w:szCs w:val="20"/>
              </w:rPr>
              <w:t>103,800,000</w:t>
            </w:r>
          </w:p>
        </w:tc>
        <w:tc>
          <w:tcPr>
            <w:tcW w:w="2847" w:type="dxa"/>
            <w:tcBorders>
              <w:top w:val="single" w:sz="4" w:space="0" w:color="auto"/>
              <w:left w:val="single" w:sz="4" w:space="0" w:color="auto"/>
              <w:bottom w:val="single" w:sz="4" w:space="0" w:color="auto"/>
              <w:right w:val="single" w:sz="4" w:space="0" w:color="auto"/>
            </w:tcBorders>
          </w:tcPr>
          <w:p w14:paraId="226C2CDE" w14:textId="77777777" w:rsidR="00777EEF" w:rsidRPr="003865D3" w:rsidRDefault="00777EEF" w:rsidP="00E123D8">
            <w:pPr>
              <w:spacing w:line="240" w:lineRule="auto"/>
              <w:ind w:firstLine="0"/>
              <w:rPr>
                <w:sz w:val="20"/>
                <w:szCs w:val="20"/>
              </w:rPr>
            </w:pPr>
            <w:r w:rsidRPr="003865D3">
              <w:rPr>
                <w:sz w:val="20"/>
                <w:szCs w:val="20"/>
              </w:rPr>
              <w:t xml:space="preserve">No less than </w:t>
            </w:r>
            <w:r>
              <w:rPr>
                <w:sz w:val="20"/>
                <w:szCs w:val="20"/>
              </w:rPr>
              <w:t>86.5</w:t>
            </w:r>
            <w:r w:rsidRPr="003865D3">
              <w:rPr>
                <w:sz w:val="20"/>
                <w:szCs w:val="20"/>
              </w:rPr>
              <w:t>% of the TECH Initiative’s $120 million budget</w:t>
            </w:r>
          </w:p>
        </w:tc>
      </w:tr>
      <w:tr w:rsidR="00777EEF" w:rsidRPr="003865D3" w14:paraId="79721360" w14:textId="77777777" w:rsidTr="00E123D8">
        <w:trPr>
          <w:jc w:val="center"/>
        </w:trPr>
        <w:tc>
          <w:tcPr>
            <w:tcW w:w="2846" w:type="dxa"/>
            <w:tcBorders>
              <w:top w:val="single" w:sz="4" w:space="0" w:color="auto"/>
              <w:left w:val="single" w:sz="4" w:space="0" w:color="auto"/>
              <w:bottom w:val="single" w:sz="4" w:space="0" w:color="auto"/>
              <w:right w:val="single" w:sz="4" w:space="0" w:color="auto"/>
            </w:tcBorders>
          </w:tcPr>
          <w:p w14:paraId="05979A72" w14:textId="77777777" w:rsidR="00777EEF" w:rsidRPr="003865D3" w:rsidRDefault="00777EEF" w:rsidP="00E123D8">
            <w:pPr>
              <w:keepNext/>
              <w:keepLines/>
              <w:spacing w:line="240" w:lineRule="auto"/>
              <w:jc w:val="center"/>
              <w:rPr>
                <w:sz w:val="20"/>
                <w:szCs w:val="20"/>
              </w:rPr>
            </w:pPr>
            <w:r w:rsidRPr="003865D3">
              <w:rPr>
                <w:sz w:val="20"/>
                <w:szCs w:val="20"/>
              </w:rPr>
              <w:t>Administrative Costs (Implementer)</w:t>
            </w:r>
          </w:p>
        </w:tc>
        <w:tc>
          <w:tcPr>
            <w:tcW w:w="2847" w:type="dxa"/>
            <w:tcBorders>
              <w:top w:val="single" w:sz="4" w:space="0" w:color="auto"/>
              <w:left w:val="single" w:sz="4" w:space="0" w:color="auto"/>
              <w:bottom w:val="single" w:sz="4" w:space="0" w:color="auto"/>
              <w:right w:val="single" w:sz="4" w:space="0" w:color="auto"/>
            </w:tcBorders>
          </w:tcPr>
          <w:p w14:paraId="240CC635" w14:textId="77777777" w:rsidR="00777EEF" w:rsidRPr="003865D3" w:rsidRDefault="00777EEF" w:rsidP="00E123D8">
            <w:pPr>
              <w:spacing w:line="240" w:lineRule="auto"/>
              <w:jc w:val="center"/>
              <w:rPr>
                <w:sz w:val="20"/>
                <w:szCs w:val="20"/>
              </w:rPr>
            </w:pPr>
            <w:r w:rsidRPr="003865D3">
              <w:rPr>
                <w:sz w:val="20"/>
                <w:szCs w:val="20"/>
              </w:rPr>
              <w:t>$</w:t>
            </w:r>
            <w:r>
              <w:rPr>
                <w:sz w:val="20"/>
                <w:szCs w:val="20"/>
              </w:rPr>
              <w:t>12,000,000</w:t>
            </w:r>
          </w:p>
        </w:tc>
        <w:tc>
          <w:tcPr>
            <w:tcW w:w="2847" w:type="dxa"/>
            <w:tcBorders>
              <w:top w:val="single" w:sz="4" w:space="0" w:color="auto"/>
              <w:left w:val="single" w:sz="4" w:space="0" w:color="auto"/>
              <w:bottom w:val="single" w:sz="4" w:space="0" w:color="auto"/>
              <w:right w:val="single" w:sz="4" w:space="0" w:color="auto"/>
            </w:tcBorders>
          </w:tcPr>
          <w:p w14:paraId="191C9AF9" w14:textId="77777777" w:rsidR="00777EEF" w:rsidRPr="003865D3" w:rsidRDefault="00777EEF" w:rsidP="00E123D8">
            <w:pPr>
              <w:spacing w:line="240" w:lineRule="auto"/>
              <w:ind w:firstLine="0"/>
              <w:rPr>
                <w:sz w:val="20"/>
                <w:szCs w:val="20"/>
              </w:rPr>
            </w:pPr>
            <w:r w:rsidRPr="003865D3">
              <w:rPr>
                <w:sz w:val="20"/>
                <w:szCs w:val="20"/>
              </w:rPr>
              <w:t xml:space="preserve">No more than </w:t>
            </w:r>
            <w:r>
              <w:rPr>
                <w:sz w:val="20"/>
                <w:szCs w:val="20"/>
              </w:rPr>
              <w:t>10</w:t>
            </w:r>
            <w:r w:rsidRPr="003865D3">
              <w:rPr>
                <w:sz w:val="20"/>
                <w:szCs w:val="20"/>
              </w:rPr>
              <w:t>% of the TECH Initiative’s $120 million budget</w:t>
            </w:r>
          </w:p>
        </w:tc>
      </w:tr>
      <w:tr w:rsidR="00777EEF" w:rsidRPr="003865D3" w14:paraId="58E249B9" w14:textId="77777777" w:rsidTr="00E123D8">
        <w:trPr>
          <w:jc w:val="center"/>
        </w:trPr>
        <w:tc>
          <w:tcPr>
            <w:tcW w:w="2846" w:type="dxa"/>
            <w:tcBorders>
              <w:top w:val="single" w:sz="4" w:space="0" w:color="auto"/>
              <w:left w:val="single" w:sz="4" w:space="0" w:color="auto"/>
              <w:bottom w:val="single" w:sz="4" w:space="0" w:color="auto"/>
              <w:right w:val="single" w:sz="4" w:space="0" w:color="auto"/>
            </w:tcBorders>
          </w:tcPr>
          <w:p w14:paraId="285E50AC" w14:textId="77777777" w:rsidR="00777EEF" w:rsidRPr="003865D3" w:rsidRDefault="00777EEF" w:rsidP="00E123D8">
            <w:pPr>
              <w:keepNext/>
              <w:keepLines/>
              <w:spacing w:line="240" w:lineRule="auto"/>
              <w:jc w:val="center"/>
              <w:rPr>
                <w:sz w:val="20"/>
                <w:szCs w:val="20"/>
              </w:rPr>
            </w:pPr>
            <w:r w:rsidRPr="003865D3">
              <w:rPr>
                <w:sz w:val="20"/>
                <w:szCs w:val="20"/>
              </w:rPr>
              <w:t>Administrative Costs (Contracting Agent)</w:t>
            </w:r>
          </w:p>
        </w:tc>
        <w:tc>
          <w:tcPr>
            <w:tcW w:w="2847" w:type="dxa"/>
            <w:tcBorders>
              <w:top w:val="single" w:sz="4" w:space="0" w:color="auto"/>
              <w:left w:val="single" w:sz="4" w:space="0" w:color="auto"/>
              <w:bottom w:val="single" w:sz="4" w:space="0" w:color="auto"/>
              <w:right w:val="single" w:sz="4" w:space="0" w:color="auto"/>
            </w:tcBorders>
          </w:tcPr>
          <w:p w14:paraId="4549A7A2" w14:textId="77777777" w:rsidR="00777EEF" w:rsidRPr="003865D3" w:rsidRDefault="00777EEF" w:rsidP="00E123D8">
            <w:pPr>
              <w:spacing w:line="240" w:lineRule="auto"/>
              <w:jc w:val="center"/>
              <w:rPr>
                <w:sz w:val="20"/>
                <w:szCs w:val="20"/>
              </w:rPr>
            </w:pPr>
            <w:r w:rsidRPr="003865D3">
              <w:rPr>
                <w:sz w:val="20"/>
                <w:szCs w:val="20"/>
              </w:rPr>
              <w:t>$1,200,000</w:t>
            </w:r>
          </w:p>
        </w:tc>
        <w:tc>
          <w:tcPr>
            <w:tcW w:w="2847" w:type="dxa"/>
            <w:tcBorders>
              <w:top w:val="single" w:sz="4" w:space="0" w:color="auto"/>
              <w:left w:val="single" w:sz="4" w:space="0" w:color="auto"/>
              <w:bottom w:val="single" w:sz="4" w:space="0" w:color="auto"/>
              <w:right w:val="single" w:sz="4" w:space="0" w:color="auto"/>
            </w:tcBorders>
          </w:tcPr>
          <w:p w14:paraId="35B0C0D4" w14:textId="77777777" w:rsidR="00777EEF" w:rsidRPr="003865D3" w:rsidRDefault="00777EEF" w:rsidP="00E123D8">
            <w:pPr>
              <w:spacing w:line="240" w:lineRule="auto"/>
              <w:ind w:firstLine="0"/>
              <w:rPr>
                <w:sz w:val="20"/>
                <w:szCs w:val="20"/>
              </w:rPr>
            </w:pPr>
            <w:r w:rsidRPr="003865D3">
              <w:rPr>
                <w:sz w:val="20"/>
                <w:szCs w:val="20"/>
              </w:rPr>
              <w:t>No more than 1% of the TECH Initiative’s $120 million budget</w:t>
            </w:r>
          </w:p>
        </w:tc>
      </w:tr>
      <w:tr w:rsidR="00777EEF" w:rsidRPr="003865D3" w14:paraId="49037E4E" w14:textId="77777777" w:rsidTr="00E123D8">
        <w:trPr>
          <w:jc w:val="center"/>
        </w:trPr>
        <w:tc>
          <w:tcPr>
            <w:tcW w:w="2846" w:type="dxa"/>
            <w:tcBorders>
              <w:top w:val="single" w:sz="4" w:space="0" w:color="auto"/>
              <w:left w:val="single" w:sz="4" w:space="0" w:color="auto"/>
              <w:bottom w:val="single" w:sz="4" w:space="0" w:color="auto"/>
              <w:right w:val="single" w:sz="4" w:space="0" w:color="auto"/>
            </w:tcBorders>
          </w:tcPr>
          <w:p w14:paraId="7C332DB2" w14:textId="77777777" w:rsidR="00777EEF" w:rsidRPr="003865D3" w:rsidRDefault="00777EEF" w:rsidP="00E123D8">
            <w:pPr>
              <w:keepNext/>
              <w:keepLines/>
              <w:spacing w:line="240" w:lineRule="auto"/>
              <w:jc w:val="center"/>
              <w:rPr>
                <w:sz w:val="20"/>
                <w:szCs w:val="20"/>
              </w:rPr>
            </w:pPr>
            <w:r w:rsidRPr="003865D3">
              <w:rPr>
                <w:sz w:val="20"/>
                <w:szCs w:val="20"/>
              </w:rPr>
              <w:t>Joint Evaluation Cost Share</w:t>
            </w:r>
          </w:p>
        </w:tc>
        <w:tc>
          <w:tcPr>
            <w:tcW w:w="2847" w:type="dxa"/>
            <w:tcBorders>
              <w:top w:val="single" w:sz="4" w:space="0" w:color="auto"/>
              <w:left w:val="single" w:sz="4" w:space="0" w:color="auto"/>
              <w:bottom w:val="single" w:sz="4" w:space="0" w:color="auto"/>
              <w:right w:val="single" w:sz="4" w:space="0" w:color="auto"/>
            </w:tcBorders>
          </w:tcPr>
          <w:p w14:paraId="526D10A8" w14:textId="77777777" w:rsidR="00777EEF" w:rsidRPr="003865D3" w:rsidRDefault="00777EEF" w:rsidP="00E123D8">
            <w:pPr>
              <w:spacing w:line="240" w:lineRule="auto"/>
              <w:jc w:val="center"/>
              <w:rPr>
                <w:sz w:val="20"/>
                <w:szCs w:val="20"/>
              </w:rPr>
            </w:pPr>
            <w:r w:rsidRPr="003865D3">
              <w:rPr>
                <w:sz w:val="20"/>
                <w:szCs w:val="20"/>
              </w:rPr>
              <w:t>$</w:t>
            </w:r>
            <w:r>
              <w:rPr>
                <w:sz w:val="20"/>
                <w:szCs w:val="20"/>
              </w:rPr>
              <w:t>3,000,000</w:t>
            </w:r>
          </w:p>
        </w:tc>
        <w:tc>
          <w:tcPr>
            <w:tcW w:w="2847" w:type="dxa"/>
            <w:tcBorders>
              <w:top w:val="single" w:sz="4" w:space="0" w:color="auto"/>
              <w:left w:val="single" w:sz="4" w:space="0" w:color="auto"/>
              <w:bottom w:val="single" w:sz="4" w:space="0" w:color="auto"/>
              <w:right w:val="single" w:sz="4" w:space="0" w:color="auto"/>
            </w:tcBorders>
          </w:tcPr>
          <w:p w14:paraId="3D24D4C6" w14:textId="77777777" w:rsidR="00777EEF" w:rsidRPr="003865D3" w:rsidRDefault="00777EEF" w:rsidP="00E123D8">
            <w:pPr>
              <w:spacing w:line="240" w:lineRule="auto"/>
              <w:ind w:firstLine="0"/>
              <w:rPr>
                <w:sz w:val="20"/>
                <w:szCs w:val="20"/>
              </w:rPr>
            </w:pPr>
            <w:r w:rsidRPr="003865D3">
              <w:rPr>
                <w:sz w:val="20"/>
                <w:szCs w:val="20"/>
              </w:rPr>
              <w:t xml:space="preserve">No more than </w:t>
            </w:r>
            <w:r>
              <w:rPr>
                <w:sz w:val="20"/>
                <w:szCs w:val="20"/>
              </w:rPr>
              <w:t>2.5</w:t>
            </w:r>
            <w:r w:rsidRPr="003865D3">
              <w:rPr>
                <w:sz w:val="20"/>
                <w:szCs w:val="20"/>
              </w:rPr>
              <w:t>% of the TECH Initiative’s $120 million budget</w:t>
            </w:r>
          </w:p>
        </w:tc>
      </w:tr>
      <w:tr w:rsidR="00777EEF" w:rsidRPr="003865D3" w14:paraId="45A55413" w14:textId="77777777" w:rsidTr="00E123D8">
        <w:trPr>
          <w:jc w:val="center"/>
        </w:trPr>
        <w:tc>
          <w:tcPr>
            <w:tcW w:w="2846" w:type="dxa"/>
            <w:tcBorders>
              <w:top w:val="single" w:sz="4" w:space="0" w:color="auto"/>
              <w:left w:val="single" w:sz="4" w:space="0" w:color="auto"/>
              <w:bottom w:val="single" w:sz="4" w:space="0" w:color="auto"/>
              <w:right w:val="single" w:sz="4" w:space="0" w:color="auto"/>
            </w:tcBorders>
          </w:tcPr>
          <w:p w14:paraId="26115007" w14:textId="77777777" w:rsidR="00777EEF" w:rsidRPr="003865D3" w:rsidRDefault="00777EEF" w:rsidP="00E123D8">
            <w:pPr>
              <w:spacing w:line="240" w:lineRule="auto"/>
              <w:jc w:val="center"/>
              <w:rPr>
                <w:b/>
                <w:bCs/>
                <w:sz w:val="20"/>
                <w:szCs w:val="20"/>
              </w:rPr>
            </w:pPr>
            <w:r w:rsidRPr="003865D3">
              <w:rPr>
                <w:b/>
                <w:bCs/>
                <w:sz w:val="20"/>
                <w:szCs w:val="20"/>
              </w:rPr>
              <w:t>Total</w:t>
            </w:r>
          </w:p>
        </w:tc>
        <w:tc>
          <w:tcPr>
            <w:tcW w:w="2847" w:type="dxa"/>
            <w:tcBorders>
              <w:top w:val="single" w:sz="4" w:space="0" w:color="auto"/>
              <w:left w:val="single" w:sz="4" w:space="0" w:color="auto"/>
              <w:bottom w:val="single" w:sz="4" w:space="0" w:color="auto"/>
              <w:right w:val="single" w:sz="4" w:space="0" w:color="auto"/>
            </w:tcBorders>
          </w:tcPr>
          <w:p w14:paraId="0137E048" w14:textId="77777777" w:rsidR="00777EEF" w:rsidRPr="003865D3" w:rsidRDefault="00777EEF" w:rsidP="00E123D8">
            <w:pPr>
              <w:spacing w:line="240" w:lineRule="auto"/>
              <w:jc w:val="center"/>
              <w:rPr>
                <w:b/>
                <w:bCs/>
                <w:sz w:val="20"/>
                <w:szCs w:val="20"/>
              </w:rPr>
            </w:pPr>
            <w:r w:rsidRPr="003865D3">
              <w:rPr>
                <w:b/>
                <w:bCs/>
                <w:sz w:val="20"/>
                <w:szCs w:val="20"/>
              </w:rPr>
              <w:t>$120,000,000</w:t>
            </w:r>
          </w:p>
        </w:tc>
        <w:tc>
          <w:tcPr>
            <w:tcW w:w="2847" w:type="dxa"/>
            <w:tcBorders>
              <w:top w:val="single" w:sz="4" w:space="0" w:color="auto"/>
              <w:left w:val="single" w:sz="4" w:space="0" w:color="auto"/>
              <w:bottom w:val="single" w:sz="4" w:space="0" w:color="auto"/>
              <w:right w:val="single" w:sz="4" w:space="0" w:color="auto"/>
            </w:tcBorders>
          </w:tcPr>
          <w:p w14:paraId="57A3E56C" w14:textId="77777777" w:rsidR="00777EEF" w:rsidRPr="003865D3" w:rsidRDefault="00777EEF" w:rsidP="00E123D8">
            <w:pPr>
              <w:spacing w:line="240" w:lineRule="auto"/>
              <w:ind w:firstLine="40"/>
              <w:jc w:val="center"/>
              <w:rPr>
                <w:b/>
                <w:bCs/>
                <w:sz w:val="20"/>
                <w:szCs w:val="20"/>
              </w:rPr>
            </w:pPr>
            <w:r w:rsidRPr="003865D3">
              <w:rPr>
                <w:b/>
                <w:bCs/>
                <w:sz w:val="20"/>
                <w:szCs w:val="20"/>
              </w:rPr>
              <w:t>100%</w:t>
            </w:r>
          </w:p>
        </w:tc>
      </w:tr>
    </w:tbl>
    <w:p w14:paraId="18C5C5AC" w14:textId="65242D86" w:rsidR="003E6FAB" w:rsidRDefault="003E6FAB" w:rsidP="003B12A8">
      <w:pPr>
        <w:pStyle w:val="Heading2"/>
        <w:spacing w:before="240"/>
        <w:rPr>
          <w:b w:val="0"/>
          <w:bCs/>
        </w:rPr>
      </w:pPr>
      <w:bookmarkStart w:id="25" w:name="_Toc32310239"/>
      <w:r>
        <w:lastRenderedPageBreak/>
        <w:t xml:space="preserve">Pilot Program Guidelines, Program Metrics, </w:t>
      </w:r>
      <w:r w:rsidR="0086038F">
        <w:br/>
      </w:r>
      <w:r>
        <w:t>and Performance Evaluation</w:t>
      </w:r>
      <w:bookmarkEnd w:id="25"/>
    </w:p>
    <w:p w14:paraId="763D227C" w14:textId="1C7D994A" w:rsidR="003E6FAB" w:rsidRDefault="003E6FAB" w:rsidP="003E6FAB">
      <w:pPr>
        <w:pStyle w:val="Standard"/>
      </w:pPr>
      <w:r>
        <w:t xml:space="preserve">For the BUILD Program, </w:t>
      </w:r>
      <w:r w:rsidR="00E343E4">
        <w:t>S</w:t>
      </w:r>
      <w:r>
        <w:t>ection 921.1(d)(4)(A) requires that the Commission develop program guidelines that include:</w:t>
      </w:r>
      <w:r w:rsidR="00AA6F2F">
        <w:t xml:space="preserve"> </w:t>
      </w:r>
      <w:r>
        <w:t xml:space="preserve"> (a) a list of eligible technologies; (b) a process for evaluating new technologies; (c) criteria for scoring and selecting projects; and (d) a process and set of metrics by which to evaluate and track results. </w:t>
      </w:r>
    </w:p>
    <w:p w14:paraId="2260E86F" w14:textId="66FDCE49" w:rsidR="003E6FAB" w:rsidRDefault="003E6FAB" w:rsidP="003E6FAB">
      <w:pPr>
        <w:pStyle w:val="Standard"/>
      </w:pPr>
      <w:r>
        <w:t xml:space="preserve"> Section 921.1(d)(4)(B) requires BUILD Program metrics to include, at a minimum: </w:t>
      </w:r>
      <w:r w:rsidR="009F10CE">
        <w:t xml:space="preserve"> </w:t>
      </w:r>
      <w:r>
        <w:t xml:space="preserve">(a) the number of low-emission systems installed in each building type; (b) projected utility bill savings; and (c) cost per metric ton of avoided GHG emissions. </w:t>
      </w:r>
    </w:p>
    <w:p w14:paraId="7AC1A7B0" w14:textId="613824F5" w:rsidR="003E6FAB" w:rsidRDefault="003E6FAB" w:rsidP="003E6FAB">
      <w:pPr>
        <w:pStyle w:val="Standard"/>
      </w:pPr>
      <w:r>
        <w:t xml:space="preserve">For the TECH Initiative, </w:t>
      </w:r>
      <w:r w:rsidR="00E343E4">
        <w:t>S</w:t>
      </w:r>
      <w:r>
        <w:t xml:space="preserve">ections 922(c)(1) and 922(c)(2)(A) requires the </w:t>
      </w:r>
      <w:r w:rsidR="00451261">
        <w:t xml:space="preserve">Commission </w:t>
      </w:r>
      <w:r>
        <w:t>to develop guidelines that include:</w:t>
      </w:r>
      <w:r w:rsidR="00E343E4">
        <w:t xml:space="preserve"> </w:t>
      </w:r>
      <w:r>
        <w:t xml:space="preserve"> (a) a list of eligible technologies; (b) a process for evaluating new technologies; and (c) a process and set of metrics by which to evaluate and track results.</w:t>
      </w:r>
    </w:p>
    <w:p w14:paraId="724B0212" w14:textId="41EEADFC" w:rsidR="003E6FAB" w:rsidRDefault="003E6FAB" w:rsidP="003E6FAB">
      <w:pPr>
        <w:pStyle w:val="Standard"/>
      </w:pPr>
      <w:r>
        <w:t xml:space="preserve">Section 922(c)(2)(B) requires TECH Initiative metrics to include, but not be limited to: </w:t>
      </w:r>
      <w:r w:rsidR="00E343E4">
        <w:t xml:space="preserve"> </w:t>
      </w:r>
      <w:r>
        <w:t xml:space="preserve">(a) the market share for eligible technologies; (b) projected utility bill savings; and (c) the cost per metric ton of avoided </w:t>
      </w:r>
      <w:r w:rsidR="00451261">
        <w:t>GHG</w:t>
      </w:r>
      <w:r>
        <w:t xml:space="preserve"> emissions.</w:t>
      </w:r>
    </w:p>
    <w:p w14:paraId="429B658C" w14:textId="2A5AA3CA" w:rsidR="003E6FAB" w:rsidRDefault="00A0301F" w:rsidP="003E6FAB">
      <w:pPr>
        <w:pStyle w:val="Standard"/>
      </w:pPr>
      <w:r>
        <w:t>In the a</w:t>
      </w:r>
      <w:r w:rsidR="003E6FAB">
        <w:t xml:space="preserve">ssigned Administrative Law Judge’s Ruling issued on July 16, 2019, parties were asked to comment on whether the Staff Proposal’s </w:t>
      </w:r>
      <w:r w:rsidR="00451261">
        <w:t>recommendations pertaining to</w:t>
      </w:r>
      <w:r>
        <w:t xml:space="preserve"> these requirements</w:t>
      </w:r>
      <w:r w:rsidR="002008AF">
        <w:t xml:space="preserve"> </w:t>
      </w:r>
      <w:r>
        <w:t>are</w:t>
      </w:r>
      <w:r w:rsidR="003E6FAB">
        <w:t xml:space="preserve"> reasonable.</w:t>
      </w:r>
    </w:p>
    <w:p w14:paraId="5E93932F" w14:textId="77777777" w:rsidR="003E6FAB" w:rsidRDefault="003E6FAB" w:rsidP="003E6FAB">
      <w:pPr>
        <w:pStyle w:val="Heading3"/>
      </w:pPr>
      <w:bookmarkStart w:id="26" w:name="_Toc32310240"/>
      <w:r>
        <w:t>Staff Proposal Summary</w:t>
      </w:r>
      <w:bookmarkEnd w:id="26"/>
      <w:r>
        <w:t xml:space="preserve"> </w:t>
      </w:r>
    </w:p>
    <w:p w14:paraId="5E825E6B" w14:textId="69F0678D" w:rsidR="003E6FAB" w:rsidRDefault="003E6FAB" w:rsidP="003E6FAB">
      <w:pPr>
        <w:pStyle w:val="Standard"/>
      </w:pPr>
      <w:r>
        <w:t xml:space="preserve">In fulfillment of </w:t>
      </w:r>
      <w:r w:rsidR="00E343E4">
        <w:t>S</w:t>
      </w:r>
      <w:r>
        <w:t xml:space="preserve">ections 921.1(d)(4)(A) and (B), and Sections </w:t>
      </w:r>
      <w:r w:rsidRPr="00CF1643">
        <w:t>922(c)(2)(A)</w:t>
      </w:r>
      <w:r>
        <w:t xml:space="preserve"> and</w:t>
      </w:r>
      <w:r w:rsidRPr="00CF1643">
        <w:t xml:space="preserve"> (B)</w:t>
      </w:r>
      <w:r>
        <w:t>, the Staff Proposal included the following program metrics, in addition to a list of other metrics:</w:t>
      </w:r>
      <w:r w:rsidR="00E343E4">
        <w:t xml:space="preserve"> </w:t>
      </w:r>
      <w:r>
        <w:t xml:space="preserve"> (a) the number of low-emission systems installed in each building type (BUILD Program only); (b) projected utility bill savings; (c) cost per </w:t>
      </w:r>
      <w:r>
        <w:lastRenderedPageBreak/>
        <w:t xml:space="preserve">metric ton of avoided GHG emissions; </w:t>
      </w:r>
      <w:r w:rsidRPr="00CF4B4B">
        <w:t>and (d) market share for eligible technologies (TECH Initiative only).</w:t>
      </w:r>
      <w:r w:rsidRPr="00CF4B4B">
        <w:rPr>
          <w:rStyle w:val="FootnoteReference"/>
        </w:rPr>
        <w:footnoteReference w:id="80"/>
      </w:r>
      <w:r w:rsidRPr="00CF4B4B">
        <w:t xml:space="preserve">  </w:t>
      </w:r>
    </w:p>
    <w:p w14:paraId="4A6D21BC" w14:textId="724A39F9" w:rsidR="003E6FAB" w:rsidDel="006627B4" w:rsidRDefault="003E6FAB" w:rsidP="003E6FAB">
      <w:pPr>
        <w:pStyle w:val="Standard"/>
      </w:pPr>
      <w:r w:rsidRPr="00CF4B4B">
        <w:t xml:space="preserve">The Staff </w:t>
      </w:r>
      <w:r>
        <w:t>P</w:t>
      </w:r>
      <w:r w:rsidRPr="00CF4B4B">
        <w:t>roposal also include</w:t>
      </w:r>
      <w:r>
        <w:t>s</w:t>
      </w:r>
      <w:r w:rsidRPr="00CF4B4B">
        <w:t xml:space="preserve"> a </w:t>
      </w:r>
      <w:r>
        <w:t>number</w:t>
      </w:r>
      <w:r w:rsidRPr="00CF4B4B">
        <w:t xml:space="preserve"> of additional sub-metrics to calculate the cost per metric ton of avoided GHG emissions</w:t>
      </w:r>
      <w:r>
        <w:rPr>
          <w:rStyle w:val="FootnoteReference"/>
        </w:rPr>
        <w:footnoteReference w:id="81"/>
      </w:r>
      <w:r w:rsidRPr="00CF4B4B">
        <w:t xml:space="preserve"> and specifie</w:t>
      </w:r>
      <w:r>
        <w:t>s</w:t>
      </w:r>
      <w:r w:rsidRPr="00CF4B4B">
        <w:t xml:space="preserve"> that program parameters and algorithms applied to calculate the cost per metric ton of avoided GHG emissions should be consistent with the CEC’s approach for </w:t>
      </w:r>
      <w:r w:rsidR="00807D72">
        <w:t xml:space="preserve">the California </w:t>
      </w:r>
      <w:r w:rsidR="00807D72" w:rsidRPr="00DC0DF9">
        <w:t xml:space="preserve">Energy </w:t>
      </w:r>
      <w:r w:rsidR="00807D72">
        <w:t>Code</w:t>
      </w:r>
      <w:r w:rsidRPr="00CF4B4B">
        <w:t xml:space="preserve"> in the 2022 code cycle.</w:t>
      </w:r>
      <w:r>
        <w:rPr>
          <w:rStyle w:val="FootnoteReference"/>
        </w:rPr>
        <w:footnoteReference w:id="82"/>
      </w:r>
      <w:r w:rsidR="00C6198B">
        <w:t xml:space="preserve"> </w:t>
      </w:r>
      <w:r w:rsidR="00757390">
        <w:t xml:space="preserve"> </w:t>
      </w:r>
      <w:r>
        <w:t xml:space="preserve">The Staff Proposal </w:t>
      </w:r>
      <w:r w:rsidR="00807D72">
        <w:t>recommends,</w:t>
      </w:r>
      <w:r>
        <w:t xml:space="preserve"> consistent with </w:t>
      </w:r>
      <w:r w:rsidRPr="000B1B2A">
        <w:t>17</w:t>
      </w:r>
      <w:r w:rsidR="00E343E4">
        <w:t> </w:t>
      </w:r>
      <w:r w:rsidRPr="000B1B2A">
        <w:t>CCR</w:t>
      </w:r>
      <w:r>
        <w:t xml:space="preserve"> Section 95893(e), that each  gas corporation provide the following, annually: </w:t>
      </w:r>
      <w:r w:rsidR="00E343E4">
        <w:t xml:space="preserve"> </w:t>
      </w:r>
      <w:r>
        <w:t xml:space="preserve">(1) total avoided GHG emissions expected from that year’s expenditures (estimated); (2) total expenditures; (3) itemization of administration and outreach expenditures; and (4) </w:t>
      </w:r>
      <w:r w:rsidRPr="00E95994">
        <w:t>description of the na</w:t>
      </w:r>
      <w:r>
        <w:t>ture and purpose of the program</w:t>
      </w:r>
      <w:r w:rsidRPr="00E95994">
        <w:t>.</w:t>
      </w:r>
      <w:r>
        <w:t xml:space="preserve">  Optionally, this description m</w:t>
      </w:r>
      <w:r w:rsidRPr="00E95994">
        <w:t>ay include co-benefits such as health effects of increased indoor air quality.</w:t>
      </w:r>
      <w:r>
        <w:rPr>
          <w:rStyle w:val="FootnoteReference"/>
        </w:rPr>
        <w:footnoteReference w:id="83"/>
      </w:r>
      <w:r>
        <w:rPr>
          <w:rFonts w:ascii="Helvetica" w:eastAsia="Times New Roman" w:hAnsi="Helvetica" w:cs="Times New Roman"/>
          <w:sz w:val="15"/>
          <w:szCs w:val="15"/>
        </w:rPr>
        <w:t xml:space="preserve"> </w:t>
      </w:r>
      <w:r>
        <w:t xml:space="preserve"> </w:t>
      </w:r>
      <w:r w:rsidR="00E343E4">
        <w:t xml:space="preserve"> </w:t>
      </w:r>
      <w:r>
        <w:t>The evaluator will use these metrics to generate regular BUILD Program and TECH Initiative evaluation reports and also provide these reports to the utilities for their annual reports to CARB.</w:t>
      </w:r>
      <w:r>
        <w:rPr>
          <w:rStyle w:val="FootnoteReference"/>
        </w:rPr>
        <w:footnoteReference w:id="84"/>
      </w:r>
      <w:r>
        <w:t xml:space="preserve">  </w:t>
      </w:r>
    </w:p>
    <w:p w14:paraId="57B41498" w14:textId="323018C2" w:rsidR="003E6FAB" w:rsidRDefault="003E6FAB" w:rsidP="003E6FAB">
      <w:pPr>
        <w:pStyle w:val="Standard"/>
      </w:pPr>
      <w:r>
        <w:t>Finally, the Staff Proposal highlighted the importance of providing early feedback through the life of the BUILD Program and TECH Initiative by forming a Project Coordination Group</w:t>
      </w:r>
      <w:r w:rsidR="00807D72">
        <w:t xml:space="preserve"> (PCG)</w:t>
      </w:r>
      <w:r>
        <w:t>.</w:t>
      </w:r>
      <w:r>
        <w:rPr>
          <w:rStyle w:val="FootnoteReference"/>
        </w:rPr>
        <w:footnoteReference w:id="85"/>
      </w:r>
    </w:p>
    <w:p w14:paraId="3286E941" w14:textId="77777777" w:rsidR="003E6FAB" w:rsidRDefault="003E6FAB" w:rsidP="003E6FAB">
      <w:pPr>
        <w:pStyle w:val="Heading3"/>
      </w:pPr>
      <w:bookmarkStart w:id="27" w:name="_Toc32310241"/>
      <w:r>
        <w:lastRenderedPageBreak/>
        <w:t>Parties’ Positions</w:t>
      </w:r>
      <w:bookmarkEnd w:id="27"/>
    </w:p>
    <w:p w14:paraId="7CAF3AE0" w14:textId="7FAF63EB" w:rsidR="003E6FAB" w:rsidRDefault="003E6FAB" w:rsidP="003E6FAB">
      <w:pPr>
        <w:pStyle w:val="Standard"/>
      </w:pPr>
      <w:r>
        <w:t xml:space="preserve">Joint Environmentals disagree with </w:t>
      </w:r>
      <w:r w:rsidR="00831E4C">
        <w:t xml:space="preserve">the </w:t>
      </w:r>
      <w:r>
        <w:t>Staff</w:t>
      </w:r>
      <w:r w:rsidR="00831E4C">
        <w:t xml:space="preserve"> Proposal’s </w:t>
      </w:r>
      <w:r>
        <w:t xml:space="preserve"> </w:t>
      </w:r>
      <w:r w:rsidR="009A7346">
        <w:t xml:space="preserve">recommendation of </w:t>
      </w:r>
      <w:r>
        <w:t xml:space="preserve">GHG emissions intensities using hourly average factors instead of long-run marginal </w:t>
      </w:r>
      <w:r w:rsidR="000A1C02">
        <w:t>factors.</w:t>
      </w:r>
      <w:r w:rsidR="000A1C02">
        <w:rPr>
          <w:rStyle w:val="FootnoteReference"/>
        </w:rPr>
        <w:footnoteReference w:id="86"/>
      </w:r>
      <w:r w:rsidR="000A1C02">
        <w:t xml:space="preserve">  </w:t>
      </w:r>
      <w:r w:rsidR="00807D72">
        <w:t xml:space="preserve">Cal Advocates also disagrees with the metrics recommended in the Staff Proposal. </w:t>
      </w:r>
      <w:r>
        <w:t xml:space="preserve"> Cal Advocates states that the Commission should focus on metrics that will reveal whether the programs are successful in building out a market for low-emissions technologies in California</w:t>
      </w:r>
      <w:bookmarkStart w:id="28" w:name="_Hlk20822785"/>
      <w:r>
        <w:t>.</w:t>
      </w:r>
      <w:r>
        <w:rPr>
          <w:rStyle w:val="FootnoteReference"/>
        </w:rPr>
        <w:footnoteReference w:id="87"/>
      </w:r>
      <w:r>
        <w:t xml:space="preserve">  Cal Advocates recommends using the following:</w:t>
      </w:r>
      <w:r w:rsidR="00120EE0">
        <w:t xml:space="preserve"> </w:t>
      </w:r>
      <w:r>
        <w:t xml:space="preserve"> (1) market share data (</w:t>
      </w:r>
      <w:r w:rsidRPr="00120EE0">
        <w:rPr>
          <w:i/>
          <w:iCs/>
        </w:rPr>
        <w:t>i.e.</w:t>
      </w:r>
      <w:r>
        <w:t xml:space="preserve"> demographic factors) that track both the overall share of various low-emissions technologies and the share of new installations; (2) customer satisfaction; (3) number of workers trained to install each type of technology and size of available skilled workforce; and (4) contractor performance</w:t>
      </w:r>
      <w:bookmarkEnd w:id="28"/>
      <w:r>
        <w:t>.</w:t>
      </w:r>
      <w:r>
        <w:rPr>
          <w:rStyle w:val="FootnoteReference"/>
        </w:rPr>
        <w:footnoteReference w:id="88"/>
      </w:r>
      <w:r>
        <w:t xml:space="preserve">  </w:t>
      </w:r>
    </w:p>
    <w:p w14:paraId="6972A287" w14:textId="0A845383" w:rsidR="003E6FAB" w:rsidRDefault="003E6FAB" w:rsidP="003E6FAB">
      <w:pPr>
        <w:pStyle w:val="Standard"/>
      </w:pPr>
      <w:bookmarkStart w:id="29" w:name="_Hlk20822814"/>
      <w:r>
        <w:t>Wild Tree Foundation states that GHG metrics must include full life cycle of replaced and replacement appliances.</w:t>
      </w:r>
      <w:r>
        <w:rPr>
          <w:rStyle w:val="FootnoteReference"/>
        </w:rPr>
        <w:footnoteReference w:id="89"/>
      </w:r>
      <w:r>
        <w:t xml:space="preserve">  W</w:t>
      </w:r>
      <w:r w:rsidR="00E50745">
        <w:t xml:space="preserve">ild </w:t>
      </w:r>
      <w:r>
        <w:t>T</w:t>
      </w:r>
      <w:r w:rsidR="00E50745">
        <w:t xml:space="preserve">ree </w:t>
      </w:r>
      <w:r>
        <w:t>F</w:t>
      </w:r>
      <w:r w:rsidR="00E50745">
        <w:t>oundation</w:t>
      </w:r>
      <w:r>
        <w:t xml:space="preserve"> also asserts that other critical metrics include utility bill savings, change in electrical load, installations of greater than six kilowatt photovoltaic systems, and building efficiency improvements.</w:t>
      </w:r>
      <w:r>
        <w:rPr>
          <w:rStyle w:val="FootnoteReference"/>
        </w:rPr>
        <w:footnoteReference w:id="90"/>
      </w:r>
    </w:p>
    <w:p w14:paraId="6DD1F852" w14:textId="77777777" w:rsidR="003E6FAB" w:rsidRDefault="003E6FAB" w:rsidP="003E6FAB">
      <w:pPr>
        <w:pStyle w:val="Standard"/>
      </w:pPr>
      <w:r>
        <w:t>VEIC suggests including potential metrics that measure market share for eligible technologies, as well as product availability, quality, standardization, efficacy, cost, awareness, and reliability.</w:t>
      </w:r>
      <w:r>
        <w:rPr>
          <w:rStyle w:val="FootnoteReference"/>
        </w:rPr>
        <w:footnoteReference w:id="91"/>
      </w:r>
      <w:r>
        <w:t xml:space="preserve">  VEIC also recommends that the </w:t>
      </w:r>
      <w:r>
        <w:lastRenderedPageBreak/>
        <w:t>Commission require the program implementer of the TECH initiative propose market development metrics and a data model to facilitate appropriate tracing.</w:t>
      </w:r>
      <w:r>
        <w:rPr>
          <w:rStyle w:val="FootnoteReference"/>
        </w:rPr>
        <w:footnoteReference w:id="92"/>
      </w:r>
      <w:r>
        <w:t xml:space="preserve">  </w:t>
      </w:r>
    </w:p>
    <w:p w14:paraId="2B30557B" w14:textId="06993625" w:rsidR="003E6FAB" w:rsidRDefault="003E6FAB" w:rsidP="003E6FAB">
      <w:pPr>
        <w:pStyle w:val="Standard"/>
      </w:pPr>
      <w:r>
        <w:t>SBUA recommends additions to the evaluation criteria.</w:t>
      </w:r>
      <w:r>
        <w:rPr>
          <w:rStyle w:val="FootnoteReference"/>
        </w:rPr>
        <w:footnoteReference w:id="93"/>
      </w:r>
      <w:r>
        <w:t xml:space="preserve">  SBUA recommends that evaluation and metrics criteria include:</w:t>
      </w:r>
      <w:r w:rsidR="00120EE0">
        <w:t xml:space="preserve"> </w:t>
      </w:r>
      <w:r>
        <w:t xml:space="preserve"> (1) an assessment of the effectiveness of the outreach strategies to hard-to-reach customers; and (2)</w:t>
      </w:r>
      <w:r w:rsidR="00727611">
        <w:t> </w:t>
      </w:r>
      <w:r w:rsidR="002008AF">
        <w:t>the</w:t>
      </w:r>
      <w:r w:rsidR="00120EE0">
        <w:t> </w:t>
      </w:r>
      <w:r>
        <w:t>degree of training provided to contractors, manufacturers and employers.</w:t>
      </w:r>
      <w:r>
        <w:rPr>
          <w:rStyle w:val="FootnoteReference"/>
        </w:rPr>
        <w:footnoteReference w:id="94"/>
      </w:r>
    </w:p>
    <w:bookmarkEnd w:id="29"/>
    <w:p w14:paraId="784C148A" w14:textId="35E6E5D3" w:rsidR="003E6FAB" w:rsidRDefault="003E6FAB" w:rsidP="003E6FAB">
      <w:pPr>
        <w:pStyle w:val="Standard"/>
      </w:pPr>
      <w:r w:rsidRPr="00AA3C8C">
        <w:t>SWG</w:t>
      </w:r>
      <w:r w:rsidRPr="00AA3C8C">
        <w:rPr>
          <w:rStyle w:val="FootnoteReference"/>
        </w:rPr>
        <w:footnoteReference w:id="95"/>
      </w:r>
      <w:r w:rsidRPr="00AA3C8C">
        <w:t xml:space="preserve"> argues that both</w:t>
      </w:r>
      <w:r>
        <w:t xml:space="preserve"> the BUILD Program and TECH Initiative should have a balanced approach for customers in implementing SB 1477, which should include an array of technologies such as:</w:t>
      </w:r>
      <w:r w:rsidR="00EA5C5F">
        <w:t xml:space="preserve"> </w:t>
      </w:r>
      <w:r>
        <w:t xml:space="preserve"> (1) solar thermal offsetting natural gas usage; (2) </w:t>
      </w:r>
      <w:r w:rsidR="00807D72">
        <w:t xml:space="preserve">natural </w:t>
      </w:r>
      <w:r>
        <w:t xml:space="preserve">gas heat pump technologies; (3) carbon absorption technologies applied to </w:t>
      </w:r>
      <w:r w:rsidR="00807D72">
        <w:t xml:space="preserve">natural </w:t>
      </w:r>
      <w:r>
        <w:t>gas appliances; (4) low-NOx technologies; and (5)</w:t>
      </w:r>
      <w:r w:rsidR="008D782F">
        <w:t> </w:t>
      </w:r>
      <w:r>
        <w:t>renewable natural gas.  In a similar vein, the CHBC also argues for a balanced GHG emissions reduction portfolio of technologies.</w:t>
      </w:r>
      <w:r>
        <w:rPr>
          <w:rStyle w:val="FootnoteReference"/>
        </w:rPr>
        <w:footnoteReference w:id="96"/>
      </w:r>
    </w:p>
    <w:p w14:paraId="19BCEF91" w14:textId="394AE908" w:rsidR="003E6FAB" w:rsidRDefault="003E6FAB" w:rsidP="003E6FAB">
      <w:pPr>
        <w:pStyle w:val="Standard"/>
      </w:pPr>
      <w:r w:rsidRPr="00AA3C8C">
        <w:t>SoCalGas</w:t>
      </w:r>
      <w:r w:rsidRPr="00AA3C8C">
        <w:rPr>
          <w:rStyle w:val="FootnoteReference"/>
        </w:rPr>
        <w:footnoteReference w:id="97"/>
      </w:r>
      <w:r w:rsidRPr="00AA3C8C">
        <w:t xml:space="preserve"> disagrees</w:t>
      </w:r>
      <w:r>
        <w:t xml:space="preserve"> with </w:t>
      </w:r>
      <w:r w:rsidR="00831E4C">
        <w:t xml:space="preserve">the </w:t>
      </w:r>
      <w:r>
        <w:t>Staff</w:t>
      </w:r>
      <w:r w:rsidR="00831E4C">
        <w:t xml:space="preserve"> Proposal’s recommended</w:t>
      </w:r>
      <w:r>
        <w:t xml:space="preserve"> metrics for evaluation, arguing there should be an inclusion of natural gas technologies and renewable natural gas that could result in cost-effective mixes for customers and reduce utility bills.</w:t>
      </w:r>
    </w:p>
    <w:p w14:paraId="003F43DA" w14:textId="09DAAED4" w:rsidR="003E6FAB" w:rsidRDefault="003E6FAB" w:rsidP="003E6FAB">
      <w:pPr>
        <w:pStyle w:val="Standard"/>
      </w:pPr>
      <w:r>
        <w:t xml:space="preserve">Joint CCAs agree with </w:t>
      </w:r>
      <w:r w:rsidR="00831E4C">
        <w:t xml:space="preserve">the Staff Proposal’s </w:t>
      </w:r>
      <w:r>
        <w:t xml:space="preserve">primary strategy for decarbonization of buildings through electrification of appliances that do not </w:t>
      </w:r>
      <w:r>
        <w:lastRenderedPageBreak/>
        <w:t>have direct emissions.  Joint CCAs point out that renewable natural gas is a limited resource, in limited supply and therefore, the limited supply of this resource should be spent in areas where electrification is particularly difficult.</w:t>
      </w:r>
      <w:r>
        <w:rPr>
          <w:rStyle w:val="FootnoteReference"/>
        </w:rPr>
        <w:footnoteReference w:id="98"/>
      </w:r>
      <w:r>
        <w:t xml:space="preserve">  Joint CCAs recommend that both the BUILD Program and TECH Initiative capture load shifting by adding an evaluation component for grid-dispatchable technologies in the technology eligibility criteria.</w:t>
      </w:r>
      <w:r>
        <w:rPr>
          <w:rStyle w:val="FootnoteReference"/>
        </w:rPr>
        <w:footnoteReference w:id="99"/>
      </w:r>
    </w:p>
    <w:p w14:paraId="161AC230" w14:textId="0C524877" w:rsidR="003E6FAB" w:rsidRDefault="003E6FAB" w:rsidP="003E6FAB">
      <w:pPr>
        <w:pStyle w:val="Standard"/>
      </w:pPr>
      <w:r w:rsidRPr="00AA3C8C">
        <w:t>SDG&amp;E</w:t>
      </w:r>
      <w:r w:rsidRPr="00AA3C8C">
        <w:rPr>
          <w:rStyle w:val="FootnoteReference"/>
        </w:rPr>
        <w:footnoteReference w:id="100"/>
      </w:r>
      <w:r w:rsidRPr="00AA3C8C">
        <w:t xml:space="preserve"> </w:t>
      </w:r>
      <w:r>
        <w:t>observes that these pilot</w:t>
      </w:r>
      <w:r w:rsidR="00807D72">
        <w:t xml:space="preserve"> programs</w:t>
      </w:r>
      <w:r>
        <w:t xml:space="preserve"> present an opportunity to begin collecting data to inform future consideration of rate reforms to electric rates that may be needed to support </w:t>
      </w:r>
      <w:r w:rsidR="00807D72">
        <w:t>California’s</w:t>
      </w:r>
      <w:r>
        <w:t xml:space="preserve"> decarbonization goals.</w:t>
      </w:r>
    </w:p>
    <w:p w14:paraId="1B986390" w14:textId="2571A31B" w:rsidR="003E6FAB" w:rsidRDefault="003E6FAB" w:rsidP="003E6FAB">
      <w:pPr>
        <w:pStyle w:val="Standard"/>
      </w:pPr>
      <w:r>
        <w:t xml:space="preserve">SCE states that the Commission should drive guidelines and evaluation metrics for the BUILD Program and should establish </w:t>
      </w:r>
      <w:r w:rsidR="00807D72">
        <w:t xml:space="preserve">an </w:t>
      </w:r>
      <w:r>
        <w:t>approach for inputs to calculate benefits and costs to the program.</w:t>
      </w:r>
      <w:r>
        <w:rPr>
          <w:rStyle w:val="FootnoteReference"/>
        </w:rPr>
        <w:footnoteReference w:id="101"/>
      </w:r>
      <w:r>
        <w:t xml:space="preserve">  With respect to the TECH </w:t>
      </w:r>
      <w:r w:rsidR="00807D72">
        <w:t>I</w:t>
      </w:r>
      <w:r>
        <w:t xml:space="preserve">nitiative, SCE states that </w:t>
      </w:r>
      <w:r w:rsidR="00831E4C">
        <w:t xml:space="preserve">the </w:t>
      </w:r>
      <w:r>
        <w:t>Staff</w:t>
      </w:r>
      <w:r w:rsidR="00807D72">
        <w:t xml:space="preserve"> </w:t>
      </w:r>
      <w:r w:rsidR="009B724E">
        <w:t>Proposal’s</w:t>
      </w:r>
      <w:r>
        <w:t xml:space="preserve"> evaluation and metrics recommendations </w:t>
      </w:r>
      <w:r w:rsidR="00807D72">
        <w:t xml:space="preserve">are </w:t>
      </w:r>
      <w:r>
        <w:t>reasonable.</w:t>
      </w:r>
      <w:r>
        <w:rPr>
          <w:rStyle w:val="FootnoteReference"/>
        </w:rPr>
        <w:footnoteReference w:id="102"/>
      </w:r>
      <w:r>
        <w:t xml:space="preserve">  SCE recommends:</w:t>
      </w:r>
      <w:r w:rsidR="00EA5C5F">
        <w:t xml:space="preserve"> </w:t>
      </w:r>
      <w:r>
        <w:t xml:space="preserve"> (1) adding other environmental impacts to the TECH Initiative scoring criteria such as criteria air pollution (NOx, SOx, CO, particulates, </w:t>
      </w:r>
      <w:r w:rsidR="009A7346">
        <w:t xml:space="preserve">and </w:t>
      </w:r>
      <w:r>
        <w:t xml:space="preserve">ozone), indoor air quality, water use, </w:t>
      </w:r>
      <w:r w:rsidR="002008AF">
        <w:t xml:space="preserve">and </w:t>
      </w:r>
      <w:r>
        <w:t>water pollution; (2)</w:t>
      </w:r>
      <w:r w:rsidR="009967D9">
        <w:t> </w:t>
      </w:r>
      <w:r>
        <w:t>including building commissioning requirements to improve real-world operation and performance in TECH Initiative projects; (3) us</w:t>
      </w:r>
      <w:r w:rsidR="002008AF">
        <w:t>ing</w:t>
      </w:r>
      <w:r>
        <w:t xml:space="preserve"> metrics to focus on technologies and applications that have the greatest </w:t>
      </w:r>
      <w:r>
        <w:lastRenderedPageBreak/>
        <w:t>potential for scale and replicability; and (4) align</w:t>
      </w:r>
      <w:r w:rsidR="002008AF">
        <w:t>ing</w:t>
      </w:r>
      <w:r>
        <w:t xml:space="preserve"> the BUILD Program and TECH Initiative metrics and evaluation as close as practicable.</w:t>
      </w:r>
      <w:r>
        <w:rPr>
          <w:rStyle w:val="FootnoteReference"/>
        </w:rPr>
        <w:footnoteReference w:id="103"/>
      </w:r>
    </w:p>
    <w:p w14:paraId="40304F07" w14:textId="77777777" w:rsidR="003E6FAB" w:rsidRDefault="003E6FAB" w:rsidP="003E6FAB">
      <w:pPr>
        <w:pStyle w:val="Standard"/>
      </w:pPr>
      <w:r>
        <w:t>EDF recommends that the Commission create an evaluation framework to determine which strategies will reduce the most carbon at the least ratepayer expense, minimizing customer bill impact, and maximizing carbon reduced.</w:t>
      </w:r>
      <w:r>
        <w:rPr>
          <w:rStyle w:val="FootnoteReference"/>
        </w:rPr>
        <w:footnoteReference w:id="104"/>
      </w:r>
      <w:r>
        <w:t xml:space="preserve"> CSE encourages coordinating and streamlining the data gathering between the BUILD Program and TECH Initiative.</w:t>
      </w:r>
      <w:r>
        <w:rPr>
          <w:rStyle w:val="FootnoteReference"/>
        </w:rPr>
        <w:footnoteReference w:id="105"/>
      </w:r>
    </w:p>
    <w:p w14:paraId="1854A90B" w14:textId="2642753E" w:rsidR="003E6FAB" w:rsidRDefault="003E6FAB" w:rsidP="009967D9">
      <w:pPr>
        <w:pStyle w:val="Standard"/>
      </w:pPr>
      <w:r>
        <w:t xml:space="preserve">CBIA cautions that using </w:t>
      </w:r>
      <w:r w:rsidRPr="009967D9">
        <w:t>utility</w:t>
      </w:r>
      <w:r>
        <w:t xml:space="preserve"> bill savings as a measure of success may </w:t>
      </w:r>
      <w:r w:rsidR="002008AF">
        <w:t xml:space="preserve">reflect the full </w:t>
      </w:r>
      <w:r w:rsidR="009A7346">
        <w:t xml:space="preserve">benefits of projects </w:t>
      </w:r>
      <w:r>
        <w:t>because many projects will be near cost</w:t>
      </w:r>
      <w:r w:rsidR="00727611">
        <w:noBreakHyphen/>
      </w:r>
      <w:r>
        <w:t>neutral, even when they offer substantial GHG emissions reduction.</w:t>
      </w:r>
      <w:r>
        <w:rPr>
          <w:rStyle w:val="FootnoteReference"/>
        </w:rPr>
        <w:footnoteReference w:id="106"/>
      </w:r>
      <w:r>
        <w:t xml:space="preserve">  CSE recommends that the Commission contract with an evaluator as soon as an implementer is selected for the TECH Initiative to ensure program evaluation is embedded with program design.</w:t>
      </w:r>
      <w:r>
        <w:rPr>
          <w:rStyle w:val="FootnoteReference"/>
        </w:rPr>
        <w:footnoteReference w:id="107"/>
      </w:r>
      <w:r>
        <w:t xml:space="preserve">  The Partnership asserts that the TECH </w:t>
      </w:r>
      <w:r w:rsidR="00807D72">
        <w:t xml:space="preserve">Initiative </w:t>
      </w:r>
      <w:r>
        <w:t>guidelines should articulate a clear emphasis on and plan to support clean heating technology that benefits low-income households.</w:t>
      </w:r>
      <w:r>
        <w:rPr>
          <w:rStyle w:val="FootnoteReference"/>
        </w:rPr>
        <w:footnoteReference w:id="108"/>
      </w:r>
      <w:r>
        <w:t xml:space="preserve"> </w:t>
      </w:r>
    </w:p>
    <w:p w14:paraId="02E5DB40" w14:textId="5E98957A" w:rsidR="003E6FAB" w:rsidRPr="003E6FAB" w:rsidRDefault="003E6FAB" w:rsidP="003E6FAB">
      <w:pPr>
        <w:pStyle w:val="Heading3"/>
      </w:pPr>
      <w:bookmarkStart w:id="30" w:name="_Toc32310242"/>
      <w:r>
        <w:t xml:space="preserve">Analysis: </w:t>
      </w:r>
      <w:r w:rsidR="00727611">
        <w:t xml:space="preserve"> </w:t>
      </w:r>
      <w:r>
        <w:t>To Fulfill SB 1477’s Program Evaluation Requirements, a Single Evaluator Shall Evaluate</w:t>
      </w:r>
      <w:r w:rsidR="009967D9">
        <w:br/>
      </w:r>
      <w:r>
        <w:t xml:space="preserve">Both the BUILD Program and the TECH </w:t>
      </w:r>
      <w:r w:rsidR="004D708F">
        <w:t>Initiative</w:t>
      </w:r>
      <w:r w:rsidR="009967D9">
        <w:br/>
      </w:r>
      <w:r>
        <w:t>at the Initiation of Both Pilot Programs</w:t>
      </w:r>
      <w:r w:rsidR="004D708F">
        <w:t>,</w:t>
      </w:r>
      <w:r>
        <w:t xml:space="preserve"> </w:t>
      </w:r>
      <w:r w:rsidR="009967D9">
        <w:br/>
      </w:r>
      <w:r>
        <w:t>and Throughout Implementation</w:t>
      </w:r>
      <w:bookmarkEnd w:id="30"/>
    </w:p>
    <w:p w14:paraId="4718C7F8" w14:textId="0D5B8ECC" w:rsidR="003E6FAB" w:rsidRDefault="003E6FAB" w:rsidP="003E6FAB">
      <w:pPr>
        <w:pStyle w:val="Standard"/>
      </w:pPr>
      <w:r>
        <w:t xml:space="preserve">As stated above, we support economies of scale in tracking and evaluating the BUILD Program and TECH Initiative by having a single evaluator covering </w:t>
      </w:r>
      <w:r>
        <w:lastRenderedPageBreak/>
        <w:t>both programs.  Having a single evaluator covering both programs will simplify engaging with the BUILD Program administrator and TECH Initiative implementer during program design to ensure that the pilot programs are set up with evaluation needs in mind.  We direct the following guidelines for hiring a</w:t>
      </w:r>
      <w:r w:rsidR="00897CF1">
        <w:t xml:space="preserve"> program </w:t>
      </w:r>
      <w:r>
        <w:t xml:space="preserve"> evaluator:</w:t>
      </w:r>
    </w:p>
    <w:p w14:paraId="1CBC44E6" w14:textId="4F9527DE" w:rsidR="003E6FAB" w:rsidRPr="00D4123E" w:rsidRDefault="003E6FAB" w:rsidP="00D964D2">
      <w:pPr>
        <w:pStyle w:val="Bullet1"/>
        <w:numPr>
          <w:ilvl w:val="0"/>
          <w:numId w:val="15"/>
        </w:numPr>
        <w:spacing w:before="0" w:line="240" w:lineRule="auto"/>
        <w:ind w:right="1440"/>
        <w:jc w:val="left"/>
        <w:rPr>
          <w:rFonts w:ascii="Book Antiqua" w:hAnsi="Book Antiqua"/>
          <w:sz w:val="26"/>
          <w:szCs w:val="26"/>
        </w:rPr>
      </w:pPr>
      <w:r w:rsidRPr="00D4123E">
        <w:rPr>
          <w:rFonts w:ascii="Book Antiqua" w:hAnsi="Book Antiqua"/>
          <w:sz w:val="26"/>
          <w:szCs w:val="26"/>
        </w:rPr>
        <w:t xml:space="preserve">The evaluation program budget will be set at </w:t>
      </w:r>
      <w:r w:rsidR="00831E4C">
        <w:rPr>
          <w:rFonts w:ascii="Book Antiqua" w:hAnsi="Book Antiqua"/>
          <w:sz w:val="26"/>
          <w:szCs w:val="26"/>
        </w:rPr>
        <w:t>2.5</w:t>
      </w:r>
      <w:r w:rsidRPr="00D4123E">
        <w:rPr>
          <w:rFonts w:ascii="Book Antiqua" w:hAnsi="Book Antiqua"/>
          <w:sz w:val="26"/>
          <w:szCs w:val="26"/>
        </w:rPr>
        <w:t xml:space="preserve"> percent of program c</w:t>
      </w:r>
      <w:r w:rsidR="00EF2CFD">
        <w:rPr>
          <w:rFonts w:ascii="Book Antiqua" w:hAnsi="Book Antiqua"/>
          <w:sz w:val="26"/>
          <w:szCs w:val="26"/>
        </w:rPr>
        <w:t>osts</w:t>
      </w:r>
      <w:r w:rsidR="00897CF1">
        <w:rPr>
          <w:rFonts w:ascii="Book Antiqua" w:hAnsi="Book Antiqua"/>
          <w:sz w:val="26"/>
          <w:szCs w:val="26"/>
        </w:rPr>
        <w:t xml:space="preserve"> </w:t>
      </w:r>
      <w:r w:rsidR="00024D6F">
        <w:rPr>
          <w:rFonts w:ascii="Book Antiqua" w:hAnsi="Book Antiqua"/>
          <w:sz w:val="26"/>
          <w:szCs w:val="26"/>
        </w:rPr>
        <w:t xml:space="preserve">which is </w:t>
      </w:r>
      <w:r w:rsidR="00897CF1">
        <w:rPr>
          <w:rFonts w:ascii="Book Antiqua" w:hAnsi="Book Antiqua"/>
          <w:sz w:val="26"/>
          <w:szCs w:val="26"/>
        </w:rPr>
        <w:t>$5 million</w:t>
      </w:r>
      <w:r w:rsidR="00EF2CFD">
        <w:rPr>
          <w:rFonts w:ascii="Book Antiqua" w:hAnsi="Book Antiqua"/>
          <w:sz w:val="26"/>
          <w:szCs w:val="26"/>
        </w:rPr>
        <w:t xml:space="preserve"> over the four</w:t>
      </w:r>
      <w:r w:rsidRPr="00D4123E">
        <w:rPr>
          <w:rFonts w:ascii="Book Antiqua" w:hAnsi="Book Antiqua"/>
          <w:sz w:val="26"/>
          <w:szCs w:val="26"/>
        </w:rPr>
        <w:t xml:space="preserve">-year program period. </w:t>
      </w:r>
      <w:r w:rsidR="0021119B">
        <w:rPr>
          <w:rFonts w:ascii="Book Antiqua" w:hAnsi="Book Antiqua"/>
          <w:sz w:val="26"/>
          <w:szCs w:val="26"/>
        </w:rPr>
        <w:t xml:space="preserve"> </w:t>
      </w:r>
      <w:r w:rsidR="00897CF1">
        <w:rPr>
          <w:rFonts w:ascii="Book Antiqua" w:hAnsi="Book Antiqua"/>
          <w:sz w:val="26"/>
          <w:szCs w:val="26"/>
        </w:rPr>
        <w:t>D</w:t>
      </w:r>
      <w:r w:rsidRPr="00D4123E">
        <w:rPr>
          <w:rFonts w:ascii="Book Antiqua" w:hAnsi="Book Antiqua"/>
          <w:sz w:val="26"/>
          <w:szCs w:val="26"/>
        </w:rPr>
        <w:t xml:space="preserve">ata collection will be expected of the </w:t>
      </w:r>
      <w:r w:rsidR="00680569">
        <w:rPr>
          <w:rFonts w:ascii="Book Antiqua" w:hAnsi="Book Antiqua"/>
          <w:sz w:val="26"/>
          <w:szCs w:val="26"/>
        </w:rPr>
        <w:t>BUILD Program administrator and the TECH Initiative implementer</w:t>
      </w:r>
      <w:r w:rsidRPr="00D4123E">
        <w:rPr>
          <w:rFonts w:ascii="Book Antiqua" w:hAnsi="Book Antiqua"/>
          <w:sz w:val="26"/>
          <w:szCs w:val="26"/>
        </w:rPr>
        <w:t xml:space="preserve">, who will work to deliver this data to the program evaluator in a timely fashion.  </w:t>
      </w:r>
    </w:p>
    <w:p w14:paraId="7DABE0D3" w14:textId="772BEB2D" w:rsidR="003E6FAB" w:rsidRPr="00D4123E" w:rsidRDefault="003E6FAB" w:rsidP="00D964D2">
      <w:pPr>
        <w:pStyle w:val="Bullet1"/>
        <w:numPr>
          <w:ilvl w:val="0"/>
          <w:numId w:val="15"/>
        </w:numPr>
        <w:spacing w:before="0" w:line="240" w:lineRule="auto"/>
        <w:ind w:right="1440"/>
        <w:jc w:val="left"/>
        <w:rPr>
          <w:rFonts w:ascii="Book Antiqua" w:hAnsi="Book Antiqua"/>
          <w:sz w:val="26"/>
          <w:szCs w:val="26"/>
        </w:rPr>
      </w:pPr>
      <w:r w:rsidRPr="00D4123E">
        <w:rPr>
          <w:rFonts w:ascii="Book Antiqua" w:hAnsi="Book Antiqua"/>
          <w:sz w:val="26"/>
          <w:szCs w:val="26"/>
        </w:rPr>
        <w:t xml:space="preserve">The CPUC, working </w:t>
      </w:r>
      <w:r w:rsidR="00EF2CFD">
        <w:rPr>
          <w:rFonts w:ascii="Book Antiqua" w:hAnsi="Book Antiqua"/>
          <w:sz w:val="26"/>
          <w:szCs w:val="26"/>
        </w:rPr>
        <w:t>with</w:t>
      </w:r>
      <w:r w:rsidRPr="00D4123E">
        <w:rPr>
          <w:rFonts w:ascii="Book Antiqua" w:hAnsi="Book Antiqua"/>
          <w:sz w:val="26"/>
          <w:szCs w:val="26"/>
        </w:rPr>
        <w:t xml:space="preserve"> the</w:t>
      </w:r>
      <w:r w:rsidR="00453EBA">
        <w:rPr>
          <w:rFonts w:ascii="Book Antiqua" w:hAnsi="Book Antiqua"/>
          <w:sz w:val="26"/>
          <w:szCs w:val="26"/>
        </w:rPr>
        <w:t xml:space="preserve"> </w:t>
      </w:r>
      <w:r w:rsidR="00807D72">
        <w:rPr>
          <w:rFonts w:ascii="Book Antiqua" w:hAnsi="Book Antiqua"/>
          <w:sz w:val="26"/>
          <w:szCs w:val="26"/>
        </w:rPr>
        <w:t>contracting agent (</w:t>
      </w:r>
      <w:r w:rsidR="00831E4C">
        <w:rPr>
          <w:rFonts w:ascii="Book Antiqua" w:hAnsi="Book Antiqua"/>
          <w:i/>
          <w:iCs/>
          <w:sz w:val="26"/>
          <w:szCs w:val="26"/>
        </w:rPr>
        <w:t>i.e</w:t>
      </w:r>
      <w:r w:rsidR="00807D72">
        <w:rPr>
          <w:rFonts w:ascii="Book Antiqua" w:hAnsi="Book Antiqua"/>
          <w:i/>
          <w:iCs/>
          <w:sz w:val="26"/>
          <w:szCs w:val="26"/>
        </w:rPr>
        <w:t xml:space="preserve">., </w:t>
      </w:r>
      <w:r w:rsidR="00807D72">
        <w:rPr>
          <w:rFonts w:ascii="Book Antiqua" w:hAnsi="Book Antiqua"/>
          <w:sz w:val="26"/>
          <w:szCs w:val="26"/>
        </w:rPr>
        <w:t>SCE)</w:t>
      </w:r>
      <w:r w:rsidRPr="00D4123E">
        <w:rPr>
          <w:rFonts w:ascii="Book Antiqua" w:hAnsi="Book Antiqua"/>
          <w:sz w:val="26"/>
          <w:szCs w:val="26"/>
        </w:rPr>
        <w:t>, will solicit for, hire, and manage one evaluator for both programs.</w:t>
      </w:r>
      <w:r w:rsidR="00520024">
        <w:rPr>
          <w:rFonts w:ascii="Book Antiqua" w:hAnsi="Book Antiqua"/>
          <w:sz w:val="26"/>
          <w:szCs w:val="26"/>
        </w:rPr>
        <w:t xml:space="preserve"> </w:t>
      </w:r>
      <w:r w:rsidRPr="00D4123E">
        <w:rPr>
          <w:rFonts w:ascii="Book Antiqua" w:hAnsi="Book Antiqua"/>
          <w:sz w:val="26"/>
          <w:szCs w:val="26"/>
        </w:rPr>
        <w:t xml:space="preserve"> The </w:t>
      </w:r>
      <w:r w:rsidR="00897CF1">
        <w:rPr>
          <w:rFonts w:ascii="Book Antiqua" w:hAnsi="Book Antiqua"/>
          <w:sz w:val="26"/>
          <w:szCs w:val="26"/>
        </w:rPr>
        <w:t xml:space="preserve">program </w:t>
      </w:r>
      <w:r w:rsidRPr="00D4123E">
        <w:rPr>
          <w:rFonts w:ascii="Book Antiqua" w:hAnsi="Book Antiqua"/>
          <w:sz w:val="26"/>
          <w:szCs w:val="26"/>
        </w:rPr>
        <w:t>evaluation budget will be split between the two programs.</w:t>
      </w:r>
    </w:p>
    <w:p w14:paraId="45DD0479" w14:textId="6AEA15FB" w:rsidR="003E6FAB" w:rsidRPr="00D4123E" w:rsidRDefault="003E6FAB" w:rsidP="00D964D2">
      <w:pPr>
        <w:pStyle w:val="Bullet1"/>
        <w:numPr>
          <w:ilvl w:val="0"/>
          <w:numId w:val="15"/>
        </w:numPr>
        <w:spacing w:before="0" w:line="240" w:lineRule="auto"/>
        <w:ind w:right="1440"/>
        <w:jc w:val="left"/>
        <w:rPr>
          <w:rFonts w:ascii="Book Antiqua" w:hAnsi="Book Antiqua"/>
          <w:sz w:val="26"/>
          <w:szCs w:val="26"/>
        </w:rPr>
      </w:pPr>
      <w:r w:rsidRPr="00D4123E">
        <w:rPr>
          <w:rFonts w:ascii="Book Antiqua" w:hAnsi="Book Antiqua"/>
          <w:sz w:val="26"/>
          <w:szCs w:val="26"/>
        </w:rPr>
        <w:t xml:space="preserve">The CPUC will form a PCG, which will include Energy Division staff, </w:t>
      </w:r>
      <w:r w:rsidR="002008AF">
        <w:rPr>
          <w:rFonts w:ascii="Book Antiqua" w:hAnsi="Book Antiqua"/>
          <w:sz w:val="26"/>
          <w:szCs w:val="26"/>
        </w:rPr>
        <w:t>the BUILD Program administrator</w:t>
      </w:r>
      <w:r w:rsidRPr="00D4123E">
        <w:rPr>
          <w:rFonts w:ascii="Book Antiqua" w:hAnsi="Book Antiqua"/>
          <w:sz w:val="26"/>
          <w:szCs w:val="26"/>
        </w:rPr>
        <w:t xml:space="preserve">, </w:t>
      </w:r>
      <w:r w:rsidR="002008AF">
        <w:rPr>
          <w:rFonts w:ascii="Book Antiqua" w:hAnsi="Book Antiqua"/>
          <w:sz w:val="26"/>
          <w:szCs w:val="26"/>
        </w:rPr>
        <w:t xml:space="preserve">TECH Initiative </w:t>
      </w:r>
      <w:r w:rsidRPr="00D4123E">
        <w:rPr>
          <w:rFonts w:ascii="Book Antiqua" w:hAnsi="Book Antiqua"/>
          <w:sz w:val="26"/>
          <w:szCs w:val="26"/>
        </w:rPr>
        <w:t>program implementer staff, and the evaluator staff.</w:t>
      </w:r>
      <w:r w:rsidR="00520024">
        <w:rPr>
          <w:rFonts w:ascii="Book Antiqua" w:hAnsi="Book Antiqua"/>
          <w:sz w:val="26"/>
          <w:szCs w:val="26"/>
        </w:rPr>
        <w:t xml:space="preserve"> </w:t>
      </w:r>
      <w:r w:rsidRPr="00D4123E">
        <w:rPr>
          <w:rFonts w:ascii="Book Antiqua" w:hAnsi="Book Antiqua"/>
          <w:sz w:val="26"/>
          <w:szCs w:val="26"/>
        </w:rPr>
        <w:t xml:space="preserve"> The PCG will advise the</w:t>
      </w:r>
      <w:r w:rsidR="00897CF1">
        <w:rPr>
          <w:rFonts w:ascii="Book Antiqua" w:hAnsi="Book Antiqua"/>
          <w:sz w:val="26"/>
          <w:szCs w:val="26"/>
        </w:rPr>
        <w:t xml:space="preserve"> program</w:t>
      </w:r>
      <w:r w:rsidRPr="00D4123E">
        <w:rPr>
          <w:rFonts w:ascii="Book Antiqua" w:hAnsi="Book Antiqua"/>
          <w:sz w:val="26"/>
          <w:szCs w:val="26"/>
        </w:rPr>
        <w:t xml:space="preserve"> evaluation process. It will be up to Energy Division staff to determine if any other parties are appropriate for the PCG and to design the meeting schedule and format for the PCG.</w:t>
      </w:r>
    </w:p>
    <w:p w14:paraId="2973F25D" w14:textId="681F814C" w:rsidR="00807D72" w:rsidRPr="0021119B" w:rsidRDefault="00807D72" w:rsidP="0021119B">
      <w:pPr>
        <w:pStyle w:val="Bullet1"/>
        <w:numPr>
          <w:ilvl w:val="0"/>
          <w:numId w:val="15"/>
        </w:numPr>
        <w:spacing w:before="0" w:line="240" w:lineRule="auto"/>
        <w:ind w:right="1440"/>
        <w:jc w:val="left"/>
        <w:rPr>
          <w:rFonts w:ascii="Book Antiqua" w:hAnsi="Book Antiqua"/>
          <w:sz w:val="26"/>
          <w:szCs w:val="26"/>
        </w:rPr>
      </w:pPr>
      <w:r w:rsidRPr="0021119B">
        <w:rPr>
          <w:rFonts w:ascii="Book Antiqua" w:hAnsi="Book Antiqua"/>
          <w:sz w:val="26"/>
          <w:szCs w:val="26"/>
        </w:rPr>
        <w:t>The program evaluator will measure the impact of program activities using the metrics detailed in Section</w:t>
      </w:r>
      <w:r w:rsidR="00520024">
        <w:rPr>
          <w:rFonts w:ascii="Book Antiqua" w:hAnsi="Book Antiqua"/>
          <w:sz w:val="26"/>
          <w:szCs w:val="26"/>
        </w:rPr>
        <w:t> </w:t>
      </w:r>
      <w:r w:rsidRPr="0021119B">
        <w:rPr>
          <w:rFonts w:ascii="Book Antiqua" w:hAnsi="Book Antiqua"/>
          <w:sz w:val="26"/>
          <w:szCs w:val="26"/>
        </w:rPr>
        <w:t>3.2.4, as well as qualitatively assess the success and scalability of the programs’ strategies.</w:t>
      </w:r>
    </w:p>
    <w:p w14:paraId="138C1B5E" w14:textId="744B5C42" w:rsidR="003E6FAB" w:rsidRDefault="003E6FAB" w:rsidP="00D964D2">
      <w:pPr>
        <w:pStyle w:val="Bullet1"/>
        <w:numPr>
          <w:ilvl w:val="0"/>
          <w:numId w:val="15"/>
        </w:numPr>
        <w:spacing w:before="0" w:line="240" w:lineRule="auto"/>
        <w:ind w:right="1440"/>
        <w:jc w:val="left"/>
        <w:rPr>
          <w:rFonts w:ascii="Book Antiqua" w:hAnsi="Book Antiqua"/>
          <w:sz w:val="26"/>
          <w:szCs w:val="26"/>
        </w:rPr>
      </w:pPr>
      <w:r w:rsidRPr="00D4123E">
        <w:rPr>
          <w:rFonts w:ascii="Book Antiqua" w:hAnsi="Book Antiqua"/>
          <w:sz w:val="26"/>
          <w:szCs w:val="26"/>
        </w:rPr>
        <w:t xml:space="preserve">The CPUC will conduct a competitive solicitation for a program evaluator through the contracting process administered by </w:t>
      </w:r>
      <w:r w:rsidR="00EF2CFD">
        <w:rPr>
          <w:rFonts w:ascii="Book Antiqua" w:hAnsi="Book Antiqua"/>
          <w:sz w:val="26"/>
          <w:szCs w:val="26"/>
        </w:rPr>
        <w:t>SCE</w:t>
      </w:r>
      <w:r>
        <w:rPr>
          <w:rFonts w:ascii="Book Antiqua" w:hAnsi="Book Antiqua"/>
          <w:sz w:val="26"/>
          <w:szCs w:val="26"/>
        </w:rPr>
        <w:t xml:space="preserve"> (contracting a</w:t>
      </w:r>
      <w:r w:rsidRPr="00D4123E">
        <w:rPr>
          <w:rFonts w:ascii="Book Antiqua" w:hAnsi="Book Antiqua"/>
          <w:sz w:val="26"/>
          <w:szCs w:val="26"/>
        </w:rPr>
        <w:t>gent</w:t>
      </w:r>
      <w:r>
        <w:rPr>
          <w:rFonts w:ascii="Book Antiqua" w:hAnsi="Book Antiqua"/>
          <w:sz w:val="26"/>
          <w:szCs w:val="26"/>
        </w:rPr>
        <w:t>).</w:t>
      </w:r>
    </w:p>
    <w:p w14:paraId="0102A0DF" w14:textId="315A291C" w:rsidR="003E6FAB" w:rsidRDefault="003E6FAB" w:rsidP="003E6FAB">
      <w:pPr>
        <w:pStyle w:val="Standard"/>
      </w:pPr>
      <w:r>
        <w:t xml:space="preserve">The program evaluator shall be continuously engaged throughout the initiation of these pilot programs and during the administration of them.  This should occur in as close to real time as possible so that timely, substantive </w:t>
      </w:r>
      <w:r>
        <w:lastRenderedPageBreak/>
        <w:t xml:space="preserve">feedback can be used to change course when </w:t>
      </w:r>
      <w:r w:rsidR="00807D72">
        <w:t xml:space="preserve">and if </w:t>
      </w:r>
      <w:r>
        <w:t>appropriate</w:t>
      </w:r>
      <w:r w:rsidR="00942BC9">
        <w:t>,</w:t>
      </w:r>
      <w:r>
        <w:t xml:space="preserve"> and</w:t>
      </w:r>
      <w:r w:rsidR="00807D72">
        <w:t xml:space="preserve"> to</w:t>
      </w:r>
      <w:r>
        <w:t xml:space="preserve"> ensure the success of these pilot programs. </w:t>
      </w:r>
    </w:p>
    <w:p w14:paraId="5CE23592" w14:textId="61BC475C" w:rsidR="00E50745" w:rsidRDefault="00E50745" w:rsidP="00E50745">
      <w:pPr>
        <w:pStyle w:val="Heading3"/>
      </w:pPr>
      <w:bookmarkStart w:id="31" w:name="_Toc32310243"/>
      <w:r>
        <w:t xml:space="preserve">Analysis: </w:t>
      </w:r>
      <w:r w:rsidR="00520024">
        <w:t xml:space="preserve"> </w:t>
      </w:r>
      <w:r>
        <w:t xml:space="preserve">The  Program  </w:t>
      </w:r>
      <w:r w:rsidR="0081739C">
        <w:br/>
      </w:r>
      <w:r>
        <w:t xml:space="preserve">Evaluator Shall Use </w:t>
      </w:r>
      <w:r w:rsidR="00897CF1">
        <w:t xml:space="preserve">a Combination of </w:t>
      </w:r>
      <w:r>
        <w:t xml:space="preserve">Metrics for </w:t>
      </w:r>
      <w:r w:rsidR="0081739C">
        <w:br/>
      </w:r>
      <w:r>
        <w:t>Measuring</w:t>
      </w:r>
      <w:r w:rsidR="00831E4C">
        <w:t xml:space="preserve"> Pilot Program</w:t>
      </w:r>
      <w:r>
        <w:t xml:space="preserve"> Success</w:t>
      </w:r>
      <w:bookmarkEnd w:id="31"/>
    </w:p>
    <w:p w14:paraId="6D2E0278" w14:textId="0854B9F9" w:rsidR="00F5642E" w:rsidRDefault="006C0B13" w:rsidP="00E50745">
      <w:r>
        <w:t>T</w:t>
      </w:r>
      <w:r w:rsidR="00E50745">
        <w:t xml:space="preserve">he program evaluator shall use the </w:t>
      </w:r>
      <w:r w:rsidR="00831E4C">
        <w:t>program</w:t>
      </w:r>
      <w:r w:rsidR="00E50745">
        <w:t xml:space="preserve"> metrics</w:t>
      </w:r>
      <w:r>
        <w:t xml:space="preserve"> outlined in SB</w:t>
      </w:r>
      <w:r w:rsidR="002D0995">
        <w:t> </w:t>
      </w:r>
      <w:r>
        <w:t>1477</w:t>
      </w:r>
      <w:r w:rsidR="00E50745">
        <w:t xml:space="preserve"> for measuring pilot program success.</w:t>
      </w:r>
      <w:r w:rsidR="002D0995">
        <w:t xml:space="preserve"> </w:t>
      </w:r>
      <w:r w:rsidR="00E50745">
        <w:t xml:space="preserve"> Pursuant to statute, the </w:t>
      </w:r>
      <w:r w:rsidR="00897CF1">
        <w:t xml:space="preserve">program </w:t>
      </w:r>
      <w:r w:rsidR="00E50745">
        <w:t>evaluator must include the following metrics to measure each pilot program’s compliance with SB 1477:</w:t>
      </w:r>
      <w:r w:rsidR="002D0995">
        <w:t xml:space="preserve"> </w:t>
      </w:r>
      <w:r w:rsidR="00E50745">
        <w:t xml:space="preserve"> (1) cost per metric ton of avoided GHG emissions; (2) projected annual and lifetime utility bill savings; (3)</w:t>
      </w:r>
      <w:r w:rsidR="002D0995">
        <w:t> </w:t>
      </w:r>
      <w:r w:rsidR="00E50745">
        <w:t>number of low-emission systems installed (BUILD Program only); and (4)</w:t>
      </w:r>
      <w:r w:rsidR="002D0995">
        <w:t> </w:t>
      </w:r>
      <w:r w:rsidR="00E50745">
        <w:t xml:space="preserve">market share for eligible technologies (TECH Initiative only). </w:t>
      </w:r>
    </w:p>
    <w:p w14:paraId="1921B87F" w14:textId="49EF0499" w:rsidR="00E50745" w:rsidRDefault="00F5642E" w:rsidP="00E50745">
      <w:r>
        <w:t>Additionally, , t</w:t>
      </w:r>
      <w:r w:rsidR="00E50745" w:rsidRPr="0033622E">
        <w:t xml:space="preserve">he </w:t>
      </w:r>
      <w:r>
        <w:t xml:space="preserve">program </w:t>
      </w:r>
      <w:r w:rsidR="00E50745" w:rsidRPr="0033622E">
        <w:t>evaluator shall work with Energy Division</w:t>
      </w:r>
      <w:r w:rsidR="00897CF1">
        <w:t xml:space="preserve"> staff</w:t>
      </w:r>
      <w:r w:rsidR="00E50745" w:rsidRPr="0033622E">
        <w:t xml:space="preserve"> to determine whether – and to what extent – to apply the sub</w:t>
      </w:r>
      <w:r w:rsidR="001E6ACB">
        <w:noBreakHyphen/>
      </w:r>
      <w:r w:rsidR="00E50745" w:rsidRPr="0033622E">
        <w:t xml:space="preserve">metrics listed in </w:t>
      </w:r>
      <w:r w:rsidR="00807D72">
        <w:t>Section 1.1 of</w:t>
      </w:r>
      <w:r w:rsidR="00E50745" w:rsidRPr="0033622E">
        <w:t xml:space="preserve"> </w:t>
      </w:r>
      <w:r w:rsidR="00DB19E8">
        <w:t>Appendix A</w:t>
      </w:r>
      <w:r w:rsidR="00DB19E8" w:rsidRPr="0033622E">
        <w:t xml:space="preserve"> </w:t>
      </w:r>
      <w:r w:rsidR="00DB19E8">
        <w:t>of</w:t>
      </w:r>
      <w:r w:rsidR="00E50745" w:rsidRPr="0033622E">
        <w:t xml:space="preserve"> this decision</w:t>
      </w:r>
      <w:r w:rsidR="00807D72">
        <w:t>, and if any additional metrics are needed,</w:t>
      </w:r>
      <w:r w:rsidR="00807D72" w:rsidRPr="0033622E">
        <w:t xml:space="preserve"> </w:t>
      </w:r>
      <w:r w:rsidR="00E50745" w:rsidRPr="0033622E">
        <w:t xml:space="preserve"> in order to calculate the cost per metric ton of avoided GHG emissions.</w:t>
      </w:r>
      <w:r w:rsidR="00E50745" w:rsidRPr="0033622E">
        <w:rPr>
          <w:rStyle w:val="FootnoteReference"/>
        </w:rPr>
        <w:footnoteReference w:id="109"/>
      </w:r>
      <w:r w:rsidR="00E50745" w:rsidRPr="0033622E" w:rsidDel="00D7405C">
        <w:t xml:space="preserve"> </w:t>
      </w:r>
      <w:r w:rsidR="00E50745" w:rsidRPr="0033622E">
        <w:t xml:space="preserve"> </w:t>
      </w:r>
      <w:r w:rsidR="00DB19E8">
        <w:t xml:space="preserve">When appropriate and feasible for both the BUILD Program and TECH Initiative, the program evaluator shall use meter-based data as part of the data used to calculate and evaluate cost per metric ton of avoided GHG.  When not appropriate or not feasible, the program evaluator shall work with </w:t>
      </w:r>
      <w:r>
        <w:t>Energy Division</w:t>
      </w:r>
      <w:r w:rsidR="00E50745" w:rsidRPr="001D57DA">
        <w:t xml:space="preserve"> </w:t>
      </w:r>
      <w:r w:rsidR="00DB19E8">
        <w:t xml:space="preserve">staff </w:t>
      </w:r>
      <w:r w:rsidR="00E50745" w:rsidRPr="001D57DA">
        <w:t xml:space="preserve">to </w:t>
      </w:r>
      <w:r w:rsidR="00E50745">
        <w:t>determine</w:t>
      </w:r>
      <w:r w:rsidR="00E50745" w:rsidRPr="001D57DA">
        <w:t xml:space="preserve"> the best method for quantifying and valuing all GHG emissions, including those </w:t>
      </w:r>
      <w:r w:rsidR="00E50745">
        <w:t>associated with</w:t>
      </w:r>
      <w:r w:rsidR="00E50745" w:rsidRPr="001D57DA">
        <w:t xml:space="preserve"> methane and refrigerant</w:t>
      </w:r>
      <w:r w:rsidR="00807D72">
        <w:t>s</w:t>
      </w:r>
      <w:r w:rsidR="00E50745" w:rsidRPr="001D57DA">
        <w:t>.</w:t>
      </w:r>
      <w:r w:rsidR="00E50745" w:rsidRPr="00D36296" w:rsidDel="00D4123E">
        <w:rPr>
          <w:highlight w:val="yellow"/>
        </w:rPr>
        <w:t xml:space="preserve"> </w:t>
      </w:r>
    </w:p>
    <w:p w14:paraId="3DAFA033" w14:textId="4DC16F8C" w:rsidR="00E50745" w:rsidRDefault="00E50745" w:rsidP="00E50745">
      <w:r>
        <w:t xml:space="preserve">We also find the </w:t>
      </w:r>
      <w:r w:rsidR="00627B98">
        <w:t xml:space="preserve"> program evaluation </w:t>
      </w:r>
      <w:r>
        <w:t>recommendations from Cal</w:t>
      </w:r>
      <w:r w:rsidR="002D0995">
        <w:t> </w:t>
      </w:r>
      <w:r>
        <w:t xml:space="preserve">Advocates, Wild Tree Foundation, VEIC, and SBUA reasonable.  Therefore, the program evaluator shall  work with </w:t>
      </w:r>
      <w:r w:rsidR="00807D72">
        <w:t xml:space="preserve">Energy Division </w:t>
      </w:r>
      <w:r>
        <w:t>staff</w:t>
      </w:r>
      <w:r w:rsidR="00DB19E8">
        <w:t xml:space="preserve">, the BUILD </w:t>
      </w:r>
      <w:r w:rsidR="00DB19E8">
        <w:lastRenderedPageBreak/>
        <w:t xml:space="preserve">Program </w:t>
      </w:r>
      <w:r w:rsidR="00627B98">
        <w:t>a</w:t>
      </w:r>
      <w:r w:rsidR="00DB19E8">
        <w:t xml:space="preserve">dministrator, and the TECH Initiative </w:t>
      </w:r>
      <w:r w:rsidR="00627B98">
        <w:t>i</w:t>
      </w:r>
      <w:r w:rsidR="00DB19E8">
        <w:t>mplementer</w:t>
      </w:r>
      <w:r>
        <w:t xml:space="preserve"> to determine which of the following </w:t>
      </w:r>
      <w:r w:rsidR="00DB19E8">
        <w:t xml:space="preserve">additional </w:t>
      </w:r>
      <w:r>
        <w:t>metrics should be required, as part of  pilot program evaluation:</w:t>
      </w:r>
      <w:r w:rsidR="00370F9B">
        <w:t xml:space="preserve"> </w:t>
      </w:r>
      <w:r>
        <w:t xml:space="preserve"> (1) market share data (</w:t>
      </w:r>
      <w:r w:rsidRPr="002D0995">
        <w:rPr>
          <w:i/>
          <w:iCs/>
        </w:rPr>
        <w:t>i.e.</w:t>
      </w:r>
      <w:r w:rsidR="00E23D10">
        <w:rPr>
          <w:i/>
          <w:iCs/>
        </w:rPr>
        <w:t>,</w:t>
      </w:r>
      <w:r>
        <w:t xml:space="preserve"> demographic factors) that track both the overall share of various low-emissions technologies and the share of new installations; (2)</w:t>
      </w:r>
      <w:r w:rsidR="002D0995">
        <w:t> </w:t>
      </w:r>
      <w:r>
        <w:t>customer outreach and customer satisfaction; (3) number of workers trained to install each type of technology and size of available skilled workforce; (4)</w:t>
      </w:r>
      <w:r w:rsidR="002D0995">
        <w:t> </w:t>
      </w:r>
      <w:r>
        <w:t>contractor performance; (5) full life cycle of replaced and replacement appliances; (6) success in degree of training provided to market actors necessary to facilitate market transformation</w:t>
      </w:r>
      <w:r w:rsidR="00DB19E8">
        <w:t>; and (7) types of refrigerants used, and their associated Global Warming Potential (GWP), in space and water heating equipment incentivized through both the BUILD Program and TECH Initiative</w:t>
      </w:r>
      <w:r>
        <w:t xml:space="preserve">. </w:t>
      </w:r>
    </w:p>
    <w:p w14:paraId="15A1A9FC" w14:textId="41027862" w:rsidR="003E6FAB" w:rsidRDefault="00E50745" w:rsidP="00E50745">
      <w:pPr>
        <w:pStyle w:val="Standard"/>
      </w:pPr>
      <w:r>
        <w:t>Section</w:t>
      </w:r>
      <w:r w:rsidR="00807D72">
        <w:t>s</w:t>
      </w:r>
      <w:r>
        <w:t xml:space="preserve"> 921.1(d)(4)(B) and 922(c)(2)(B) require the calculation of participant bill savings.  We direct the </w:t>
      </w:r>
      <w:r w:rsidR="00F5642E">
        <w:t>p</w:t>
      </w:r>
      <w:r>
        <w:t xml:space="preserve">rogram </w:t>
      </w:r>
      <w:r w:rsidR="00F5642E">
        <w:t>e</w:t>
      </w:r>
      <w:r>
        <w:t>valuator to work with Energy Division</w:t>
      </w:r>
      <w:r w:rsidR="00627B98">
        <w:t xml:space="preserve"> staff</w:t>
      </w:r>
      <w:r>
        <w:t xml:space="preserve"> to develop a cost-effectiveness analysis in its evaluation measure for pilot program compliance and performance reviews to ensure</w:t>
      </w:r>
      <w:r w:rsidR="00627B98">
        <w:t xml:space="preserve"> that</w:t>
      </w:r>
      <w:r>
        <w:t xml:space="preserve"> customer utility bills do not increase, and that a full range of costs and benefits</w:t>
      </w:r>
      <w:r w:rsidR="00807D72">
        <w:t xml:space="preserve"> to the customer</w:t>
      </w:r>
      <w:r>
        <w:t xml:space="preserve"> (</w:t>
      </w:r>
      <w:r w:rsidRPr="00C17DAB">
        <w:rPr>
          <w:i/>
          <w:iCs/>
        </w:rPr>
        <w:t>e.g.,</w:t>
      </w:r>
      <w:r>
        <w:t xml:space="preserve"> non</w:t>
      </w:r>
      <w:r w:rsidR="00D055E5">
        <w:noBreakHyphen/>
      </w:r>
      <w:r>
        <w:t>energy impacts</w:t>
      </w:r>
      <w:r w:rsidR="001C32BA">
        <w:t xml:space="preserve"> and</w:t>
      </w:r>
      <w:r>
        <w:t xml:space="preserve"> improvements in energy services) is evaluated.</w:t>
      </w:r>
      <w:r w:rsidR="00DB19E8">
        <w:t xml:space="preserve">  When appropriate and feasible for both the BUILD Program and TECH Initiative, the program evaluator shall calculate participant utility bill savings – or costs – using meter-based data.</w:t>
      </w:r>
    </w:p>
    <w:p w14:paraId="7602D9C6" w14:textId="2540F4E5" w:rsidR="00C6198B" w:rsidRDefault="00C6198B" w:rsidP="00E50745">
      <w:pPr>
        <w:pStyle w:val="Standard"/>
      </w:pPr>
      <w:r>
        <w:t>The program evaluator shall ensure that the BUILD Program administrator and TECH Initiative implementer include the following data annually so</w:t>
      </w:r>
      <w:r w:rsidR="00807D72">
        <w:t xml:space="preserve"> that</w:t>
      </w:r>
      <w:r>
        <w:t xml:space="preserve"> gas corporations can comply with their reporting obligations pursuant to the Cap-and-Trade </w:t>
      </w:r>
      <w:r w:rsidR="00E31776">
        <w:t>p</w:t>
      </w:r>
      <w:r>
        <w:t xml:space="preserve">rogram: </w:t>
      </w:r>
      <w:r w:rsidR="00C17DAB">
        <w:t xml:space="preserve"> </w:t>
      </w:r>
      <w:r>
        <w:t xml:space="preserve">(1) total avoided GHG emissions expected from that year’s expenditures (estimated); (2) total expenditures; </w:t>
      </w:r>
      <w:r>
        <w:lastRenderedPageBreak/>
        <w:t>(3)</w:t>
      </w:r>
      <w:r w:rsidR="00C17DAB">
        <w:t> </w:t>
      </w:r>
      <w:r>
        <w:t xml:space="preserve">itemization of administration and outreach expenditures; and (4) </w:t>
      </w:r>
      <w:r w:rsidRPr="00E95994">
        <w:t>description of the na</w:t>
      </w:r>
      <w:r>
        <w:t>ture and purpose of the program</w:t>
      </w:r>
      <w:r w:rsidRPr="00E95994">
        <w:t>, including aspec</w:t>
      </w:r>
      <w:r>
        <w:t>ts such as eligibility requirem</w:t>
      </w:r>
      <w:r w:rsidRPr="00E95994">
        <w:t>ents.</w:t>
      </w:r>
      <w:r>
        <w:rPr>
          <w:rStyle w:val="FootnoteReference"/>
        </w:rPr>
        <w:footnoteReference w:id="110"/>
      </w:r>
      <w:r>
        <w:t xml:space="preserve">  </w:t>
      </w:r>
    </w:p>
    <w:p w14:paraId="666967BB" w14:textId="16D12E69" w:rsidR="00E50745" w:rsidRDefault="00E50745" w:rsidP="00E50745">
      <w:pPr>
        <w:pStyle w:val="Heading2"/>
      </w:pPr>
      <w:bookmarkStart w:id="32" w:name="_Toc32310244"/>
      <w:r>
        <w:t>Pilot Program Education and Outreach</w:t>
      </w:r>
      <w:bookmarkEnd w:id="32"/>
      <w:r>
        <w:t xml:space="preserve"> </w:t>
      </w:r>
    </w:p>
    <w:p w14:paraId="74BD52DD" w14:textId="72A7A4BF" w:rsidR="00E50745" w:rsidRDefault="00E50745" w:rsidP="00E50745">
      <w:pPr>
        <w:pStyle w:val="Standard"/>
      </w:pPr>
      <w:r>
        <w:t>Sections 921.1(</w:t>
      </w:r>
      <w:r w:rsidR="00E31776">
        <w:t>d</w:t>
      </w:r>
      <w:r>
        <w:t>)(5) require</w:t>
      </w:r>
      <w:r w:rsidR="00E31776">
        <w:t>s</w:t>
      </w:r>
      <w:r>
        <w:t xml:space="preserve"> the Commission to implement </w:t>
      </w:r>
      <w:r w:rsidR="00E31776">
        <w:t>a BUILD Program outreach plan.</w:t>
      </w:r>
      <w:r w:rsidR="00FB279E">
        <w:t xml:space="preserve"> </w:t>
      </w:r>
      <w:r w:rsidR="00680569">
        <w:t xml:space="preserve">Section </w:t>
      </w:r>
      <w:r w:rsidR="00E31776">
        <w:t xml:space="preserve">921.1(d)(1) requires the Commission to </w:t>
      </w:r>
      <w:r>
        <w:t xml:space="preserve">ensure that new low-income residential housing building projects are offered technical assistance to encourage applications eligible for BUILD Program incentives.  </w:t>
      </w:r>
    </w:p>
    <w:p w14:paraId="1E20D1A3" w14:textId="47FFC73D" w:rsidR="00E50745" w:rsidRDefault="00E50745" w:rsidP="00E50745">
      <w:pPr>
        <w:pStyle w:val="Standard"/>
      </w:pPr>
      <w:r>
        <w:t xml:space="preserve">Section 922(a)(1) requires the TECH Initiative to advance the state’s market for low-emission space and water heating equipment for new and existing buildings through </w:t>
      </w:r>
      <w:r w:rsidR="00C06E58">
        <w:t xml:space="preserve">several measures.  These measures include </w:t>
      </w:r>
      <w:r>
        <w:t>consumer education, contractor</w:t>
      </w:r>
      <w:r w:rsidR="00E31776">
        <w:t xml:space="preserve"> training,</w:t>
      </w:r>
      <w:r>
        <w:t xml:space="preserve"> vendor training</w:t>
      </w:r>
      <w:r w:rsidR="00E31776">
        <w:t>,</w:t>
      </w:r>
      <w:r>
        <w:t xml:space="preserve"> and the provision of upstream and midstream incentives</w:t>
      </w:r>
      <w:r w:rsidR="000D7CFA">
        <w:t>.</w:t>
      </w:r>
      <w:r>
        <w:t xml:space="preserve"> Section 922(c)(1) requires the </w:t>
      </w:r>
      <w:r w:rsidRPr="0036655A">
        <w:t>develop</w:t>
      </w:r>
      <w:r>
        <w:t>ment</w:t>
      </w:r>
      <w:r w:rsidRPr="0036655A">
        <w:t xml:space="preserve"> </w:t>
      </w:r>
      <w:r>
        <w:t xml:space="preserve">of </w:t>
      </w:r>
      <w:r w:rsidRPr="0036655A">
        <w:t xml:space="preserve">guidelines and evaluation metrics, </w:t>
      </w:r>
      <w:r>
        <w:t>implementation of</w:t>
      </w:r>
      <w:r w:rsidRPr="0036655A">
        <w:t xml:space="preserve"> outreach strategies for hard-to-reach customers, and provi</w:t>
      </w:r>
      <w:r>
        <w:t>sion</w:t>
      </w:r>
      <w:r w:rsidRPr="0036655A">
        <w:t xml:space="preserve"> </w:t>
      </w:r>
      <w:r>
        <w:t>of</w:t>
      </w:r>
      <w:r w:rsidRPr="0036655A">
        <w:t xml:space="preserve"> job training and employment opportunities.</w:t>
      </w:r>
    </w:p>
    <w:p w14:paraId="6C171CAD" w14:textId="09E03F9B" w:rsidR="00E50745" w:rsidRDefault="00E50745" w:rsidP="00E50745">
      <w:pPr>
        <w:pStyle w:val="Standard"/>
      </w:pPr>
      <w:r>
        <w:t xml:space="preserve">In </w:t>
      </w:r>
      <w:r w:rsidR="00E31776">
        <w:t xml:space="preserve">the </w:t>
      </w:r>
      <w:r>
        <w:t>assigned Administrative Law Judge Ruling,</w:t>
      </w:r>
      <w:r>
        <w:rPr>
          <w:rStyle w:val="FootnoteReference"/>
        </w:rPr>
        <w:footnoteReference w:id="111"/>
      </w:r>
      <w:r>
        <w:t xml:space="preserve"> parties were asked to comment on the Staff Proposal’s execution of these plans for the BUILD Program and TECH Initiative.</w:t>
      </w:r>
    </w:p>
    <w:p w14:paraId="4DB3F71B" w14:textId="77777777" w:rsidR="00E50745" w:rsidRDefault="00E50745" w:rsidP="00E50745">
      <w:pPr>
        <w:pStyle w:val="Heading3"/>
      </w:pPr>
      <w:bookmarkStart w:id="33" w:name="_Toc32310245"/>
      <w:r>
        <w:t>Staff Proposal Summary</w:t>
      </w:r>
      <w:bookmarkEnd w:id="33"/>
      <w:r>
        <w:t xml:space="preserve"> </w:t>
      </w:r>
    </w:p>
    <w:p w14:paraId="0C1BB422" w14:textId="77AB5E6D" w:rsidR="00E50745" w:rsidRDefault="00E50745" w:rsidP="00E50745">
      <w:pPr>
        <w:pStyle w:val="Standard"/>
      </w:pPr>
      <w:r>
        <w:t xml:space="preserve">For the BUILD Program, the Staff Proposal envisions developing and disseminating field verification protocols for equipment installation, which can be used both as outreach material to educate builders about the BUILD Program </w:t>
      </w:r>
      <w:r>
        <w:lastRenderedPageBreak/>
        <w:t xml:space="preserve">and also act as a technical guide.  These </w:t>
      </w:r>
      <w:r w:rsidR="00680569">
        <w:t xml:space="preserve">protocols </w:t>
      </w:r>
      <w:r>
        <w:t xml:space="preserve">would include </w:t>
      </w:r>
      <w:r w:rsidRPr="0096253C">
        <w:t>specific information on each incentive category, the type of equipment that is eligible, proper installation guidelines, and expected emission reductions.</w:t>
      </w:r>
      <w:r>
        <w:rPr>
          <w:rStyle w:val="FootnoteReference"/>
        </w:rPr>
        <w:footnoteReference w:id="112"/>
      </w:r>
    </w:p>
    <w:p w14:paraId="1DDA305B" w14:textId="40C8BCC4" w:rsidR="00E50745" w:rsidRPr="0033622E" w:rsidRDefault="00E50745" w:rsidP="00E50745">
      <w:pPr>
        <w:pStyle w:val="Standard"/>
      </w:pPr>
      <w:r>
        <w:t xml:space="preserve">For the TECH Initiative, which </w:t>
      </w:r>
      <w:r w:rsidR="00627B98">
        <w:t>focuses</w:t>
      </w:r>
      <w:r>
        <w:t xml:space="preserve"> primarily on upstream and midstream approaches, the Staff Proposal envisions</w:t>
      </w:r>
      <w:r w:rsidRPr="003B10EB">
        <w:t xml:space="preserve"> treat</w:t>
      </w:r>
      <w:r>
        <w:t>ing</w:t>
      </w:r>
      <w:r w:rsidRPr="003B10EB">
        <w:t xml:space="preserve"> supply chain market actors as partners, with established memoranda of understanding and shared sales, marketing, and training strategies</w:t>
      </w:r>
      <w:r>
        <w:t>, including close</w:t>
      </w:r>
      <w:r w:rsidRPr="003B10EB">
        <w:t xml:space="preserve"> coordinat</w:t>
      </w:r>
      <w:r>
        <w:t>ion</w:t>
      </w:r>
      <w:r w:rsidRPr="003B10EB">
        <w:t xml:space="preserve"> with midstream HVAC programs sponsored by utilities that target the same technologies or supply chain actors</w:t>
      </w:r>
      <w:r>
        <w:t>.</w:t>
      </w:r>
      <w:bookmarkStart w:id="34" w:name="_Ref29286418"/>
      <w:r>
        <w:rPr>
          <w:rStyle w:val="FootnoteReference"/>
        </w:rPr>
        <w:footnoteReference w:id="113"/>
      </w:r>
      <w:bookmarkEnd w:id="34"/>
      <w:r>
        <w:t xml:space="preserve">  </w:t>
      </w:r>
    </w:p>
    <w:p w14:paraId="567DC8C8" w14:textId="77777777" w:rsidR="00E50745" w:rsidRDefault="00E50745" w:rsidP="00E50745">
      <w:pPr>
        <w:pStyle w:val="Heading3"/>
      </w:pPr>
      <w:bookmarkStart w:id="35" w:name="_Toc32310246"/>
      <w:r>
        <w:t>Parties’ Positions</w:t>
      </w:r>
      <w:bookmarkEnd w:id="35"/>
    </w:p>
    <w:p w14:paraId="328C8390" w14:textId="1E2E12DB" w:rsidR="00E50745" w:rsidRDefault="00E50745" w:rsidP="00E50745">
      <w:pPr>
        <w:pStyle w:val="Standard"/>
      </w:pPr>
      <w:r>
        <w:t xml:space="preserve">The Partnership recommends that the Commission clarify that </w:t>
      </w:r>
      <w:r w:rsidR="00E31776">
        <w:t xml:space="preserve">the </w:t>
      </w:r>
      <w:r>
        <w:t>technical assistance provider for the BUILD Program need not be limited to a single entity so that a potential joint venture can leverage multiple organizations with varied expertise in outreach, troubleshooting, and financing, such as to become a one-stop shop resource for property owners.</w:t>
      </w:r>
      <w:r>
        <w:rPr>
          <w:rStyle w:val="FootnoteReference"/>
        </w:rPr>
        <w:footnoteReference w:id="114"/>
      </w:r>
      <w:r>
        <w:t xml:space="preserve">  For BUILD Program outreach, Joint Environmentals recommend outreaching to builders directly at the forums they already attend and through trade associations.</w:t>
      </w:r>
      <w:r>
        <w:rPr>
          <w:rStyle w:val="FootnoteReference"/>
        </w:rPr>
        <w:footnoteReference w:id="115"/>
      </w:r>
    </w:p>
    <w:p w14:paraId="539FFC29" w14:textId="77777777" w:rsidR="00E50745" w:rsidRDefault="00E50745" w:rsidP="00E50745">
      <w:pPr>
        <w:pStyle w:val="Standard"/>
      </w:pPr>
      <w:r>
        <w:t>For the TECH Initiative, SBUA recommends, among other things, direct education and training to cities and counties’ staff through advocacy and partnerships with existing municipal interest groups to remove barriers related to permitting.</w:t>
      </w:r>
      <w:r>
        <w:rPr>
          <w:rStyle w:val="FootnoteReference"/>
        </w:rPr>
        <w:footnoteReference w:id="116"/>
      </w:r>
      <w:r>
        <w:t xml:space="preserve">  </w:t>
      </w:r>
    </w:p>
    <w:p w14:paraId="3B998A5C" w14:textId="68962210" w:rsidR="00E50745" w:rsidRPr="0033622E" w:rsidRDefault="00E50745" w:rsidP="00E50745">
      <w:pPr>
        <w:pStyle w:val="Standard"/>
      </w:pPr>
      <w:r>
        <w:lastRenderedPageBreak/>
        <w:t xml:space="preserve">Cal Advocates asks the </w:t>
      </w:r>
      <w:r w:rsidR="00E31776">
        <w:t xml:space="preserve">Commission </w:t>
      </w:r>
      <w:r>
        <w:t>to ensure the development of a robust outreach plan to target both owners and developers of new residential housing for the BUILD Program.</w:t>
      </w:r>
      <w:r>
        <w:rPr>
          <w:rStyle w:val="FootnoteReference"/>
        </w:rPr>
        <w:footnoteReference w:id="117"/>
      </w:r>
    </w:p>
    <w:p w14:paraId="578E7725" w14:textId="79818301" w:rsidR="008C4E11" w:rsidRDefault="00E31776" w:rsidP="008C4E11">
      <w:pPr>
        <w:pStyle w:val="Heading3"/>
      </w:pPr>
      <w:bookmarkStart w:id="36" w:name="_Toc30773766"/>
      <w:bookmarkStart w:id="37" w:name="_Toc32310247"/>
      <w:r>
        <w:t>Analysis:</w:t>
      </w:r>
      <w:r w:rsidRPr="00E50745">
        <w:t xml:space="preserve"> </w:t>
      </w:r>
      <w:r w:rsidR="004F73E0">
        <w:t xml:space="preserve"> </w:t>
      </w:r>
      <w:r>
        <w:t>A Successful Education and Outreach Campaign for the Pilot Programs Shall Have a Calibrated Approach with Technical Assistance Activities to Ensure Effective Market Adoption of Building Decarbonization Strategies</w:t>
      </w:r>
      <w:bookmarkEnd w:id="36"/>
      <w:r w:rsidR="00B304B9">
        <w:t xml:space="preserve"> </w:t>
      </w:r>
      <w:r>
        <w:t>E</w:t>
      </w:r>
      <w:r w:rsidR="00E50745">
        <w:t xml:space="preserve">ducation and </w:t>
      </w:r>
      <w:r w:rsidR="00DB19E8">
        <w:t>O</w:t>
      </w:r>
      <w:r w:rsidR="00E50745">
        <w:t xml:space="preserve">utreach </w:t>
      </w:r>
      <w:r w:rsidR="00DB19E8">
        <w:t>W</w:t>
      </w:r>
      <w:r w:rsidR="00E50745">
        <w:t xml:space="preserve">ill </w:t>
      </w:r>
      <w:r w:rsidR="00DB19E8">
        <w:t>I</w:t>
      </w:r>
      <w:r w:rsidR="00E50745">
        <w:t xml:space="preserve">ncrease the </w:t>
      </w:r>
      <w:r w:rsidR="00DB19E8">
        <w:t>E</w:t>
      </w:r>
      <w:r w:rsidR="00E50745">
        <w:t>ffectiveness of the BUILD Program and TECH Initiative</w:t>
      </w:r>
      <w:bookmarkEnd w:id="37"/>
      <w:r w:rsidR="00E50745">
        <w:t xml:space="preserve">  </w:t>
      </w:r>
    </w:p>
    <w:p w14:paraId="03B33509" w14:textId="34D8378D" w:rsidR="00E50745" w:rsidRDefault="00E50745" w:rsidP="00E50745">
      <w:pPr>
        <w:pStyle w:val="Standard"/>
      </w:pPr>
      <w:r>
        <w:t>The BUILD Program and TECH Initiative education and outreach campaign</w:t>
      </w:r>
      <w:r w:rsidR="00E31776">
        <w:t>s</w:t>
      </w:r>
      <w:r>
        <w:t xml:space="preserve"> should increase the level to which </w:t>
      </w:r>
      <w:r w:rsidR="00E31776">
        <w:t xml:space="preserve">market actors and, consequently, </w:t>
      </w:r>
      <w:r w:rsidR="005443FB">
        <w:t>Californians  are engaged in building decarbonization to such a degree that market transformation ensures that customers are able to adopt building decarbonization technologies.</w:t>
      </w:r>
      <w:r w:rsidR="005443FB">
        <w:rPr>
          <w:rStyle w:val="FootnoteReference"/>
        </w:rPr>
        <w:footnoteReference w:id="118"/>
      </w:r>
    </w:p>
    <w:p w14:paraId="0D064043" w14:textId="5B024139" w:rsidR="00E50745" w:rsidRDefault="00E50745" w:rsidP="00E50745">
      <w:pPr>
        <w:pStyle w:val="Standard"/>
      </w:pPr>
      <w:r>
        <w:t>For the TECH Initiative, such an education and outreach campaign should complement the upstream and midstream strategies, by seeking partnerships with supply chain actors, as discussed in the Staff Proposal</w:t>
      </w:r>
      <w:r w:rsidR="00E31776">
        <w:t>,</w:t>
      </w:r>
      <w:r w:rsidR="00E31776" w:rsidRPr="00F33A81">
        <w:rPr>
          <w:vertAlign w:val="superscript"/>
        </w:rPr>
        <w:t xml:space="preserve"> </w:t>
      </w:r>
      <w:r w:rsidR="00E31776" w:rsidRPr="00580404">
        <w:rPr>
          <w:vertAlign w:val="superscript"/>
        </w:rPr>
        <w:fldChar w:fldCharType="begin"/>
      </w:r>
      <w:r w:rsidR="00E31776" w:rsidRPr="002210D1">
        <w:rPr>
          <w:vertAlign w:val="superscript"/>
        </w:rPr>
        <w:instrText xml:space="preserve"> NOTEREF _Ref29286418 \h </w:instrText>
      </w:r>
      <w:r w:rsidR="00E31776">
        <w:rPr>
          <w:vertAlign w:val="superscript"/>
        </w:rPr>
        <w:instrText xml:space="preserve"> \* MERGEFORMAT </w:instrText>
      </w:r>
      <w:r w:rsidR="00E31776" w:rsidRPr="00580404">
        <w:rPr>
          <w:vertAlign w:val="superscript"/>
        </w:rPr>
      </w:r>
      <w:r w:rsidR="00E31776" w:rsidRPr="00580404">
        <w:rPr>
          <w:vertAlign w:val="superscript"/>
        </w:rPr>
        <w:fldChar w:fldCharType="separate"/>
      </w:r>
      <w:r w:rsidR="00081764">
        <w:rPr>
          <w:vertAlign w:val="superscript"/>
        </w:rPr>
        <w:t>112</w:t>
      </w:r>
      <w:r w:rsidR="00E31776" w:rsidRPr="00580404">
        <w:rPr>
          <w:vertAlign w:val="superscript"/>
        </w:rPr>
        <w:fldChar w:fldCharType="end"/>
      </w:r>
      <w:r w:rsidR="00E31776">
        <w:t xml:space="preserve"> as well as providing technical education to installers and contractors.</w:t>
      </w:r>
      <w:r w:rsidR="00B304B9">
        <w:t xml:space="preserve">  </w:t>
      </w:r>
      <w:r>
        <w:t xml:space="preserve">Therefore, we direct the TECH Initiative implementer to engage in an education and outreach campaign, in consultation with stakeholders.  </w:t>
      </w:r>
    </w:p>
    <w:p w14:paraId="43DC0156" w14:textId="0F80F0D4" w:rsidR="00E50745" w:rsidRDefault="00E50745" w:rsidP="00E50745">
      <w:pPr>
        <w:pStyle w:val="Standard"/>
      </w:pPr>
      <w:r>
        <w:t xml:space="preserve">The BUILD Program administrator and the TECH Initiative implementer </w:t>
      </w:r>
      <w:r w:rsidR="00DB19E8">
        <w:t xml:space="preserve">shall </w:t>
      </w:r>
      <w:r>
        <w:t xml:space="preserve">engage in tactics to increase willingness </w:t>
      </w:r>
      <w:r w:rsidR="00E31776">
        <w:t xml:space="preserve">of market actors </w:t>
      </w:r>
      <w:r>
        <w:t xml:space="preserve">to adopt building decarbonization strategies and technologies into their </w:t>
      </w:r>
      <w:r w:rsidR="00E31776">
        <w:t>business practices</w:t>
      </w:r>
      <w:r>
        <w:t xml:space="preserve">.  The </w:t>
      </w:r>
      <w:r w:rsidR="00727E09">
        <w:t>administrator</w:t>
      </w:r>
      <w:r>
        <w:t xml:space="preserve"> and implement</w:t>
      </w:r>
      <w:r w:rsidR="00E31776">
        <w:t>e</w:t>
      </w:r>
      <w:r>
        <w:t xml:space="preserve">r’s efforts </w:t>
      </w:r>
      <w:r w:rsidR="00DB19E8">
        <w:t xml:space="preserve">shall </w:t>
      </w:r>
      <w:r>
        <w:t xml:space="preserve">target audiences and marketing </w:t>
      </w:r>
      <w:r>
        <w:lastRenderedPageBreak/>
        <w:t>partnerships that include those with on-the-ground community-based organizations</w:t>
      </w:r>
      <w:r w:rsidR="00E31776">
        <w:t>,</w:t>
      </w:r>
      <w:r>
        <w:t xml:space="preserve"> businesses, and local governments.  </w:t>
      </w:r>
    </w:p>
    <w:p w14:paraId="21AE0D76" w14:textId="77777777" w:rsidR="00C06E58" w:rsidRDefault="00C06E58" w:rsidP="00C06E58">
      <w:pPr>
        <w:pStyle w:val="Standard"/>
      </w:pPr>
      <w:r>
        <w:t>The BUILD Program administrator and the TECH Initiative implementer shall design their education and outreach to boost</w:t>
      </w:r>
      <w:r w:rsidRPr="006E0250">
        <w:t xml:space="preserve"> </w:t>
      </w:r>
      <w:r>
        <w:t>awareness and adoption of building decarbonization technologies into Californian homes and businesses, including customers that are low-income, disadvantaged, and hard-to-reach.  It is particularly important that the BUILD Program administrator and the TECH Initiative implementer form partnerships with organizations that primarily serve low-income, disadvantaged, and hard-to-reach customers to ensure active participation and partnership with customers across a variety of demographic groups.</w:t>
      </w:r>
    </w:p>
    <w:p w14:paraId="3ACE93D5" w14:textId="004FE144" w:rsidR="00E50745" w:rsidRPr="00774777" w:rsidRDefault="00E50745" w:rsidP="00E50745">
      <w:pPr>
        <w:pStyle w:val="Standard"/>
      </w:pPr>
      <w:r>
        <w:t>The BUILD Program administrator and the TECH Initiative implementer’s implementation of any education and outreach campaign</w:t>
      </w:r>
      <w:r w:rsidR="00E31776">
        <w:t>s</w:t>
      </w:r>
      <w:r>
        <w:t xml:space="preserve"> </w:t>
      </w:r>
      <w:r w:rsidR="00DB19E8">
        <w:t xml:space="preserve">shall </w:t>
      </w:r>
      <w:r>
        <w:t xml:space="preserve">reflect the legislative intent of SB 1477 as well as the policy objectives we hold here, to ensure </w:t>
      </w:r>
      <w:r w:rsidR="00C06E58">
        <w:t>compliance with statutory directives</w:t>
      </w:r>
      <w:r>
        <w:t>.</w:t>
      </w:r>
      <w:r>
        <w:rPr>
          <w:rStyle w:val="FootnoteReference"/>
        </w:rPr>
        <w:footnoteReference w:id="119"/>
      </w:r>
      <w:r>
        <w:t xml:space="preserve">  While we assign the implementation of the education and outreach efforts to the BUILD Program administrator and TECH Initiative implement</w:t>
      </w:r>
      <w:r w:rsidR="00E31776">
        <w:t>e</w:t>
      </w:r>
      <w:r>
        <w:t>r, the Commission will exercise its oversight power and judge the effectiveness of the education and outreach campaign</w:t>
      </w:r>
      <w:r w:rsidR="00E31776">
        <w:t>s</w:t>
      </w:r>
      <w:r>
        <w:t xml:space="preserve"> during </w:t>
      </w:r>
      <w:r w:rsidR="00E31776">
        <w:t xml:space="preserve">the </w:t>
      </w:r>
      <w:r>
        <w:t xml:space="preserve">evaluation process to determine whether or not </w:t>
      </w:r>
      <w:r w:rsidR="00E31776">
        <w:t>they have</w:t>
      </w:r>
      <w:r>
        <w:t xml:space="preserve"> accomplished the objective of demonstrating that the customers targeted by these pilot programs have increased awareness</w:t>
      </w:r>
      <w:r w:rsidR="00E31776">
        <w:t xml:space="preserve"> of building decarbonization</w:t>
      </w:r>
      <w:r>
        <w:t xml:space="preserve"> and adoption of building decarbonization technologies into their homes and businesses.  This determination will be based on findings of the program </w:t>
      </w:r>
      <w:r>
        <w:lastRenderedPageBreak/>
        <w:t xml:space="preserve">evaluator.  Metrics for success may include, but are not limited to: </w:t>
      </w:r>
      <w:r w:rsidR="005F0A71">
        <w:t xml:space="preserve"> </w:t>
      </w:r>
      <w:r>
        <w:t xml:space="preserve">(1) customer awareness and knowledge of building decarbonization; (2) customer awareness and knowledge of specific building decarbonization actions and technologies promoted by the BUILD Program and TECH Initiative; (3) solutions to perceived barriers and benefits and sense of action efficacy; and (4) </w:t>
      </w:r>
      <w:r w:rsidR="00E31776">
        <w:t xml:space="preserve">demonstration of </w:t>
      </w:r>
      <w:r>
        <w:t xml:space="preserve">customer </w:t>
      </w:r>
      <w:r w:rsidR="00E31776">
        <w:t xml:space="preserve">and market actor </w:t>
      </w:r>
      <w:r>
        <w:t>transformative behavior (</w:t>
      </w:r>
      <w:r w:rsidR="00A07812">
        <w:rPr>
          <w:i/>
          <w:iCs/>
        </w:rPr>
        <w:t>e.g</w:t>
      </w:r>
      <w:r w:rsidRPr="00366EBA">
        <w:rPr>
          <w:i/>
          <w:iCs/>
        </w:rPr>
        <w:t>.,</w:t>
      </w:r>
      <w:r>
        <w:t xml:space="preserve"> </w:t>
      </w:r>
      <w:r w:rsidR="00E31776">
        <w:t xml:space="preserve">increased </w:t>
      </w:r>
      <w:r>
        <w:t xml:space="preserve">installation of building decarbonization technologies in the home and/or small business). </w:t>
      </w:r>
    </w:p>
    <w:p w14:paraId="220A3237" w14:textId="77777777" w:rsidR="003E6FAB" w:rsidRDefault="00E50745" w:rsidP="00E50745">
      <w:pPr>
        <w:pStyle w:val="Heading2"/>
      </w:pPr>
      <w:bookmarkStart w:id="38" w:name="_Toc32310248"/>
      <w:r>
        <w:t>Refrigerants</w:t>
      </w:r>
      <w:bookmarkEnd w:id="38"/>
    </w:p>
    <w:p w14:paraId="7C3527AB" w14:textId="0861B5AA" w:rsidR="00E50745" w:rsidRDefault="00E50745" w:rsidP="00E50745">
      <w:pPr>
        <w:pStyle w:val="Standard"/>
        <w:rPr>
          <w:szCs w:val="26"/>
        </w:rPr>
      </w:pPr>
      <w:r>
        <w:rPr>
          <w:szCs w:val="26"/>
        </w:rPr>
        <w:t>Section 921.1(b) states that the BUILD Program must aim to “</w:t>
      </w:r>
      <w:r w:rsidRPr="00C767D8">
        <w:rPr>
          <w:szCs w:val="26"/>
        </w:rPr>
        <w:t xml:space="preserve">encourage building designs that reduce greenhouse gas emissions beyond industry practices and to offer greater incentives for larger projected </w:t>
      </w:r>
      <w:r w:rsidR="00913F8F">
        <w:rPr>
          <w:szCs w:val="26"/>
        </w:rPr>
        <w:t>[GHG]</w:t>
      </w:r>
      <w:r w:rsidRPr="00C767D8">
        <w:rPr>
          <w:szCs w:val="26"/>
        </w:rPr>
        <w:t xml:space="preserve"> reductions</w:t>
      </w:r>
      <w:r>
        <w:rPr>
          <w:szCs w:val="26"/>
        </w:rPr>
        <w:t>.”  BUILD Program</w:t>
      </w:r>
      <w:r w:rsidRPr="00C767D8">
        <w:rPr>
          <w:szCs w:val="26"/>
        </w:rPr>
        <w:t xml:space="preserve"> incentives</w:t>
      </w:r>
      <w:r>
        <w:rPr>
          <w:szCs w:val="26"/>
        </w:rPr>
        <w:t xml:space="preserve"> must “be</w:t>
      </w:r>
      <w:r w:rsidRPr="00C767D8">
        <w:rPr>
          <w:szCs w:val="26"/>
        </w:rPr>
        <w:t xml:space="preserve"> based on the projected amount of reduction in the emissions of </w:t>
      </w:r>
      <w:r w:rsidR="00913F8F">
        <w:rPr>
          <w:szCs w:val="26"/>
        </w:rPr>
        <w:t>[GHG]</w:t>
      </w:r>
      <w:r w:rsidRPr="00C767D8">
        <w:rPr>
          <w:szCs w:val="26"/>
        </w:rPr>
        <w:t xml:space="preserve"> resulting from the installation of the near</w:t>
      </w:r>
      <w:r w:rsidR="005F0A71">
        <w:rPr>
          <w:szCs w:val="26"/>
        </w:rPr>
        <w:noBreakHyphen/>
      </w:r>
      <w:r w:rsidRPr="00C767D8">
        <w:rPr>
          <w:szCs w:val="26"/>
        </w:rPr>
        <w:t>zero</w:t>
      </w:r>
      <w:r w:rsidR="005F0A71">
        <w:rPr>
          <w:szCs w:val="26"/>
        </w:rPr>
        <w:noBreakHyphen/>
      </w:r>
      <w:r w:rsidRPr="00C767D8">
        <w:rPr>
          <w:szCs w:val="26"/>
        </w:rPr>
        <w:t>emission building technology.</w:t>
      </w:r>
      <w:r>
        <w:rPr>
          <w:szCs w:val="26"/>
        </w:rPr>
        <w:t>”</w:t>
      </w:r>
      <w:r>
        <w:rPr>
          <w:rStyle w:val="FootnoteReference"/>
        </w:rPr>
        <w:footnoteReference w:id="120"/>
      </w:r>
      <w:r>
        <w:rPr>
          <w:szCs w:val="26"/>
        </w:rPr>
        <w:t xml:space="preserve">  “Near-zero-emission building technology,” as defined in Section 921(e)(1), includes technology that reduces both the energy demand of a building and its direct and indirect GHG emissions.</w:t>
      </w:r>
    </w:p>
    <w:p w14:paraId="1E3FB419" w14:textId="22CAFAC8" w:rsidR="00E50745" w:rsidRDefault="00E50745" w:rsidP="00E50745">
      <w:pPr>
        <w:pStyle w:val="Standard"/>
        <w:rPr>
          <w:szCs w:val="26"/>
        </w:rPr>
      </w:pPr>
      <w:r>
        <w:rPr>
          <w:szCs w:val="26"/>
        </w:rPr>
        <w:t>Section 922(b) requires the TECH Initiative to “</w:t>
      </w:r>
      <w:r w:rsidRPr="00696278">
        <w:rPr>
          <w:szCs w:val="26"/>
        </w:rPr>
        <w:t>give consideration to technologies that have the greatest potential to reduce greenhouse gas emissions in California</w:t>
      </w:r>
      <w:r>
        <w:rPr>
          <w:szCs w:val="26"/>
        </w:rPr>
        <w:t>.”  The TECH Initiative is further required to target “</w:t>
      </w:r>
      <w:r w:rsidRPr="00696278">
        <w:rPr>
          <w:szCs w:val="26"/>
        </w:rPr>
        <w:t>key low</w:t>
      </w:r>
      <w:r w:rsidR="00DE2B98">
        <w:rPr>
          <w:szCs w:val="26"/>
        </w:rPr>
        <w:noBreakHyphen/>
      </w:r>
      <w:r w:rsidRPr="00696278">
        <w:rPr>
          <w:szCs w:val="26"/>
        </w:rPr>
        <w:t>emission space and water heating equipment technologies that are in an early stage of market development and would assist the state in achieving the state’s greenhouse gas emissions reduction goal for 2030 and other long-term greenhouse gas emissions reduction goals established by the Legislature.</w:t>
      </w:r>
      <w:r>
        <w:rPr>
          <w:szCs w:val="26"/>
        </w:rPr>
        <w:t>”</w:t>
      </w:r>
      <w:r>
        <w:rPr>
          <w:rStyle w:val="FootnoteReference"/>
        </w:rPr>
        <w:footnoteReference w:id="121"/>
      </w:r>
      <w:r>
        <w:rPr>
          <w:szCs w:val="26"/>
        </w:rPr>
        <w:t xml:space="preserve">  </w:t>
      </w:r>
      <w:r>
        <w:rPr>
          <w:szCs w:val="26"/>
        </w:rPr>
        <w:lastRenderedPageBreak/>
        <w:t>SB</w:t>
      </w:r>
      <w:r w:rsidR="00DE2B98">
        <w:rPr>
          <w:szCs w:val="26"/>
        </w:rPr>
        <w:t> </w:t>
      </w:r>
      <w:r>
        <w:rPr>
          <w:szCs w:val="26"/>
        </w:rPr>
        <w:t>1013 (Lara</w:t>
      </w:r>
      <w:r w:rsidR="00913F8F">
        <w:rPr>
          <w:szCs w:val="26"/>
        </w:rPr>
        <w:t>,</w:t>
      </w:r>
      <w:r>
        <w:t xml:space="preserve"> 2018</w:t>
      </w:r>
      <w:r>
        <w:rPr>
          <w:szCs w:val="26"/>
        </w:rPr>
        <w:t xml:space="preserve">) added Section </w:t>
      </w:r>
      <w:r w:rsidRPr="00696278">
        <w:rPr>
          <w:szCs w:val="26"/>
        </w:rPr>
        <w:t>39734(a)</w:t>
      </w:r>
      <w:r>
        <w:rPr>
          <w:szCs w:val="26"/>
        </w:rPr>
        <w:t xml:space="preserve"> to the Health and Safety Code, which states:</w:t>
      </w:r>
      <w:r w:rsidR="00DE2B98">
        <w:rPr>
          <w:szCs w:val="26"/>
        </w:rPr>
        <w:t xml:space="preserve"> </w:t>
      </w:r>
      <w:r>
        <w:rPr>
          <w:szCs w:val="26"/>
        </w:rPr>
        <w:t xml:space="preserve"> “</w:t>
      </w:r>
      <w:r w:rsidRPr="00696278">
        <w:rPr>
          <w:szCs w:val="26"/>
        </w:rPr>
        <w:t>The Legislature finds and declares that certain fluorinated gases are potent causes of global warming, and it is in the public interest that restrictions or prohibitions on the use of these gases be maintained and enhanced as appropriate in the state.</w:t>
      </w:r>
      <w:r>
        <w:rPr>
          <w:szCs w:val="26"/>
        </w:rPr>
        <w:t>”</w:t>
      </w:r>
      <w:r>
        <w:rPr>
          <w:rStyle w:val="FootnoteReference"/>
          <w:szCs w:val="26"/>
        </w:rPr>
        <w:footnoteReference w:id="122"/>
      </w:r>
      <w:r>
        <w:rPr>
          <w:szCs w:val="26"/>
        </w:rPr>
        <w:t xml:space="preserve">  </w:t>
      </w:r>
      <w:r w:rsidRPr="00646E03">
        <w:rPr>
          <w:szCs w:val="26"/>
        </w:rPr>
        <w:t>SB 1383</w:t>
      </w:r>
      <w:r>
        <w:rPr>
          <w:szCs w:val="26"/>
        </w:rPr>
        <w:t xml:space="preserve"> (Lara, </w:t>
      </w:r>
      <w:r>
        <w:t>2016</w:t>
      </w:r>
      <w:r>
        <w:rPr>
          <w:szCs w:val="26"/>
        </w:rPr>
        <w:t>)</w:t>
      </w:r>
      <w:r w:rsidRPr="00646E03">
        <w:rPr>
          <w:szCs w:val="26"/>
        </w:rPr>
        <w:t xml:space="preserve"> </w:t>
      </w:r>
      <w:r>
        <w:rPr>
          <w:szCs w:val="26"/>
        </w:rPr>
        <w:t>mandates a strategy to reduce</w:t>
      </w:r>
      <w:r w:rsidRPr="00646E03">
        <w:rPr>
          <w:szCs w:val="26"/>
        </w:rPr>
        <w:t xml:space="preserve"> </w:t>
      </w:r>
      <w:r w:rsidRPr="00D043B2">
        <w:rPr>
          <w:szCs w:val="26"/>
        </w:rPr>
        <w:t>hydrofluorocarbon</w:t>
      </w:r>
      <w:r>
        <w:rPr>
          <w:szCs w:val="26"/>
        </w:rPr>
        <w:t xml:space="preserve"> </w:t>
      </w:r>
      <w:r w:rsidRPr="00646E03">
        <w:rPr>
          <w:szCs w:val="26"/>
        </w:rPr>
        <w:t xml:space="preserve">emissions </w:t>
      </w:r>
      <w:r>
        <w:rPr>
          <w:szCs w:val="26"/>
        </w:rPr>
        <w:t>by</w:t>
      </w:r>
      <w:r w:rsidRPr="00646E03">
        <w:rPr>
          <w:szCs w:val="26"/>
        </w:rPr>
        <w:t xml:space="preserve"> 40 percent below 2013 levels by 2030</w:t>
      </w:r>
      <w:r>
        <w:rPr>
          <w:szCs w:val="26"/>
        </w:rPr>
        <w:t>.</w:t>
      </w:r>
      <w:r>
        <w:rPr>
          <w:rStyle w:val="FootnoteReference"/>
          <w:szCs w:val="26"/>
        </w:rPr>
        <w:footnoteReference w:id="123"/>
      </w:r>
    </w:p>
    <w:p w14:paraId="0CECE8FE" w14:textId="77777777" w:rsidR="00E50745" w:rsidRDefault="00E50745" w:rsidP="00E50745">
      <w:pPr>
        <w:pStyle w:val="Heading3"/>
      </w:pPr>
      <w:bookmarkStart w:id="39" w:name="_Toc32310249"/>
      <w:r>
        <w:t>Staff Proposal Summary</w:t>
      </w:r>
      <w:bookmarkEnd w:id="39"/>
    </w:p>
    <w:p w14:paraId="77B31DCE" w14:textId="28D27DE3" w:rsidR="00E50745" w:rsidRDefault="00E50745" w:rsidP="00E50745">
      <w:pPr>
        <w:pStyle w:val="Standard"/>
        <w:rPr>
          <w:szCs w:val="26"/>
        </w:rPr>
      </w:pPr>
      <w:r>
        <w:rPr>
          <w:szCs w:val="26"/>
        </w:rPr>
        <w:t>Refrigerants</w:t>
      </w:r>
      <w:r>
        <w:rPr>
          <w:rStyle w:val="FootnoteReference"/>
          <w:szCs w:val="26"/>
        </w:rPr>
        <w:footnoteReference w:id="124"/>
      </w:r>
      <w:r>
        <w:rPr>
          <w:szCs w:val="26"/>
        </w:rPr>
        <w:t xml:space="preserve"> are mentioned in multiple sections of the </w:t>
      </w:r>
      <w:r w:rsidRPr="00A21B91">
        <w:rPr>
          <w:szCs w:val="26"/>
        </w:rPr>
        <w:t>Staff Proposal</w:t>
      </w:r>
      <w:r w:rsidR="009A7902">
        <w:rPr>
          <w:szCs w:val="26"/>
        </w:rPr>
        <w:t xml:space="preserve">.  </w:t>
      </w:r>
      <w:r w:rsidR="00C06E58">
        <w:rPr>
          <w:szCs w:val="26"/>
        </w:rPr>
        <w:t>The Staff Proposal emphasizes</w:t>
      </w:r>
      <w:r>
        <w:rPr>
          <w:szCs w:val="26"/>
        </w:rPr>
        <w:t xml:space="preserve"> refrigerants as they pertain to the BUILD Program, envisioning a “kicker incentive” for, among other things, technologies that use low-</w:t>
      </w:r>
      <w:r w:rsidR="00A07812" w:rsidDel="00A07812">
        <w:rPr>
          <w:szCs w:val="26"/>
        </w:rPr>
        <w:t xml:space="preserve"> </w:t>
      </w:r>
      <w:r>
        <w:rPr>
          <w:szCs w:val="26"/>
        </w:rPr>
        <w:t>GWP</w:t>
      </w:r>
      <w:r>
        <w:rPr>
          <w:rStyle w:val="FootnoteReference"/>
          <w:szCs w:val="26"/>
        </w:rPr>
        <w:footnoteReference w:id="125"/>
      </w:r>
      <w:r>
        <w:rPr>
          <w:szCs w:val="26"/>
        </w:rPr>
        <w:t xml:space="preserve"> refrigerants</w:t>
      </w:r>
      <w:r w:rsidRPr="00A21B91">
        <w:rPr>
          <w:szCs w:val="26"/>
        </w:rPr>
        <w:t>.</w:t>
      </w:r>
      <w:r>
        <w:rPr>
          <w:rStyle w:val="FootnoteReference"/>
          <w:szCs w:val="26"/>
        </w:rPr>
        <w:footnoteReference w:id="126"/>
      </w:r>
      <w:r>
        <w:rPr>
          <w:szCs w:val="26"/>
        </w:rPr>
        <w:t xml:space="preserve">  </w:t>
      </w:r>
    </w:p>
    <w:p w14:paraId="2D8B5741" w14:textId="77777777" w:rsidR="00E50745" w:rsidRDefault="00E50745" w:rsidP="00E50745">
      <w:pPr>
        <w:pStyle w:val="Heading3"/>
      </w:pPr>
      <w:bookmarkStart w:id="40" w:name="_Toc32310250"/>
      <w:r>
        <w:t>Parties’ Positions</w:t>
      </w:r>
      <w:bookmarkEnd w:id="40"/>
    </w:p>
    <w:p w14:paraId="559F3659" w14:textId="27C11059" w:rsidR="00E50745" w:rsidRDefault="00E50745" w:rsidP="00E50745">
      <w:r>
        <w:t>Parties generally did not comment on refrigerants.  However, Wild Tree Foundation comments that the BUILD Program and TECH Initiative should both “</w:t>
      </w:r>
      <w:r w:rsidRPr="00862565">
        <w:t>support the development of nascent technologies that can help solve existing problems such as the high GHG emissions of most refrigerants used in heat pumps</w:t>
      </w:r>
      <w:r>
        <w:t>…”</w:t>
      </w:r>
      <w:r>
        <w:rPr>
          <w:rStyle w:val="FootnoteReference"/>
        </w:rPr>
        <w:footnoteReference w:id="127"/>
      </w:r>
      <w:r>
        <w:t xml:space="preserve">  Wild Tree Foundation notes further that the cause of those high </w:t>
      </w:r>
      <w:r>
        <w:lastRenderedPageBreak/>
        <w:t xml:space="preserve">GHG emissions in refrigerants is due to their </w:t>
      </w:r>
      <w:r w:rsidRPr="00FC639C">
        <w:t>high</w:t>
      </w:r>
      <w:r>
        <w:t>-GWP.</w:t>
      </w:r>
      <w:r>
        <w:rPr>
          <w:rStyle w:val="FootnoteReference"/>
        </w:rPr>
        <w:footnoteReference w:id="128"/>
      </w:r>
      <w:r>
        <w:t xml:space="preserve">  In addition, </w:t>
      </w:r>
      <w:r w:rsidR="00E31776">
        <w:t xml:space="preserve">CALSSA </w:t>
      </w:r>
      <w:r>
        <w:t>points out that, despite best practices, a portion of refrigerants are lost to the environment, hence their impact should be “included in the evaluation of a technology’s greenhouse gas saving potential.”</w:t>
      </w:r>
      <w:r>
        <w:rPr>
          <w:rStyle w:val="FootnoteReference"/>
        </w:rPr>
        <w:footnoteReference w:id="129"/>
      </w:r>
    </w:p>
    <w:p w14:paraId="57F4D716" w14:textId="460BBB22" w:rsidR="00E50745" w:rsidRDefault="00E50745" w:rsidP="00E50745">
      <w:pPr>
        <w:pStyle w:val="Heading3"/>
      </w:pPr>
      <w:bookmarkStart w:id="41" w:name="_Toc32310251"/>
      <w:r>
        <w:t>Analysis:</w:t>
      </w:r>
      <w:r w:rsidR="00331BF4">
        <w:t xml:space="preserve"> </w:t>
      </w:r>
      <w:r>
        <w:t xml:space="preserve"> Reducing Refrigerant-based GHG Emissions </w:t>
      </w:r>
      <w:r w:rsidR="00A07812">
        <w:t>H</w:t>
      </w:r>
      <w:r>
        <w:t xml:space="preserve">as </w:t>
      </w:r>
      <w:r w:rsidR="00A07812">
        <w:t>S</w:t>
      </w:r>
      <w:r>
        <w:t>ome of the Greatest Potential to Reduce GHG Emissions in California and Lower GWP</w:t>
      </w:r>
      <w:r w:rsidR="00A07812">
        <w:t xml:space="preserve"> </w:t>
      </w:r>
      <w:r w:rsidR="00897CF1">
        <w:t>Refrigerants</w:t>
      </w:r>
      <w:r>
        <w:t xml:space="preserve"> </w:t>
      </w:r>
      <w:r w:rsidR="00E31776">
        <w:t>W</w:t>
      </w:r>
      <w:r>
        <w:t xml:space="preserve">ill </w:t>
      </w:r>
      <w:r w:rsidR="00E31776">
        <w:t>F</w:t>
      </w:r>
      <w:r>
        <w:t>urther the Objectives of SB 1477 to Promote Emerging Building Decarbonization Technologies and Strategies</w:t>
      </w:r>
      <w:bookmarkEnd w:id="41"/>
      <w:r>
        <w:t xml:space="preserve"> </w:t>
      </w:r>
    </w:p>
    <w:p w14:paraId="66EC5044" w14:textId="7638AE47" w:rsidR="00E50745" w:rsidRPr="002D2A37" w:rsidRDefault="00E50745" w:rsidP="00E50745">
      <w:pPr>
        <w:pStyle w:val="Standard"/>
      </w:pPr>
      <w:r>
        <w:t xml:space="preserve">We agree with Wild Tree Foundation and </w:t>
      </w:r>
      <w:r w:rsidR="00E31776">
        <w:t xml:space="preserve">CALSSA </w:t>
      </w:r>
      <w:r>
        <w:t>that refrigerants should be a focus of the two pilot programs</w:t>
      </w:r>
      <w:r w:rsidRPr="00E5080B">
        <w:t>.</w:t>
      </w:r>
      <w:r>
        <w:t xml:space="preserve"> </w:t>
      </w:r>
      <w:r>
        <w:rPr>
          <w:szCs w:val="26"/>
        </w:rPr>
        <w:t xml:space="preserve"> </w:t>
      </w:r>
      <w:r>
        <w:t>Furthermore, we find that fulfilling SB</w:t>
      </w:r>
      <w:r w:rsidR="00356714">
        <w:t> </w:t>
      </w:r>
      <w:r>
        <w:t xml:space="preserve">1477’s mandate to move </w:t>
      </w:r>
      <w:r w:rsidRPr="00C767D8">
        <w:rPr>
          <w:szCs w:val="26"/>
        </w:rPr>
        <w:t xml:space="preserve">beyond </w:t>
      </w:r>
      <w:r>
        <w:rPr>
          <w:szCs w:val="26"/>
        </w:rPr>
        <w:t xml:space="preserve">existing </w:t>
      </w:r>
      <w:r w:rsidRPr="00C767D8">
        <w:rPr>
          <w:szCs w:val="26"/>
        </w:rPr>
        <w:t>industry practices</w:t>
      </w:r>
      <w:r>
        <w:rPr>
          <w:szCs w:val="26"/>
        </w:rPr>
        <w:t xml:space="preserve"> requires a transition away from the refrigerants in common use today</w:t>
      </w:r>
      <w:r w:rsidR="00E31776">
        <w:rPr>
          <w:szCs w:val="26"/>
        </w:rPr>
        <w:t xml:space="preserve"> and</w:t>
      </w:r>
      <w:r>
        <w:rPr>
          <w:szCs w:val="26"/>
        </w:rPr>
        <w:t xml:space="preserve"> toward lower GWP alternatives, which appropriately constitute a technology that is in an </w:t>
      </w:r>
      <w:r w:rsidRPr="00696278">
        <w:rPr>
          <w:szCs w:val="26"/>
        </w:rPr>
        <w:t>early stage of market development</w:t>
      </w:r>
      <w:r>
        <w:rPr>
          <w:szCs w:val="26"/>
        </w:rPr>
        <w:t>.</w:t>
      </w:r>
    </w:p>
    <w:p w14:paraId="12D0226A" w14:textId="1D29DA9F" w:rsidR="00E50745" w:rsidRDefault="00E50745" w:rsidP="00E50745">
      <w:pPr>
        <w:pStyle w:val="Standard"/>
        <w:rPr>
          <w:szCs w:val="26"/>
          <w:lang w:val="en"/>
        </w:rPr>
      </w:pPr>
      <w:r>
        <w:rPr>
          <w:szCs w:val="26"/>
        </w:rPr>
        <w:t xml:space="preserve">In the absence of a definition provided in the Staff Proposal </w:t>
      </w:r>
      <w:r w:rsidR="00A07812">
        <w:rPr>
          <w:szCs w:val="26"/>
        </w:rPr>
        <w:t xml:space="preserve">– or by parties - </w:t>
      </w:r>
      <w:r>
        <w:rPr>
          <w:szCs w:val="26"/>
        </w:rPr>
        <w:t>for what constitutes a “low-GWP” refrigerant, we rely on guidance from the CEC</w:t>
      </w:r>
      <w:r w:rsidR="00A07812">
        <w:rPr>
          <w:szCs w:val="26"/>
        </w:rPr>
        <w:t xml:space="preserve">.   </w:t>
      </w:r>
      <w:r w:rsidR="00E31776">
        <w:rPr>
          <w:szCs w:val="26"/>
        </w:rPr>
        <w:t xml:space="preserve">Section 100.1 </w:t>
      </w:r>
      <w:r w:rsidR="00A07812">
        <w:rPr>
          <w:szCs w:val="26"/>
        </w:rPr>
        <w:t xml:space="preserve">of the California Energy Code </w:t>
      </w:r>
      <w:r w:rsidR="00E31776">
        <w:rPr>
          <w:szCs w:val="26"/>
        </w:rPr>
        <w:t xml:space="preserve">defines </w:t>
      </w:r>
      <w:r>
        <w:rPr>
          <w:szCs w:val="26"/>
        </w:rPr>
        <w:t xml:space="preserve">a “low-GWP” refrigerant as a refrigerant with a GWP </w:t>
      </w:r>
      <w:r w:rsidR="00E31776">
        <w:rPr>
          <w:szCs w:val="26"/>
        </w:rPr>
        <w:t xml:space="preserve">less than </w:t>
      </w:r>
      <w:r>
        <w:rPr>
          <w:szCs w:val="26"/>
        </w:rPr>
        <w:t>150, which this decision adopts for the purpose of providing “kicker incentive” eligibility</w:t>
      </w:r>
      <w:r w:rsidRPr="00BF48E6">
        <w:rPr>
          <w:szCs w:val="26"/>
          <w:lang w:val="en"/>
        </w:rPr>
        <w:t>.</w:t>
      </w:r>
      <w:r w:rsidR="00C62F78">
        <w:rPr>
          <w:szCs w:val="26"/>
          <w:lang w:val="en"/>
        </w:rPr>
        <w:t xml:space="preserve">  </w:t>
      </w:r>
      <w:r>
        <w:rPr>
          <w:szCs w:val="26"/>
          <w:lang w:val="en"/>
        </w:rPr>
        <w:t>We define “high</w:t>
      </w:r>
      <w:r w:rsidR="00727611">
        <w:rPr>
          <w:szCs w:val="26"/>
          <w:lang w:val="en"/>
        </w:rPr>
        <w:noBreakHyphen/>
      </w:r>
      <w:r>
        <w:rPr>
          <w:szCs w:val="26"/>
          <w:lang w:val="en"/>
        </w:rPr>
        <w:t xml:space="preserve">GWP” refrigerants as refrigerants with a GWP above 750, consistent with CARB’s recent regulatory proposal </w:t>
      </w:r>
      <w:r w:rsidRPr="00F473F5">
        <w:rPr>
          <w:szCs w:val="26"/>
          <w:lang w:val="en"/>
        </w:rPr>
        <w:t>for new stationary air conditioning systems starting January 1, 2023</w:t>
      </w:r>
      <w:r>
        <w:rPr>
          <w:szCs w:val="26"/>
          <w:lang w:val="en"/>
        </w:rPr>
        <w:t>.</w:t>
      </w:r>
      <w:r>
        <w:rPr>
          <w:rStyle w:val="FootnoteReference"/>
          <w:szCs w:val="26"/>
          <w:lang w:val="en"/>
        </w:rPr>
        <w:footnoteReference w:id="130"/>
      </w:r>
    </w:p>
    <w:p w14:paraId="04500420" w14:textId="588044CF" w:rsidR="00A07812" w:rsidRPr="00296551" w:rsidRDefault="00E50745" w:rsidP="00296551">
      <w:pPr>
        <w:pStyle w:val="Standard"/>
        <w:rPr>
          <w:rFonts w:eastAsia="Calibri" w:cs="Calibri"/>
          <w:szCs w:val="26"/>
          <w:lang w:val="en"/>
        </w:rPr>
      </w:pPr>
      <w:r>
        <w:rPr>
          <w:color w:val="000000"/>
          <w:szCs w:val="26"/>
          <w:lang w:val="en"/>
        </w:rPr>
        <w:lastRenderedPageBreak/>
        <w:t>R</w:t>
      </w:r>
      <w:r w:rsidRPr="00BF48E6">
        <w:rPr>
          <w:color w:val="000000"/>
          <w:szCs w:val="26"/>
          <w:lang w:val="en"/>
        </w:rPr>
        <w:t>efrigerants</w:t>
      </w:r>
      <w:r>
        <w:rPr>
          <w:color w:val="000000"/>
          <w:szCs w:val="26"/>
          <w:lang w:val="en"/>
        </w:rPr>
        <w:t xml:space="preserve"> used in the space and water heating appliances of building projects funded by the BUILD Program or incentivized by the TECH Initiative shall not exceed the 750 GWP threshold</w:t>
      </w:r>
      <w:r w:rsidR="00A07812">
        <w:rPr>
          <w:color w:val="000000"/>
          <w:szCs w:val="26"/>
          <w:lang w:val="en"/>
        </w:rPr>
        <w:t xml:space="preserve"> by </w:t>
      </w:r>
      <w:r w:rsidR="00325FD0">
        <w:rPr>
          <w:color w:val="000000"/>
          <w:szCs w:val="26"/>
          <w:lang w:val="en"/>
        </w:rPr>
        <w:t xml:space="preserve">January 1, </w:t>
      </w:r>
      <w:r w:rsidR="00A07812">
        <w:rPr>
          <w:color w:val="000000"/>
          <w:szCs w:val="26"/>
          <w:lang w:val="en"/>
        </w:rPr>
        <w:t xml:space="preserve">2023, unless otherwise modified by the </w:t>
      </w:r>
      <w:r w:rsidR="00727611">
        <w:rPr>
          <w:color w:val="000000"/>
          <w:szCs w:val="26"/>
          <w:lang w:val="en"/>
        </w:rPr>
        <w:t>a</w:t>
      </w:r>
      <w:r w:rsidR="00A07812">
        <w:rPr>
          <w:color w:val="000000"/>
          <w:szCs w:val="26"/>
          <w:lang w:val="en"/>
        </w:rPr>
        <w:t xml:space="preserve">ssigned </w:t>
      </w:r>
      <w:r w:rsidR="00B84E5B">
        <w:rPr>
          <w:color w:val="000000"/>
          <w:szCs w:val="26"/>
          <w:lang w:val="en"/>
        </w:rPr>
        <w:t xml:space="preserve">Commissioner </w:t>
      </w:r>
      <w:r w:rsidR="00A07812">
        <w:rPr>
          <w:color w:val="000000"/>
          <w:szCs w:val="26"/>
          <w:lang w:val="en"/>
        </w:rPr>
        <w:t>to this proceeding</w:t>
      </w:r>
      <w:r>
        <w:rPr>
          <w:color w:val="000000"/>
          <w:szCs w:val="26"/>
          <w:lang w:val="en"/>
        </w:rPr>
        <w:t>.  By establishing this threshold, we send a market signal to immediately accelerate the transition toward lower GWP refrigerants.</w:t>
      </w:r>
      <w:r w:rsidR="00A07812">
        <w:rPr>
          <w:color w:val="000000"/>
          <w:szCs w:val="26"/>
          <w:lang w:val="en"/>
        </w:rPr>
        <w:t xml:space="preserve">  </w:t>
      </w:r>
      <w:r w:rsidR="00A07812">
        <w:rPr>
          <w:color w:val="000000" w:themeColor="text1"/>
          <w:lang w:val="en"/>
        </w:rPr>
        <w:t>T</w:t>
      </w:r>
      <w:r w:rsidR="00A07812" w:rsidRPr="1D7B1D3D">
        <w:rPr>
          <w:color w:val="000000" w:themeColor="text1"/>
          <w:lang w:val="en"/>
        </w:rPr>
        <w:t xml:space="preserve">he </w:t>
      </w:r>
      <w:r w:rsidR="00A07812">
        <w:rPr>
          <w:color w:val="000000" w:themeColor="text1"/>
          <w:lang w:val="en"/>
        </w:rPr>
        <w:t>Commission, in a later phase of this proceeding</w:t>
      </w:r>
      <w:r w:rsidR="00627B98">
        <w:rPr>
          <w:color w:val="000000" w:themeColor="text1"/>
          <w:lang w:val="en"/>
        </w:rPr>
        <w:t>,</w:t>
      </w:r>
      <w:r w:rsidR="00325FD0">
        <w:rPr>
          <w:color w:val="000000" w:themeColor="text1"/>
          <w:lang w:val="en"/>
        </w:rPr>
        <w:t xml:space="preserve"> or in a successor proceeding</w:t>
      </w:r>
      <w:r w:rsidR="00A07812">
        <w:rPr>
          <w:color w:val="000000" w:themeColor="text1"/>
          <w:lang w:val="en"/>
        </w:rPr>
        <w:t>,</w:t>
      </w:r>
      <w:r w:rsidR="00A07812" w:rsidRPr="1D7B1D3D">
        <w:rPr>
          <w:color w:val="000000" w:themeColor="text1"/>
          <w:lang w:val="en"/>
        </w:rPr>
        <w:t xml:space="preserve"> </w:t>
      </w:r>
      <w:r w:rsidR="00A07812">
        <w:rPr>
          <w:color w:val="000000" w:themeColor="text1"/>
          <w:lang w:val="en"/>
        </w:rPr>
        <w:t>shall</w:t>
      </w:r>
      <w:r w:rsidR="00A07812" w:rsidRPr="1D7B1D3D">
        <w:rPr>
          <w:color w:val="000000" w:themeColor="text1"/>
          <w:lang w:val="en"/>
        </w:rPr>
        <w:t xml:space="preserve"> consider whether to maintain or modify the </w:t>
      </w:r>
      <w:r w:rsidR="00402E03">
        <w:rPr>
          <w:color w:val="000000" w:themeColor="text1"/>
          <w:lang w:val="en"/>
        </w:rPr>
        <w:t xml:space="preserve">GWP limit or </w:t>
      </w:r>
      <w:r w:rsidR="00A07812" w:rsidRPr="1DEEED46">
        <w:rPr>
          <w:color w:val="000000" w:themeColor="text1"/>
          <w:lang w:val="en"/>
        </w:rPr>
        <w:t xml:space="preserve">date after which </w:t>
      </w:r>
      <w:r w:rsidR="00A07812" w:rsidRPr="1D7B1D3D">
        <w:rPr>
          <w:color w:val="000000" w:themeColor="text1"/>
          <w:lang w:val="en"/>
        </w:rPr>
        <w:t>incentives for appliances using high</w:t>
      </w:r>
      <w:r w:rsidR="00727611">
        <w:rPr>
          <w:color w:val="000000" w:themeColor="text1"/>
          <w:lang w:val="en"/>
        </w:rPr>
        <w:noBreakHyphen/>
      </w:r>
      <w:r w:rsidR="00A07812" w:rsidRPr="1D7B1D3D">
        <w:rPr>
          <w:color w:val="000000" w:themeColor="text1"/>
          <w:lang w:val="en"/>
        </w:rPr>
        <w:t>G</w:t>
      </w:r>
      <w:r w:rsidR="00A07812">
        <w:rPr>
          <w:color w:val="000000" w:themeColor="text1"/>
          <w:lang w:val="en"/>
        </w:rPr>
        <w:t>WP</w:t>
      </w:r>
      <w:r w:rsidR="00A07812" w:rsidRPr="1D7B1D3D">
        <w:rPr>
          <w:color w:val="000000" w:themeColor="text1"/>
          <w:lang w:val="en"/>
        </w:rPr>
        <w:t xml:space="preserve"> refrigerants</w:t>
      </w:r>
      <w:r w:rsidR="00A07812">
        <w:rPr>
          <w:color w:val="000000" w:themeColor="text1"/>
          <w:lang w:val="en"/>
        </w:rPr>
        <w:t xml:space="preserve"> would be prohibited. </w:t>
      </w:r>
      <w:r w:rsidR="00A07812" w:rsidRPr="2C1D664A">
        <w:rPr>
          <w:color w:val="000000" w:themeColor="text1"/>
          <w:lang w:val="en"/>
        </w:rPr>
        <w:t xml:space="preserve"> </w:t>
      </w:r>
      <w:r w:rsidR="00897CF1" w:rsidRPr="1DEEED46">
        <w:rPr>
          <w:color w:val="000000" w:themeColor="text1"/>
          <w:lang w:val="en"/>
        </w:rPr>
        <w:t xml:space="preserve">The Commission shall </w:t>
      </w:r>
      <w:r w:rsidR="00897CF1">
        <w:rPr>
          <w:color w:val="000000" w:themeColor="text1"/>
          <w:lang w:val="en"/>
        </w:rPr>
        <w:t>work with the BUILD Program administrator, TECH Initiative</w:t>
      </w:r>
      <w:r w:rsidR="00897CF1" w:rsidRPr="3FE4BD56">
        <w:rPr>
          <w:color w:val="000000" w:themeColor="text1"/>
          <w:lang w:val="en"/>
        </w:rPr>
        <w:t xml:space="preserve"> implement</w:t>
      </w:r>
      <w:r w:rsidR="00897CF1">
        <w:rPr>
          <w:color w:val="000000" w:themeColor="text1"/>
          <w:lang w:val="en"/>
        </w:rPr>
        <w:t>er, and CARB</w:t>
      </w:r>
      <w:r w:rsidR="00897CF1" w:rsidRPr="009D6A20">
        <w:rPr>
          <w:rFonts w:eastAsia="Calibri" w:cs="Calibri"/>
          <w:szCs w:val="26"/>
          <w:lang w:val="en"/>
        </w:rPr>
        <w:t xml:space="preserve"> to track the GWP of the refrigerants for products supported by the</w:t>
      </w:r>
      <w:r w:rsidR="00897CF1">
        <w:rPr>
          <w:rFonts w:eastAsia="Calibri" w:cs="Calibri"/>
          <w:szCs w:val="26"/>
          <w:lang w:val="en"/>
        </w:rPr>
        <w:t xml:space="preserve"> pilot</w:t>
      </w:r>
      <w:r w:rsidR="00897CF1" w:rsidRPr="009D6A20">
        <w:rPr>
          <w:rFonts w:eastAsia="Calibri" w:cs="Calibri"/>
          <w:szCs w:val="26"/>
          <w:lang w:val="en"/>
        </w:rPr>
        <w:t xml:space="preserve"> programs</w:t>
      </w:r>
      <w:r w:rsidR="00897CF1" w:rsidRPr="00450DF0">
        <w:rPr>
          <w:rFonts w:eastAsia="Calibri" w:cs="Calibri"/>
          <w:szCs w:val="26"/>
          <w:lang w:val="en"/>
        </w:rPr>
        <w:t>.</w:t>
      </w:r>
    </w:p>
    <w:p w14:paraId="7E687187" w14:textId="44E0195F" w:rsidR="00E50745" w:rsidRDefault="00E50745" w:rsidP="00E50745">
      <w:pPr>
        <w:pStyle w:val="Heading1"/>
      </w:pPr>
      <w:bookmarkStart w:id="42" w:name="_Toc32310252"/>
      <w:r>
        <w:t>BUILD Program</w:t>
      </w:r>
      <w:bookmarkEnd w:id="42"/>
      <w:r>
        <w:t xml:space="preserve"> </w:t>
      </w:r>
    </w:p>
    <w:p w14:paraId="07D83D9C" w14:textId="3E3E6AFC" w:rsidR="00E50745" w:rsidRDefault="00C06E58" w:rsidP="005765B0">
      <w:pPr>
        <w:pStyle w:val="Standard"/>
      </w:pPr>
      <w:r>
        <w:t xml:space="preserve">SB 1477 </w:t>
      </w:r>
      <w:r w:rsidR="00E50745">
        <w:t>also found that in cases of new construction, electrification and other decarbonizing methods may be competitive with the low costs afforded by natural gas fuel.</w:t>
      </w:r>
      <w:r w:rsidR="00E50745">
        <w:rPr>
          <w:rStyle w:val="FootnoteReference"/>
        </w:rPr>
        <w:footnoteReference w:id="131"/>
      </w:r>
      <w:r w:rsidR="00E50745">
        <w:t xml:space="preserve">  With the passage of SB 1477, the Legislature created the BUILD Program for decarbonization of new building construction.  </w:t>
      </w:r>
      <w:r w:rsidR="00E31776">
        <w:t>Section</w:t>
      </w:r>
      <w:r w:rsidR="005765B0">
        <w:t> </w:t>
      </w:r>
      <w:r w:rsidR="00E31776">
        <w:t xml:space="preserve">921.1(a)(1) </w:t>
      </w:r>
      <w:r w:rsidR="00E50745">
        <w:t>states that the BUILD Program is intended “for the deployment of near-zero-emission building technologies to significantly reduce the emissions of GHG from those buildings below the minimum project</w:t>
      </w:r>
      <w:r w:rsidR="00F55E12">
        <w:t>ed</w:t>
      </w:r>
      <w:r w:rsidR="00E50745">
        <w:t xml:space="preserve"> emissions</w:t>
      </w:r>
      <w:r w:rsidR="00F55E12">
        <w:t xml:space="preserve"> reductions</w:t>
      </w:r>
      <w:r w:rsidR="00E50745">
        <w:t xml:space="preserve"> that would otherwise be expected</w:t>
      </w:r>
      <w:r w:rsidR="00F55E12">
        <w:t xml:space="preserve"> to result</w:t>
      </w:r>
      <w:r w:rsidR="00E50745">
        <w:t xml:space="preserve"> from </w:t>
      </w:r>
      <w:r w:rsidR="00F55E12">
        <w:t xml:space="preserve">the implementation of the prescriptive standards…” described in </w:t>
      </w:r>
      <w:r w:rsidR="00680569">
        <w:t>the California Energy Code.</w:t>
      </w:r>
    </w:p>
    <w:p w14:paraId="0DC03D00" w14:textId="5450400A" w:rsidR="00E50745" w:rsidRDefault="00E50745" w:rsidP="00E50745">
      <w:pPr>
        <w:pStyle w:val="Standard"/>
      </w:pPr>
      <w:r>
        <w:t xml:space="preserve">The major elements related to the implementation of the BUILD </w:t>
      </w:r>
      <w:r w:rsidR="00F55E12">
        <w:t>P</w:t>
      </w:r>
      <w:r>
        <w:t xml:space="preserve">rogram are: </w:t>
      </w:r>
      <w:r w:rsidR="005E669D">
        <w:t xml:space="preserve"> </w:t>
      </w:r>
      <w:r>
        <w:t xml:space="preserve">(1) the selection of the BUILD administrator; (2) a focus on new low-income </w:t>
      </w:r>
      <w:r>
        <w:lastRenderedPageBreak/>
        <w:t xml:space="preserve">housing; (3) incentives for participation in the BUILD </w:t>
      </w:r>
      <w:r w:rsidR="00F55E12">
        <w:t>P</w:t>
      </w:r>
      <w:r>
        <w:t>rogram and the availability of the appropriate amount of incentives for eligible participants; and (4) program guideline requirements.  We discuss the parties’ positions with respect to each of these elements, below.</w:t>
      </w:r>
    </w:p>
    <w:p w14:paraId="22F0ECBD" w14:textId="77777777" w:rsidR="00E50745" w:rsidRDefault="00E50745" w:rsidP="00E50745">
      <w:pPr>
        <w:pStyle w:val="Heading2"/>
      </w:pPr>
      <w:bookmarkStart w:id="43" w:name="_Toc32310253"/>
      <w:r>
        <w:t>BUILD Program Administrator</w:t>
      </w:r>
      <w:bookmarkEnd w:id="43"/>
    </w:p>
    <w:p w14:paraId="0FB6C9EF" w14:textId="25B5B4E6" w:rsidR="00E50745" w:rsidRDefault="00E50745" w:rsidP="00E50745">
      <w:pPr>
        <w:pStyle w:val="Standard"/>
      </w:pPr>
      <w:r>
        <w:t>Section 921.1(a)(2) provides that the “[C]ommission may determine whether each gas corporation or a third party, including the [CEC], shall administer the [BUILD Program].”</w:t>
      </w:r>
      <w:r>
        <w:rPr>
          <w:rStyle w:val="FootnoteReference"/>
        </w:rPr>
        <w:footnoteReference w:id="132"/>
      </w:r>
      <w:r>
        <w:t xml:space="preserve">  In the Scoping Memo and Ruling,</w:t>
      </w:r>
      <w:r>
        <w:rPr>
          <w:rStyle w:val="FootnoteReference"/>
        </w:rPr>
        <w:footnoteReference w:id="133"/>
      </w:r>
      <w:r>
        <w:t xml:space="preserve"> and in a subsequent Administrative Law Judge Ruling,</w:t>
      </w:r>
      <w:r>
        <w:rPr>
          <w:rStyle w:val="FootnoteReference"/>
        </w:rPr>
        <w:footnoteReference w:id="134"/>
      </w:r>
      <w:r>
        <w:t xml:space="preserve"> parties were asked who the Commission should select to administer the BUILD </w:t>
      </w:r>
      <w:r w:rsidR="00F55E12">
        <w:t>P</w:t>
      </w:r>
      <w:r>
        <w:t xml:space="preserve">rogram. </w:t>
      </w:r>
    </w:p>
    <w:p w14:paraId="726D7CEF" w14:textId="77777777" w:rsidR="00E50745" w:rsidRDefault="00E50745" w:rsidP="00E50745">
      <w:pPr>
        <w:pStyle w:val="Heading3"/>
      </w:pPr>
      <w:bookmarkStart w:id="44" w:name="_Toc32310254"/>
      <w:r>
        <w:t>Staff Proposal Summary</w:t>
      </w:r>
      <w:bookmarkEnd w:id="44"/>
    </w:p>
    <w:p w14:paraId="6D5ED5FB" w14:textId="4481F1AB" w:rsidR="00E50745" w:rsidRPr="005D7A46" w:rsidRDefault="00E50745" w:rsidP="00E50745">
      <w:pPr>
        <w:pStyle w:val="Standard"/>
      </w:pPr>
      <w:r>
        <w:t>The Staff Proposal recommends that the CEC administer the BUILD Program.</w:t>
      </w:r>
      <w:r>
        <w:rPr>
          <w:rStyle w:val="FootnoteReference"/>
        </w:rPr>
        <w:footnoteReference w:id="135"/>
      </w:r>
      <w:r>
        <w:t xml:space="preserve">  The Staff Proposal also recommends that the Commission provide policy oversight of the BUILD Program, with the CEC designing and administering the program.</w:t>
      </w:r>
      <w:r>
        <w:rPr>
          <w:rStyle w:val="FootnoteReference"/>
        </w:rPr>
        <w:footnoteReference w:id="136"/>
      </w:r>
      <w:r>
        <w:t xml:space="preserve">  </w:t>
      </w:r>
    </w:p>
    <w:p w14:paraId="6A43F372" w14:textId="77777777" w:rsidR="00E50745" w:rsidRDefault="00E50745" w:rsidP="00E50745">
      <w:pPr>
        <w:pStyle w:val="Heading3"/>
      </w:pPr>
      <w:bookmarkStart w:id="45" w:name="_Toc32310255"/>
      <w:r>
        <w:t>Parties’ Positions</w:t>
      </w:r>
      <w:bookmarkEnd w:id="45"/>
    </w:p>
    <w:p w14:paraId="4BDF4098" w14:textId="371D5124" w:rsidR="00E50745" w:rsidRDefault="00E50745" w:rsidP="00E50745">
      <w:pPr>
        <w:pStyle w:val="Standard"/>
      </w:pPr>
      <w:r>
        <w:t xml:space="preserve">Generally, the parties agree that the Commission provide the policy oversight of the BUILD Program, with the CEC designing and administering the program. </w:t>
      </w:r>
    </w:p>
    <w:p w14:paraId="4EBDDB70" w14:textId="0AAAC5DD" w:rsidR="00E50745" w:rsidRDefault="00E50745" w:rsidP="00E50745">
      <w:pPr>
        <w:pStyle w:val="Standard"/>
      </w:pPr>
      <w:r>
        <w:lastRenderedPageBreak/>
        <w:t>SCE,</w:t>
      </w:r>
      <w:r>
        <w:rPr>
          <w:rStyle w:val="FootnoteReference"/>
        </w:rPr>
        <w:footnoteReference w:id="137"/>
      </w:r>
      <w:r>
        <w:t xml:space="preserve"> Cal Advocates,</w:t>
      </w:r>
      <w:r>
        <w:rPr>
          <w:rStyle w:val="FootnoteReference"/>
        </w:rPr>
        <w:footnoteReference w:id="138"/>
      </w:r>
      <w:r>
        <w:t xml:space="preserve">  CALSSA,</w:t>
      </w:r>
      <w:r>
        <w:rPr>
          <w:rStyle w:val="FootnoteReference"/>
        </w:rPr>
        <w:footnoteReference w:id="139"/>
      </w:r>
      <w:r>
        <w:t xml:space="preserve"> SDG&amp;E,</w:t>
      </w:r>
      <w:r>
        <w:rPr>
          <w:rStyle w:val="FootnoteReference"/>
        </w:rPr>
        <w:footnoteReference w:id="140"/>
      </w:r>
      <w:r>
        <w:t xml:space="preserve"> PG&amp;E,</w:t>
      </w:r>
      <w:r>
        <w:rPr>
          <w:rStyle w:val="FootnoteReference"/>
        </w:rPr>
        <w:footnoteReference w:id="141"/>
      </w:r>
      <w:r>
        <w:t xml:space="preserve"> VEIC,</w:t>
      </w:r>
      <w:r>
        <w:rPr>
          <w:rStyle w:val="FootnoteReference"/>
        </w:rPr>
        <w:footnoteReference w:id="142"/>
      </w:r>
      <w:r>
        <w:t xml:space="preserve"> CSE,</w:t>
      </w:r>
      <w:r>
        <w:rPr>
          <w:rStyle w:val="FootnoteReference"/>
        </w:rPr>
        <w:footnoteReference w:id="143"/>
      </w:r>
      <w:r>
        <w:t xml:space="preserve"> and Joint Environmentals,</w:t>
      </w:r>
      <w:r>
        <w:rPr>
          <w:rStyle w:val="FootnoteReference"/>
        </w:rPr>
        <w:footnoteReference w:id="144"/>
      </w:r>
      <w:r>
        <w:t xml:space="preserve"> state that the CEC has significant experience implementing statewide programs such as the New Solar Homes Partnership (NSHP), the Electric Program Investment Charge, and the energy efficiency standards for newly constructed buildings and renovations of existing buildings under </w:t>
      </w:r>
      <w:r w:rsidR="00F55E12">
        <w:t xml:space="preserve">the </w:t>
      </w:r>
      <w:r w:rsidR="00F55E12" w:rsidRPr="00726162">
        <w:t>California</w:t>
      </w:r>
      <w:r w:rsidR="00F55E12">
        <w:t xml:space="preserve"> Energy</w:t>
      </w:r>
      <w:r w:rsidR="00F55E12" w:rsidRPr="00726162">
        <w:t xml:space="preserve"> Code.</w:t>
      </w:r>
    </w:p>
    <w:p w14:paraId="6330D5A5" w14:textId="7B9B14F8" w:rsidR="00F55E12" w:rsidRPr="00181655" w:rsidRDefault="00F55E12" w:rsidP="00F55E12">
      <w:pPr>
        <w:pStyle w:val="Standard"/>
      </w:pPr>
      <w:r>
        <w:t xml:space="preserve">In </w:t>
      </w:r>
      <w:r w:rsidRPr="00726162">
        <w:t xml:space="preserve">response to a question in the Ruling regarding allowing technologies that receive </w:t>
      </w:r>
      <w:r>
        <w:t>California Energy Code</w:t>
      </w:r>
      <w:r w:rsidRPr="00726162">
        <w:t xml:space="preserve"> performance credits to also receive program incentives,  Joint Environmentals refer to the compliance difficulty that the industry faces since the performance of non-Northwest Energy Efficiency Alliance (NEEA) Tier 3-compliant heat pump water heaters is derated by the </w:t>
      </w:r>
      <w:r>
        <w:t>CEC’s California Energy Code</w:t>
      </w:r>
      <w:r w:rsidRPr="00726162">
        <w:t xml:space="preserve"> </w:t>
      </w:r>
      <w:r>
        <w:t xml:space="preserve">compliance </w:t>
      </w:r>
      <w:r w:rsidRPr="00726162">
        <w:t>software.</w:t>
      </w:r>
    </w:p>
    <w:p w14:paraId="649837D2" w14:textId="2739DBE1" w:rsidR="00E50745" w:rsidRDefault="00E50745" w:rsidP="00E50745">
      <w:pPr>
        <w:pStyle w:val="Heading3"/>
      </w:pPr>
      <w:bookmarkStart w:id="46" w:name="_Toc32310256"/>
      <w:r>
        <w:t>Analysis:</w:t>
      </w:r>
      <w:r w:rsidR="005E669D">
        <w:t xml:space="preserve"> </w:t>
      </w:r>
      <w:r>
        <w:t xml:space="preserve"> The CEC Shall Administer the </w:t>
      </w:r>
      <w:r w:rsidR="00EB6320">
        <w:br/>
      </w:r>
      <w:r>
        <w:t xml:space="preserve">BUILD Program </w:t>
      </w:r>
      <w:r w:rsidR="00CE19FC">
        <w:t>with</w:t>
      </w:r>
      <w:r>
        <w:t xml:space="preserve"> Commission Oversight</w:t>
      </w:r>
      <w:bookmarkEnd w:id="46"/>
    </w:p>
    <w:p w14:paraId="73B7D9AF" w14:textId="6314B3DD" w:rsidR="00126BA7" w:rsidRDefault="00126BA7" w:rsidP="00126BA7">
      <w:pPr>
        <w:pStyle w:val="Standard"/>
      </w:pPr>
      <w:r>
        <w:t>The CEC is a prudent and logical choice to select as the BUILD Program administrator, with Commission oversight</w:t>
      </w:r>
      <w:r w:rsidR="00C06E58">
        <w:t xml:space="preserve"> consistent with the directives of SB</w:t>
      </w:r>
      <w:r w:rsidR="002F4A11">
        <w:t> </w:t>
      </w:r>
      <w:r w:rsidR="00C06E58">
        <w:t>1477</w:t>
      </w:r>
      <w:r>
        <w:t xml:space="preserve">.  The CEC has broad technical, programmatic, and policy experience.  The agency has administered many incentive programs including the NSHP, the Renewable Energy Agricultural Program and Cash for Appliances.  By </w:t>
      </w:r>
      <w:r w:rsidR="00C06E58">
        <w:t xml:space="preserve">having </w:t>
      </w:r>
      <w:r w:rsidR="00C06E58">
        <w:lastRenderedPageBreak/>
        <w:t>the</w:t>
      </w:r>
      <w:r>
        <w:t xml:space="preserve"> CEC </w:t>
      </w:r>
      <w:r w:rsidR="00C06E58">
        <w:t xml:space="preserve">serve as </w:t>
      </w:r>
      <w:r>
        <w:t xml:space="preserve">administer </w:t>
      </w:r>
      <w:r w:rsidR="0069438E">
        <w:t xml:space="preserve">of </w:t>
      </w:r>
      <w:r>
        <w:t xml:space="preserve">the BUILD Program, there will be alignment and continuity </w:t>
      </w:r>
      <w:r w:rsidR="003677FF">
        <w:t xml:space="preserve">with the </w:t>
      </w:r>
      <w:r w:rsidR="00F55E12">
        <w:t xml:space="preserve">California Energy Code that will </w:t>
      </w:r>
      <w:r>
        <w:t xml:space="preserve">provide market development that can support the strengthening of future Title 24 standards and market </w:t>
      </w:r>
      <w:r w:rsidR="00F55E12">
        <w:t>development</w:t>
      </w:r>
      <w:r>
        <w:t>.</w:t>
      </w:r>
      <w:r w:rsidR="00F55E12">
        <w:t xml:space="preserve">  However, we agree with  Joint Environmentals that the CEC should update </w:t>
      </w:r>
      <w:r w:rsidR="00EA7806">
        <w:t>the</w:t>
      </w:r>
      <w:r w:rsidR="00F55E12">
        <w:t xml:space="preserve"> California Energy Code compliance software to </w:t>
      </w:r>
      <w:r w:rsidR="00EA7806">
        <w:t xml:space="preserve">appropriately </w:t>
      </w:r>
      <w:r w:rsidR="00093E6B">
        <w:t xml:space="preserve">incent </w:t>
      </w:r>
      <w:r w:rsidR="00F55E12">
        <w:t>low-carbon technologies (</w:t>
      </w:r>
      <w:r w:rsidR="00F55E12" w:rsidRPr="00C908FB">
        <w:rPr>
          <w:i/>
          <w:iCs/>
        </w:rPr>
        <w:t>e.g.,</w:t>
      </w:r>
      <w:r w:rsidR="00F55E12">
        <w:t xml:space="preserve"> non-NEEA Tier 3-compliant heat pump water heaters </w:t>
      </w:r>
      <w:r w:rsidR="00627B98">
        <w:t xml:space="preserve">for </w:t>
      </w:r>
      <w:r w:rsidR="00EA7806">
        <w:t>single family homes</w:t>
      </w:r>
      <w:r w:rsidR="00F55E12">
        <w:t xml:space="preserve">) to ensure the industry is encouraged to adopt these technologies. </w:t>
      </w:r>
      <w:r w:rsidR="00EB741D">
        <w:t xml:space="preserve"> </w:t>
      </w:r>
      <w:r>
        <w:t>D</w:t>
      </w:r>
      <w:r w:rsidRPr="00FE2D2D">
        <w:t xml:space="preserve">isbursal of funding to the CEC for the purpose of implementing </w:t>
      </w:r>
      <w:r>
        <w:t xml:space="preserve">the </w:t>
      </w:r>
      <w:r w:rsidRPr="00FE2D2D">
        <w:t xml:space="preserve">BUILD </w:t>
      </w:r>
      <w:r>
        <w:t>Program shall be contingent on l</w:t>
      </w:r>
      <w:r w:rsidRPr="00FE2D2D">
        <w:t>egislative authorization for the CEC’s administrative expenses.</w:t>
      </w:r>
      <w:r w:rsidR="00083403">
        <w:t xml:space="preserve"> </w:t>
      </w:r>
      <w:r w:rsidRPr="00FE2D2D">
        <w:t xml:space="preserve"> </w:t>
      </w:r>
      <w:r>
        <w:t>The</w:t>
      </w:r>
      <w:r w:rsidRPr="00FE2D2D">
        <w:t xml:space="preserve"> total funding for BUILD</w:t>
      </w:r>
      <w:r>
        <w:t xml:space="preserve"> Program administration is</w:t>
      </w:r>
      <w:r w:rsidRPr="00FE2D2D">
        <w:t xml:space="preserve"> $8 </w:t>
      </w:r>
      <w:r w:rsidR="00024D6F">
        <w:t xml:space="preserve">million </w:t>
      </w:r>
      <w:r w:rsidR="00500439">
        <w:t xml:space="preserve">over </w:t>
      </w:r>
      <w:r w:rsidR="00627B98">
        <w:t>the duration of the program</w:t>
      </w:r>
      <w:r w:rsidRPr="00FE2D2D">
        <w:t>.</w:t>
      </w:r>
      <w:r w:rsidR="00083403">
        <w:t xml:space="preserve"> </w:t>
      </w:r>
      <w:r w:rsidRPr="00FE2D2D">
        <w:t xml:space="preserve"> Should the Legislature authorize an administrative funding amount less than this, remaining funds shall be repurposed for non</w:t>
      </w:r>
      <w:r w:rsidR="00CF1711">
        <w:noBreakHyphen/>
      </w:r>
      <w:r w:rsidRPr="00FE2D2D">
        <w:t xml:space="preserve">administrative </w:t>
      </w:r>
      <w:r w:rsidR="00F55E12">
        <w:t>programmatic activities</w:t>
      </w:r>
      <w:r w:rsidR="0085107E">
        <w:t>.</w:t>
      </w:r>
    </w:p>
    <w:p w14:paraId="4A2A47CA" w14:textId="77777777" w:rsidR="00680569" w:rsidRDefault="00F55E12" w:rsidP="00680569">
      <w:pPr>
        <w:pStyle w:val="Standard"/>
      </w:pPr>
      <w:r w:rsidRPr="00B01D75">
        <w:t xml:space="preserve">If </w:t>
      </w:r>
      <w:r>
        <w:t>the CEC does not receive legislative authority</w:t>
      </w:r>
      <w:r w:rsidRPr="00B01D75">
        <w:t xml:space="preserve"> </w:t>
      </w:r>
      <w:r>
        <w:t>to administer the BUILD Program, or for any other reason that the CEC determines</w:t>
      </w:r>
      <w:r w:rsidRPr="00B01D75">
        <w:t xml:space="preserve"> to </w:t>
      </w:r>
      <w:r>
        <w:t>be detrimental to program implementation,</w:t>
      </w:r>
      <w:r w:rsidRPr="00B01D75">
        <w:t xml:space="preserve"> </w:t>
      </w:r>
      <w:r>
        <w:t xml:space="preserve">the </w:t>
      </w:r>
      <w:r w:rsidRPr="00B01D75">
        <w:t>C</w:t>
      </w:r>
      <w:r>
        <w:t>ommission, in consultation with the CEC,</w:t>
      </w:r>
      <w:r w:rsidRPr="00B01D75">
        <w:t xml:space="preserve"> may choose to issue BUILD</w:t>
      </w:r>
      <w:r>
        <w:t xml:space="preserve"> Program</w:t>
      </w:r>
      <w:r w:rsidRPr="00B01D75">
        <w:t xml:space="preserve">-related RFPs through the </w:t>
      </w:r>
      <w:r>
        <w:t>c</w:t>
      </w:r>
      <w:r w:rsidRPr="00B01D75">
        <w:t xml:space="preserve">ontracting </w:t>
      </w:r>
      <w:r>
        <w:t>a</w:t>
      </w:r>
      <w:r w:rsidRPr="00B01D75">
        <w:t>gent.</w:t>
      </w:r>
      <w:r w:rsidR="007B692C">
        <w:t xml:space="preserve">  </w:t>
      </w:r>
      <w:r w:rsidR="00126BA7">
        <w:t xml:space="preserve">In selecting the CEC to administer the BUILD Program, we give it the flexibility to propose technology criteria and incentive levels to the Commission </w:t>
      </w:r>
      <w:r>
        <w:t xml:space="preserve">by mandating </w:t>
      </w:r>
      <w:r w:rsidR="00126BA7">
        <w:t xml:space="preserve">an implementation plan that shall be filed with </w:t>
      </w:r>
      <w:r>
        <w:t xml:space="preserve">and approved by </w:t>
      </w:r>
      <w:r w:rsidR="00126BA7">
        <w:t xml:space="preserve">the Commission </w:t>
      </w:r>
      <w:r>
        <w:t>every two years</w:t>
      </w:r>
      <w:r w:rsidR="00126BA7">
        <w:t xml:space="preserve">.  The CEC shall coordinate </w:t>
      </w:r>
      <w:r>
        <w:t xml:space="preserve">closely </w:t>
      </w:r>
      <w:r w:rsidR="00126BA7">
        <w:t xml:space="preserve">with </w:t>
      </w:r>
      <w:r w:rsidR="008A0376">
        <w:t>Energy</w:t>
      </w:r>
      <w:r w:rsidR="004C3B92">
        <w:t> </w:t>
      </w:r>
      <w:r w:rsidR="008A0376">
        <w:t>Division</w:t>
      </w:r>
      <w:r w:rsidR="00197108">
        <w:t xml:space="preserve">, </w:t>
      </w:r>
      <w:r w:rsidR="00126BA7">
        <w:t xml:space="preserve">to develop </w:t>
      </w:r>
      <w:r w:rsidR="00500439">
        <w:t xml:space="preserve">the </w:t>
      </w:r>
      <w:r w:rsidR="00126BA7">
        <w:t xml:space="preserve">implementation </w:t>
      </w:r>
      <w:r>
        <w:t>plan</w:t>
      </w:r>
      <w:r w:rsidR="00126BA7">
        <w:t xml:space="preserve">.  </w:t>
      </w:r>
      <w:r w:rsidR="008A0376">
        <w:t>We direct Energy Division staff to</w:t>
      </w:r>
      <w:r w:rsidR="00126BA7">
        <w:t xml:space="preserve"> ensure that the CEC’s implementation plan fulfills the requirements and intent of SB 1477.  </w:t>
      </w:r>
      <w:r w:rsidR="00680569">
        <w:t xml:space="preserve">and this decision.  </w:t>
      </w:r>
      <w:r w:rsidR="00680569" w:rsidRPr="00FA495B">
        <w:t xml:space="preserve">The implementation plan submitted to the Commission shall include information that an applicant will </w:t>
      </w:r>
      <w:r w:rsidR="00680569" w:rsidRPr="00FA495B">
        <w:lastRenderedPageBreak/>
        <w:t xml:space="preserve">need to know to apply for BUILD </w:t>
      </w:r>
      <w:r w:rsidR="00680569">
        <w:t xml:space="preserve">Program </w:t>
      </w:r>
      <w:r w:rsidR="00680569" w:rsidRPr="00FA495B">
        <w:t xml:space="preserve">incentives, including but not limited to, program eligibility criteria, methodology or tool to discern bill savings, incentive levels, and any other program guidelines necessary to submit an application. </w:t>
      </w:r>
      <w:r w:rsidR="00680569">
        <w:t xml:space="preserve"> The implementation plan</w:t>
      </w:r>
      <w:r w:rsidR="00680569" w:rsidRPr="00FA495B">
        <w:t xml:space="preserve"> shall also include a technical assistance and outreach plan as required by Section 921.1 (d)(1)</w:t>
      </w:r>
      <w:r w:rsidR="00680569">
        <w:t xml:space="preserve"> and Section 921.1 (d)</w:t>
      </w:r>
      <w:r w:rsidR="00680569" w:rsidRPr="00FA495B">
        <w:t>(5).</w:t>
      </w:r>
    </w:p>
    <w:p w14:paraId="6F26FC44" w14:textId="5B2EA398" w:rsidR="00126BA7" w:rsidRDefault="00680569" w:rsidP="00680569">
      <w:pPr>
        <w:pStyle w:val="Standard"/>
      </w:pPr>
      <w:r w:rsidRPr="007D4748">
        <w:t>Following the approval of the implementation plan, and after having completed the statutory and regulatory requirements necessary to begin implementation, the CEC shall publicly notice the commencement of the BUILD Program to signal that applications for the program are being accepted.</w:t>
      </w:r>
      <w:r>
        <w:t xml:space="preserve">  </w:t>
      </w:r>
      <w:r w:rsidRPr="007D4748">
        <w:t>Implementation shall be considered to have begun from the date the notice is published.</w:t>
      </w:r>
      <w:r>
        <w:t xml:space="preserve">  </w:t>
      </w:r>
    </w:p>
    <w:p w14:paraId="0D6BC483" w14:textId="6FBCAC1F" w:rsidR="00F55E12" w:rsidRDefault="00126BA7" w:rsidP="00F55E12">
      <w:pPr>
        <w:pStyle w:val="Standard"/>
      </w:pPr>
      <w:r>
        <w:t xml:space="preserve">The CEC, as </w:t>
      </w:r>
      <w:r w:rsidR="00F55E12">
        <w:t xml:space="preserve">the BUILD Program </w:t>
      </w:r>
      <w:r>
        <w:t xml:space="preserve">administrator, shall also be the lead entity to issue a </w:t>
      </w:r>
      <w:r w:rsidR="00F55E12">
        <w:t xml:space="preserve">(RFP </w:t>
      </w:r>
      <w:r>
        <w:t>for a third party low-income technical assistance provider, score the proposals, and select the contractor.</w:t>
      </w:r>
      <w:r w:rsidR="00F55E12" w:rsidRPr="00F55E12">
        <w:t xml:space="preserve"> </w:t>
      </w:r>
      <w:r w:rsidR="004C3B92">
        <w:t xml:space="preserve"> </w:t>
      </w:r>
      <w:r w:rsidR="00F55E12" w:rsidRPr="00B01D75">
        <w:t>The CEC may choose to solicit a third-party</w:t>
      </w:r>
      <w:r w:rsidR="00F55E12">
        <w:t xml:space="preserve"> contractor to provide this technical assistance or to implement any other part of the BUILD Program</w:t>
      </w:r>
      <w:r w:rsidR="00F55E12" w:rsidRPr="00B01D75">
        <w:t xml:space="preserve">, provided that the </w:t>
      </w:r>
      <w:r w:rsidR="00F55E12">
        <w:t>contractor</w:t>
      </w:r>
      <w:r w:rsidR="00F55E12" w:rsidRPr="00B01D75">
        <w:t xml:space="preserve"> follows the same rules and guidelines laid out in this decision. </w:t>
      </w:r>
      <w:r w:rsidR="00F55E12">
        <w:t xml:space="preserve"> </w:t>
      </w:r>
    </w:p>
    <w:p w14:paraId="45756105" w14:textId="79DC26B5" w:rsidR="00F55E12" w:rsidRDefault="00F55E12" w:rsidP="00F55E12">
      <w:pPr>
        <w:pStyle w:val="Standard"/>
      </w:pPr>
      <w:r>
        <w:t xml:space="preserve">Finally, as BUILD Program administrator, the CEC shall be responsible for awarding and handling disbursement of funds to program applicants.  The CEC shall also collect program performance data and information to inform evaluation </w:t>
      </w:r>
      <w:r w:rsidRPr="00E327D0">
        <w:t xml:space="preserve">and lend insight to program successes and failures. </w:t>
      </w:r>
      <w:r>
        <w:t xml:space="preserve"> </w:t>
      </w:r>
      <w:r w:rsidRPr="00E327D0">
        <w:t>Data collection plans should be coordinated with the C</w:t>
      </w:r>
      <w:r>
        <w:t>ommission</w:t>
      </w:r>
      <w:r w:rsidRPr="00E327D0">
        <w:t xml:space="preserve"> and the </w:t>
      </w:r>
      <w:r>
        <w:t>program</w:t>
      </w:r>
      <w:r w:rsidRPr="00E327D0">
        <w:t xml:space="preserve"> evaluator.</w:t>
      </w:r>
    </w:p>
    <w:p w14:paraId="74F0E733" w14:textId="18C7CCE3" w:rsidR="00126BA7" w:rsidRDefault="00126BA7" w:rsidP="00126BA7">
      <w:pPr>
        <w:pStyle w:val="Heading2"/>
      </w:pPr>
      <w:bookmarkStart w:id="47" w:name="_Toc32310257"/>
      <w:r>
        <w:t xml:space="preserve">BUILD Program Parameters for New </w:t>
      </w:r>
      <w:r w:rsidR="008B4A49">
        <w:br/>
      </w:r>
      <w:r>
        <w:t xml:space="preserve">Low-Income Housing and Disadvantaged </w:t>
      </w:r>
      <w:r w:rsidR="008B4A49">
        <w:br/>
      </w:r>
      <w:r>
        <w:t>Communities with Technical Assistance</w:t>
      </w:r>
      <w:bookmarkEnd w:id="47"/>
    </w:p>
    <w:p w14:paraId="38BDE1AE" w14:textId="604C4AA6" w:rsidR="00F55E12" w:rsidRPr="002A4FAE" w:rsidRDefault="00F55E12" w:rsidP="00126BA7">
      <w:pPr>
        <w:pStyle w:val="Standard"/>
      </w:pPr>
      <w:r>
        <w:t xml:space="preserve">Section 921.1(c)(1) </w:t>
      </w:r>
      <w:r w:rsidR="004E5967">
        <w:t xml:space="preserve">provides </w:t>
      </w:r>
      <w:r>
        <w:t>that</w:t>
      </w:r>
      <w:r w:rsidR="005B6966">
        <w:t>, to encourage</w:t>
      </w:r>
      <w:r w:rsidR="001438F7">
        <w:t xml:space="preserve"> the adoption of near-zero</w:t>
      </w:r>
      <w:r w:rsidR="007F4CC8">
        <w:t xml:space="preserve"> building technologies in new </w:t>
      </w:r>
      <w:r w:rsidR="004D4146">
        <w:t xml:space="preserve">housing located </w:t>
      </w:r>
      <w:r w:rsidR="007F4CC8">
        <w:t>low-income and disa</w:t>
      </w:r>
      <w:r w:rsidR="00B45151">
        <w:t>dvantaged</w:t>
      </w:r>
      <w:r w:rsidR="007F4CC8">
        <w:t xml:space="preserve"> </w:t>
      </w:r>
      <w:r w:rsidR="007F4CC8">
        <w:lastRenderedPageBreak/>
        <w:t>communities</w:t>
      </w:r>
      <w:r w:rsidR="004D4146">
        <w:t>,</w:t>
      </w:r>
      <w:r w:rsidR="002565A4">
        <w:t xml:space="preserve"> </w:t>
      </w:r>
      <w:r w:rsidR="00B45151">
        <w:t>“</w:t>
      </w:r>
      <w:r w:rsidR="002565A4">
        <w:t xml:space="preserve">the program </w:t>
      </w:r>
      <w:r w:rsidR="001D221E">
        <w:t>sh</w:t>
      </w:r>
      <w:r w:rsidR="0074428F">
        <w:t>a</w:t>
      </w:r>
      <w:r w:rsidR="001D221E">
        <w:t>ll reserve a minimum of 30 percent</w:t>
      </w:r>
      <w:r w:rsidR="00F27C02">
        <w:t xml:space="preserve"> of the amount allocated pursuant to Section 748.6 for new low-income residential housing.</w:t>
      </w:r>
      <w:r w:rsidR="000E4569">
        <w:t>”</w:t>
      </w:r>
      <w:r>
        <w:t xml:space="preserve">   </w:t>
      </w:r>
      <w:r w:rsidR="002A4FAE" w:rsidRPr="000C4DB5">
        <w:t xml:space="preserve">Section 921(f) </w:t>
      </w:r>
      <w:r w:rsidR="00D955BF">
        <w:t>provides</w:t>
      </w:r>
      <w:r w:rsidR="002A4FAE">
        <w:t xml:space="preserve"> that </w:t>
      </w:r>
      <w:r w:rsidR="002A4FAE" w:rsidRPr="000C4DB5">
        <w:t>“</w:t>
      </w:r>
      <w:r w:rsidR="002A4FAE">
        <w:t>[p]</w:t>
      </w:r>
      <w:r w:rsidR="002A4FAE" w:rsidRPr="000C4DB5">
        <w:t>rogram means the Building Initiative for Low</w:t>
      </w:r>
      <w:r w:rsidR="00A54F73">
        <w:noBreakHyphen/>
      </w:r>
      <w:r w:rsidR="002A4FAE" w:rsidRPr="000C4DB5">
        <w:t>Emissions Development (BUILD)</w:t>
      </w:r>
      <w:r w:rsidR="002A4FAE" w:rsidRPr="000C4DB5">
        <w:rPr>
          <w:i/>
          <w:iCs/>
        </w:rPr>
        <w:t xml:space="preserve"> </w:t>
      </w:r>
      <w:r w:rsidR="002A4FAE" w:rsidRPr="003B2948">
        <w:t>Program</w:t>
      </w:r>
      <w:r w:rsidR="002A4FAE">
        <w:t>.</w:t>
      </w:r>
      <w:r w:rsidR="003677FF">
        <w:t>”</w:t>
      </w:r>
    </w:p>
    <w:p w14:paraId="58E27B46" w14:textId="70ECF12A" w:rsidR="00126BA7" w:rsidRDefault="00126BA7" w:rsidP="00126BA7">
      <w:pPr>
        <w:pStyle w:val="Standard"/>
      </w:pPr>
      <w:r>
        <w:t xml:space="preserve">The Legislature </w:t>
      </w:r>
      <w:r w:rsidR="00646644">
        <w:t xml:space="preserve">also </w:t>
      </w:r>
      <w:r>
        <w:t>requires that any new low-income residential housing building projects must not result in higher utility bills for occupants.</w:t>
      </w:r>
      <w:r>
        <w:rPr>
          <w:rStyle w:val="FootnoteReference"/>
        </w:rPr>
        <w:footnoteReference w:id="145"/>
      </w:r>
      <w:r>
        <w:t xml:space="preserve"> </w:t>
      </w:r>
      <w:r w:rsidR="00D65432">
        <w:t xml:space="preserve"> </w:t>
      </w:r>
      <w:r>
        <w:t xml:space="preserve">Additionally, </w:t>
      </w:r>
      <w:bookmarkStart w:id="48" w:name="_Hlk20817537"/>
      <w:r>
        <w:t>technical assistance must be offered in conjunction with funding for projects directed at new low</w:t>
      </w:r>
      <w:r w:rsidR="00D65432">
        <w:noBreakHyphen/>
      </w:r>
      <w:r>
        <w:t>income residential housing</w:t>
      </w:r>
      <w:bookmarkEnd w:id="48"/>
      <w:r>
        <w:t>.</w:t>
      </w:r>
      <w:r>
        <w:rPr>
          <w:rStyle w:val="FootnoteReference"/>
        </w:rPr>
        <w:footnoteReference w:id="146"/>
      </w:r>
      <w:r>
        <w:t xml:space="preserve">  Finally, the Legislature authorizes that after two years, unspent funds reserved for new low</w:t>
      </w:r>
      <w:r w:rsidR="0056764B">
        <w:noBreakHyphen/>
      </w:r>
      <w:r>
        <w:t xml:space="preserve">income </w:t>
      </w:r>
      <w:r w:rsidR="00F55E12">
        <w:t xml:space="preserve">residential </w:t>
      </w:r>
      <w:r>
        <w:t>housing may be directed to other purposes that are consistent with the BUILD Program, or program rules may be changed to increase participation.</w:t>
      </w:r>
      <w:r>
        <w:rPr>
          <w:rStyle w:val="FootnoteReference"/>
        </w:rPr>
        <w:footnoteReference w:id="147"/>
      </w:r>
    </w:p>
    <w:p w14:paraId="03A00E11" w14:textId="334118BA" w:rsidR="00126BA7" w:rsidRPr="00126BA7" w:rsidRDefault="00126BA7" w:rsidP="00126BA7">
      <w:pPr>
        <w:pStyle w:val="Standard"/>
      </w:pPr>
      <w:r>
        <w:t>In the Scoping Memo and Ruling,</w:t>
      </w:r>
      <w:r>
        <w:rPr>
          <w:rStyle w:val="FootnoteReference"/>
        </w:rPr>
        <w:footnoteReference w:id="148"/>
      </w:r>
      <w:r>
        <w:t xml:space="preserve"> and in a subsequent Administrative Law Judge</w:t>
      </w:r>
      <w:r w:rsidR="00F55E12">
        <w:t>’s</w:t>
      </w:r>
      <w:r>
        <w:t xml:space="preserve"> Ruling,</w:t>
      </w:r>
      <w:r>
        <w:rPr>
          <w:rStyle w:val="FootnoteReference"/>
        </w:rPr>
        <w:footnoteReference w:id="149"/>
      </w:r>
      <w:r>
        <w:t xml:space="preserve"> parties were asked: </w:t>
      </w:r>
      <w:r w:rsidR="0056764B">
        <w:t xml:space="preserve"> </w:t>
      </w:r>
      <w:r>
        <w:t xml:space="preserve">(1) whether the 30 percent funding component for the low-income focus of the BUILD Program </w:t>
      </w:r>
      <w:r w:rsidR="00627B98">
        <w:t xml:space="preserve">is </w:t>
      </w:r>
      <w:r>
        <w:t>appropriate; and (2)</w:t>
      </w:r>
      <w:r w:rsidR="00D65432">
        <w:t> </w:t>
      </w:r>
      <w:r>
        <w:t xml:space="preserve">whether some funding levels for the low-income component of the BUILD Program </w:t>
      </w:r>
      <w:r w:rsidRPr="006F101F">
        <w:t>should prioritize technical assistance or for the incentive budget</w:t>
      </w:r>
      <w:r w:rsidR="00500439">
        <w:t>.</w:t>
      </w:r>
    </w:p>
    <w:p w14:paraId="2E48494A" w14:textId="77777777" w:rsidR="00126BA7" w:rsidRDefault="00126BA7" w:rsidP="00126BA7">
      <w:pPr>
        <w:pStyle w:val="Heading3"/>
      </w:pPr>
      <w:bookmarkStart w:id="50" w:name="_Toc32310258"/>
      <w:r>
        <w:t>Staff Proposal Summary</w:t>
      </w:r>
      <w:bookmarkEnd w:id="50"/>
    </w:p>
    <w:p w14:paraId="26306EAE" w14:textId="342403F1" w:rsidR="00126BA7" w:rsidRDefault="00F55E12" w:rsidP="00126BA7">
      <w:pPr>
        <w:pStyle w:val="Standard"/>
        <w:tabs>
          <w:tab w:val="left" w:pos="2713"/>
        </w:tabs>
        <w:rPr>
          <w:rFonts w:eastAsia="Times New Roman" w:cs="Times New Roman"/>
          <w:szCs w:val="26"/>
        </w:rPr>
      </w:pPr>
      <w:r>
        <w:rPr>
          <w:rFonts w:eastAsia="Times New Roman" w:cs="Times New Roman"/>
          <w:szCs w:val="26"/>
        </w:rPr>
        <w:t>T</w:t>
      </w:r>
      <w:r w:rsidR="00126BA7">
        <w:rPr>
          <w:rFonts w:eastAsia="Times New Roman" w:cs="Times New Roman"/>
          <w:szCs w:val="26"/>
        </w:rPr>
        <w:t>he Staff Proposal sets</w:t>
      </w:r>
      <w:r w:rsidR="00126BA7" w:rsidRPr="006F101F">
        <w:rPr>
          <w:rFonts w:eastAsia="Times New Roman" w:cs="Times New Roman"/>
          <w:szCs w:val="26"/>
        </w:rPr>
        <w:t xml:space="preserve"> aside </w:t>
      </w:r>
      <w:r>
        <w:rPr>
          <w:rFonts w:eastAsia="Times New Roman" w:cs="Times New Roman"/>
          <w:szCs w:val="26"/>
        </w:rPr>
        <w:t xml:space="preserve">30 </w:t>
      </w:r>
      <w:r w:rsidR="00126BA7" w:rsidRPr="006F101F">
        <w:rPr>
          <w:rFonts w:eastAsia="Times New Roman" w:cs="Times New Roman"/>
          <w:szCs w:val="26"/>
        </w:rPr>
        <w:t xml:space="preserve">percent of </w:t>
      </w:r>
      <w:r w:rsidR="00126BA7">
        <w:rPr>
          <w:rFonts w:eastAsia="Times New Roman" w:cs="Times New Roman"/>
          <w:szCs w:val="26"/>
        </w:rPr>
        <w:t xml:space="preserve">BUILD Program funding </w:t>
      </w:r>
      <w:r w:rsidR="00126BA7" w:rsidRPr="006F101F">
        <w:rPr>
          <w:rFonts w:eastAsia="Times New Roman" w:cs="Times New Roman"/>
          <w:szCs w:val="26"/>
        </w:rPr>
        <w:t>for</w:t>
      </w:r>
      <w:r>
        <w:rPr>
          <w:rFonts w:eastAsia="Times New Roman" w:cs="Times New Roman"/>
          <w:szCs w:val="26"/>
        </w:rPr>
        <w:t xml:space="preserve"> new</w:t>
      </w:r>
      <w:r w:rsidR="00126BA7" w:rsidRPr="006F101F">
        <w:rPr>
          <w:rFonts w:eastAsia="Times New Roman" w:cs="Times New Roman"/>
          <w:szCs w:val="26"/>
        </w:rPr>
        <w:t xml:space="preserve"> low-income </w:t>
      </w:r>
      <w:r>
        <w:rPr>
          <w:rFonts w:eastAsia="Times New Roman" w:cs="Times New Roman"/>
          <w:szCs w:val="26"/>
        </w:rPr>
        <w:t>residential housing</w:t>
      </w:r>
      <w:r w:rsidR="00126BA7" w:rsidRPr="006F101F">
        <w:rPr>
          <w:rFonts w:eastAsia="Times New Roman" w:cs="Times New Roman"/>
          <w:szCs w:val="26"/>
        </w:rPr>
        <w:t>, including technical assistance to low</w:t>
      </w:r>
      <w:r w:rsidR="00EB5A5C">
        <w:rPr>
          <w:rFonts w:eastAsia="Times New Roman" w:cs="Times New Roman"/>
          <w:szCs w:val="26"/>
        </w:rPr>
        <w:noBreakHyphen/>
      </w:r>
      <w:r w:rsidR="00126BA7">
        <w:rPr>
          <w:rFonts w:eastAsia="Times New Roman" w:cs="Times New Roman"/>
          <w:szCs w:val="26"/>
        </w:rPr>
        <w:t xml:space="preserve">income developers. </w:t>
      </w:r>
      <w:r w:rsidR="00A07812">
        <w:rPr>
          <w:rFonts w:eastAsia="Times New Roman" w:cs="Times New Roman"/>
          <w:szCs w:val="26"/>
        </w:rPr>
        <w:t>The</w:t>
      </w:r>
      <w:r w:rsidR="00126BA7">
        <w:rPr>
          <w:rFonts w:eastAsia="Times New Roman" w:cs="Times New Roman"/>
          <w:szCs w:val="26"/>
        </w:rPr>
        <w:t xml:space="preserve"> S</w:t>
      </w:r>
      <w:r w:rsidR="00126BA7" w:rsidRPr="006F101F">
        <w:rPr>
          <w:rFonts w:eastAsia="Times New Roman" w:cs="Times New Roman"/>
          <w:szCs w:val="26"/>
        </w:rPr>
        <w:t>taff</w:t>
      </w:r>
      <w:r w:rsidR="00A07812">
        <w:rPr>
          <w:rFonts w:eastAsia="Times New Roman" w:cs="Times New Roman"/>
          <w:szCs w:val="26"/>
        </w:rPr>
        <w:t xml:space="preserve"> Proposal recommends </w:t>
      </w:r>
      <w:r w:rsidR="00126BA7" w:rsidRPr="006F101F">
        <w:rPr>
          <w:rFonts w:eastAsia="Times New Roman" w:cs="Times New Roman"/>
          <w:szCs w:val="26"/>
        </w:rPr>
        <w:t xml:space="preserve">that a portion of this </w:t>
      </w:r>
      <w:r w:rsidR="00126BA7" w:rsidRPr="006F101F">
        <w:rPr>
          <w:rFonts w:eastAsia="Times New Roman" w:cs="Times New Roman"/>
          <w:szCs w:val="26"/>
        </w:rPr>
        <w:lastRenderedPageBreak/>
        <w:t>lo</w:t>
      </w:r>
      <w:r w:rsidR="00126BA7">
        <w:rPr>
          <w:rFonts w:eastAsia="Times New Roman" w:cs="Times New Roman"/>
          <w:szCs w:val="26"/>
        </w:rPr>
        <w:t>w-incom</w:t>
      </w:r>
      <w:r w:rsidR="00126BA7" w:rsidRPr="006F101F">
        <w:rPr>
          <w:rFonts w:eastAsia="Times New Roman" w:cs="Times New Roman"/>
          <w:szCs w:val="26"/>
        </w:rPr>
        <w:t xml:space="preserve">e funding be devoted to incentives </w:t>
      </w:r>
      <w:r w:rsidR="00126BA7">
        <w:rPr>
          <w:rFonts w:eastAsia="Times New Roman" w:cs="Times New Roman"/>
          <w:szCs w:val="26"/>
        </w:rPr>
        <w:t>for new low-incom</w:t>
      </w:r>
      <w:r w:rsidR="00126BA7" w:rsidRPr="006F101F">
        <w:rPr>
          <w:rFonts w:eastAsia="Times New Roman" w:cs="Times New Roman"/>
          <w:szCs w:val="26"/>
        </w:rPr>
        <w:t>e residential housing and a portion</w:t>
      </w:r>
      <w:r w:rsidR="00126BA7">
        <w:rPr>
          <w:rFonts w:eastAsia="Times New Roman" w:cs="Times New Roman"/>
          <w:szCs w:val="26"/>
        </w:rPr>
        <w:t xml:space="preserve"> to a contractor with low-incom</w:t>
      </w:r>
      <w:r w:rsidR="00126BA7" w:rsidRPr="006F101F">
        <w:rPr>
          <w:rFonts w:eastAsia="Times New Roman" w:cs="Times New Roman"/>
          <w:szCs w:val="26"/>
        </w:rPr>
        <w:t xml:space="preserve">e project </w:t>
      </w:r>
      <w:r w:rsidR="00126BA7">
        <w:rPr>
          <w:rFonts w:eastAsia="Times New Roman" w:cs="Times New Roman"/>
          <w:szCs w:val="26"/>
        </w:rPr>
        <w:t>developm</w:t>
      </w:r>
      <w:r w:rsidR="00126BA7" w:rsidRPr="006F101F">
        <w:rPr>
          <w:rFonts w:eastAsia="Times New Roman" w:cs="Times New Roman"/>
          <w:szCs w:val="26"/>
        </w:rPr>
        <w:t>ent expertise to provide te</w:t>
      </w:r>
      <w:r w:rsidR="00126BA7">
        <w:rPr>
          <w:rFonts w:eastAsia="Times New Roman" w:cs="Times New Roman"/>
          <w:szCs w:val="26"/>
        </w:rPr>
        <w:t>chnical assistance to low-incom</w:t>
      </w:r>
      <w:r w:rsidR="00126BA7" w:rsidRPr="006F101F">
        <w:rPr>
          <w:rFonts w:eastAsia="Times New Roman" w:cs="Times New Roman"/>
          <w:szCs w:val="26"/>
        </w:rPr>
        <w:t>e residential pr</w:t>
      </w:r>
      <w:r w:rsidR="00126BA7">
        <w:rPr>
          <w:rFonts w:eastAsia="Times New Roman" w:cs="Times New Roman"/>
          <w:szCs w:val="26"/>
        </w:rPr>
        <w:t>oject developers.</w:t>
      </w:r>
    </w:p>
    <w:p w14:paraId="2B12D809" w14:textId="64B816EE" w:rsidR="00126BA7" w:rsidRDefault="00126BA7" w:rsidP="00126BA7">
      <w:pPr>
        <w:pStyle w:val="Standard"/>
        <w:tabs>
          <w:tab w:val="left" w:pos="2713"/>
        </w:tabs>
        <w:rPr>
          <w:rFonts w:eastAsia="Times New Roman" w:cs="Times New Roman"/>
          <w:szCs w:val="26"/>
        </w:rPr>
      </w:pPr>
      <w:r>
        <w:rPr>
          <w:rFonts w:eastAsia="Times New Roman" w:cs="Times New Roman"/>
          <w:szCs w:val="26"/>
        </w:rPr>
        <w:t>The S</w:t>
      </w:r>
      <w:r w:rsidRPr="004816B5">
        <w:rPr>
          <w:rFonts w:eastAsia="Times New Roman" w:cs="Times New Roman"/>
          <w:szCs w:val="26"/>
        </w:rPr>
        <w:t>taff</w:t>
      </w:r>
      <w:r>
        <w:rPr>
          <w:rFonts w:eastAsia="Times New Roman" w:cs="Times New Roman"/>
          <w:szCs w:val="26"/>
        </w:rPr>
        <w:t xml:space="preserve"> Proposal also</w:t>
      </w:r>
      <w:r w:rsidRPr="004816B5">
        <w:rPr>
          <w:rFonts w:eastAsia="Times New Roman" w:cs="Times New Roman"/>
          <w:szCs w:val="26"/>
        </w:rPr>
        <w:t xml:space="preserve"> recomme</w:t>
      </w:r>
      <w:r>
        <w:rPr>
          <w:rFonts w:eastAsia="Times New Roman" w:cs="Times New Roman"/>
          <w:szCs w:val="26"/>
        </w:rPr>
        <w:t>nds that the BUILD Program administrator select an expert comp</w:t>
      </w:r>
      <w:r w:rsidRPr="004816B5">
        <w:rPr>
          <w:rFonts w:eastAsia="Times New Roman" w:cs="Times New Roman"/>
          <w:szCs w:val="26"/>
        </w:rPr>
        <w:t>any/organization to conduct the technical assistance to reach low-</w:t>
      </w:r>
      <w:r>
        <w:rPr>
          <w:rFonts w:eastAsia="Times New Roman" w:cs="Times New Roman"/>
          <w:szCs w:val="26"/>
        </w:rPr>
        <w:t>incom</w:t>
      </w:r>
      <w:r w:rsidRPr="004816B5">
        <w:rPr>
          <w:rFonts w:eastAsia="Times New Roman" w:cs="Times New Roman"/>
          <w:szCs w:val="26"/>
        </w:rPr>
        <w:t>e housing developers.</w:t>
      </w:r>
      <w:r w:rsidR="00C63D7E">
        <w:rPr>
          <w:rFonts w:eastAsia="Times New Roman" w:cs="Times New Roman"/>
          <w:szCs w:val="26"/>
        </w:rPr>
        <w:t xml:space="preserve"> </w:t>
      </w:r>
      <w:r w:rsidRPr="004816B5">
        <w:rPr>
          <w:rFonts w:eastAsia="Times New Roman" w:cs="Times New Roman"/>
          <w:szCs w:val="26"/>
        </w:rPr>
        <w:t xml:space="preserve"> </w:t>
      </w:r>
      <w:r>
        <w:rPr>
          <w:rFonts w:eastAsia="Times New Roman" w:cs="Times New Roman"/>
          <w:szCs w:val="26"/>
        </w:rPr>
        <w:t>Since the low</w:t>
      </w:r>
      <w:r w:rsidR="00C63D7E">
        <w:rPr>
          <w:rFonts w:eastAsia="Times New Roman" w:cs="Times New Roman"/>
          <w:szCs w:val="26"/>
        </w:rPr>
        <w:noBreakHyphen/>
      </w:r>
      <w:r>
        <w:rPr>
          <w:rFonts w:eastAsia="Times New Roman" w:cs="Times New Roman"/>
          <w:szCs w:val="26"/>
        </w:rPr>
        <w:t xml:space="preserve">income housing market is different from market-rate housing, an entity with significant experience working with the low-income and disadvantaged segment, as well as field experience with deployment of low-carbon technologies, is required to </w:t>
      </w:r>
      <w:r w:rsidRPr="004816B5">
        <w:rPr>
          <w:rFonts w:eastAsia="Times New Roman" w:cs="Times New Roman"/>
          <w:szCs w:val="26"/>
        </w:rPr>
        <w:t xml:space="preserve">ensure that funds </w:t>
      </w:r>
      <w:r>
        <w:rPr>
          <w:rFonts w:eastAsia="Times New Roman" w:cs="Times New Roman"/>
          <w:szCs w:val="26"/>
        </w:rPr>
        <w:t>reserved for this group are effectively</w:t>
      </w:r>
      <w:r w:rsidRPr="004816B5">
        <w:rPr>
          <w:rFonts w:eastAsia="Times New Roman" w:cs="Times New Roman"/>
          <w:szCs w:val="26"/>
        </w:rPr>
        <w:t xml:space="preserve"> and efficiently </w:t>
      </w:r>
      <w:r>
        <w:rPr>
          <w:rFonts w:eastAsia="Times New Roman" w:cs="Times New Roman"/>
          <w:szCs w:val="26"/>
        </w:rPr>
        <w:t>spent</w:t>
      </w:r>
      <w:r w:rsidR="00500439">
        <w:rPr>
          <w:rFonts w:eastAsia="Times New Roman" w:cs="Times New Roman"/>
          <w:szCs w:val="26"/>
        </w:rPr>
        <w:t>,</w:t>
      </w:r>
      <w:r>
        <w:rPr>
          <w:rFonts w:eastAsia="Times New Roman" w:cs="Times New Roman"/>
          <w:szCs w:val="26"/>
        </w:rPr>
        <w:t xml:space="preserve"> </w:t>
      </w:r>
    </w:p>
    <w:p w14:paraId="0CF6AE69" w14:textId="77777777" w:rsidR="00126BA7" w:rsidRDefault="00126BA7" w:rsidP="00126BA7">
      <w:pPr>
        <w:pStyle w:val="Heading3"/>
        <w:rPr>
          <w:rFonts w:eastAsia="Times New Roman"/>
        </w:rPr>
      </w:pPr>
      <w:bookmarkStart w:id="51" w:name="_Toc32310259"/>
      <w:r>
        <w:rPr>
          <w:rFonts w:eastAsia="Times New Roman"/>
        </w:rPr>
        <w:t>Parties’ Positions</w:t>
      </w:r>
      <w:bookmarkEnd w:id="51"/>
    </w:p>
    <w:p w14:paraId="6E8D9D27" w14:textId="77777777" w:rsidR="00126BA7" w:rsidRDefault="00126BA7" w:rsidP="00126BA7">
      <w:pPr>
        <w:pStyle w:val="Standard"/>
      </w:pPr>
      <w:r>
        <w:t>CBIA states that funding for low-income should be focused on incentives because there is no mechanism to capture the value of energy saved in rental housing.</w:t>
      </w:r>
      <w:r>
        <w:rPr>
          <w:rStyle w:val="FootnoteReference"/>
        </w:rPr>
        <w:footnoteReference w:id="150"/>
      </w:r>
      <w:r>
        <w:t xml:space="preserve">  PG&amp;E recommends that the funding levels for the low-income component of the BUILD Program should be prioritized for offering incentives to developers.</w:t>
      </w:r>
      <w:r>
        <w:rPr>
          <w:rStyle w:val="FootnoteReference"/>
        </w:rPr>
        <w:footnoteReference w:id="151"/>
      </w:r>
    </w:p>
    <w:p w14:paraId="49D2C50C" w14:textId="6B35A08C" w:rsidR="00126BA7" w:rsidRDefault="00126BA7" w:rsidP="00126BA7">
      <w:pPr>
        <w:pStyle w:val="Standard"/>
      </w:pPr>
      <w:r>
        <w:t>Joint Environmentals argue that that the funding level for the low-income component of the BUILD Program is a minimum level, and levels above this should be pursued.</w:t>
      </w:r>
      <w:r>
        <w:rPr>
          <w:rStyle w:val="FootnoteReference"/>
        </w:rPr>
        <w:footnoteReference w:id="152"/>
      </w:r>
      <w:r>
        <w:t xml:space="preserve"> </w:t>
      </w:r>
      <w:r w:rsidR="001743F9">
        <w:t xml:space="preserve"> </w:t>
      </w:r>
      <w:r>
        <w:t>They also argue that technical assistance and direct incentives for low-income buildings should not compete because both are critical.</w:t>
      </w:r>
      <w:r>
        <w:rPr>
          <w:rStyle w:val="FootnoteReference"/>
        </w:rPr>
        <w:footnoteReference w:id="153"/>
      </w:r>
      <w:r>
        <w:t xml:space="preserve">  Joint Environmentals recommend that a minimum of $24 million </w:t>
      </w:r>
      <w:r>
        <w:lastRenderedPageBreak/>
        <w:t>should be available as direct incentives and the funds for technical assistance should be in addition to this amount.</w:t>
      </w:r>
      <w:r>
        <w:rPr>
          <w:rStyle w:val="FootnoteReference"/>
        </w:rPr>
        <w:footnoteReference w:id="154"/>
      </w:r>
    </w:p>
    <w:p w14:paraId="35DE3C25" w14:textId="6C5CF492" w:rsidR="00126BA7" w:rsidRDefault="00126BA7" w:rsidP="00126BA7">
      <w:pPr>
        <w:pStyle w:val="Standard"/>
      </w:pPr>
      <w:r>
        <w:t>Similarly, Cal Advocates assert that program funding targeting low</w:t>
      </w:r>
      <w:r w:rsidR="00EF70B1">
        <w:noBreakHyphen/>
      </w:r>
      <w:r>
        <w:t>income housing should not prioritize between technical assistance work and incentive budgets.</w:t>
      </w:r>
      <w:r>
        <w:rPr>
          <w:rStyle w:val="FootnoteReference"/>
        </w:rPr>
        <w:footnoteReference w:id="155"/>
      </w:r>
      <w:r>
        <w:t xml:space="preserve">  Cal Advocates recommend that the BUILD Program’s targeting of low-income housing should be designed to include both technical assistance and incentives without prioritizing one over the other.</w:t>
      </w:r>
      <w:r>
        <w:rPr>
          <w:rStyle w:val="FootnoteReference"/>
        </w:rPr>
        <w:footnoteReference w:id="156"/>
      </w:r>
    </w:p>
    <w:p w14:paraId="29B628AA" w14:textId="77777777" w:rsidR="00126BA7" w:rsidRDefault="00126BA7" w:rsidP="00126BA7">
      <w:pPr>
        <w:pStyle w:val="Standard"/>
      </w:pPr>
      <w:r>
        <w:t>VEIC</w:t>
      </w:r>
      <w:r>
        <w:rPr>
          <w:rStyle w:val="FootnoteReference"/>
        </w:rPr>
        <w:footnoteReference w:id="157"/>
      </w:r>
      <w:r>
        <w:t xml:space="preserve"> and SBUA</w:t>
      </w:r>
      <w:r>
        <w:rPr>
          <w:rStyle w:val="FootnoteReference"/>
        </w:rPr>
        <w:footnoteReference w:id="158"/>
      </w:r>
      <w:r>
        <w:t xml:space="preserve"> state that the low-income budget should be clarified as a floor, not a ceiling and that low-income budget thresholds should be applicable to the incentive budget. VEIC asserts that a metric for technical assistance should be the number or proportion of participating affordable housing developers rather than budget threshold.</w:t>
      </w:r>
      <w:r>
        <w:rPr>
          <w:rStyle w:val="FootnoteReference"/>
        </w:rPr>
        <w:footnoteReference w:id="159"/>
      </w:r>
    </w:p>
    <w:p w14:paraId="4C42D7B3" w14:textId="05549543" w:rsidR="00126BA7" w:rsidRDefault="00126BA7" w:rsidP="00126BA7">
      <w:pPr>
        <w:pStyle w:val="Standard"/>
      </w:pPr>
      <w:r>
        <w:t>BayREN,</w:t>
      </w:r>
      <w:r>
        <w:rPr>
          <w:rStyle w:val="FootnoteReference"/>
        </w:rPr>
        <w:footnoteReference w:id="160"/>
      </w:r>
      <w:r>
        <w:t xml:space="preserve"> CHBC,</w:t>
      </w:r>
      <w:r>
        <w:rPr>
          <w:rStyle w:val="FootnoteReference"/>
        </w:rPr>
        <w:footnoteReference w:id="161"/>
      </w:r>
      <w:r>
        <w:t xml:space="preserve"> and EDF</w:t>
      </w:r>
      <w:r w:rsidR="00921F3B">
        <w:rPr>
          <w:rStyle w:val="FootnoteReference"/>
        </w:rPr>
        <w:footnoteReference w:id="162"/>
      </w:r>
      <w:r>
        <w:t xml:space="preserve"> assert that 30 percent of the total budget of the BUILD Program is appropriate and that the Commission should allow for an increase of up to 50 percent.  EDF also argues that the low-income component could prioritize, but not limit, funding for technical assistance.</w:t>
      </w:r>
      <w:r>
        <w:rPr>
          <w:rStyle w:val="FootnoteReference"/>
        </w:rPr>
        <w:footnoteReference w:id="163"/>
      </w:r>
      <w:r>
        <w:t xml:space="preserve"> </w:t>
      </w:r>
    </w:p>
    <w:p w14:paraId="3B59D4FB" w14:textId="6F49F810" w:rsidR="00126BA7" w:rsidRDefault="00126BA7" w:rsidP="00126BA7">
      <w:pPr>
        <w:pStyle w:val="Standard"/>
      </w:pPr>
      <w:r>
        <w:lastRenderedPageBreak/>
        <w:t>CSE recommends prioritizing technical assistance work for the low-income component of the BUILD Program</w:t>
      </w:r>
      <w:r w:rsidR="00921F3B">
        <w:t>,</w:t>
      </w:r>
      <w:r>
        <w:t xml:space="preserve"> as well as within the BUILD Program as a whole as technical assistance may provide builders with more value to fully electrify new construction projections.</w:t>
      </w:r>
      <w:r>
        <w:rPr>
          <w:rStyle w:val="FootnoteReference"/>
        </w:rPr>
        <w:footnoteReference w:id="164"/>
      </w:r>
      <w:r>
        <w:t xml:space="preserve"> </w:t>
      </w:r>
    </w:p>
    <w:p w14:paraId="004C6AB1" w14:textId="3A823268" w:rsidR="00126BA7" w:rsidRDefault="00126BA7" w:rsidP="00126BA7">
      <w:pPr>
        <w:pStyle w:val="Standard"/>
      </w:pPr>
      <w:r>
        <w:t>The Partnership asserts that 30 percent of funding for the low-income component of the BUILD Program is too low and recommends 100 percent of the BUILD Program incentives go toward low-income residents of multifamily housing across California.</w:t>
      </w:r>
      <w:r>
        <w:rPr>
          <w:rStyle w:val="FootnoteReference"/>
        </w:rPr>
        <w:footnoteReference w:id="165"/>
      </w:r>
      <w:r>
        <w:t xml:space="preserve">  The Partnership also asserts that the BUILD Program should require unspent funds to be used only to benefit low</w:t>
      </w:r>
      <w:r w:rsidR="00296C90">
        <w:noBreakHyphen/>
      </w:r>
      <w:r>
        <w:t>income residents.</w:t>
      </w:r>
      <w:r>
        <w:rPr>
          <w:rStyle w:val="FootnoteReference"/>
        </w:rPr>
        <w:footnoteReference w:id="166"/>
      </w:r>
    </w:p>
    <w:p w14:paraId="0EA5C30C" w14:textId="19D0D39A" w:rsidR="00126BA7" w:rsidRDefault="00126BA7" w:rsidP="00126BA7">
      <w:pPr>
        <w:pStyle w:val="Standard"/>
      </w:pPr>
      <w:r>
        <w:t>Finally, CSE recommends prioritizing technical assistance work for the low-income component of the BUILD Program as well as within the BUILD Program as a whole.</w:t>
      </w:r>
      <w:r>
        <w:rPr>
          <w:rStyle w:val="FootnoteReference"/>
        </w:rPr>
        <w:footnoteReference w:id="167"/>
      </w:r>
    </w:p>
    <w:p w14:paraId="0838666D" w14:textId="2FD482EB" w:rsidR="00126BA7" w:rsidRPr="00126BA7" w:rsidRDefault="00937081" w:rsidP="00937081">
      <w:pPr>
        <w:pStyle w:val="Heading3"/>
      </w:pPr>
      <w:bookmarkStart w:id="52" w:name="_Toc32310260"/>
      <w:r>
        <w:t xml:space="preserve">Analysis: </w:t>
      </w:r>
      <w:r w:rsidR="00921F3B">
        <w:t xml:space="preserve">30 </w:t>
      </w:r>
      <w:r>
        <w:t>Percent of the SB 1477 Funds Allocated to</w:t>
      </w:r>
      <w:r w:rsidR="00921F3B">
        <w:t xml:space="preserve"> New</w:t>
      </w:r>
      <w:r>
        <w:t xml:space="preserve"> Low-Income Residential Housing of the BUILD Program is a Floor, Not a Ceiling</w:t>
      </w:r>
      <w:bookmarkEnd w:id="52"/>
    </w:p>
    <w:p w14:paraId="76BE14E1" w14:textId="5F33D03C" w:rsidR="00937081" w:rsidRDefault="00937081" w:rsidP="00937081">
      <w:pPr>
        <w:pStyle w:val="Standard"/>
      </w:pPr>
      <w:r>
        <w:t xml:space="preserve">Section 921.1(c)(1) </w:t>
      </w:r>
      <w:r w:rsidR="00921F3B">
        <w:t>states</w:t>
      </w:r>
      <w:r>
        <w:t>:</w:t>
      </w:r>
    </w:p>
    <w:p w14:paraId="7533F15B" w14:textId="61C86FE0" w:rsidR="00937081" w:rsidRDefault="00937081" w:rsidP="003F5501">
      <w:pPr>
        <w:pStyle w:val="Standard"/>
        <w:spacing w:after="120" w:line="240" w:lineRule="auto"/>
        <w:ind w:left="720" w:right="1440" w:firstLine="0"/>
      </w:pPr>
      <w:r>
        <w:t>To encourage the adoption of near-zero-emission building technologies in new low-income residential housing located in disadvantaged communities or low-income communities, the program shall reserve a minimum of 30 percent of the amount allocated pursuant to Section 748.6 for new low-income residential housing.</w:t>
      </w:r>
    </w:p>
    <w:p w14:paraId="121EF4F5" w14:textId="748FC2D3" w:rsidR="00937081" w:rsidRDefault="00937081" w:rsidP="00491E93">
      <w:pPr>
        <w:pStyle w:val="Standard"/>
      </w:pPr>
      <w:r>
        <w:lastRenderedPageBreak/>
        <w:t xml:space="preserve">Section 921.1(d)(1) </w:t>
      </w:r>
      <w:r w:rsidR="00921F3B">
        <w:t xml:space="preserve">further </w:t>
      </w:r>
      <w:r>
        <w:t>requires technical assistance be offered in conjunction with funding for projects directed at new low-income housing.</w:t>
      </w:r>
    </w:p>
    <w:p w14:paraId="1C28EBAF" w14:textId="66A58216" w:rsidR="00630FEC" w:rsidRDefault="00937081" w:rsidP="009859AF">
      <w:pPr>
        <w:pStyle w:val="Standard"/>
      </w:pPr>
      <w:r>
        <w:t xml:space="preserve">The Staff Proposal states that </w:t>
      </w:r>
      <w:r w:rsidR="00921F3B">
        <w:t xml:space="preserve">30 </w:t>
      </w:r>
      <w:r>
        <w:t>percent of BUILD</w:t>
      </w:r>
      <w:r w:rsidR="00921F3B">
        <w:t xml:space="preserve"> Program</w:t>
      </w:r>
      <w:r>
        <w:t xml:space="preserve"> funding shall, at a minimum, be made available, based on the statute, for new low-income residential housing</w:t>
      </w:r>
      <w:r w:rsidR="00D23822">
        <w:t>.</w:t>
      </w:r>
      <w:r>
        <w:t xml:space="preserve">  </w:t>
      </w:r>
      <w:r w:rsidR="00496C34">
        <w:t>W</w:t>
      </w:r>
      <w:r w:rsidR="008D41E2">
        <w:t xml:space="preserve">hile the Staff </w:t>
      </w:r>
      <w:r w:rsidR="00A07812">
        <w:t>P</w:t>
      </w:r>
      <w:r w:rsidR="008D41E2">
        <w:t xml:space="preserve">roposal is consistent with </w:t>
      </w:r>
      <w:r w:rsidR="00410D4B">
        <w:t>t</w:t>
      </w:r>
      <w:r w:rsidR="008D41E2">
        <w:t>he minim</w:t>
      </w:r>
      <w:r w:rsidR="00410D4B">
        <w:t>um</w:t>
      </w:r>
      <w:r w:rsidR="008D41E2">
        <w:t xml:space="preserve"> funding </w:t>
      </w:r>
      <w:r w:rsidR="00630FEC">
        <w:t xml:space="preserve">requirements set forth in </w:t>
      </w:r>
      <w:r w:rsidR="009859AF">
        <w:t>SB 1477</w:t>
      </w:r>
      <w:r w:rsidR="008D41E2">
        <w:t xml:space="preserve">, </w:t>
      </w:r>
      <w:r w:rsidR="009859AF">
        <w:t>w</w:t>
      </w:r>
      <w:r w:rsidR="009C3361">
        <w:t xml:space="preserve">e agree with parties who argue that </w:t>
      </w:r>
      <w:r w:rsidR="007D10A3">
        <w:t xml:space="preserve">a larger share of the BUILD Program funding should be allocated </w:t>
      </w:r>
      <w:r w:rsidR="00143055">
        <w:t>to projects</w:t>
      </w:r>
      <w:r w:rsidR="005253A1">
        <w:t xml:space="preserve"> </w:t>
      </w:r>
      <w:r w:rsidR="0028204A">
        <w:t>that implement ne</w:t>
      </w:r>
      <w:r w:rsidR="00AA566A">
        <w:t>ar-zero emissions tech</w:t>
      </w:r>
      <w:r w:rsidR="00B1362B">
        <w:t>nologies</w:t>
      </w:r>
      <w:r w:rsidR="00AA566A">
        <w:t xml:space="preserve"> in</w:t>
      </w:r>
      <w:r w:rsidR="007B56A2">
        <w:t xml:space="preserve"> new residential homes located</w:t>
      </w:r>
      <w:r w:rsidR="00E34099">
        <w:t xml:space="preserve"> in</w:t>
      </w:r>
      <w:r w:rsidR="00A07A1D">
        <w:t xml:space="preserve"> low-income and disadvantaged communities.</w:t>
      </w:r>
      <w:r>
        <w:t xml:space="preserve"> </w:t>
      </w:r>
      <w:r w:rsidR="00757C70">
        <w:t xml:space="preserve"> </w:t>
      </w:r>
    </w:p>
    <w:p w14:paraId="51DD7AF6" w14:textId="1F3E1FFB" w:rsidR="00921F3B" w:rsidRDefault="00A86EA8" w:rsidP="0071603B">
      <w:pPr>
        <w:pStyle w:val="Standard"/>
      </w:pPr>
      <w:r>
        <w:t>We find that a</w:t>
      </w:r>
      <w:r w:rsidR="00921F3B" w:rsidRPr="00902AA1">
        <w:t xml:space="preserve"> critical component of California’s transition to a cleaner energy future is ensuring that parts of the population are not left behind.</w:t>
      </w:r>
      <w:r w:rsidR="00921F3B">
        <w:t xml:space="preserve">  </w:t>
      </w:r>
      <w:r w:rsidR="0014207E">
        <w:t>Similarly</w:t>
      </w:r>
      <w:r w:rsidR="00350A75">
        <w:t>, w</w:t>
      </w:r>
      <w:r w:rsidR="00921F3B">
        <w:t xml:space="preserve">e interpret </w:t>
      </w:r>
      <w:r w:rsidR="00921F3B" w:rsidRPr="00F736AD">
        <w:t>Section</w:t>
      </w:r>
      <w:r w:rsidR="00A14629">
        <w:t> </w:t>
      </w:r>
      <w:r w:rsidR="00921F3B" w:rsidRPr="00F736AD">
        <w:t>921.1(c)(1)</w:t>
      </w:r>
      <w:r w:rsidR="00921F3B">
        <w:t xml:space="preserve"> to mean that there should be a priority given to new low</w:t>
      </w:r>
      <w:r w:rsidR="00F55034">
        <w:noBreakHyphen/>
      </w:r>
      <w:r w:rsidR="00921F3B">
        <w:t>income residential housing projects built within low</w:t>
      </w:r>
      <w:r w:rsidR="001D415E">
        <w:t>-</w:t>
      </w:r>
      <w:r w:rsidR="00921F3B">
        <w:t>income and disadvantaged communities.  New low-income residential housing projects built outside of these communities are also eligible for BUILD Program funds.</w:t>
      </w:r>
      <w:r w:rsidR="00EA7806">
        <w:t xml:space="preserve">  </w:t>
      </w:r>
      <w:r w:rsidR="009A48E5">
        <w:t xml:space="preserve">For illustrative purposes, using the current volume of new low-income housing </w:t>
      </w:r>
      <w:r w:rsidR="00607438">
        <w:t xml:space="preserve">statistics, </w:t>
      </w:r>
      <w:r w:rsidR="00EA7806">
        <w:t>9,383 new low-income housing units sought tax credits under the Low</w:t>
      </w:r>
      <w:r w:rsidR="00F55034">
        <w:noBreakHyphen/>
      </w:r>
      <w:r w:rsidR="00EA7806">
        <w:t>Income Housing Tax Credit Program in 2018.</w:t>
      </w:r>
      <w:r w:rsidR="00EA7806">
        <w:rPr>
          <w:rStyle w:val="FootnoteReference"/>
        </w:rPr>
        <w:footnoteReference w:id="168"/>
      </w:r>
      <w:r w:rsidR="00EA7806">
        <w:t xml:space="preserve"> </w:t>
      </w:r>
    </w:p>
    <w:p w14:paraId="6439AB47" w14:textId="7BFBF4C9" w:rsidR="004B6FFF" w:rsidRDefault="00837769" w:rsidP="0071603B">
      <w:pPr>
        <w:pStyle w:val="Standard"/>
      </w:pPr>
      <w:r>
        <w:t>Accordingly</w:t>
      </w:r>
      <w:r w:rsidR="009A48E5">
        <w:t xml:space="preserve">, </w:t>
      </w:r>
      <w:r w:rsidR="004B6FFF">
        <w:t xml:space="preserve">we find that </w:t>
      </w:r>
      <w:r w:rsidR="00903BCB">
        <w:t xml:space="preserve">the minimum </w:t>
      </w:r>
      <w:r w:rsidR="004B6FFF">
        <w:t>funding</w:t>
      </w:r>
      <w:r w:rsidR="004B6FFF" w:rsidRPr="00762843">
        <w:t xml:space="preserve"> </w:t>
      </w:r>
      <w:r w:rsidR="008239AE">
        <w:t>requirement</w:t>
      </w:r>
      <w:r w:rsidR="00903BCB">
        <w:t xml:space="preserve"> </w:t>
      </w:r>
      <w:r w:rsidR="004B6FFF" w:rsidRPr="00762843">
        <w:t xml:space="preserve">for </w:t>
      </w:r>
      <w:r w:rsidR="00021516">
        <w:t xml:space="preserve">projects in </w:t>
      </w:r>
      <w:r w:rsidR="004B6FFF" w:rsidRPr="00762843">
        <w:t xml:space="preserve">new low-income residential housing </w:t>
      </w:r>
      <w:r w:rsidR="004B6FFF">
        <w:t xml:space="preserve">should be </w:t>
      </w:r>
      <w:r w:rsidR="005C70EE">
        <w:t>75</w:t>
      </w:r>
      <w:r w:rsidR="004B6FFF">
        <w:t> percent</w:t>
      </w:r>
      <w:r w:rsidR="004B6FFF" w:rsidRPr="00762843">
        <w:t xml:space="preserve"> of the </w:t>
      </w:r>
      <w:r w:rsidR="004B6FFF">
        <w:t xml:space="preserve">funding </w:t>
      </w:r>
      <w:r w:rsidR="002C59BC">
        <w:t>allocated to</w:t>
      </w:r>
      <w:r w:rsidR="004B6FFF">
        <w:t xml:space="preserve"> the </w:t>
      </w:r>
      <w:r w:rsidR="000D75F5">
        <w:t xml:space="preserve">BUILD </w:t>
      </w:r>
      <w:r w:rsidR="009A48E5">
        <w:t>P</w:t>
      </w:r>
      <w:r w:rsidR="004B6FFF">
        <w:t xml:space="preserve">rogram or </w:t>
      </w:r>
      <w:r w:rsidR="004B6FFF" w:rsidRPr="00762843">
        <w:t>$</w:t>
      </w:r>
      <w:r w:rsidR="00402E03">
        <w:t>6</w:t>
      </w:r>
      <w:r w:rsidR="00EA7C86">
        <w:t>0</w:t>
      </w:r>
      <w:r w:rsidR="004B6FFF" w:rsidRPr="00762843">
        <w:t xml:space="preserve"> million, plus interest, over the life of the program.</w:t>
      </w:r>
      <w:r w:rsidR="004B6FFF">
        <w:t xml:space="preserve"> </w:t>
      </w:r>
      <w:r w:rsidR="009A48E5">
        <w:t xml:space="preserve"> </w:t>
      </w:r>
      <w:r w:rsidR="004B6FFF">
        <w:t xml:space="preserve">Further, because SB 1477 </w:t>
      </w:r>
      <w:r w:rsidR="004B6FFF" w:rsidRPr="00902AA1">
        <w:t>finds it essential that achieving near</w:t>
      </w:r>
      <w:r w:rsidR="009A48E5">
        <w:noBreakHyphen/>
      </w:r>
      <w:r w:rsidR="004B6FFF" w:rsidRPr="00902AA1">
        <w:t>zero</w:t>
      </w:r>
      <w:r w:rsidR="009A48E5">
        <w:noBreakHyphen/>
      </w:r>
      <w:r w:rsidR="004B6FFF" w:rsidRPr="00902AA1">
        <w:t>emission</w:t>
      </w:r>
      <w:r w:rsidR="004B6FFF">
        <w:t>s</w:t>
      </w:r>
      <w:r w:rsidR="004B6FFF" w:rsidRPr="00902AA1">
        <w:t xml:space="preserve"> in new buildings also improve housing affordability, </w:t>
      </w:r>
      <w:r w:rsidR="004B6FFF" w:rsidRPr="00902AA1">
        <w:lastRenderedPageBreak/>
        <w:t>particularly in low-income communities</w:t>
      </w:r>
      <w:r w:rsidR="004B6FFF">
        <w:t>, we direct the BUILD Program administrator to evaluate the needs of the low-income sector and adjust the funding amount and/or the program structure as appropriate to improve program delivery of incentives for projects in new low-income residential housing.</w:t>
      </w:r>
    </w:p>
    <w:p w14:paraId="13782200" w14:textId="0B1D0A17" w:rsidR="00937081" w:rsidRDefault="00937081" w:rsidP="00937081">
      <w:pPr>
        <w:pStyle w:val="Standard"/>
      </w:pPr>
      <w:r>
        <w:t xml:space="preserve">Joint Environmentals and Cal Advocates argue that both direct incentives and technical assistance are important for program success, and should therefore, not compete.  We agree.  There is no reason why technical assistance and direct incentives for low-income buildings should compete because both are critical.  Thus, the minimum </w:t>
      </w:r>
      <w:r w:rsidR="005D7E88">
        <w:t xml:space="preserve">funding </w:t>
      </w:r>
      <w:r w:rsidR="00B24AA2">
        <w:t>requir</w:t>
      </w:r>
      <w:r w:rsidR="00E34C10">
        <w:t>e</w:t>
      </w:r>
      <w:r w:rsidR="00B24AA2">
        <w:t>ment</w:t>
      </w:r>
      <w:r>
        <w:t xml:space="preserve"> is allocated exclusively for low-income housing, and the technical assistance activities shall be paid from other BUILD Program funds.  This approach will ensure that a true </w:t>
      </w:r>
      <w:r w:rsidR="003160C2">
        <w:t>75</w:t>
      </w:r>
      <w:r>
        <w:t xml:space="preserve"> percent minimum of </w:t>
      </w:r>
      <w:r w:rsidR="003160C2">
        <w:t xml:space="preserve">program </w:t>
      </w:r>
      <w:r>
        <w:t xml:space="preserve">funding directly benefits low-income community residents. </w:t>
      </w:r>
    </w:p>
    <w:p w14:paraId="63023D9E" w14:textId="0BEAB5E3" w:rsidR="00921F3B" w:rsidRDefault="00921F3B" w:rsidP="00921F3B">
      <w:pPr>
        <w:pStyle w:val="Standard"/>
      </w:pPr>
      <w:r>
        <w:t>I</w:t>
      </w:r>
      <w:r w:rsidR="00937081">
        <w:t xml:space="preserve">n the event that </w:t>
      </w:r>
      <w:r>
        <w:t>funds reserved</w:t>
      </w:r>
      <w:r w:rsidR="00937081">
        <w:t xml:space="preserve"> for new low-income residential housing building projects </w:t>
      </w:r>
      <w:r>
        <w:t xml:space="preserve">remain unspent </w:t>
      </w:r>
      <w:r w:rsidR="00937081">
        <w:t xml:space="preserve">after two years following BUILD Program implementation, the </w:t>
      </w:r>
      <w:r w:rsidR="00680569">
        <w:t>BUILD Program administrator</w:t>
      </w:r>
      <w:r w:rsidR="00937081">
        <w:t xml:space="preserve">, in consultation with </w:t>
      </w:r>
      <w:r>
        <w:t>Energy Division</w:t>
      </w:r>
      <w:r w:rsidR="00937081">
        <w:t xml:space="preserve"> staff, may </w:t>
      </w:r>
      <w:r>
        <w:t>and through the implementation plan approval process, may</w:t>
      </w:r>
      <w:r w:rsidRPr="009D3881">
        <w:t xml:space="preserve"> </w:t>
      </w:r>
      <w:r>
        <w:t>change building project eligibility requirements, as allowed under Public Utilities Code Section</w:t>
      </w:r>
      <w:r w:rsidR="00F55034">
        <w:t> </w:t>
      </w:r>
      <w:r>
        <w:t xml:space="preserve">921.1(c)(2), to include, but not be limited to, the following: </w:t>
      </w:r>
    </w:p>
    <w:p w14:paraId="65B61CEB" w14:textId="77777777" w:rsidR="008F0C18" w:rsidRDefault="008F0C18" w:rsidP="008F0C18">
      <w:pPr>
        <w:pStyle w:val="Standard"/>
        <w:numPr>
          <w:ilvl w:val="0"/>
          <w:numId w:val="30"/>
        </w:numPr>
        <w:spacing w:after="120" w:line="240" w:lineRule="auto"/>
        <w:ind w:right="1440"/>
      </w:pPr>
      <w:r>
        <w:t>Extending the BUILD Program to address any barriers to scaling decarbonization in low-income residential housing identified by the program evaluator, the Disadvantaged Communities Advisory Group, or the Low Income Oversight Board, and consistent with the legislative intent of SB 1477.</w:t>
      </w:r>
    </w:p>
    <w:p w14:paraId="168053FE" w14:textId="0D73E425" w:rsidR="008F0C18" w:rsidRDefault="008F0C18" w:rsidP="008F0C18">
      <w:pPr>
        <w:pStyle w:val="Standard"/>
        <w:numPr>
          <w:ilvl w:val="0"/>
          <w:numId w:val="30"/>
        </w:numPr>
        <w:spacing w:after="120" w:line="240" w:lineRule="auto"/>
        <w:ind w:right="1440"/>
      </w:pPr>
      <w:r>
        <w:t>Extending unspent funds to new market-rate housing projects;</w:t>
      </w:r>
      <w:r w:rsidR="00C27643">
        <w:t xml:space="preserve"> and</w:t>
      </w:r>
    </w:p>
    <w:p w14:paraId="5422EAF9" w14:textId="77777777" w:rsidR="008F0C18" w:rsidRDefault="008F0C18" w:rsidP="008F0C18">
      <w:pPr>
        <w:pStyle w:val="Standard"/>
        <w:numPr>
          <w:ilvl w:val="0"/>
          <w:numId w:val="30"/>
        </w:numPr>
        <w:spacing w:after="120" w:line="240" w:lineRule="auto"/>
        <w:ind w:right="1440"/>
      </w:pPr>
      <w:r>
        <w:lastRenderedPageBreak/>
        <w:t xml:space="preserve">Extending funding eligibility to electric-ready retrofits to ease future transitions toward all-electric buildings. </w:t>
      </w:r>
    </w:p>
    <w:p w14:paraId="1456A4FB" w14:textId="77777777" w:rsidR="008F0C18" w:rsidRDefault="008F0C18" w:rsidP="008F0C18">
      <w:pPr>
        <w:pStyle w:val="Standard"/>
        <w:ind w:firstLine="0"/>
      </w:pPr>
    </w:p>
    <w:p w14:paraId="5D00F895" w14:textId="77777777" w:rsidR="00921F3B" w:rsidRDefault="00921F3B" w:rsidP="00921F3B">
      <w:pPr>
        <w:pStyle w:val="Standard"/>
      </w:pPr>
      <w:bookmarkStart w:id="53" w:name="_Hlk30497316"/>
      <w:r>
        <w:t xml:space="preserve">To ensure compliance with Section 921.1(d)(3), the </w:t>
      </w:r>
      <w:r w:rsidRPr="002B7DB9">
        <w:t xml:space="preserve">CEC shall develop or adopt a tool to measure bill savings as a result of the BUILD </w:t>
      </w:r>
      <w:r>
        <w:t>P</w:t>
      </w:r>
      <w:r w:rsidRPr="002B7DB9">
        <w:t xml:space="preserve">rogram. </w:t>
      </w:r>
      <w:r>
        <w:t xml:space="preserve"> </w:t>
      </w:r>
      <w:r w:rsidRPr="002B7DB9">
        <w:t xml:space="preserve">While the tool is not a direct requirement of SB 1477, the law </w:t>
      </w:r>
      <w:r>
        <w:t>states the Legislature’s</w:t>
      </w:r>
      <w:r w:rsidRPr="002B7DB9">
        <w:t xml:space="preserve"> </w:t>
      </w:r>
      <w:r>
        <w:t>intent</w:t>
      </w:r>
      <w:r w:rsidRPr="002B7DB9">
        <w:t xml:space="preserve"> that energy bills not rise for </w:t>
      </w:r>
      <w:r>
        <w:t xml:space="preserve">building occupants and </w:t>
      </w:r>
      <w:r w:rsidRPr="00C1135D">
        <w:rPr>
          <w:i/>
        </w:rPr>
        <w:t>requires</w:t>
      </w:r>
      <w:r>
        <w:t xml:space="preserve"> that they not rise for low-income building occupants</w:t>
      </w:r>
      <w:r w:rsidRPr="002B7DB9">
        <w:t xml:space="preserve">. </w:t>
      </w:r>
      <w:r>
        <w:t xml:space="preserve"> </w:t>
      </w:r>
      <w:r w:rsidRPr="002B7DB9">
        <w:t xml:space="preserve">A tool to estimate program-driven bill savings should be assessed, adopted, or modified for this purpose. </w:t>
      </w:r>
      <w:r>
        <w:t xml:space="preserve"> </w:t>
      </w:r>
      <w:r w:rsidRPr="00812B98">
        <w:t xml:space="preserve">The program evaluator shall examine the </w:t>
      </w:r>
      <w:r>
        <w:t xml:space="preserve">efficacy and accuracy of the tool </w:t>
      </w:r>
      <w:r w:rsidRPr="00812B98">
        <w:t>and recommend any necessary improvements.</w:t>
      </w:r>
      <w:r>
        <w:t xml:space="preserve">  The CEC shall make changes to the tool based on the evaluator’s recommendations.</w:t>
      </w:r>
    </w:p>
    <w:bookmarkEnd w:id="53"/>
    <w:p w14:paraId="094D66F1" w14:textId="77777777" w:rsidR="00921F3B" w:rsidRPr="00126BA7" w:rsidRDefault="00921F3B" w:rsidP="00921F3B">
      <w:pPr>
        <w:pStyle w:val="Standard"/>
      </w:pPr>
      <w:r w:rsidRPr="00D27086">
        <w:t>Given that construction timelines for multifamily and low-income housing can be long, funds set aside for approved applications shall be considered spent in interpreting this requirement.</w:t>
      </w:r>
    </w:p>
    <w:p w14:paraId="2B4D40E3" w14:textId="77777777" w:rsidR="00E50745" w:rsidRDefault="00937081" w:rsidP="00937081">
      <w:pPr>
        <w:pStyle w:val="Heading2"/>
      </w:pPr>
      <w:bookmarkStart w:id="54" w:name="_Toc32310261"/>
      <w:r>
        <w:t>BUILD Program Incentive Architecture</w:t>
      </w:r>
      <w:bookmarkEnd w:id="54"/>
    </w:p>
    <w:p w14:paraId="1E8328AD" w14:textId="2EEE9467" w:rsidR="00C80CDD" w:rsidRDefault="00937081" w:rsidP="00937081">
      <w:pPr>
        <w:pStyle w:val="Standard"/>
      </w:pPr>
      <w:r>
        <w:t xml:space="preserve">Section 921.1(b) and 921.1(d)(2) of the Public Utilities Code requires that incentives available from the BUILD Program for new low-income </w:t>
      </w:r>
      <w:r w:rsidR="00921F3B">
        <w:t xml:space="preserve">residential </w:t>
      </w:r>
      <w:r w:rsidR="003677FF">
        <w:t xml:space="preserve">customers </w:t>
      </w:r>
      <w:r>
        <w:t xml:space="preserve">must be higher than incentives for other types of housing. </w:t>
      </w:r>
    </w:p>
    <w:p w14:paraId="4DBF1C5C" w14:textId="6DC5DB37" w:rsidR="00937081" w:rsidRDefault="00937081" w:rsidP="00937081">
      <w:pPr>
        <w:pStyle w:val="Standard"/>
      </w:pPr>
      <w:r>
        <w:t>In the Scoping Memo and Ruling,</w:t>
      </w:r>
      <w:r>
        <w:rPr>
          <w:rStyle w:val="FootnoteReference"/>
        </w:rPr>
        <w:footnoteReference w:id="169"/>
      </w:r>
      <w:r>
        <w:t xml:space="preserve"> and in a subsequent Administrative Law Judge Ruling,</w:t>
      </w:r>
      <w:r>
        <w:rPr>
          <w:rStyle w:val="FootnoteReference"/>
        </w:rPr>
        <w:footnoteReference w:id="170"/>
      </w:r>
      <w:r>
        <w:t xml:space="preserve"> parties were asked:</w:t>
      </w:r>
      <w:r w:rsidR="004F3FA8">
        <w:t xml:space="preserve"> </w:t>
      </w:r>
      <w:r>
        <w:t xml:space="preserve"> (1) whether the BUILD Program’s incentives should be offered for individual homes or collectively, for each new subdivision; (2) whether the BUILD Program’s incentives should be offered on a first-come, first-served basis or limited to regions where the largest GHG </w:t>
      </w:r>
      <w:r>
        <w:lastRenderedPageBreak/>
        <w:t>emission reduction potentials exist; (3) whether there should be a limit on the total share of incentive dollars per year, or overall; and (4) what appropriate incentive level should be for the BUILD Program.</w:t>
      </w:r>
    </w:p>
    <w:p w14:paraId="37AFC260" w14:textId="77777777" w:rsidR="00937081" w:rsidRDefault="00937081" w:rsidP="00937081">
      <w:pPr>
        <w:pStyle w:val="Heading3"/>
      </w:pPr>
      <w:bookmarkStart w:id="55" w:name="_Toc32310262"/>
      <w:r>
        <w:t>Staff Proposal Summary</w:t>
      </w:r>
      <w:bookmarkEnd w:id="55"/>
    </w:p>
    <w:p w14:paraId="6CC0A541" w14:textId="4154AD80" w:rsidR="00937081" w:rsidRDefault="00937081" w:rsidP="00937081">
      <w:pPr>
        <w:pStyle w:val="Standard"/>
      </w:pPr>
      <w:r>
        <w:t xml:space="preserve">The Staff Proposal </w:t>
      </w:r>
      <w:r w:rsidR="00921F3B">
        <w:t xml:space="preserve">recommends that </w:t>
      </w:r>
      <w:r>
        <w:t>BUILD Program incentive</w:t>
      </w:r>
      <w:r w:rsidR="00921F3B">
        <w:t>s be designed</w:t>
      </w:r>
      <w:r>
        <w:t xml:space="preserve"> around projected GHG emission reductions and at the subdivision level.</w:t>
      </w:r>
      <w:r>
        <w:rPr>
          <w:rStyle w:val="FootnoteReference"/>
        </w:rPr>
        <w:footnoteReference w:id="171"/>
      </w:r>
      <w:r>
        <w:t xml:space="preserve">  First, the Staff Proposal recommends that all BUILD Program incentives be offered only to new construction projects designed to be all-electric</w:t>
      </w:r>
      <w:r>
        <w:rPr>
          <w:rStyle w:val="FootnoteReference"/>
        </w:rPr>
        <w:footnoteReference w:id="172"/>
      </w:r>
      <w:r>
        <w:t xml:space="preserve"> and the amount of the incentive</w:t>
      </w:r>
      <w:r w:rsidR="00921F3B">
        <w:t>s</w:t>
      </w:r>
      <w:r>
        <w:t xml:space="preserve"> provided will be proportional to the projected amount of GHG emission reductions resulting from the installation of the near-zero-emission building technology.</w:t>
      </w:r>
      <w:r>
        <w:rPr>
          <w:rStyle w:val="FootnoteReference"/>
        </w:rPr>
        <w:footnoteReference w:id="173"/>
      </w:r>
    </w:p>
    <w:p w14:paraId="35909A49" w14:textId="15813C5E" w:rsidR="00937081" w:rsidRDefault="00937081" w:rsidP="00937081">
      <w:pPr>
        <w:pStyle w:val="Standard"/>
      </w:pPr>
      <w:r>
        <w:t>Second, the Staff Proposal recommends that BUILD</w:t>
      </w:r>
      <w:r w:rsidR="00921F3B">
        <w:t xml:space="preserve"> Program</w:t>
      </w:r>
      <w:r>
        <w:t xml:space="preserve"> incentives be established for specific technology categories and climate regions.  According to the Staff Proposal, eligible technologies include, but are not limited to the following:</w:t>
      </w:r>
      <w:r w:rsidR="00E86B80">
        <w:t xml:space="preserve"> </w:t>
      </w:r>
      <w:r>
        <w:t xml:space="preserve"> (a) space heating and cooling; (b) water heating; and (c) cooking.</w:t>
      </w:r>
      <w:r>
        <w:rPr>
          <w:rStyle w:val="FootnoteReference"/>
        </w:rPr>
        <w:footnoteReference w:id="174"/>
      </w:r>
      <w:r>
        <w:t xml:space="preserve">  </w:t>
      </w:r>
    </w:p>
    <w:p w14:paraId="077BBD1D" w14:textId="6BDBB39E" w:rsidR="00937081" w:rsidRDefault="00937081" w:rsidP="00937081">
      <w:pPr>
        <w:pStyle w:val="Standard"/>
      </w:pPr>
      <w:r>
        <w:t>Third, the Staff Proposal recommends “kicker incentives” for a small number of technologies that will provide incremental GHG emissions reductions and/or load management benefits beyond the basic incentives.</w:t>
      </w:r>
      <w:r>
        <w:rPr>
          <w:rStyle w:val="FootnoteReference"/>
        </w:rPr>
        <w:footnoteReference w:id="175"/>
      </w:r>
      <w:r>
        <w:t xml:space="preserve">  Examples include the following technologies:</w:t>
      </w:r>
      <w:r w:rsidR="00E86B80">
        <w:t xml:space="preserve"> </w:t>
      </w:r>
      <w:r>
        <w:t xml:space="preserve"> (a) very high-efficient heat pumps for space cooling; (b) electric battery technologies where a photovoltaic system is installed; (c) heat pump water heaters that use low-GWP refrigerants; (d) thermal storage </w:t>
      </w:r>
      <w:r>
        <w:lastRenderedPageBreak/>
        <w:t>technologies, and (e) design assistance incentives to fund complex efficient designs.</w:t>
      </w:r>
      <w:r>
        <w:rPr>
          <w:rStyle w:val="FootnoteReference"/>
        </w:rPr>
        <w:footnoteReference w:id="176"/>
      </w:r>
      <w:r>
        <w:t xml:space="preserve">  The design assistance incentive is proposed to provide BUILD Program incentives to partially off-set additional design costs needed to include a system design or new technology in newly constructed building projects. </w:t>
      </w:r>
    </w:p>
    <w:p w14:paraId="3112A5CD" w14:textId="18B8384D" w:rsidR="00937081" w:rsidRDefault="00937081" w:rsidP="00937081">
      <w:pPr>
        <w:pStyle w:val="Standard"/>
      </w:pPr>
      <w:r>
        <w:t>Fourth, the Staff Proposal asks the CEC and the CPUC to assess the feasibility of leveraging other complementary existing programs with energy ut</w:t>
      </w:r>
      <w:r w:rsidR="00C80CDD">
        <w:t xml:space="preserve">ilities, </w:t>
      </w:r>
      <w:r>
        <w:t>state</w:t>
      </w:r>
      <w:r w:rsidR="00921F3B">
        <w:t xml:space="preserve"> agencies</w:t>
      </w:r>
      <w:r w:rsidR="00C80CDD">
        <w:t>,</w:t>
      </w:r>
      <w:r>
        <w:t xml:space="preserve"> and local agencies.</w:t>
      </w:r>
      <w:r>
        <w:rPr>
          <w:rStyle w:val="FootnoteReference"/>
        </w:rPr>
        <w:footnoteReference w:id="177"/>
      </w:r>
    </w:p>
    <w:p w14:paraId="6E54A508" w14:textId="3D585494" w:rsidR="00921F3B" w:rsidRDefault="00921F3B" w:rsidP="00921F3B">
      <w:pPr>
        <w:pStyle w:val="Standard"/>
      </w:pPr>
      <w:r>
        <w:t xml:space="preserve">Fifth, the Staff Proposal recommends that BUILD </w:t>
      </w:r>
      <w:r w:rsidR="00E33E3F">
        <w:t xml:space="preserve">Program </w:t>
      </w:r>
      <w:r>
        <w:t>incentives should not be allowed for projects receiving California Energy Code performance credit.</w:t>
      </w:r>
    </w:p>
    <w:p w14:paraId="336F8004" w14:textId="77777777" w:rsidR="00937081" w:rsidRDefault="00937081" w:rsidP="00937081">
      <w:pPr>
        <w:pStyle w:val="Standard"/>
      </w:pPr>
      <w:r>
        <w:t>Finally, in implementing Section 921.1(d)(1)’s requirements, the Staff Proposal recommends that the CEC select an expert entity to conduct technical assistance to reach low-income housing developers.</w:t>
      </w:r>
      <w:r>
        <w:rPr>
          <w:rStyle w:val="FootnoteReference"/>
        </w:rPr>
        <w:footnoteReference w:id="178"/>
      </w:r>
    </w:p>
    <w:p w14:paraId="578EEB6C" w14:textId="77777777" w:rsidR="00937081" w:rsidRPr="00DB7BD9" w:rsidRDefault="00937081" w:rsidP="00937081">
      <w:pPr>
        <w:pStyle w:val="Heading3"/>
      </w:pPr>
      <w:bookmarkStart w:id="56" w:name="_Toc32310263"/>
      <w:r w:rsidRPr="00765ACF">
        <w:t>Parties’ Position</w:t>
      </w:r>
      <w:bookmarkEnd w:id="56"/>
    </w:p>
    <w:p w14:paraId="20EA8380" w14:textId="093B711E" w:rsidR="00937081" w:rsidRDefault="00937081" w:rsidP="00937081">
      <w:pPr>
        <w:pStyle w:val="Standard"/>
      </w:pPr>
      <w:r>
        <w:t>BAC and ABC argue that the BUILD Program should include projects in each of California’s geographic and climate zones</w:t>
      </w:r>
      <w:r w:rsidR="00921F3B">
        <w:t>,</w:t>
      </w:r>
      <w:r>
        <w:t xml:space="preserve"> as heating, cooling, and other building needs vary and</w:t>
      </w:r>
      <w:r w:rsidR="00CA5FCD">
        <w:t>,</w:t>
      </w:r>
      <w:r>
        <w:t xml:space="preserve"> therefore, the BUILD Program’s pilot should test different technologies for different climate zones in California.</w:t>
      </w:r>
      <w:r>
        <w:rPr>
          <w:rStyle w:val="FootnoteReference"/>
        </w:rPr>
        <w:footnoteReference w:id="179"/>
      </w:r>
      <w:r>
        <w:t xml:space="preserve"> </w:t>
      </w:r>
      <w:r w:rsidR="00724511">
        <w:t xml:space="preserve"> </w:t>
      </w:r>
      <w:r>
        <w:t>BAC and ABC</w:t>
      </w:r>
      <w:r>
        <w:rPr>
          <w:rStyle w:val="FootnoteReference"/>
        </w:rPr>
        <w:footnoteReference w:id="180"/>
      </w:r>
      <w:r>
        <w:t xml:space="preserve"> also argue that the Commission should utilize a portfolio of technologies </w:t>
      </w:r>
      <w:r>
        <w:lastRenderedPageBreak/>
        <w:t>and fuels to decarbonize buildings.</w:t>
      </w:r>
      <w:r>
        <w:rPr>
          <w:rStyle w:val="FootnoteReference"/>
        </w:rPr>
        <w:footnoteReference w:id="181"/>
      </w:r>
      <w:r>
        <w:t xml:space="preserve">  Likewise, SoCalGas, argues that the pilot program should include renewable natural gas.</w:t>
      </w:r>
      <w:r>
        <w:rPr>
          <w:rStyle w:val="FootnoteReference"/>
        </w:rPr>
        <w:footnoteReference w:id="182"/>
      </w:r>
    </w:p>
    <w:p w14:paraId="5FC3833D" w14:textId="77777777" w:rsidR="00937081" w:rsidRDefault="00937081" w:rsidP="00937081">
      <w:pPr>
        <w:pStyle w:val="Standard"/>
      </w:pPr>
      <w:r>
        <w:t>However, PG&amp;E recommends that BUILD Program incentives be limited to subdivision-level, all-electric new construction.</w:t>
      </w:r>
      <w:r>
        <w:rPr>
          <w:rStyle w:val="FootnoteReference"/>
        </w:rPr>
        <w:footnoteReference w:id="183"/>
      </w:r>
      <w:r>
        <w:t xml:space="preserve">  PG&amp;E asserts that the Commission should:</w:t>
      </w:r>
    </w:p>
    <w:p w14:paraId="6A8EAEC6" w14:textId="10EBBC9E" w:rsidR="00937081" w:rsidRDefault="00937081" w:rsidP="002A7737">
      <w:pPr>
        <w:pStyle w:val="Standard"/>
        <w:spacing w:after="120" w:line="240" w:lineRule="auto"/>
        <w:ind w:left="720" w:right="1440" w:firstLine="0"/>
      </w:pPr>
      <w:r>
        <w:t xml:space="preserve">consider that the cost of building, maintaining, and operating the natural gas delivery system is largely fixed, but throughput in the natural gas delivery system may decline in coming years. If fixed costs are spread over fewer customers and fewer therms, customers unable to electrify may experience rising gas bills. Expanding the natural gas delivery system to serve some of the homes within a new subdivision will add to the fixed costs to be recovered from all gas customers. </w:t>
      </w:r>
      <w:r w:rsidR="00D34804">
        <w:t xml:space="preserve"> </w:t>
      </w:r>
      <w:r>
        <w:t>By contrast, utilizing the Building Decarbonization pilot programs to maximize avoided gas system investments can decarbonize buildings while promoting energy affordability for all customers.</w:t>
      </w:r>
      <w:r>
        <w:rPr>
          <w:rStyle w:val="FootnoteReference"/>
        </w:rPr>
        <w:footnoteReference w:id="184"/>
      </w:r>
    </w:p>
    <w:p w14:paraId="1D66D444" w14:textId="0CEA6DDD" w:rsidR="00937081" w:rsidRDefault="00937081" w:rsidP="00937081">
      <w:pPr>
        <w:pStyle w:val="Standard"/>
      </w:pPr>
      <w:r>
        <w:t xml:space="preserve">Likewise, Joint Environmentals support </w:t>
      </w:r>
      <w:r w:rsidR="00A07812">
        <w:t xml:space="preserve">the </w:t>
      </w:r>
      <w:r>
        <w:t>Staff</w:t>
      </w:r>
      <w:r w:rsidR="00A07812">
        <w:t xml:space="preserve"> Proposal’s recommendation </w:t>
      </w:r>
      <w:r>
        <w:t>to allocate BUILD Program incentives to new construction projects that are all-electric.</w:t>
      </w:r>
      <w:r>
        <w:rPr>
          <w:rStyle w:val="FootnoteReference"/>
        </w:rPr>
        <w:footnoteReference w:id="185"/>
      </w:r>
      <w:r>
        <w:t xml:space="preserve">  Joint Environmentals argue that SB 1477 requires bills paid by households in new affordable housing developments should be equal or less than those for duel-fuel new construction and all-electric, low</w:t>
      </w:r>
      <w:r w:rsidR="00877ED8">
        <w:noBreakHyphen/>
      </w:r>
      <w:r>
        <w:t>emissions homes fulfill that requirement.</w:t>
      </w:r>
      <w:r>
        <w:rPr>
          <w:rStyle w:val="FootnoteReference"/>
        </w:rPr>
        <w:footnoteReference w:id="186"/>
      </w:r>
      <w:r>
        <w:t xml:space="preserve">  </w:t>
      </w:r>
    </w:p>
    <w:p w14:paraId="0CE9EA6E" w14:textId="1AA969C4" w:rsidR="00937081" w:rsidRDefault="00937081" w:rsidP="00937081">
      <w:pPr>
        <w:pStyle w:val="Standard"/>
      </w:pPr>
      <w:r>
        <w:lastRenderedPageBreak/>
        <w:t>Cal Advocates also recommends limiting BUILD</w:t>
      </w:r>
      <w:r w:rsidR="00CA5FCD">
        <w:t xml:space="preserve"> Program</w:t>
      </w:r>
      <w:r>
        <w:t xml:space="preserve"> incentives to all</w:t>
      </w:r>
      <w:r w:rsidR="009A6DFD">
        <w:noBreakHyphen/>
      </w:r>
      <w:r>
        <w:t xml:space="preserve">electric new construction to </w:t>
      </w:r>
      <w:r w:rsidR="00CA5FCD">
        <w:t>eliminate the c</w:t>
      </w:r>
      <w:r>
        <w:t xml:space="preserve">osts </w:t>
      </w:r>
      <w:r w:rsidR="00CA5FCD">
        <w:t xml:space="preserve">associated with building new natural </w:t>
      </w:r>
      <w:r>
        <w:t xml:space="preserve"> gas infrastructure.</w:t>
      </w:r>
      <w:r>
        <w:rPr>
          <w:rStyle w:val="FootnoteReference"/>
        </w:rPr>
        <w:footnoteReference w:id="187"/>
      </w:r>
      <w:r w:rsidR="00D34804">
        <w:t xml:space="preserve"> </w:t>
      </w:r>
      <w:r>
        <w:t xml:space="preserve"> Agreeing with PG&amp;E, Cal Advocates argues that the BUILD Program should avert the need for new investments in natural gas infrastructure because this approach reduces  construction costs for new homes that are directly included in the program</w:t>
      </w:r>
      <w:r w:rsidR="00CA5FCD">
        <w:t>,</w:t>
      </w:r>
      <w:r>
        <w:t xml:space="preserve"> but </w:t>
      </w:r>
      <w:r w:rsidR="00CA5FCD">
        <w:t>that</w:t>
      </w:r>
      <w:r>
        <w:t xml:space="preserve"> also reduces the cost of natural gas infrastructure for all natural gas customers.</w:t>
      </w:r>
      <w:r>
        <w:rPr>
          <w:rStyle w:val="FootnoteReference"/>
        </w:rPr>
        <w:footnoteReference w:id="188"/>
      </w:r>
    </w:p>
    <w:p w14:paraId="04D33A82" w14:textId="0FFADD87" w:rsidR="00937081" w:rsidRDefault="00937081" w:rsidP="00937081">
      <w:pPr>
        <w:pStyle w:val="Standard"/>
      </w:pPr>
      <w:r>
        <w:t>The Partnership offers several recommendations on the Staff Proposal’s BUILD Program incentives.  The Partnership recommends that all BUILD Program incentives should be allocated to benefit low-income multifamily residents with a majority of the program allocated for incentives.</w:t>
      </w:r>
      <w:r>
        <w:rPr>
          <w:rStyle w:val="FootnoteReference"/>
        </w:rPr>
        <w:footnoteReference w:id="189"/>
      </w:r>
      <w:r>
        <w:t xml:space="preserve"> The Partnership also states that the BUILD Program incentives should be offered collectively to the developers of properties serving low-income and disadvantaged community residents,</w:t>
      </w:r>
      <w:r>
        <w:rPr>
          <w:rStyle w:val="FootnoteReference"/>
        </w:rPr>
        <w:footnoteReference w:id="190"/>
      </w:r>
      <w:r>
        <w:t xml:space="preserve"> allow the incentives to be available for residents of low-income housing and disadvantaged communities residing in multifamily rental housing, and not be restricted by developers or regions, but by income and energy burden levels of residents.</w:t>
      </w:r>
      <w:r>
        <w:rPr>
          <w:rStyle w:val="FootnoteReference"/>
        </w:rPr>
        <w:footnoteReference w:id="191"/>
      </w:r>
      <w:r>
        <w:t xml:space="preserve">  </w:t>
      </w:r>
    </w:p>
    <w:p w14:paraId="367837B6" w14:textId="188564FF" w:rsidR="00937081" w:rsidRDefault="00937081" w:rsidP="00937081">
      <w:pPr>
        <w:pStyle w:val="Standard"/>
      </w:pPr>
      <w:r>
        <w:t xml:space="preserve">Wild Tree Foundation </w:t>
      </w:r>
      <w:r w:rsidR="0069438E">
        <w:t xml:space="preserve">argues </w:t>
      </w:r>
      <w:r>
        <w:t>that only the highest efficiency technologies should be permitted, such as:</w:t>
      </w:r>
      <w:r w:rsidR="001F54B5">
        <w:t xml:space="preserve"> </w:t>
      </w:r>
      <w:r>
        <w:t xml:space="preserve"> (1) highly efficient space and water heat pumps utilizing neutral, non-GHG emitting refrigerants; (2) low cost solar thermal water </w:t>
      </w:r>
      <w:r>
        <w:lastRenderedPageBreak/>
        <w:t>heating systems;</w:t>
      </w:r>
      <w:r w:rsidR="00E33E3F">
        <w:t xml:space="preserve"> and</w:t>
      </w:r>
      <w:r>
        <w:t xml:space="preserve"> (3) efficient space heat</w:t>
      </w:r>
      <w:r w:rsidR="00E33E3F">
        <w:t xml:space="preserve"> conditioning</w:t>
      </w:r>
      <w:r>
        <w:t xml:space="preserve"> pump</w:t>
      </w:r>
      <w:r w:rsidR="00E33E3F">
        <w:t>s</w:t>
      </w:r>
      <w:r>
        <w:t xml:space="preserve"> that work in climate extremes of both heat and cold.</w:t>
      </w:r>
      <w:r>
        <w:rPr>
          <w:rStyle w:val="FootnoteReference"/>
        </w:rPr>
        <w:footnoteReference w:id="192"/>
      </w:r>
    </w:p>
    <w:p w14:paraId="3CFE1A95" w14:textId="50803678" w:rsidR="00937081" w:rsidRDefault="00DB7BD9" w:rsidP="00937081">
      <w:pPr>
        <w:pStyle w:val="Standard"/>
      </w:pPr>
      <w:r>
        <w:t>EDF asks the Commission to consider strategies beyond electrification to decarbonize a building that can be included in the pilots.</w:t>
      </w:r>
      <w:r>
        <w:rPr>
          <w:rStyle w:val="FootnoteReference"/>
        </w:rPr>
        <w:footnoteReference w:id="193"/>
      </w:r>
      <w:r>
        <w:t xml:space="preserve">  Joint Environmentals express concern regarding technologies that receive California Energy Code performance compliance credit not being allowed BUILD Program incentives, as performance credits are the most reasonable pathway for all</w:t>
      </w:r>
      <w:r w:rsidR="000757ED">
        <w:noBreakHyphen/>
      </w:r>
      <w:r>
        <w:t>electric homes under the 2019 iteration of the California Energy Code.</w:t>
      </w:r>
      <w:r>
        <w:rPr>
          <w:rStyle w:val="FootnoteReference"/>
        </w:rPr>
        <w:footnoteReference w:id="194"/>
      </w:r>
      <w:r w:rsidR="00937081">
        <w:t>CALSSA argues that the BUILD Program should not focus exclusively on production homebuilders but also, on regional builders that focus on single homes.</w:t>
      </w:r>
      <w:r w:rsidR="00937081">
        <w:rPr>
          <w:rStyle w:val="FootnoteReference"/>
        </w:rPr>
        <w:footnoteReference w:id="195"/>
      </w:r>
      <w:r w:rsidR="00937081">
        <w:t xml:space="preserve">  CALSSA also recommends that incentives be offered on a first-come, first-served basis across the state.</w:t>
      </w:r>
      <w:r w:rsidR="00937081">
        <w:rPr>
          <w:rStyle w:val="FootnoteReference"/>
        </w:rPr>
        <w:footnoteReference w:id="196"/>
      </w:r>
    </w:p>
    <w:p w14:paraId="7B4E9B52" w14:textId="77777777" w:rsidR="00937081" w:rsidRDefault="00937081" w:rsidP="00937081">
      <w:pPr>
        <w:pStyle w:val="Standard"/>
      </w:pPr>
      <w:r>
        <w:t>CSE recommends that BUILD Program parameters include preference for offering incentives or technical assistance at the subdivision level.</w:t>
      </w:r>
      <w:r>
        <w:rPr>
          <w:rStyle w:val="FootnoteReference"/>
        </w:rPr>
        <w:footnoteReference w:id="197"/>
      </w:r>
      <w:r>
        <w:t xml:space="preserve">  Additionally, CSE states that the BUILD Program administrator should determine whether incentives should be offered separately or collectively for a new subdivision.</w:t>
      </w:r>
      <w:r>
        <w:rPr>
          <w:rStyle w:val="FootnoteReference"/>
        </w:rPr>
        <w:footnoteReference w:id="198"/>
      </w:r>
    </w:p>
    <w:p w14:paraId="11A986C9" w14:textId="0B900CF0" w:rsidR="00937081" w:rsidRDefault="00937081" w:rsidP="00937081">
      <w:pPr>
        <w:pStyle w:val="Standard"/>
      </w:pPr>
      <w:r>
        <w:lastRenderedPageBreak/>
        <w:t>CBIA argues that BUILD Program incentives should be focused at the subdivision level,</w:t>
      </w:r>
      <w:r>
        <w:rPr>
          <w:rStyle w:val="FootnoteReference"/>
        </w:rPr>
        <w:footnoteReference w:id="199"/>
      </w:r>
      <w:r>
        <w:t xml:space="preserve"> that the incentives should be focused on a first-come, first</w:t>
      </w:r>
      <w:r w:rsidR="001F54B5">
        <w:noBreakHyphen/>
      </w:r>
      <w:r>
        <w:t>served basis,</w:t>
      </w:r>
      <w:r>
        <w:rPr>
          <w:rStyle w:val="FootnoteReference"/>
        </w:rPr>
        <w:footnoteReference w:id="200"/>
      </w:r>
      <w:r>
        <w:t xml:space="preserve"> and the program should not set a limit for each developer or builder on the total share of incentive dollars but rather, measure success constantly and award that success.</w:t>
      </w:r>
      <w:r>
        <w:rPr>
          <w:rStyle w:val="FootnoteReference"/>
        </w:rPr>
        <w:footnoteReference w:id="201"/>
      </w:r>
    </w:p>
    <w:p w14:paraId="2FA4995F" w14:textId="4C32F130" w:rsidR="00B64ED9" w:rsidRPr="00D94500" w:rsidRDefault="00B64ED9" w:rsidP="00B64ED9">
      <w:pPr>
        <w:pStyle w:val="Heading3"/>
      </w:pPr>
      <w:bookmarkStart w:id="57" w:name="_Toc32310264"/>
      <w:r w:rsidRPr="00D235F2">
        <w:t xml:space="preserve">Analysis: BUILD Program Incentives Shall Be Appropriated Only to </w:t>
      </w:r>
      <w:r w:rsidR="00A07812">
        <w:t xml:space="preserve">New </w:t>
      </w:r>
      <w:r w:rsidR="00E33E3F">
        <w:t xml:space="preserve">Residential </w:t>
      </w:r>
      <w:r w:rsidR="00A07812">
        <w:t>Housing t</w:t>
      </w:r>
      <w:r w:rsidRPr="00877710">
        <w:t xml:space="preserve">hat </w:t>
      </w:r>
      <w:r w:rsidR="00A07812">
        <w:t>is</w:t>
      </w:r>
      <w:r w:rsidR="00A07812" w:rsidRPr="00D94500">
        <w:t xml:space="preserve"> </w:t>
      </w:r>
      <w:r w:rsidRPr="00D94500">
        <w:t xml:space="preserve">All Electric, Consistent with the State Requirements </w:t>
      </w:r>
      <w:r w:rsidR="00E33E3F">
        <w:t>for</w:t>
      </w:r>
      <w:r w:rsidR="00E33E3F" w:rsidRPr="00D94500">
        <w:t xml:space="preserve"> </w:t>
      </w:r>
      <w:r w:rsidR="00C66DF2" w:rsidRPr="00D94500">
        <w:t xml:space="preserve">a </w:t>
      </w:r>
      <w:r w:rsidR="00DB7BD9" w:rsidRPr="00D94500">
        <w:t>Z</w:t>
      </w:r>
      <w:r w:rsidR="00C66DF2" w:rsidRPr="00D94500">
        <w:t>ero-GHG Emissions Future</w:t>
      </w:r>
      <w:bookmarkEnd w:id="57"/>
    </w:p>
    <w:p w14:paraId="589CAEDF" w14:textId="0BBCAE93" w:rsidR="00B64ED9" w:rsidRDefault="00B64ED9" w:rsidP="00B64ED9">
      <w:pPr>
        <w:pStyle w:val="Standard"/>
      </w:pPr>
      <w:r>
        <w:t xml:space="preserve">It is reasonable to offer BUILD Program incentives at both the subdivision and custom/single family home levels, with a minimum of </w:t>
      </w:r>
      <w:r w:rsidR="00D235F2">
        <w:t xml:space="preserve">30 </w:t>
      </w:r>
      <w:r>
        <w:t xml:space="preserve">percent of total funding made available by SB 1477 specifically for new low-income residential housing projects.  </w:t>
      </w:r>
      <w:r w:rsidR="00D235F2">
        <w:t>Eligibility for BUILD Program incentives shall be based on demonstrably higher GHG reductions than the prescriptive requirements of the California Energy Code for newly constructed buildings.</w:t>
      </w:r>
      <w:r w:rsidR="00C72123">
        <w:t xml:space="preserve"> </w:t>
      </w:r>
      <w:r w:rsidR="00D235F2">
        <w:t xml:space="preserve"> </w:t>
      </w:r>
      <w:r w:rsidR="00D94500">
        <w:t xml:space="preserve">Projects seeking program incentives </w:t>
      </w:r>
      <w:r w:rsidR="00C72123">
        <w:t>may</w:t>
      </w:r>
      <w:r w:rsidR="00D94500">
        <w:t xml:space="preserve"> not trade off mandatory code requirements in lieu of high-performance incented equipment.  </w:t>
      </w:r>
      <w:r w:rsidR="00A07812">
        <w:t>The CEC may</w:t>
      </w:r>
      <w:r w:rsidR="00F752F1">
        <w:t xml:space="preserve"> </w:t>
      </w:r>
      <w:r w:rsidR="00D94500">
        <w:t xml:space="preserve">determine the minimum </w:t>
      </w:r>
      <w:r w:rsidR="00E33E3F">
        <w:t>GHG</w:t>
      </w:r>
      <w:r w:rsidR="00D94500">
        <w:t xml:space="preserve"> performance threshold above the prescriptive compliance</w:t>
      </w:r>
      <w:r w:rsidR="008F0C18">
        <w:t xml:space="preserve"> dual fuel</w:t>
      </w:r>
      <w:r w:rsidR="00D94500">
        <w:t xml:space="preserve"> baseline that a project must meet to qualify for incentives.</w:t>
      </w:r>
      <w:r>
        <w:t xml:space="preserve"> </w:t>
      </w:r>
    </w:p>
    <w:p w14:paraId="0DED874B" w14:textId="2F866D53" w:rsidR="00B64ED9" w:rsidRDefault="00B64ED9" w:rsidP="00B64ED9">
      <w:pPr>
        <w:pStyle w:val="Standard"/>
      </w:pPr>
      <w:r>
        <w:t xml:space="preserve">We direct the CEC to award BUILD Program incentives to new </w:t>
      </w:r>
      <w:r w:rsidR="008F0C18">
        <w:t>residential housing that is at</w:t>
      </w:r>
      <w:r w:rsidR="00D235F2">
        <w:t xml:space="preserve"> a minimum, all-electric</w:t>
      </w:r>
      <w:r>
        <w:t>, given the state’s policy commitment to a zero-GHG electricity supply by 2045 and the risk of locking in new</w:t>
      </w:r>
      <w:r w:rsidR="00D235F2">
        <w:t xml:space="preserve"> natural</w:t>
      </w:r>
      <w:r>
        <w:t xml:space="preserve"> gas assets that could be unused or underutilized before the end of their life.  We agree with </w:t>
      </w:r>
      <w:r w:rsidR="00A07812">
        <w:t xml:space="preserve">the </w:t>
      </w:r>
      <w:r>
        <w:t>Staff</w:t>
      </w:r>
      <w:r w:rsidR="00A07812">
        <w:t xml:space="preserve"> Proposal</w:t>
      </w:r>
      <w:r>
        <w:t xml:space="preserve">, Cal Advocates, Joint Environmentals, PG&amp;E, and </w:t>
      </w:r>
      <w:r w:rsidR="00C27643">
        <w:lastRenderedPageBreak/>
        <w:t>T</w:t>
      </w:r>
      <w:r>
        <w:t>he Partnership that limiting natural gas line extensions are of strategic policy value to California and it is not appropriate to provide BUILD Program incentives for projects that ultimately require natural gas infrastructure extensions to serve one or more home appliances.</w:t>
      </w:r>
      <w:r w:rsidR="005B6B7B">
        <w:t xml:space="preserve"> </w:t>
      </w:r>
      <w:r>
        <w:t xml:space="preserve"> To do this effectively, the CEC may need data regarding </w:t>
      </w:r>
      <w:r w:rsidR="00D235F2">
        <w:t xml:space="preserve">natural </w:t>
      </w:r>
      <w:r>
        <w:t>planned gas infrastructure extensions, and upcoming housing developments.  Housing rebuilds resulting from the wildfires will also need to be anticipated in BUILD Program implementation.  The utilit</w:t>
      </w:r>
      <w:r w:rsidR="003677FF">
        <w:t>y</w:t>
      </w:r>
      <w:r>
        <w:t xml:space="preserve"> </w:t>
      </w:r>
      <w:r w:rsidR="00D235F2">
        <w:t xml:space="preserve">gas corporations </w:t>
      </w:r>
      <w:r>
        <w:t xml:space="preserve">maintain data pertaining to planned transmission and distribution infrastructure extensions and </w:t>
      </w:r>
      <w:r w:rsidR="00EA7806">
        <w:t xml:space="preserve">should </w:t>
      </w:r>
      <w:r>
        <w:t>share data that can help with program design.</w:t>
      </w:r>
      <w:r w:rsidR="00275240">
        <w:rPr>
          <w:rStyle w:val="FootnoteReference"/>
        </w:rPr>
        <w:footnoteReference w:id="202"/>
      </w:r>
    </w:p>
    <w:p w14:paraId="594E4A0C" w14:textId="740B4A03" w:rsidR="00A07812" w:rsidRDefault="00D235F2" w:rsidP="00A07812">
      <w:pPr>
        <w:pStyle w:val="Standard"/>
      </w:pPr>
      <w:r w:rsidRPr="00872D5F">
        <w:t>Under the performance option</w:t>
      </w:r>
      <w:r>
        <w:rPr>
          <w:rStyle w:val="FootnoteReference"/>
        </w:rPr>
        <w:footnoteReference w:id="203"/>
      </w:r>
      <w:r>
        <w:t xml:space="preserve"> for a building to achieve California Energy Code compliance</w:t>
      </w:r>
      <w:r w:rsidRPr="00872D5F">
        <w:t xml:space="preserve">, we do not assume that only </w:t>
      </w:r>
      <w:r>
        <w:t xml:space="preserve">the </w:t>
      </w:r>
      <w:r w:rsidRPr="00872D5F">
        <w:t>space heating, water heating, and cooking appliances identified by the Staff Proposal can achieve significant GHG reductions.  Incentives shall be based on whole building GHG performance modelled using the CEC’s California Energy Code compliance software against a reference case.</w:t>
      </w:r>
      <w:r w:rsidRPr="00872D5F" w:rsidDel="0032020A">
        <w:t xml:space="preserve"> </w:t>
      </w:r>
      <w:r w:rsidRPr="00872D5F">
        <w:t xml:space="preserve"> Therefore, a building project may use BUILD Program incentives to receive California Energy Code performance compliance credit when the performance </w:t>
      </w:r>
      <w:r w:rsidRPr="00872D5F">
        <w:rPr>
          <w:i/>
        </w:rPr>
        <w:t>exceeds</w:t>
      </w:r>
      <w:r w:rsidRPr="00872D5F">
        <w:t xml:space="preserve"> that of the prescriptive reference case.  </w:t>
      </w:r>
      <w:r w:rsidR="00024D6F">
        <w:t>As long as a building is able to obtain a building permit in California, t</w:t>
      </w:r>
      <w:r w:rsidR="00A07812">
        <w:t xml:space="preserve">here is no </w:t>
      </w:r>
      <w:r w:rsidR="00A07812">
        <w:lastRenderedPageBreak/>
        <w:t xml:space="preserve">restriction for the BUILD program to incentivize a specific technology or measure, but rather any combination, including but not limited to energy efficiency and demand response measures, electric battery storage, or additional solar photovoltaic beyond what is mandatory under the </w:t>
      </w:r>
      <w:r w:rsidR="00A07812" w:rsidRPr="00872D5F">
        <w:t>CEC’s California</w:t>
      </w:r>
      <w:r w:rsidR="00A07812">
        <w:t xml:space="preserve"> Building</w:t>
      </w:r>
      <w:r w:rsidR="00A07812" w:rsidRPr="00872D5F">
        <w:t xml:space="preserve"> Energy Code </w:t>
      </w:r>
      <w:r w:rsidR="00A07812">
        <w:t>C</w:t>
      </w:r>
      <w:r w:rsidR="00A07812" w:rsidRPr="00872D5F">
        <w:t>ompliance</w:t>
      </w:r>
      <w:r w:rsidR="00A07812">
        <w:t xml:space="preserve"> </w:t>
      </w:r>
      <w:r w:rsidR="00A07812" w:rsidRPr="00872D5F">
        <w:t>softwar</w:t>
      </w:r>
      <w:r w:rsidR="00A07812">
        <w:t xml:space="preserve">e. </w:t>
      </w:r>
      <w:r w:rsidR="00024D6F">
        <w:t xml:space="preserve"> The</w:t>
      </w:r>
      <w:r w:rsidR="00402E03">
        <w:t xml:space="preserve"> CEC</w:t>
      </w:r>
      <w:r w:rsidR="00024D6F">
        <w:t xml:space="preserve"> may determine how to</w:t>
      </w:r>
      <w:r w:rsidR="00402E03">
        <w:t xml:space="preserve"> model the reference case and establish industry standard practice assumption</w:t>
      </w:r>
      <w:r w:rsidR="00024D6F">
        <w:t>.</w:t>
      </w:r>
    </w:p>
    <w:p w14:paraId="6C6BF966" w14:textId="654BA532" w:rsidR="00937081" w:rsidRDefault="00B64ED9" w:rsidP="00B64ED9">
      <w:pPr>
        <w:pStyle w:val="Heading3"/>
      </w:pPr>
      <w:bookmarkStart w:id="58" w:name="_Toc32310265"/>
      <w:r>
        <w:t xml:space="preserve">Analysis: </w:t>
      </w:r>
      <w:r w:rsidR="005D42B2">
        <w:t xml:space="preserve"> </w:t>
      </w:r>
      <w:r>
        <w:t>The CEC Shall St</w:t>
      </w:r>
      <w:r w:rsidR="00C66DF2">
        <w:t xml:space="preserve">ructure BUILD Program Incentive Design and Distribution, </w:t>
      </w:r>
      <w:r>
        <w:t>and Ensure that Such Incentives are Proportionally Allocated by Service Territory, Consistent with Cap-and-Trade Regulations</w:t>
      </w:r>
      <w:bookmarkEnd w:id="58"/>
    </w:p>
    <w:p w14:paraId="054B9DE4" w14:textId="7418B924" w:rsidR="00B64ED9" w:rsidRDefault="00B64ED9" w:rsidP="00B64ED9">
      <w:pPr>
        <w:pStyle w:val="Standard"/>
      </w:pPr>
      <w:r>
        <w:t xml:space="preserve">Next, we turn to whether the BUILD Program incentives should be offered on a first-come, first-served basis across the state, or be limited to regions of the state where the greatest opportunities for </w:t>
      </w:r>
      <w:r w:rsidR="00CA5FCD">
        <w:t xml:space="preserve">near-zero-emissions </w:t>
      </w:r>
      <w:r>
        <w:t xml:space="preserve">projects exist. </w:t>
      </w:r>
      <w:r w:rsidR="003A6576">
        <w:t xml:space="preserve"> </w:t>
      </w:r>
      <w:r>
        <w:t xml:space="preserve">We determine that it is appropriate to leave incentive design and incentive distribution to the CEC.  However, it is </w:t>
      </w:r>
      <w:r w:rsidR="00CA5FCD">
        <w:t xml:space="preserve">also </w:t>
      </w:r>
      <w:r>
        <w:t>appropriate to prioritize BUILD Program incentives toward the regions in the state with the highest potential for achieving program goals, including reducing GHG emissions a</w:t>
      </w:r>
      <w:r w:rsidR="00C66DF2">
        <w:t>nd serving low</w:t>
      </w:r>
      <w:r w:rsidR="00E8473E">
        <w:noBreakHyphen/>
      </w:r>
      <w:r w:rsidR="00C66DF2">
        <w:t xml:space="preserve">income customers.  </w:t>
      </w:r>
      <w:r w:rsidR="00CA5FCD">
        <w:t xml:space="preserve">The </w:t>
      </w:r>
      <w:r w:rsidR="00C66DF2">
        <w:t>CEC</w:t>
      </w:r>
      <w:r w:rsidR="00CA5FCD">
        <w:t xml:space="preserve"> must ensure</w:t>
      </w:r>
      <w:r w:rsidR="00C66DF2">
        <w:t xml:space="preserve"> </w:t>
      </w:r>
      <w:r w:rsidRPr="00762843">
        <w:t>incentives are proportionally allocated by service territory</w:t>
      </w:r>
      <w:r w:rsidR="00C66DF2">
        <w:t xml:space="preserve"> and disbursed back to the service territory from where the funds were derived,</w:t>
      </w:r>
      <w:r w:rsidRPr="00762843">
        <w:t xml:space="preserve"> in accordance with CARB regulations.</w:t>
      </w:r>
      <w:r>
        <w:t xml:space="preserve">  This shall include focusing on specific climate regions of the state where there is a high cooling and high heating load, low-income </w:t>
      </w:r>
      <w:r w:rsidR="00CA5FCD">
        <w:t>residential housing</w:t>
      </w:r>
      <w:r>
        <w:t>, or specific building ages or types.  We allow the CEC to design the program incentives to ensure successful, replicable, and scalable results.</w:t>
      </w:r>
    </w:p>
    <w:p w14:paraId="40F4F398" w14:textId="2F96F629" w:rsidR="00B64ED9" w:rsidRDefault="00B64ED9" w:rsidP="00B64ED9">
      <w:pPr>
        <w:pStyle w:val="Standard"/>
      </w:pPr>
      <w:r>
        <w:t xml:space="preserve">We decline to establish a limit on the total share of incentive dollars a developer may receive.  However, we give the CEC the discretion to set limits on incentives by participant, location, technology, or other factors the CEC </w:t>
      </w:r>
      <w:r>
        <w:lastRenderedPageBreak/>
        <w:t xml:space="preserve">determines appropriate, during the implementation of the BUILD Program to achieve broader market penetration. </w:t>
      </w:r>
      <w:r w:rsidR="00DC1C3E">
        <w:t xml:space="preserve"> </w:t>
      </w:r>
      <w:r w:rsidRPr="00762843">
        <w:t xml:space="preserve">The </w:t>
      </w:r>
      <w:r>
        <w:t>CEC</w:t>
      </w:r>
      <w:r w:rsidRPr="00762843">
        <w:t xml:space="preserve"> is required, however, to ensure that incentives for new low-income residential housing </w:t>
      </w:r>
      <w:r>
        <w:t>are</w:t>
      </w:r>
      <w:r w:rsidRPr="00762843">
        <w:t xml:space="preserve"> higher than incentives for similar new market-rate </w:t>
      </w:r>
      <w:r>
        <w:t xml:space="preserve">residential </w:t>
      </w:r>
      <w:r w:rsidRPr="00762843">
        <w:t>housing.</w:t>
      </w:r>
    </w:p>
    <w:p w14:paraId="1031D7CD" w14:textId="339C431F" w:rsidR="00B64ED9" w:rsidRDefault="00B64ED9" w:rsidP="00B64ED9">
      <w:pPr>
        <w:pStyle w:val="Standard"/>
      </w:pPr>
      <w:r>
        <w:t xml:space="preserve">Finally, we decline </w:t>
      </w:r>
      <w:r w:rsidR="00275240">
        <w:t xml:space="preserve">to dictate </w:t>
      </w:r>
      <w:r>
        <w:t>a specific incentive level</w:t>
      </w:r>
      <w:r w:rsidR="00CA5FCD">
        <w:t>,</w:t>
      </w:r>
      <w:r>
        <w:t xml:space="preserve"> but</w:t>
      </w:r>
      <w:r w:rsidR="00CA5FCD">
        <w:t>,</w:t>
      </w:r>
      <w:r>
        <w:t xml:space="preserve"> rather, give the CEC the flexibility to establish and adjust incentive level based on participation rates, market activity, costs, complementary programs,</w:t>
      </w:r>
      <w:r w:rsidR="00CA5FCD" w:rsidRPr="00CA5FCD">
        <w:rPr>
          <w:rStyle w:val="FootnoteReference"/>
        </w:rPr>
        <w:t xml:space="preserve"> </w:t>
      </w:r>
      <w:r w:rsidR="00CA5FCD">
        <w:rPr>
          <w:rStyle w:val="FootnoteReference"/>
        </w:rPr>
        <w:footnoteReference w:id="204"/>
      </w:r>
      <w:r>
        <w:t xml:space="preserve"> location, GHG savings, grid impacts, and program data.  We require the CEC, when administering the BUILD Program incentives, to act consistently and tie incentives to the cost of equipment, incremental cost difference for builders, and estimated GHG emission reduction level with prioritization to low-income and disadvantaged communities.</w:t>
      </w:r>
      <w:r w:rsidR="00DC1C3E">
        <w:t xml:space="preserve"> </w:t>
      </w:r>
      <w:r>
        <w:t xml:space="preserve"> We also require the CEC to track the incentives, projected bill savings, costs, and estimated GHG emission reductions geographically and by income, and report them annually with the other metrics outlined, above.</w:t>
      </w:r>
    </w:p>
    <w:p w14:paraId="6330952F" w14:textId="6E809740" w:rsidR="00B64ED9" w:rsidRDefault="00B64ED9" w:rsidP="00B64ED9">
      <w:pPr>
        <w:pStyle w:val="Standard"/>
      </w:pPr>
      <w:r>
        <w:t xml:space="preserve">In determining incentive levels, the CEC shall include kicker incentives for the purposes outlined in the Staff Proposal.  </w:t>
      </w:r>
      <w:r w:rsidRPr="00EB3C7E">
        <w:t xml:space="preserve">The </w:t>
      </w:r>
      <w:r>
        <w:t>CEC</w:t>
      </w:r>
      <w:r w:rsidRPr="00EB3C7E">
        <w:t xml:space="preserve"> may adjust or update the eligible technologies or designs that receive kicker incentives</w:t>
      </w:r>
      <w:r>
        <w:t>,</w:t>
      </w:r>
      <w:r w:rsidRPr="00EB3C7E">
        <w:t xml:space="preserve"> as well as the incentive levels</w:t>
      </w:r>
      <w:r>
        <w:t>,</w:t>
      </w:r>
      <w:r w:rsidRPr="00EB3C7E">
        <w:t xml:space="preserve"> through the BUILD </w:t>
      </w:r>
      <w:r>
        <w:t>P</w:t>
      </w:r>
      <w:r w:rsidRPr="00EB3C7E">
        <w:t xml:space="preserve">rogram </w:t>
      </w:r>
      <w:r w:rsidR="00A07812">
        <w:t>i</w:t>
      </w:r>
      <w:r w:rsidR="00950166">
        <w:t xml:space="preserve">mplementation </w:t>
      </w:r>
      <w:r w:rsidR="00A07812">
        <w:t>p</w:t>
      </w:r>
      <w:r w:rsidR="00950166">
        <w:t xml:space="preserve">lan </w:t>
      </w:r>
      <w:r w:rsidRPr="00EB3C7E">
        <w:t>to achieve the goals of th</w:t>
      </w:r>
      <w:r>
        <w:t>e BUILD</w:t>
      </w:r>
      <w:r w:rsidRPr="00EB3C7E">
        <w:t xml:space="preserve"> </w:t>
      </w:r>
      <w:r>
        <w:t>P</w:t>
      </w:r>
      <w:r w:rsidRPr="00EB3C7E">
        <w:t>rogram.</w:t>
      </w:r>
      <w:r>
        <w:t xml:space="preserve">  </w:t>
      </w:r>
      <w:r w:rsidR="009C5BBF">
        <w:t xml:space="preserve">In determining kicker incentives relating to refrigerant usage, the CEC </w:t>
      </w:r>
      <w:r w:rsidR="008F0C18">
        <w:t xml:space="preserve">may </w:t>
      </w:r>
      <w:r w:rsidR="009C5BBF">
        <w:t>provide for tiered incentives that differentiate between space and water heating equipment that utilize low-GWP refrigerants and space and water heating equipment that utilize mid-range GWP refrigerants.</w:t>
      </w:r>
    </w:p>
    <w:p w14:paraId="13DDF5E8" w14:textId="77777777" w:rsidR="00950166" w:rsidRPr="00D9251A" w:rsidRDefault="00950166" w:rsidP="00950166">
      <w:pPr>
        <w:pStyle w:val="Standard"/>
      </w:pPr>
      <w:r w:rsidRPr="00D9251A">
        <w:t xml:space="preserve">BUILD Program </w:t>
      </w:r>
      <w:r>
        <w:t>i</w:t>
      </w:r>
      <w:r w:rsidRPr="00D9251A">
        <w:t>ncentives shall target an entire building, project, or subdivision rather than specific equipment.</w:t>
      </w:r>
      <w:r>
        <w:t xml:space="preserve">  </w:t>
      </w:r>
      <w:r w:rsidRPr="00D9251A">
        <w:t xml:space="preserve">Projects in areas with “reach” codes </w:t>
      </w:r>
      <w:r w:rsidRPr="00D9251A">
        <w:lastRenderedPageBreak/>
        <w:t xml:space="preserve">passed by local governments that surpass </w:t>
      </w:r>
      <w:r>
        <w:t xml:space="preserve">the requirements of the California </w:t>
      </w:r>
      <w:r w:rsidRPr="00DC0DF9">
        <w:t xml:space="preserve">Energy </w:t>
      </w:r>
      <w:r>
        <w:t>Code</w:t>
      </w:r>
      <w:r w:rsidRPr="00D9251A">
        <w:t xml:space="preserve"> or any other state requirement may receive BUILD </w:t>
      </w:r>
      <w:r>
        <w:t xml:space="preserve">Program </w:t>
      </w:r>
      <w:r w:rsidRPr="00D9251A">
        <w:t>incentive</w:t>
      </w:r>
      <w:r>
        <w:t>s</w:t>
      </w:r>
      <w:r w:rsidRPr="00D9251A">
        <w:t xml:space="preserve">. </w:t>
      </w:r>
    </w:p>
    <w:p w14:paraId="59D81160" w14:textId="389FAA60" w:rsidR="00B64ED9" w:rsidRDefault="00B64ED9" w:rsidP="00B64ED9">
      <w:pPr>
        <w:pStyle w:val="Heading1"/>
      </w:pPr>
      <w:bookmarkStart w:id="59" w:name="_Toc32310266"/>
      <w:r>
        <w:t>TECH Initiative</w:t>
      </w:r>
      <w:bookmarkEnd w:id="59"/>
      <w:r>
        <w:t xml:space="preserve"> </w:t>
      </w:r>
    </w:p>
    <w:p w14:paraId="511F7FE4" w14:textId="77D1C43A" w:rsidR="00B64ED9" w:rsidRDefault="00B64ED9" w:rsidP="00B64ED9">
      <w:pPr>
        <w:pStyle w:val="Standard"/>
      </w:pPr>
      <w:r>
        <w:t>In SB 1477, the Legislature found that there are a range of technologies that can achieve deep emissions reductions in buildings, including advanced energy efficiency technologies, clean heating technologies, energy storage, and load management strategies.</w:t>
      </w:r>
      <w:r>
        <w:rPr>
          <w:rStyle w:val="FootnoteReference"/>
        </w:rPr>
        <w:footnoteReference w:id="205"/>
      </w:r>
      <w:r>
        <w:t xml:space="preserve">  </w:t>
      </w:r>
    </w:p>
    <w:p w14:paraId="5FA12153" w14:textId="5E00B618" w:rsidR="00950166" w:rsidRDefault="00B64ED9" w:rsidP="00950166">
      <w:pPr>
        <w:pStyle w:val="Standard"/>
      </w:pPr>
      <w:r>
        <w:t xml:space="preserve">Section 922(a)(1) </w:t>
      </w:r>
      <w:r w:rsidR="00950166">
        <w:t>requires</w:t>
      </w:r>
      <w:r w:rsidR="00950166" w:rsidRPr="00950166">
        <w:t xml:space="preserve"> </w:t>
      </w:r>
      <w:r w:rsidR="00950166">
        <w:t>the Commission to develop and supervise the administration of</w:t>
      </w:r>
      <w:r>
        <w:t xml:space="preserve"> the TECH Initiative </w:t>
      </w:r>
      <w:r w:rsidR="00950166">
        <w:t xml:space="preserve">to spur the state’s market for low-emission space and water heating equipment in new and existing residential buildings.  </w:t>
      </w:r>
    </w:p>
    <w:p w14:paraId="7C730031" w14:textId="56377500" w:rsidR="00B64ED9" w:rsidRDefault="00B64ED9" w:rsidP="00950166">
      <w:pPr>
        <w:pStyle w:val="Standard"/>
      </w:pPr>
      <w:r>
        <w:t xml:space="preserve">The TECH Initiative has three basic premises.  First, </w:t>
      </w:r>
      <w:r w:rsidR="00950166">
        <w:t>T</w:t>
      </w:r>
      <w:r>
        <w:t xml:space="preserve">he TECH Initiative requires </w:t>
      </w:r>
      <w:r w:rsidR="00950166">
        <w:t xml:space="preserve">consumer </w:t>
      </w:r>
      <w:r>
        <w:t>education about low</w:t>
      </w:r>
      <w:r w:rsidR="00AA4DE6">
        <w:noBreakHyphen/>
      </w:r>
      <w:r>
        <w:t xml:space="preserve">emission space and water heating equipment, contractor </w:t>
      </w:r>
      <w:r w:rsidR="00950166">
        <w:t xml:space="preserve">training, </w:t>
      </w:r>
      <w:r>
        <w:t>and vendor training, and the provision of upstream and midstream incentives to install low</w:t>
      </w:r>
      <w:r w:rsidR="00AA4DE6">
        <w:noBreakHyphen/>
      </w:r>
      <w:r>
        <w:t>emission space and water heating equipment in existing and new buildings.</w:t>
      </w:r>
      <w:r>
        <w:rPr>
          <w:rStyle w:val="FootnoteReference"/>
        </w:rPr>
        <w:footnoteReference w:id="206"/>
      </w:r>
      <w:r>
        <w:t xml:space="preserve">  </w:t>
      </w:r>
      <w:r w:rsidR="00950166">
        <w:t xml:space="preserve">Second, the </w:t>
      </w:r>
      <w:r>
        <w:t>Legislature requires the Com</w:t>
      </w:r>
      <w:r w:rsidRPr="00080411">
        <w:t>mission to identify and target key low-emission space and water heating equipment technologies that are in an early stage of market development and would assist the state in achieving the state's GHG emissions reduction goals.</w:t>
      </w:r>
      <w:r>
        <w:rPr>
          <w:rStyle w:val="FootnoteReference"/>
        </w:rPr>
        <w:footnoteReference w:id="207"/>
      </w:r>
      <w:r w:rsidRPr="00080411">
        <w:t xml:space="preserve"> </w:t>
      </w:r>
    </w:p>
    <w:p w14:paraId="62DB4352" w14:textId="77777777" w:rsidR="00B64ED9" w:rsidRPr="00175D41" w:rsidRDefault="00B64ED9" w:rsidP="00B64ED9">
      <w:pPr>
        <w:pStyle w:val="Standard"/>
        <w:rPr>
          <w:sz w:val="24"/>
          <w:szCs w:val="24"/>
        </w:rPr>
      </w:pPr>
      <w:r>
        <w:t xml:space="preserve">Finally, the TECH Initiative requires the Commission, in coordination with the CEC, to </w:t>
      </w:r>
      <w:r w:rsidRPr="00080411">
        <w:t xml:space="preserve">develop guidelines and evaluation metrics, implement outreach </w:t>
      </w:r>
      <w:r w:rsidRPr="00080411">
        <w:lastRenderedPageBreak/>
        <w:t>strategies for hard-to-reach customers, and provide for job training and employment opportunities.</w:t>
      </w:r>
      <w:r>
        <w:rPr>
          <w:rStyle w:val="FootnoteReference"/>
        </w:rPr>
        <w:footnoteReference w:id="208"/>
      </w:r>
      <w:r w:rsidRPr="00080411">
        <w:t xml:space="preserve"> </w:t>
      </w:r>
    </w:p>
    <w:p w14:paraId="10B293CF" w14:textId="77777777" w:rsidR="00B64ED9" w:rsidRDefault="00B64ED9" w:rsidP="00B64ED9">
      <w:pPr>
        <w:pStyle w:val="Heading2"/>
      </w:pPr>
      <w:bookmarkStart w:id="60" w:name="_Toc32310267"/>
      <w:r>
        <w:t>TECH Initiative Implementer Selection</w:t>
      </w:r>
      <w:bookmarkEnd w:id="60"/>
    </w:p>
    <w:p w14:paraId="2DDD18B5" w14:textId="67E044F9" w:rsidR="00B64ED9" w:rsidRDefault="00B64ED9" w:rsidP="00B64ED9">
      <w:pPr>
        <w:pStyle w:val="Standard"/>
      </w:pPr>
      <w:r>
        <w:t>In the Scoping Memo and Ruling,</w:t>
      </w:r>
      <w:r>
        <w:rPr>
          <w:rStyle w:val="FootnoteReference"/>
        </w:rPr>
        <w:footnoteReference w:id="209"/>
      </w:r>
      <w:r>
        <w:t xml:space="preserve"> and in a subsequent Administrative Law Judge Ruling,</w:t>
      </w:r>
      <w:r>
        <w:rPr>
          <w:rStyle w:val="FootnoteReference"/>
        </w:rPr>
        <w:footnoteReference w:id="210"/>
      </w:r>
      <w:r>
        <w:t xml:space="preserve"> parties were asked: </w:t>
      </w:r>
      <w:r w:rsidR="00886A31">
        <w:t xml:space="preserve"> </w:t>
      </w:r>
      <w:r>
        <w:t xml:space="preserve">(1) whether the Staff Proposal’s proposed process for selecting a TECH Initiative implementer is reasonable; and (2) who should serve as the TECH </w:t>
      </w:r>
      <w:r w:rsidR="00C27643">
        <w:t xml:space="preserve">Initiative </w:t>
      </w:r>
      <w:r>
        <w:t>implementer.</w:t>
      </w:r>
    </w:p>
    <w:p w14:paraId="1609AD8D" w14:textId="77777777" w:rsidR="00B64ED9" w:rsidRDefault="00B64ED9" w:rsidP="00B64ED9">
      <w:pPr>
        <w:pStyle w:val="Heading3"/>
      </w:pPr>
      <w:bookmarkStart w:id="61" w:name="_Toc32310268"/>
      <w:r>
        <w:t>Staff Proposal Summary</w:t>
      </w:r>
      <w:bookmarkEnd w:id="61"/>
      <w:r>
        <w:t xml:space="preserve"> </w:t>
      </w:r>
    </w:p>
    <w:p w14:paraId="0C53ACE1" w14:textId="2890597E" w:rsidR="00B64ED9" w:rsidRPr="00B45938" w:rsidRDefault="00A73E5E" w:rsidP="00B64ED9">
      <w:pPr>
        <w:pStyle w:val="Standard"/>
      </w:pPr>
      <w:r>
        <w:t xml:space="preserve">The </w:t>
      </w:r>
      <w:r w:rsidR="00B64ED9">
        <w:t xml:space="preserve">Staff </w:t>
      </w:r>
      <w:r>
        <w:t xml:space="preserve">Proposal recommends </w:t>
      </w:r>
      <w:r w:rsidR="00B64ED9">
        <w:t xml:space="preserve"> a competitive solicitation process for a third-party implementer for the TECH Initiative through this proceeding.</w:t>
      </w:r>
      <w:r w:rsidR="00B64ED9">
        <w:rPr>
          <w:rStyle w:val="FootnoteReference"/>
        </w:rPr>
        <w:footnoteReference w:id="211"/>
      </w:r>
      <w:r w:rsidR="00B64ED9">
        <w:t xml:space="preserve">  </w:t>
      </w:r>
      <w:r>
        <w:t xml:space="preserve">The </w:t>
      </w:r>
      <w:r w:rsidR="00B64ED9">
        <w:t>Staff</w:t>
      </w:r>
      <w:r>
        <w:t xml:space="preserve"> Proposal</w:t>
      </w:r>
      <w:r w:rsidR="00B64ED9">
        <w:t xml:space="preserve"> describes this process as receiving RFP bids through the service list and allowing stakeholders to comment on the bids.</w:t>
      </w:r>
      <w:r w:rsidR="00B64ED9">
        <w:rPr>
          <w:rStyle w:val="FootnoteReference"/>
        </w:rPr>
        <w:footnoteReference w:id="212"/>
      </w:r>
      <w:r w:rsidR="00B64ED9">
        <w:t xml:space="preserve"> </w:t>
      </w:r>
    </w:p>
    <w:p w14:paraId="011BDF20" w14:textId="77777777" w:rsidR="00B64ED9" w:rsidRDefault="00B64ED9" w:rsidP="00B64ED9">
      <w:pPr>
        <w:pStyle w:val="Heading3"/>
      </w:pPr>
      <w:bookmarkStart w:id="62" w:name="_Toc32310269"/>
      <w:r>
        <w:t>Parties’ Positions</w:t>
      </w:r>
      <w:bookmarkEnd w:id="62"/>
    </w:p>
    <w:p w14:paraId="254B889F" w14:textId="1FCE5627" w:rsidR="00B64ED9" w:rsidRPr="006E230C" w:rsidRDefault="00B64ED9" w:rsidP="00B64ED9">
      <w:pPr>
        <w:pStyle w:val="Standard"/>
      </w:pPr>
      <w:r>
        <w:t xml:space="preserve">Generally, all parties disagree with the solicitation and selection process presented </w:t>
      </w:r>
      <w:r w:rsidR="00A73E5E">
        <w:t xml:space="preserve">in the </w:t>
      </w:r>
      <w:r>
        <w:t>Staff</w:t>
      </w:r>
      <w:r w:rsidR="00A73E5E">
        <w:t xml:space="preserve"> Proposal</w:t>
      </w:r>
      <w:r>
        <w:t xml:space="preserve">. </w:t>
      </w:r>
      <w:r w:rsidR="00886A31">
        <w:t xml:space="preserve"> </w:t>
      </w:r>
      <w:r>
        <w:t xml:space="preserve">While parties support rapid selection and </w:t>
      </w:r>
      <w:r w:rsidR="00A73E5E">
        <w:t xml:space="preserve">the </w:t>
      </w:r>
      <w:r>
        <w:t>opportunity for public feedback that Staff recommended in selecting an implementer, they also offered various revisions to</w:t>
      </w:r>
      <w:r w:rsidR="00A73E5E">
        <w:t xml:space="preserve"> the</w:t>
      </w:r>
      <w:r>
        <w:t xml:space="preserve"> Staff</w:t>
      </w:r>
      <w:r w:rsidR="00A73E5E">
        <w:t xml:space="preserve"> Proposal’s recommended </w:t>
      </w:r>
      <w:r>
        <w:t xml:space="preserve">selection process.  As VEIC put it, the approach </w:t>
      </w:r>
      <w:r w:rsidR="00A73E5E">
        <w:t xml:space="preserve">that the </w:t>
      </w:r>
      <w:r>
        <w:t>Staff</w:t>
      </w:r>
      <w:r w:rsidR="00A73E5E">
        <w:t xml:space="preserve"> Proposal</w:t>
      </w:r>
      <w:r>
        <w:t xml:space="preserve"> recommends might discourage bidders because they may be reluctant to share intellectual property with potential competitors.</w:t>
      </w:r>
      <w:r>
        <w:rPr>
          <w:rStyle w:val="FootnoteReference"/>
        </w:rPr>
        <w:footnoteReference w:id="213"/>
      </w:r>
      <w:r>
        <w:t xml:space="preserve">  Some parties, such as  </w:t>
      </w:r>
      <w:r>
        <w:lastRenderedPageBreak/>
        <w:t>Joint Environment</w:t>
      </w:r>
      <w:r w:rsidR="00950166">
        <w:t>al</w:t>
      </w:r>
      <w:r>
        <w:t>s, recommend that only third-party administrators (not investor-owned utilities) be allowed to bid for the role of the TECH Initiative implementer</w:t>
      </w:r>
      <w:r w:rsidR="009C072E">
        <w:t>.</w:t>
      </w:r>
      <w:r>
        <w:rPr>
          <w:rStyle w:val="FootnoteReference"/>
        </w:rPr>
        <w:footnoteReference w:id="214"/>
      </w:r>
      <w:r>
        <w:t xml:space="preserve"> </w:t>
      </w:r>
      <w:r w:rsidR="009C072E">
        <w:t>W</w:t>
      </w:r>
      <w:r>
        <w:t>hile others, like Cal Advocates, recommend emulating the energy efficiency third-party procurement model or allowing Energy Division to solicit bids with advice and oversight from stakeholders.</w:t>
      </w:r>
      <w:r>
        <w:rPr>
          <w:rStyle w:val="FootnoteReference"/>
        </w:rPr>
        <w:footnoteReference w:id="215"/>
      </w:r>
    </w:p>
    <w:p w14:paraId="5DC505DE" w14:textId="6E059A82" w:rsidR="00B64ED9" w:rsidRPr="00B64ED9" w:rsidRDefault="00B64ED9" w:rsidP="00B64ED9">
      <w:pPr>
        <w:pStyle w:val="Heading3"/>
      </w:pPr>
      <w:bookmarkStart w:id="63" w:name="_Toc32310270"/>
      <w:r>
        <w:t>Analysis</w:t>
      </w:r>
      <w:r w:rsidR="004D7DE0">
        <w:t>: Selection of the TECH Initiative Implementer shall be led by an Energy Division selection process, with expert advice and stakeholder advice</w:t>
      </w:r>
      <w:bookmarkEnd w:id="63"/>
    </w:p>
    <w:p w14:paraId="6A7EED46" w14:textId="255F7CEA" w:rsidR="00B64ED9" w:rsidRDefault="00B64ED9" w:rsidP="00B64ED9">
      <w:pPr>
        <w:pStyle w:val="Standard"/>
      </w:pPr>
      <w:r>
        <w:t xml:space="preserve">After consideration of comments from parties and in conjunction with review of the Staff Proposal, we believe it makes sense to depart from the recommendation </w:t>
      </w:r>
      <w:r w:rsidR="00CE2D63">
        <w:t xml:space="preserve">of the </w:t>
      </w:r>
      <w:r>
        <w:t>Staff</w:t>
      </w:r>
      <w:r w:rsidR="00CE2D63">
        <w:t xml:space="preserve"> Proposal</w:t>
      </w:r>
      <w:r>
        <w:t xml:space="preserve"> and adopt </w:t>
      </w:r>
      <w:r w:rsidR="00950166">
        <w:t xml:space="preserve">a modified version of </w:t>
      </w:r>
      <w:r>
        <w:t xml:space="preserve">Cal Advocates’ proposal, to issue a solicitation process led by Energy Division with expert advice and stakeholder oversight.  We designate SCE as the </w:t>
      </w:r>
      <w:r w:rsidR="00C27643">
        <w:t>c</w:t>
      </w:r>
      <w:r>
        <w:t xml:space="preserve">ontracting </w:t>
      </w:r>
      <w:r w:rsidR="00C27643">
        <w:t>a</w:t>
      </w:r>
      <w:r>
        <w:t>gent</w:t>
      </w:r>
      <w:r w:rsidR="00950166">
        <w:t xml:space="preserve"> for the solicitation process</w:t>
      </w:r>
      <w:r>
        <w:t>, discussed in detail below</w:t>
      </w:r>
      <w:r w:rsidR="00CC3C7D">
        <w:t>.  SCE shall be</w:t>
      </w:r>
      <w:r>
        <w:t xml:space="preserve"> responsible for administering </w:t>
      </w:r>
      <w:r w:rsidR="00CC3C7D">
        <w:t xml:space="preserve">the </w:t>
      </w:r>
      <w:r>
        <w:t>RFP p</w:t>
      </w:r>
      <w:r w:rsidR="00CC3C7D">
        <w:t>ursuant to</w:t>
      </w:r>
      <w:r>
        <w:t xml:space="preserve"> the guidelines below and </w:t>
      </w:r>
      <w:r w:rsidR="00CC3C7D">
        <w:t xml:space="preserve">for </w:t>
      </w:r>
      <w:r>
        <w:t xml:space="preserve">managing the SB 1477 balancing account.   </w:t>
      </w:r>
    </w:p>
    <w:p w14:paraId="226193DD" w14:textId="467DB28D" w:rsidR="00B64ED9" w:rsidRDefault="00B64ED9" w:rsidP="00B64ED9">
      <w:pPr>
        <w:pStyle w:val="Standard"/>
      </w:pPr>
      <w:r>
        <w:t xml:space="preserve">Before we discuss the </w:t>
      </w:r>
      <w:r w:rsidR="00950166">
        <w:t xml:space="preserve">selection </w:t>
      </w:r>
      <w:r>
        <w:t>process, we adopt the following guidelines for TECH Initiative implementer selection.</w:t>
      </w:r>
      <w:r w:rsidR="00735ED1">
        <w:t xml:space="preserve"> </w:t>
      </w:r>
      <w:r>
        <w:t xml:space="preserve"> The requirements include</w:t>
      </w:r>
      <w:r w:rsidR="00CE2D63">
        <w:t>, but are not limited to,</w:t>
      </w:r>
      <w:r w:rsidR="00950166">
        <w:t xml:space="preserve"> </w:t>
      </w:r>
      <w:r w:rsidR="00735ED1">
        <w:t>the</w:t>
      </w:r>
      <w:r w:rsidR="00950166">
        <w:t xml:space="preserve"> following</w:t>
      </w:r>
      <w:r>
        <w:t>:</w:t>
      </w:r>
    </w:p>
    <w:p w14:paraId="14723B50" w14:textId="49DA2DF1" w:rsidR="00B64ED9" w:rsidRPr="001040A4" w:rsidRDefault="00B64ED9" w:rsidP="000F18C5">
      <w:pPr>
        <w:pStyle w:val="Standard"/>
        <w:numPr>
          <w:ilvl w:val="0"/>
          <w:numId w:val="16"/>
        </w:numPr>
        <w:spacing w:after="120" w:line="240" w:lineRule="auto"/>
        <w:ind w:left="1080" w:right="1440"/>
      </w:pPr>
      <w:r w:rsidRPr="001040A4">
        <w:t>Bidders must demonstrate substantial experience overseeing or participating in a market transformation initiative.</w:t>
      </w:r>
      <w:r w:rsidR="00F926C3">
        <w:t xml:space="preserve"> </w:t>
      </w:r>
      <w:r w:rsidRPr="001040A4">
        <w:t xml:space="preserve"> Bidders should identify key personnel and describe their experience relevant to their expected role in the program.</w:t>
      </w:r>
    </w:p>
    <w:p w14:paraId="05422544" w14:textId="77777777" w:rsidR="00B64ED9" w:rsidRPr="001040A4" w:rsidRDefault="00B64ED9" w:rsidP="000F18C5">
      <w:pPr>
        <w:pStyle w:val="Standard"/>
        <w:numPr>
          <w:ilvl w:val="0"/>
          <w:numId w:val="16"/>
        </w:numPr>
        <w:spacing w:after="120" w:line="240" w:lineRule="auto"/>
        <w:ind w:left="1080" w:right="1440"/>
      </w:pPr>
      <w:r w:rsidRPr="001040A4">
        <w:t>Bidders should show that the organization has the capability to successfully implement the program.</w:t>
      </w:r>
    </w:p>
    <w:p w14:paraId="69AA9550" w14:textId="77777777" w:rsidR="00B64ED9" w:rsidRPr="001040A4" w:rsidRDefault="00B64ED9" w:rsidP="000F18C5">
      <w:pPr>
        <w:pStyle w:val="Standard"/>
        <w:numPr>
          <w:ilvl w:val="0"/>
          <w:numId w:val="16"/>
        </w:numPr>
        <w:spacing w:after="120" w:line="240" w:lineRule="auto"/>
        <w:ind w:left="1080" w:right="1440"/>
      </w:pPr>
      <w:r w:rsidRPr="001040A4">
        <w:lastRenderedPageBreak/>
        <w:t>Proposals should identify the most promising near-term opportunities to promote low-emissions heating technologies.</w:t>
      </w:r>
    </w:p>
    <w:p w14:paraId="3675D8BE" w14:textId="5B47E038" w:rsidR="00B64ED9" w:rsidRPr="001040A4" w:rsidRDefault="00CE2D63" w:rsidP="000F18C5">
      <w:pPr>
        <w:pStyle w:val="Standard"/>
        <w:numPr>
          <w:ilvl w:val="0"/>
          <w:numId w:val="16"/>
        </w:numPr>
        <w:spacing w:after="120" w:line="240" w:lineRule="auto"/>
        <w:ind w:left="1080" w:right="1440"/>
      </w:pPr>
      <w:r>
        <w:t>Bidder</w:t>
      </w:r>
      <w:r w:rsidR="00E33E3F">
        <w:t>s</w:t>
      </w:r>
      <w:r>
        <w:t xml:space="preserve"> should include</w:t>
      </w:r>
      <w:r w:rsidR="00B64ED9" w:rsidRPr="001040A4">
        <w:t xml:space="preserve"> a market study that examines the state of the market and </w:t>
      </w:r>
      <w:r w:rsidR="00A649E5">
        <w:t xml:space="preserve">identifies </w:t>
      </w:r>
      <w:r w:rsidR="00B64ED9" w:rsidRPr="001040A4">
        <w:t>the</w:t>
      </w:r>
      <w:r w:rsidR="00A649E5">
        <w:t xml:space="preserve"> </w:t>
      </w:r>
      <w:r w:rsidR="00B64ED9" w:rsidRPr="001040A4">
        <w:t>optimal market opportunities.</w:t>
      </w:r>
    </w:p>
    <w:p w14:paraId="074CC719" w14:textId="0780F5ED" w:rsidR="00B64ED9" w:rsidRPr="001040A4" w:rsidRDefault="00B64ED9" w:rsidP="000F18C5">
      <w:pPr>
        <w:pStyle w:val="Standard"/>
        <w:numPr>
          <w:ilvl w:val="0"/>
          <w:numId w:val="16"/>
        </w:numPr>
        <w:spacing w:after="120" w:line="240" w:lineRule="auto"/>
        <w:ind w:left="1080" w:right="1440"/>
      </w:pPr>
      <w:r w:rsidRPr="001040A4">
        <w:t>Proposal</w:t>
      </w:r>
      <w:r w:rsidR="00950166">
        <w:t>s</w:t>
      </w:r>
      <w:r w:rsidRPr="001040A4">
        <w:t xml:space="preserve"> should detail a plan for data collection, reporting</w:t>
      </w:r>
      <w:r w:rsidR="0053147B">
        <w:t xml:space="preserve"> </w:t>
      </w:r>
      <w:r w:rsidRPr="001040A4">
        <w:t xml:space="preserve">and interfacing with an independent evaluator. </w:t>
      </w:r>
    </w:p>
    <w:p w14:paraId="7E2EAF45" w14:textId="796731D4" w:rsidR="005F3A73" w:rsidRDefault="00B64ED9" w:rsidP="000F18C5">
      <w:pPr>
        <w:pStyle w:val="Standard"/>
        <w:numPr>
          <w:ilvl w:val="0"/>
          <w:numId w:val="16"/>
        </w:numPr>
        <w:spacing w:after="120" w:line="240" w:lineRule="auto"/>
        <w:ind w:left="1080" w:right="1440"/>
      </w:pPr>
      <w:r w:rsidRPr="001040A4">
        <w:t xml:space="preserve">Proposals should describe the bidders’ strategy and preliminary logic model for </w:t>
      </w:r>
      <w:r>
        <w:t xml:space="preserve">how the initial pilot programs could eventually help </w:t>
      </w:r>
      <w:r w:rsidRPr="001040A4">
        <w:t>transform the market.</w:t>
      </w:r>
    </w:p>
    <w:p w14:paraId="7D575D14" w14:textId="026F3527" w:rsidR="00950166" w:rsidRPr="001040A4" w:rsidRDefault="00950166" w:rsidP="005F3A73">
      <w:pPr>
        <w:pStyle w:val="Standard"/>
        <w:numPr>
          <w:ilvl w:val="0"/>
          <w:numId w:val="16"/>
        </w:numPr>
        <w:spacing w:after="120" w:line="240" w:lineRule="auto"/>
        <w:ind w:left="1080" w:right="1440"/>
      </w:pPr>
      <w:r w:rsidRPr="001040A4">
        <w:t xml:space="preserve">Proposals should provide a budget that ties program spending to the logic model. </w:t>
      </w:r>
      <w:r>
        <w:t xml:space="preserve"> </w:t>
      </w:r>
      <w:r w:rsidRPr="001040A4">
        <w:t>In other words, bidder</w:t>
      </w:r>
      <w:r>
        <w:t>s</w:t>
      </w:r>
      <w:r w:rsidRPr="001040A4">
        <w:t xml:space="preserve"> should describe how each item in the budget contributes to program outputs and outcomes.</w:t>
      </w:r>
    </w:p>
    <w:p w14:paraId="092D6E3B" w14:textId="39638E03" w:rsidR="00A45B60" w:rsidRDefault="00B64ED9" w:rsidP="000F18C5">
      <w:pPr>
        <w:pStyle w:val="Standard"/>
        <w:numPr>
          <w:ilvl w:val="0"/>
          <w:numId w:val="16"/>
        </w:numPr>
        <w:spacing w:after="120" w:line="240" w:lineRule="auto"/>
        <w:ind w:left="1080" w:right="1440"/>
      </w:pPr>
      <w:r w:rsidRPr="001040A4">
        <w:t xml:space="preserve">Proposals should demonstrate that the proposed strategy or </w:t>
      </w:r>
      <w:r w:rsidR="006C5E96">
        <w:t>tactics</w:t>
      </w:r>
      <w:r w:rsidR="006C5E96">
        <w:rPr>
          <w:rStyle w:val="FootnoteReference"/>
        </w:rPr>
        <w:footnoteReference w:id="216"/>
      </w:r>
      <w:r w:rsidR="006C5E96">
        <w:t xml:space="preserve"> </w:t>
      </w:r>
      <w:r w:rsidRPr="001040A4">
        <w:t xml:space="preserve">can feasibly be implemented within the budget allocated for </w:t>
      </w:r>
      <w:r w:rsidR="00950166">
        <w:t xml:space="preserve">the </w:t>
      </w:r>
      <w:r w:rsidRPr="001040A4">
        <w:t>TECH</w:t>
      </w:r>
      <w:r w:rsidR="00950166">
        <w:t xml:space="preserve"> Initiative</w:t>
      </w:r>
      <w:r w:rsidRPr="001040A4">
        <w:t>.</w:t>
      </w:r>
    </w:p>
    <w:p w14:paraId="2B9FE457" w14:textId="3CEF9643" w:rsidR="00950166" w:rsidRPr="00A45B60" w:rsidRDefault="00950166" w:rsidP="00A45B60">
      <w:pPr>
        <w:pStyle w:val="Standard"/>
        <w:numPr>
          <w:ilvl w:val="0"/>
          <w:numId w:val="16"/>
        </w:numPr>
        <w:spacing w:after="120" w:line="240" w:lineRule="auto"/>
        <w:ind w:left="1080" w:right="1440"/>
        <w:rPr>
          <w:szCs w:val="26"/>
        </w:rPr>
      </w:pPr>
      <w:r w:rsidRPr="00A45B60">
        <w:rPr>
          <w:szCs w:val="26"/>
        </w:rPr>
        <w:t>Proposals should demonstrate a targeted, regional approach</w:t>
      </w:r>
      <w:r w:rsidR="00CE2D63">
        <w:rPr>
          <w:szCs w:val="26"/>
        </w:rPr>
        <w:t>, especially with regard to workforce training</w:t>
      </w:r>
      <w:r w:rsidRPr="00A45B60">
        <w:rPr>
          <w:szCs w:val="26"/>
        </w:rPr>
        <w:t>.  We recognize that the budget for the TECH Initiative does not allow for a broad, statewide approach.  As detailed above, funds spent shall be proportionally directed to the gas corporation service territories where the funds are derived.</w:t>
      </w:r>
    </w:p>
    <w:p w14:paraId="1B3AB286" w14:textId="7675E178" w:rsidR="00B64ED9" w:rsidRPr="00B31E72" w:rsidRDefault="008F0051" w:rsidP="000F18C5">
      <w:pPr>
        <w:pStyle w:val="ListParagraph"/>
        <w:numPr>
          <w:ilvl w:val="0"/>
          <w:numId w:val="16"/>
        </w:numPr>
        <w:spacing w:after="120" w:line="240" w:lineRule="auto"/>
        <w:ind w:left="1080" w:right="1440"/>
        <w:contextualSpacing w:val="0"/>
        <w:rPr>
          <w:szCs w:val="26"/>
        </w:rPr>
      </w:pPr>
      <w:r>
        <w:rPr>
          <w:szCs w:val="26"/>
        </w:rPr>
        <w:t>Proposals should consider activities to evaluate the region impacted by the Aliso Canyon gas leak.</w:t>
      </w:r>
      <w:r w:rsidR="00950166">
        <w:rPr>
          <w:rStyle w:val="FootnoteReference"/>
          <w:szCs w:val="26"/>
        </w:rPr>
        <w:footnoteReference w:id="217"/>
      </w:r>
    </w:p>
    <w:p w14:paraId="35DF7AFF" w14:textId="77777777" w:rsidR="00B64ED9" w:rsidRPr="001040A4" w:rsidRDefault="00B64ED9" w:rsidP="000F18C5">
      <w:pPr>
        <w:pStyle w:val="Standard"/>
        <w:numPr>
          <w:ilvl w:val="0"/>
          <w:numId w:val="16"/>
        </w:numPr>
        <w:spacing w:after="120" w:line="240" w:lineRule="auto"/>
        <w:ind w:left="1080" w:right="1440"/>
      </w:pPr>
      <w:r w:rsidRPr="001040A4">
        <w:t>Proposals should identify the likely obstacles to success and discuss strategies for overcoming or mitigating those obstacles.</w:t>
      </w:r>
    </w:p>
    <w:p w14:paraId="65C1203F" w14:textId="747AB8C7" w:rsidR="00B64ED9" w:rsidRDefault="00B64ED9" w:rsidP="00B64ED9">
      <w:pPr>
        <w:pStyle w:val="Standard"/>
      </w:pPr>
      <w:r>
        <w:lastRenderedPageBreak/>
        <w:t xml:space="preserve">Under the model we adopt here, the organizational structure for the TECH </w:t>
      </w:r>
      <w:r w:rsidR="00847700">
        <w:t>I</w:t>
      </w:r>
      <w:r>
        <w:t xml:space="preserve">nitiative shall have five actors: </w:t>
      </w:r>
    </w:p>
    <w:p w14:paraId="3CFF0181" w14:textId="07423136" w:rsidR="00B64ED9" w:rsidRDefault="00B64ED9" w:rsidP="00C27643">
      <w:pPr>
        <w:pStyle w:val="Standard"/>
        <w:numPr>
          <w:ilvl w:val="0"/>
          <w:numId w:val="41"/>
        </w:numPr>
        <w:spacing w:after="120" w:line="240" w:lineRule="auto"/>
        <w:ind w:right="1440"/>
      </w:pPr>
      <w:r>
        <w:rPr>
          <w:u w:val="single"/>
        </w:rPr>
        <w:t>Contracting A</w:t>
      </w:r>
      <w:r w:rsidRPr="00BC730B">
        <w:rPr>
          <w:u w:val="single"/>
        </w:rPr>
        <w:t>gent</w:t>
      </w:r>
      <w:r>
        <w:t>:</w:t>
      </w:r>
      <w:r w:rsidR="00811A35">
        <w:t xml:space="preserve"> </w:t>
      </w:r>
      <w:r>
        <w:t xml:space="preserve"> hold the contract, provide fiscal support for collection and disbursal of funds, and will facilitate RFP process for the program implementer and evaluator;</w:t>
      </w:r>
    </w:p>
    <w:p w14:paraId="23A9E9AD" w14:textId="6F719B8F" w:rsidR="00B64ED9" w:rsidRDefault="00B64ED9" w:rsidP="00C27643">
      <w:pPr>
        <w:pStyle w:val="Standard"/>
        <w:numPr>
          <w:ilvl w:val="0"/>
          <w:numId w:val="41"/>
        </w:numPr>
        <w:spacing w:after="120" w:line="240" w:lineRule="auto"/>
        <w:ind w:right="1440"/>
      </w:pPr>
      <w:r w:rsidRPr="00BC730B">
        <w:rPr>
          <w:u w:val="single"/>
        </w:rPr>
        <w:t>CPUC</w:t>
      </w:r>
      <w:r w:rsidRPr="00BC730B">
        <w:t>:</w:t>
      </w:r>
      <w:r w:rsidR="00735ED1">
        <w:t xml:space="preserve"> </w:t>
      </w:r>
      <w:r w:rsidRPr="00BC730B">
        <w:t xml:space="preserve"> </w:t>
      </w:r>
      <w:r w:rsidR="004972F8">
        <w:t xml:space="preserve">Facilitate the stakeholder process and </w:t>
      </w:r>
      <w:r>
        <w:t>provide oversight and management of implementer</w:t>
      </w:r>
      <w:r w:rsidR="00D237CE">
        <w:t xml:space="preserve"> and</w:t>
      </w:r>
      <w:r>
        <w:t xml:space="preserve"> evaluator</w:t>
      </w:r>
      <w:r w:rsidR="004972F8">
        <w:t>;</w:t>
      </w:r>
      <w:r>
        <w:t xml:space="preserve"> </w:t>
      </w:r>
    </w:p>
    <w:p w14:paraId="002286BA" w14:textId="685E9E40" w:rsidR="00B64ED9" w:rsidRDefault="00B64ED9" w:rsidP="00C27643">
      <w:pPr>
        <w:pStyle w:val="Standard"/>
        <w:numPr>
          <w:ilvl w:val="0"/>
          <w:numId w:val="41"/>
        </w:numPr>
        <w:spacing w:after="120" w:line="240" w:lineRule="auto"/>
        <w:ind w:right="1440"/>
      </w:pPr>
      <w:r>
        <w:rPr>
          <w:u w:val="single"/>
        </w:rPr>
        <w:t>I</w:t>
      </w:r>
      <w:r w:rsidRPr="00BC730B">
        <w:rPr>
          <w:u w:val="single"/>
        </w:rPr>
        <w:t>mplementer</w:t>
      </w:r>
      <w:r>
        <w:t>:</w:t>
      </w:r>
      <w:r w:rsidR="00735ED1">
        <w:t xml:space="preserve"> </w:t>
      </w:r>
      <w:r>
        <w:t xml:space="preserve"> will plan for, execute, and implement the TECH initiative and has the largest and most significant role of the five actors;</w:t>
      </w:r>
    </w:p>
    <w:p w14:paraId="12B5435E" w14:textId="10E9DA17" w:rsidR="00B64ED9" w:rsidRDefault="00B64ED9" w:rsidP="00C27643">
      <w:pPr>
        <w:pStyle w:val="Standard"/>
        <w:numPr>
          <w:ilvl w:val="0"/>
          <w:numId w:val="41"/>
        </w:numPr>
        <w:spacing w:after="120" w:line="240" w:lineRule="auto"/>
        <w:ind w:right="1440"/>
      </w:pPr>
      <w:r>
        <w:rPr>
          <w:u w:val="single"/>
        </w:rPr>
        <w:t xml:space="preserve">Program </w:t>
      </w:r>
      <w:r w:rsidR="007864B8">
        <w:rPr>
          <w:u w:val="single"/>
        </w:rPr>
        <w:t>e</w:t>
      </w:r>
      <w:r w:rsidRPr="00BC730B">
        <w:rPr>
          <w:u w:val="single"/>
        </w:rPr>
        <w:t>valuator</w:t>
      </w:r>
      <w:r>
        <w:t xml:space="preserve">: </w:t>
      </w:r>
      <w:r w:rsidR="00735ED1">
        <w:t xml:space="preserve"> </w:t>
      </w:r>
      <w:r>
        <w:t xml:space="preserve">evaluate </w:t>
      </w:r>
      <w:r w:rsidR="007864B8">
        <w:t>TECH Initiative</w:t>
      </w:r>
      <w:r>
        <w:t xml:space="preserve"> performance pursuant </w:t>
      </w:r>
      <w:r w:rsidR="007864B8">
        <w:t>to program metrics</w:t>
      </w:r>
      <w:r>
        <w:t>;</w:t>
      </w:r>
      <w:r w:rsidR="00811A35">
        <w:t xml:space="preserve"> and</w:t>
      </w:r>
    </w:p>
    <w:p w14:paraId="718C1D1C" w14:textId="766059DA" w:rsidR="00B64ED9" w:rsidRDefault="00B64ED9" w:rsidP="00C27643">
      <w:pPr>
        <w:pStyle w:val="Standard"/>
        <w:numPr>
          <w:ilvl w:val="0"/>
          <w:numId w:val="41"/>
        </w:numPr>
        <w:spacing w:after="120" w:line="240" w:lineRule="auto"/>
        <w:ind w:right="1440"/>
      </w:pPr>
      <w:r w:rsidRPr="00BC730B">
        <w:rPr>
          <w:u w:val="single"/>
        </w:rPr>
        <w:t>Stakeholders</w:t>
      </w:r>
      <w:r>
        <w:t xml:space="preserve"> –</w:t>
      </w:r>
      <w:r w:rsidR="00735ED1">
        <w:t xml:space="preserve"> </w:t>
      </w:r>
      <w:r>
        <w:t xml:space="preserve">provide program input </w:t>
      </w:r>
      <w:r w:rsidR="00DB7BD9">
        <w:t>during</w:t>
      </w:r>
      <w:r>
        <w:t xml:space="preserve"> facilitation.  </w:t>
      </w:r>
    </w:p>
    <w:p w14:paraId="7E789ECB" w14:textId="7469A745" w:rsidR="00A96D44" w:rsidRDefault="00A96D44" w:rsidP="00A96D44">
      <w:pPr>
        <w:pStyle w:val="Standard"/>
      </w:pPr>
      <w:r w:rsidRPr="009B5516">
        <w:t xml:space="preserve">This </w:t>
      </w:r>
      <w:r>
        <w:t>model</w:t>
      </w:r>
      <w:r w:rsidRPr="009B5516">
        <w:t xml:space="preserve"> leaves the details of running the TECH Initiative to the implementer while providing for oversight by the Commission and allowing the CEC and stakeholders to provide collaborative input and advice.</w:t>
      </w:r>
      <w:r>
        <w:t xml:space="preserve">  </w:t>
      </w:r>
      <w:r w:rsidR="00DB7BD9">
        <w:t>A</w:t>
      </w:r>
      <w:r w:rsidR="00DB7BD9" w:rsidRPr="00466BE0">
        <w:t xml:space="preserve">s </w:t>
      </w:r>
      <w:r w:rsidR="00DB7BD9">
        <w:t xml:space="preserve">the </w:t>
      </w:r>
      <w:r w:rsidR="00DB7BD9" w:rsidRPr="00466BE0">
        <w:t xml:space="preserve">TECH </w:t>
      </w:r>
      <w:r w:rsidR="00DB7BD9">
        <w:t xml:space="preserve">Initiative </w:t>
      </w:r>
      <w:r w:rsidR="00DB7BD9" w:rsidRPr="00466BE0">
        <w:t xml:space="preserve">is intended to test and model unique approaches to building decarbonization, the </w:t>
      </w:r>
      <w:r w:rsidR="00DB7BD9">
        <w:t>implementer</w:t>
      </w:r>
      <w:r w:rsidR="00DB7BD9" w:rsidRPr="00466BE0">
        <w:t xml:space="preserve"> may be a single, leading contractor working with sub-contractors</w:t>
      </w:r>
      <w:r w:rsidR="00DB7BD9">
        <w:t xml:space="preserve">.  </w:t>
      </w:r>
      <w:r w:rsidR="00DB7BD9" w:rsidRPr="00466BE0">
        <w:t xml:space="preserve">The implementer will be required to facilitate, at minimum, quarterly, in-person stakeholder meetings, to be noticed to all parties to this proceeding. </w:t>
      </w:r>
      <w:r w:rsidR="00DB7BD9">
        <w:t xml:space="preserve"> These meetings shall be </w:t>
      </w:r>
      <w:r w:rsidR="008E113C">
        <w:t>public,</w:t>
      </w:r>
      <w:r w:rsidR="00DB7BD9">
        <w:t xml:space="preserve"> and the implementer shall collaborate with Energy Division to ensure public access to these meetings.</w:t>
      </w:r>
    </w:p>
    <w:p w14:paraId="34A5F813" w14:textId="6B88BF37" w:rsidR="00B64ED9" w:rsidRDefault="00B64ED9" w:rsidP="00A96D44">
      <w:pPr>
        <w:pStyle w:val="Standard"/>
      </w:pPr>
      <w:r>
        <w:t>The contracting agent is the entity that holds the contract and manages the balancing account that pays the implementer.  The TECH</w:t>
      </w:r>
      <w:r w:rsidR="00A96D44">
        <w:t xml:space="preserve"> Initiative</w:t>
      </w:r>
      <w:r>
        <w:t xml:space="preserve"> implementer shall be the entity that wins the RFP to implement and execute the program. </w:t>
      </w:r>
    </w:p>
    <w:p w14:paraId="5E2AC545" w14:textId="3B6759AB" w:rsidR="00B64ED9" w:rsidRDefault="00B64ED9" w:rsidP="00B64ED9">
      <w:pPr>
        <w:pStyle w:val="Standard"/>
      </w:pPr>
      <w:r>
        <w:lastRenderedPageBreak/>
        <w:t xml:space="preserve">The </w:t>
      </w:r>
      <w:r w:rsidR="00A96D44">
        <w:t>Commission</w:t>
      </w:r>
      <w:r>
        <w:t xml:space="preserve">, in this decision, selects a utility to act as the contracting agent, </w:t>
      </w:r>
      <w:r w:rsidR="00877710">
        <w:t xml:space="preserve">and delegates authority to </w:t>
      </w:r>
      <w:r>
        <w:t xml:space="preserve">Energy Division </w:t>
      </w:r>
      <w:r w:rsidR="00877710">
        <w:t xml:space="preserve">to </w:t>
      </w:r>
      <w:r>
        <w:t xml:space="preserve">have the lead role in confidentially evaluating bids, and managing a process to select the winning bidder.  This is analogous to the process established to select the statewide marketing and outreach administrators for the Energy Upgrade </w:t>
      </w:r>
      <w:r w:rsidRPr="00B31E72">
        <w:t xml:space="preserve">California program </w:t>
      </w:r>
      <w:r w:rsidR="000900F1">
        <w:t>established in</w:t>
      </w:r>
      <w:r>
        <w:t xml:space="preserve"> D.16-03-029 (</w:t>
      </w:r>
      <w:r w:rsidRPr="00AB73E3">
        <w:rPr>
          <w:i/>
          <w:iCs/>
        </w:rPr>
        <w:t>i.e.</w:t>
      </w:r>
      <w:r w:rsidR="000900F1">
        <w:rPr>
          <w:i/>
          <w:iCs/>
        </w:rPr>
        <w:t>,</w:t>
      </w:r>
      <w:r>
        <w:t xml:space="preserve"> a scoring panel of experts will be convened among stakeholders with no financial interest in the outcome to assist in scoring proposals).  </w:t>
      </w:r>
    </w:p>
    <w:p w14:paraId="29DED623" w14:textId="36F38D01" w:rsidR="00B64ED9" w:rsidRDefault="00B64ED9" w:rsidP="00B64ED9">
      <w:pPr>
        <w:pStyle w:val="Standard"/>
      </w:pPr>
      <w:r>
        <w:t xml:space="preserve">Under </w:t>
      </w:r>
      <w:r w:rsidR="00A96D44">
        <w:t>the adopted model</w:t>
      </w:r>
      <w:r>
        <w:t xml:space="preserve">, </w:t>
      </w:r>
      <w:r w:rsidR="00A96D44">
        <w:t>w</w:t>
      </w:r>
      <w:r>
        <w:t xml:space="preserve">e select SCE to carry out </w:t>
      </w:r>
      <w:r w:rsidR="00CE2D63">
        <w:t xml:space="preserve">contracting agent </w:t>
      </w:r>
      <w:r>
        <w:t>responsibilities</w:t>
      </w:r>
      <w:r w:rsidR="00A96D44">
        <w:t>. SCE</w:t>
      </w:r>
      <w:r>
        <w:t xml:space="preserve"> has experience with administering similar programs (</w:t>
      </w:r>
      <w:r w:rsidRPr="002D680F">
        <w:rPr>
          <w:i/>
          <w:iCs/>
        </w:rPr>
        <w:t>i.e.,</w:t>
      </w:r>
      <w:r>
        <w:t xml:space="preserve"> the Solar on Multifamily Affordable Housing program and several statewide energy efficiency programs).</w:t>
      </w:r>
      <w:r w:rsidR="000E6858">
        <w:t xml:space="preserve"> </w:t>
      </w:r>
      <w:r>
        <w:t xml:space="preserve"> </w:t>
      </w:r>
      <w:r w:rsidR="00CE2D63">
        <w:t xml:space="preserve">SCE shall file a Tier 1 advice letter with Energy Division within 15 days of the date of the approval of this decision </w:t>
      </w:r>
      <w:r w:rsidR="00C27643">
        <w:t xml:space="preserve">open a balancing account </w:t>
      </w:r>
      <w:r w:rsidR="00CE2D63">
        <w:t xml:space="preserve">to track costs associated with performing the functions required of the contracting agent.  </w:t>
      </w:r>
      <w:r>
        <w:t xml:space="preserve">SCE shall book all costs associated with performing the functions required of the </w:t>
      </w:r>
      <w:r w:rsidR="00CE2D63">
        <w:t>c</w:t>
      </w:r>
      <w:r>
        <w:t xml:space="preserve">ontracting </w:t>
      </w:r>
      <w:r w:rsidR="00CE2D63">
        <w:t>a</w:t>
      </w:r>
      <w:r>
        <w:t xml:space="preserve">gent to </w:t>
      </w:r>
      <w:r w:rsidR="00CE2D63">
        <w:t>the</w:t>
      </w:r>
      <w:r>
        <w:t xml:space="preserve"> new balancing account and shall be entitled to no more than one percent of TECH Initiative funding</w:t>
      </w:r>
      <w:r w:rsidR="00A96D44">
        <w:t xml:space="preserve">, with </w:t>
      </w:r>
      <w:r w:rsidR="003A6366">
        <w:t xml:space="preserve">cost recovery </w:t>
      </w:r>
      <w:r w:rsidR="0004658A">
        <w:t>subject to a true-up based</w:t>
      </w:r>
      <w:r w:rsidR="00A96D44">
        <w:t xml:space="preserve"> on actual costs accrued and </w:t>
      </w:r>
      <w:r w:rsidR="00FB50E7">
        <w:t xml:space="preserve">to a </w:t>
      </w:r>
      <w:r w:rsidR="00A96D44">
        <w:t xml:space="preserve">final verification by </w:t>
      </w:r>
      <w:r w:rsidR="00CE2D63">
        <w:t xml:space="preserve">Energy Division </w:t>
      </w:r>
      <w:r w:rsidR="00A96D44">
        <w:t>staff.</w:t>
      </w:r>
      <w:r>
        <w:t xml:space="preserve"> </w:t>
      </w:r>
      <w:r w:rsidR="000E6858">
        <w:t xml:space="preserve"> </w:t>
      </w:r>
      <w:r>
        <w:t>All bidders and potential bidders must direct all communications and questions about the solicitation to SCE.  Bids will be confidential as public bidding may reveal trade secrets.</w:t>
      </w:r>
    </w:p>
    <w:p w14:paraId="2E45764E" w14:textId="38751E3B" w:rsidR="00941D6D" w:rsidRDefault="00941D6D" w:rsidP="00941D6D">
      <w:pPr>
        <w:rPr>
          <w:bCs/>
        </w:rPr>
      </w:pPr>
      <w:r>
        <w:rPr>
          <w:bCs/>
        </w:rPr>
        <w:t xml:space="preserve">Upon approval of this decision, we direct the Energy Division to draft a formal RFP.  Energy Division shall collaborate with SCE, the designated contracting agent, to ensure that the RFP complies </w:t>
      </w:r>
      <w:r w:rsidRPr="00FC4CF9">
        <w:rPr>
          <w:bCs/>
        </w:rPr>
        <w:t xml:space="preserve">with all necessary procurement rules, to develop RFP scoring criteria, to post to a procurement </w:t>
      </w:r>
      <w:r w:rsidRPr="00FC4CF9">
        <w:rPr>
          <w:bCs/>
        </w:rPr>
        <w:lastRenderedPageBreak/>
        <w:t>website</w:t>
      </w:r>
      <w:r w:rsidR="001435F5">
        <w:rPr>
          <w:bCs/>
        </w:rPr>
        <w:t>,</w:t>
      </w:r>
      <w:r w:rsidRPr="00FC4CF9">
        <w:rPr>
          <w:rStyle w:val="FootnoteReference"/>
          <w:bCs/>
        </w:rPr>
        <w:footnoteReference w:id="218"/>
      </w:r>
      <w:r w:rsidRPr="00FC4CF9">
        <w:rPr>
          <w:bCs/>
        </w:rPr>
        <w:t xml:space="preserve"> and to publicize the RFP to a qualified pool of contractors.</w:t>
      </w:r>
      <w:r>
        <w:rPr>
          <w:bCs/>
        </w:rPr>
        <w:t xml:space="preserve">  </w:t>
      </w:r>
      <w:r w:rsidRPr="00FC4CF9">
        <w:rPr>
          <w:bCs/>
        </w:rPr>
        <w:t xml:space="preserve">Bids and the scoring of bids </w:t>
      </w:r>
      <w:r>
        <w:rPr>
          <w:bCs/>
        </w:rPr>
        <w:t>shall be</w:t>
      </w:r>
      <w:r w:rsidRPr="00FC4CF9">
        <w:rPr>
          <w:bCs/>
        </w:rPr>
        <w:t xml:space="preserve"> designated as confidential, market-sensitive information pursuant to D.06-</w:t>
      </w:r>
      <w:r w:rsidR="001435F5">
        <w:rPr>
          <w:bCs/>
        </w:rPr>
        <w:noBreakHyphen/>
      </w:r>
      <w:r w:rsidRPr="00FC4CF9">
        <w:rPr>
          <w:bCs/>
        </w:rPr>
        <w:t>06</w:t>
      </w:r>
      <w:r w:rsidR="001435F5">
        <w:rPr>
          <w:bCs/>
        </w:rPr>
        <w:noBreakHyphen/>
      </w:r>
      <w:r w:rsidRPr="00FC4CF9">
        <w:rPr>
          <w:bCs/>
        </w:rPr>
        <w:t>066.</w:t>
      </w:r>
      <w:r w:rsidRPr="00FC4CF9">
        <w:rPr>
          <w:rStyle w:val="FootnoteReference"/>
          <w:bCs/>
        </w:rPr>
        <w:footnoteReference w:id="219"/>
      </w:r>
    </w:p>
    <w:p w14:paraId="440BA4C9" w14:textId="53E0F210" w:rsidR="00941D6D" w:rsidRDefault="00C27643" w:rsidP="00941D6D">
      <w:r>
        <w:rPr>
          <w:bCs/>
        </w:rPr>
        <w:t>Additionally, upon approval of this decision,</w:t>
      </w:r>
      <w:r w:rsidR="00A96D44">
        <w:rPr>
          <w:bCs/>
        </w:rPr>
        <w:t xml:space="preserve"> </w:t>
      </w:r>
      <w:r w:rsidR="00941D6D">
        <w:rPr>
          <w:bCs/>
        </w:rPr>
        <w:t>we direct Energy Division to convene a T</w:t>
      </w:r>
      <w:r w:rsidR="00A96D44">
        <w:rPr>
          <w:bCs/>
        </w:rPr>
        <w:t xml:space="preserve">ECH </w:t>
      </w:r>
      <w:r w:rsidR="00941D6D">
        <w:rPr>
          <w:bCs/>
        </w:rPr>
        <w:t xml:space="preserve">Initiative Scoring Committee (Scoring Committee).  The purpose of the Scoring Committee </w:t>
      </w:r>
      <w:r w:rsidR="00A96D44">
        <w:rPr>
          <w:bCs/>
        </w:rPr>
        <w:t>is</w:t>
      </w:r>
      <w:r w:rsidR="00941D6D">
        <w:rPr>
          <w:bCs/>
        </w:rPr>
        <w:t xml:space="preserve"> to select the TECH Initiative implementer.  </w:t>
      </w:r>
      <w:r w:rsidR="00941D6D">
        <w:t xml:space="preserve">The Scoring Committee consists of the following </w:t>
      </w:r>
      <w:r w:rsidR="00A96D44">
        <w:t>nine</w:t>
      </w:r>
      <w:r w:rsidR="00941D6D">
        <w:t xml:space="preserve"> members:</w:t>
      </w:r>
    </w:p>
    <w:p w14:paraId="0DBD8F7C" w14:textId="305D1EF3" w:rsidR="00941D6D" w:rsidRDefault="00941D6D" w:rsidP="00816411">
      <w:pPr>
        <w:pStyle w:val="ListParagraph"/>
        <w:numPr>
          <w:ilvl w:val="0"/>
          <w:numId w:val="19"/>
        </w:numPr>
        <w:spacing w:after="120" w:line="240" w:lineRule="auto"/>
        <w:ind w:left="1080" w:right="1440"/>
        <w:contextualSpacing w:val="0"/>
      </w:pPr>
      <w:r>
        <w:t xml:space="preserve">One representative each from </w:t>
      </w:r>
      <w:r w:rsidR="00A96D44">
        <w:t>Energy Division</w:t>
      </w:r>
      <w:r>
        <w:t xml:space="preserve">, the CEC, and the </w:t>
      </w:r>
      <w:r w:rsidR="00C27643">
        <w:t>c</w:t>
      </w:r>
      <w:r>
        <w:t xml:space="preserve">ontracting </w:t>
      </w:r>
      <w:r w:rsidR="00C27643">
        <w:t>a</w:t>
      </w:r>
      <w:r>
        <w:t xml:space="preserve">gent. </w:t>
      </w:r>
    </w:p>
    <w:p w14:paraId="3C364111" w14:textId="13FFCB42" w:rsidR="00941D6D" w:rsidRDefault="00941D6D" w:rsidP="00816411">
      <w:pPr>
        <w:pStyle w:val="ListParagraph"/>
        <w:numPr>
          <w:ilvl w:val="0"/>
          <w:numId w:val="19"/>
        </w:numPr>
        <w:spacing w:after="120" w:line="240" w:lineRule="auto"/>
        <w:ind w:left="1080" w:right="1440"/>
        <w:contextualSpacing w:val="0"/>
      </w:pPr>
      <w:r>
        <w:t xml:space="preserve">Three market </w:t>
      </w:r>
      <w:r w:rsidR="00877710">
        <w:t xml:space="preserve">development </w:t>
      </w:r>
      <w:r>
        <w:t xml:space="preserve">experts, chosen by Energy Division. </w:t>
      </w:r>
    </w:p>
    <w:p w14:paraId="086B0BC9" w14:textId="64B7E1EC" w:rsidR="00941D6D" w:rsidRDefault="00941D6D" w:rsidP="00816411">
      <w:pPr>
        <w:pStyle w:val="ListParagraph"/>
        <w:numPr>
          <w:ilvl w:val="0"/>
          <w:numId w:val="19"/>
        </w:numPr>
        <w:spacing w:after="120" w:line="240" w:lineRule="auto"/>
        <w:ind w:left="1080" w:right="1440"/>
        <w:contextualSpacing w:val="0"/>
      </w:pPr>
      <w:r>
        <w:t>One representative each from three separate environmental or consumer public interest groups that are parties to R.19</w:t>
      </w:r>
      <w:r w:rsidR="009557DD">
        <w:noBreakHyphen/>
      </w:r>
      <w:r>
        <w:t>01-011, chosen by Energy Division.  Interested parties may submit to Energy Division a letter of interest, no longer than two pages, which explains their qualifications for being on the Scoring Committee.  Should Energy Division receive more than three letters of interest, staff will select the three they determine to be the most qualified.  Letters of interest are due to Energy Division no later than 14 days after the date of this decision</w:t>
      </w:r>
      <w:r w:rsidR="00DB5C35">
        <w:t xml:space="preserve"> i</w:t>
      </w:r>
      <w:r>
        <w:t>s adopt</w:t>
      </w:r>
      <w:r w:rsidR="00DB5C35">
        <w:t>ed</w:t>
      </w:r>
      <w:r>
        <w:t xml:space="preserve">. </w:t>
      </w:r>
      <w:r w:rsidR="00500439" w:rsidRPr="00500439">
        <w:t>For the time and resources spent on Scoring Committee activity, qualifying public interest groups may claim intervenor compensation per the rules in Public Utilities Code 1801 – 1812.</w:t>
      </w:r>
    </w:p>
    <w:p w14:paraId="7D6300DC" w14:textId="77777777" w:rsidR="00500439" w:rsidRPr="005D42B2" w:rsidRDefault="00500439" w:rsidP="00500439">
      <w:pPr>
        <w:pStyle w:val="ListParagraph"/>
        <w:spacing w:after="120" w:line="240" w:lineRule="auto"/>
        <w:ind w:left="1080" w:right="1440" w:firstLine="0"/>
        <w:contextualSpacing w:val="0"/>
        <w:rPr>
          <w:sz w:val="12"/>
          <w:szCs w:val="12"/>
        </w:rPr>
      </w:pPr>
    </w:p>
    <w:p w14:paraId="33893902" w14:textId="08BAA4BC" w:rsidR="00C27643" w:rsidRPr="00C27643" w:rsidRDefault="00C27643" w:rsidP="00C27643">
      <w:pPr>
        <w:rPr>
          <w:rFonts w:ascii="Times New Roman" w:hAnsi="Times New Roman" w:cs="Times New Roman"/>
          <w:sz w:val="24"/>
          <w:szCs w:val="24"/>
        </w:rPr>
      </w:pPr>
      <w:r>
        <w:t xml:space="preserve">Participation in the Scoring Committee will assist the commission and therefore constitutes a contribution to a proceeding of the Commission.  The Commission shall award intervenor compensation to any participant in the </w:t>
      </w:r>
      <w:r>
        <w:lastRenderedPageBreak/>
        <w:t>Scoring Committee who makes a substantial contribution to the work of the Scoring Committee and meets all other requirements of the rules and statutes governing intervenor compensation. All members of the Scoring Committee must be financially disinterested.</w:t>
      </w:r>
      <w:r>
        <w:rPr>
          <w:rStyle w:val="FootnoteReference"/>
        </w:rPr>
        <w:footnoteReference w:id="220"/>
      </w:r>
    </w:p>
    <w:p w14:paraId="515F62AC" w14:textId="4E608C76" w:rsidR="00941D6D" w:rsidRDefault="00C27643" w:rsidP="00941D6D">
      <w:r>
        <w:t xml:space="preserve">The contracting agent, at the direction of Energy Division staff, shall issue the RFP using the contracting agent’s solicitation portal.  </w:t>
      </w:r>
      <w:r w:rsidR="00941D6D">
        <w:t xml:space="preserve">Once the RFP is issued, bidders have eight weeks to submit responses to the </w:t>
      </w:r>
      <w:r>
        <w:t>c</w:t>
      </w:r>
      <w:r w:rsidR="00941D6D">
        <w:t xml:space="preserve">ontracting </w:t>
      </w:r>
      <w:r>
        <w:t>a</w:t>
      </w:r>
      <w:r w:rsidR="00941D6D">
        <w:t xml:space="preserve">gent.  Bids are kept confidential and communications between bidders and members of the Scoring Committee are prohibited in order to protect confidential information. </w:t>
      </w:r>
    </w:p>
    <w:p w14:paraId="522FEF6B" w14:textId="027A9475" w:rsidR="00941D6D" w:rsidRDefault="00941D6D" w:rsidP="00941D6D">
      <w:r>
        <w:t xml:space="preserve">The Scoring Committee shall evaluate bids using the pre-established RFP scoring criteria and exercising professional judgment.  The Scoring Committee may request interviews or presentations with finalists.  The Scoring Committee shall </w:t>
      </w:r>
      <w:r w:rsidR="00A96D44">
        <w:t>recommend the preferred choice</w:t>
      </w:r>
      <w:r>
        <w:t>.  We direct Energy Division to make the final decision on the winning bid and</w:t>
      </w:r>
      <w:r w:rsidR="006C790B">
        <w:t>,</w:t>
      </w:r>
      <w:r>
        <w:t xml:space="preserve"> </w:t>
      </w:r>
      <w:r w:rsidR="00524F53">
        <w:t>subsequent</w:t>
      </w:r>
      <w:r w:rsidR="003F12CB">
        <w:t>l</w:t>
      </w:r>
      <w:r w:rsidR="00524F53">
        <w:t>y</w:t>
      </w:r>
      <w:r>
        <w:t xml:space="preserve">, inform the winning bidder of its selection. </w:t>
      </w:r>
    </w:p>
    <w:p w14:paraId="16B671B4" w14:textId="018BCFD2" w:rsidR="00C9281E" w:rsidRDefault="00C27643" w:rsidP="000800F7">
      <w:r>
        <w:t xml:space="preserve">Once a bidder is selected by Energy Division, with input from the Scoring Committee, </w:t>
      </w:r>
      <w:r w:rsidR="00941D6D">
        <w:t>SCE, as the designated contracting agent, shall negotiate and sign a contract with the win</w:t>
      </w:r>
      <w:r w:rsidR="00A96D44">
        <w:t>ning bidder</w:t>
      </w:r>
      <w:r w:rsidR="00941D6D">
        <w:t xml:space="preserve"> .  </w:t>
      </w:r>
      <w:r w:rsidR="00941D6D" w:rsidRPr="00AA3254">
        <w:t xml:space="preserve">SCE </w:t>
      </w:r>
      <w:r w:rsidR="00941D6D">
        <w:t xml:space="preserve">shall </w:t>
      </w:r>
      <w:r w:rsidR="00941D6D" w:rsidRPr="00AA3254">
        <w:t xml:space="preserve">file a Tier </w:t>
      </w:r>
      <w:r w:rsidR="00CE2D63">
        <w:t>2</w:t>
      </w:r>
      <w:r w:rsidR="00941D6D" w:rsidRPr="00AA3254">
        <w:t xml:space="preserve"> </w:t>
      </w:r>
      <w:r w:rsidR="00941D6D">
        <w:t>a</w:t>
      </w:r>
      <w:r w:rsidR="00941D6D" w:rsidRPr="00AA3254">
        <w:t xml:space="preserve">dvice </w:t>
      </w:r>
      <w:r w:rsidR="00941D6D">
        <w:t>l</w:t>
      </w:r>
      <w:r w:rsidR="00941D6D" w:rsidRPr="00AA3254">
        <w:t xml:space="preserve">etter </w:t>
      </w:r>
      <w:r>
        <w:t>with the</w:t>
      </w:r>
      <w:r w:rsidR="00941D6D" w:rsidRPr="00AA3254">
        <w:t xml:space="preserve"> </w:t>
      </w:r>
      <w:r w:rsidR="00941D6D">
        <w:t>Commission</w:t>
      </w:r>
      <w:r>
        <w:t xml:space="preserve"> requesting formal</w:t>
      </w:r>
      <w:r w:rsidR="00941D6D">
        <w:t xml:space="preserve"> </w:t>
      </w:r>
      <w:r w:rsidR="00941D6D" w:rsidRPr="00AA3254">
        <w:t xml:space="preserve">approval of the contract.  </w:t>
      </w:r>
      <w:r w:rsidR="008F0C18">
        <w:t>Upon Energy Division’s approval, the contract shall be considered ratified.  I</w:t>
      </w:r>
      <w:r w:rsidR="008F0C18" w:rsidRPr="00A06C1F">
        <w:t xml:space="preserve">f final and non-appealable </w:t>
      </w:r>
      <w:r w:rsidR="008F0C18" w:rsidRPr="00A06C1F">
        <w:lastRenderedPageBreak/>
        <w:t>CPUC</w:t>
      </w:r>
      <w:r w:rsidR="008F0C18">
        <w:t xml:space="preserve"> </w:t>
      </w:r>
      <w:r w:rsidR="008F0C18" w:rsidRPr="00A06C1F">
        <w:t>approval is not obtained by a date</w:t>
      </w:r>
      <w:r w:rsidR="008F0C18">
        <w:t xml:space="preserve"> specified in the RFP</w:t>
      </w:r>
      <w:r w:rsidR="008F0C18" w:rsidRPr="00A06C1F">
        <w:t>,</w:t>
      </w:r>
      <w:r w:rsidR="008F0C18">
        <w:t xml:space="preserve"> </w:t>
      </w:r>
      <w:r w:rsidR="008F0C18" w:rsidRPr="00A06C1F">
        <w:t xml:space="preserve">the </w:t>
      </w:r>
      <w:r w:rsidR="008F0C18">
        <w:t xml:space="preserve">contracting </w:t>
      </w:r>
      <w:r w:rsidR="008F0C18" w:rsidRPr="00A06C1F">
        <w:t xml:space="preserve">parties will have a </w:t>
      </w:r>
      <w:r w:rsidR="00D27F45">
        <w:t>right to terminate the contract</w:t>
      </w:r>
      <w:r w:rsidR="002A0763">
        <w:t xml:space="preserve">. </w:t>
      </w:r>
      <w:r w:rsidR="00941D6D">
        <w:t>.</w:t>
      </w:r>
      <w:r w:rsidR="000800F7">
        <w:rPr>
          <w:rStyle w:val="FootnoteReference"/>
        </w:rPr>
        <w:footnoteReference w:id="221"/>
      </w:r>
      <w:r w:rsidR="00941D6D">
        <w:t xml:space="preserve"> </w:t>
      </w:r>
    </w:p>
    <w:p w14:paraId="2D3EC283" w14:textId="3F235D9F" w:rsidR="00CC5CF3" w:rsidRDefault="00AF013D" w:rsidP="00AF013D">
      <w:pPr>
        <w:pStyle w:val="Heading2"/>
      </w:pPr>
      <w:bookmarkStart w:id="64" w:name="_Toc32310271"/>
      <w:r>
        <w:t xml:space="preserve">TECH Initiative Market </w:t>
      </w:r>
      <w:r w:rsidR="00A96D44">
        <w:t>Development</w:t>
      </w:r>
      <w:r>
        <w:t xml:space="preserve"> Parameters</w:t>
      </w:r>
      <w:bookmarkEnd w:id="64"/>
    </w:p>
    <w:p w14:paraId="5BB8DBE1" w14:textId="1E7741D8" w:rsidR="00AF013D" w:rsidRDefault="00AF013D" w:rsidP="00AF013D">
      <w:pPr>
        <w:pStyle w:val="Standard"/>
      </w:pPr>
      <w:r>
        <w:t>Section 922(a)(1) requires the TECH Initiative to advance the state’s market for low-emission space and water heating equipment for new and existing buildings through consumer education, contractor</w:t>
      </w:r>
      <w:r w:rsidR="00A96D44">
        <w:t xml:space="preserve"> training,</w:t>
      </w:r>
      <w:r>
        <w:t xml:space="preserve"> vendor training</w:t>
      </w:r>
      <w:r w:rsidR="00A96D44">
        <w:t>,</w:t>
      </w:r>
      <w:r>
        <w:t xml:space="preserve"> and the provision of upstream and midstream incentives to install low-emission space and water heating in </w:t>
      </w:r>
      <w:r w:rsidR="00A96D44">
        <w:t xml:space="preserve">new and </w:t>
      </w:r>
      <w:r>
        <w:t>existing buildings.  The Legislature identified specific technology parameters applicable to TECH, codified under Section 922(b).  These parameters require the Commission to identify and target key low-emission space and water heating equipment technologies that are in the early stage of market development and would assist in achieving the state’s GHG emission</w:t>
      </w:r>
      <w:r w:rsidR="00A96D44">
        <w:t>s</w:t>
      </w:r>
      <w:r>
        <w:t xml:space="preserve"> reduction goal for 2030.</w:t>
      </w:r>
      <w:r>
        <w:rPr>
          <w:rStyle w:val="FootnoteReference"/>
        </w:rPr>
        <w:footnoteReference w:id="222"/>
      </w:r>
      <w:r>
        <w:t xml:space="preserve">  The Legislature requires the Commission to give consideration of technologies that have the greatest potential to reduce GHG emissions in California that improve the health and safety of, and energy affordability for</w:t>
      </w:r>
      <w:r w:rsidR="00DE1671">
        <w:t>,</w:t>
      </w:r>
      <w:r>
        <w:t xml:space="preserve"> households.</w:t>
      </w:r>
      <w:r>
        <w:rPr>
          <w:rStyle w:val="FootnoteReference"/>
        </w:rPr>
        <w:footnoteReference w:id="223"/>
      </w:r>
    </w:p>
    <w:p w14:paraId="5DD81ABB" w14:textId="29B93C32" w:rsidR="00AF013D" w:rsidRDefault="00AF013D" w:rsidP="00AF013D">
      <w:pPr>
        <w:pStyle w:val="Standard"/>
      </w:pPr>
      <w:r>
        <w:t>In the Scoping Memo and Ruling,</w:t>
      </w:r>
      <w:r>
        <w:rPr>
          <w:rStyle w:val="FootnoteReference"/>
        </w:rPr>
        <w:footnoteReference w:id="224"/>
      </w:r>
      <w:r>
        <w:t xml:space="preserve"> and in a subsequent Administrative Law Judge Ruling,</w:t>
      </w:r>
      <w:r>
        <w:rPr>
          <w:rStyle w:val="FootnoteReference"/>
        </w:rPr>
        <w:footnoteReference w:id="225"/>
      </w:r>
      <w:r>
        <w:t xml:space="preserve"> parties were asked: </w:t>
      </w:r>
      <w:r w:rsidR="009A4018">
        <w:t xml:space="preserve"> </w:t>
      </w:r>
      <w:r>
        <w:t>(1) are there any elements in the Staff</w:t>
      </w:r>
      <w:r w:rsidR="009A4018">
        <w:t> </w:t>
      </w:r>
      <w:r>
        <w:t xml:space="preserve">Proposal that should be removed, changed, or added prior to initiating the </w:t>
      </w:r>
      <w:r>
        <w:lastRenderedPageBreak/>
        <w:t>solicitation process; and (2) whether the Staff Proposal’s four-pronged market based effort is appropriate.</w:t>
      </w:r>
    </w:p>
    <w:p w14:paraId="46866986" w14:textId="77777777" w:rsidR="00AF013D" w:rsidRDefault="00AF013D" w:rsidP="00AF013D">
      <w:pPr>
        <w:pStyle w:val="Heading3"/>
      </w:pPr>
      <w:bookmarkStart w:id="65" w:name="_Toc32310272"/>
      <w:r>
        <w:t>Staff Proposal Summary</w:t>
      </w:r>
      <w:bookmarkEnd w:id="65"/>
    </w:p>
    <w:p w14:paraId="2D8B219B" w14:textId="74BF9719" w:rsidR="00AF013D" w:rsidRDefault="00AF013D" w:rsidP="00AF013D">
      <w:pPr>
        <w:pStyle w:val="Standard"/>
      </w:pPr>
      <w:r>
        <w:t xml:space="preserve">The Staff Proposal articulates a four-pronged approach to help accelerate the market development and sales of high efficiency heating equipment in existing homes.  Discussed in more detail below, the four-pronged approach contains the following elements: </w:t>
      </w:r>
      <w:r w:rsidR="00592842">
        <w:t xml:space="preserve"> </w:t>
      </w:r>
      <w:r>
        <w:t>(1) incentives and partnerships with supply</w:t>
      </w:r>
      <w:r w:rsidR="00592842">
        <w:noBreakHyphen/>
      </w:r>
      <w:r>
        <w:t>side market actors (upstream incentives);</w:t>
      </w:r>
      <w:r>
        <w:rPr>
          <w:rStyle w:val="FootnoteReference"/>
        </w:rPr>
        <w:footnoteReference w:id="226"/>
      </w:r>
      <w:r>
        <w:t xml:space="preserve"> (2) market facilitation activities, including workforce development, education and outreach (midstream incentives);</w:t>
      </w:r>
      <w:r>
        <w:rPr>
          <w:rStyle w:val="FootnoteReference"/>
        </w:rPr>
        <w:footnoteReference w:id="227"/>
      </w:r>
      <w:r>
        <w:t xml:space="preserve"> (3) a quick start grants program; and (4) a prize program.  For cost</w:t>
      </w:r>
      <w:r w:rsidR="00592842">
        <w:noBreakHyphen/>
      </w:r>
      <w:r>
        <w:t xml:space="preserve">effective purposes, the Staff Proposal also recommends targeting geographical areas with existing homes in California’s hotter climate zones and around Aliso Canyon in Southern California.   </w:t>
      </w:r>
    </w:p>
    <w:p w14:paraId="4D950EAD" w14:textId="6BB06222" w:rsidR="00AF013D" w:rsidRDefault="00AF013D" w:rsidP="00AF013D">
      <w:pPr>
        <w:pStyle w:val="Standard"/>
      </w:pPr>
      <w:r>
        <w:t xml:space="preserve">The Staff Proposal defines “upstream” incentives as a program element aimed at encouraging manufacturers to make the most efficient equipment available at competitive prices, as well as program elements that provide </w:t>
      </w:r>
      <w:r>
        <w:lastRenderedPageBreak/>
        <w:t>incentives to distributors.</w:t>
      </w:r>
      <w:r>
        <w:rPr>
          <w:rStyle w:val="FootnoteReference"/>
        </w:rPr>
        <w:footnoteReference w:id="228"/>
      </w:r>
      <w:r>
        <w:t xml:space="preserve">  </w:t>
      </w:r>
      <w:r w:rsidR="00CE2D63">
        <w:t xml:space="preserve">The </w:t>
      </w:r>
      <w:r>
        <w:t>Staff</w:t>
      </w:r>
      <w:r w:rsidR="00CE2D63">
        <w:t xml:space="preserve"> Proposal</w:t>
      </w:r>
      <w:r>
        <w:t xml:space="preserve"> also states that “upstream” incentives must include manufacturer buydowns to target channels such as retailers that are not in a position to collect data from the purchaser or end</w:t>
      </w:r>
      <w:r w:rsidR="003A04CE">
        <w:noBreakHyphen/>
      </w:r>
      <w:r>
        <w:t>user.</w:t>
      </w:r>
      <w:r>
        <w:rPr>
          <w:rStyle w:val="FootnoteReference"/>
        </w:rPr>
        <w:footnoteReference w:id="229"/>
      </w:r>
      <w:r>
        <w:t xml:space="preserve">  The Staff Proposal recommends targeting the potential business risks for the “upstream” supply chain actors, which include manufacturer representatives and distributers, by collaborating with them and offering solutions to financial barriers, supporting product development in the market place, and a “compendium of best practices.”</w:t>
      </w:r>
      <w:r>
        <w:rPr>
          <w:rStyle w:val="FootnoteReference"/>
        </w:rPr>
        <w:footnoteReference w:id="230"/>
      </w:r>
    </w:p>
    <w:p w14:paraId="6A60D4BE" w14:textId="48C5D984" w:rsidR="00AF013D" w:rsidRDefault="00AF013D" w:rsidP="00AF013D">
      <w:pPr>
        <w:pStyle w:val="Standard"/>
      </w:pPr>
      <w:r>
        <w:t>Second, the Staff Proposal defines “midstream” incentives as a “program element that provides incentives to wholesale distributor retailers, e-commerce companies and/or contractors to stock and/or sell more efficient products.”</w:t>
      </w:r>
      <w:r>
        <w:rPr>
          <w:rStyle w:val="FootnoteReference"/>
        </w:rPr>
        <w:footnoteReference w:id="231"/>
      </w:r>
      <w:r>
        <w:t xml:space="preserve">  The Staff Proposal provides that this definition requires a percent pass-through of the incentive to the distributor’s customer and could also include a management fee paid to the applicant for participating with the program and the program’s requirements.</w:t>
      </w:r>
      <w:r>
        <w:rPr>
          <w:rStyle w:val="FootnoteReference"/>
        </w:rPr>
        <w:footnoteReference w:id="232"/>
      </w:r>
      <w:r>
        <w:t xml:space="preserve">  </w:t>
      </w:r>
      <w:r w:rsidR="00CE2D63">
        <w:t xml:space="preserve">The </w:t>
      </w:r>
      <w:r>
        <w:t xml:space="preserve">Staff </w:t>
      </w:r>
      <w:r w:rsidR="00CE2D63">
        <w:t xml:space="preserve">Proposal </w:t>
      </w:r>
      <w:r>
        <w:t xml:space="preserve">summarizes that a successful midstream incentive program treats supply chain market actors as partners, with </w:t>
      </w:r>
      <w:r w:rsidR="00AF5108">
        <w:t xml:space="preserve">an </w:t>
      </w:r>
      <w:r>
        <w:t>established memorandum of understanding and shared sales, marketing, and training.</w:t>
      </w:r>
      <w:r>
        <w:rPr>
          <w:rStyle w:val="FootnoteReference"/>
        </w:rPr>
        <w:footnoteReference w:id="233"/>
      </w:r>
      <w:r>
        <w:t xml:space="preserve"> </w:t>
      </w:r>
    </w:p>
    <w:p w14:paraId="1FCE6B52" w14:textId="2DFCAD8C" w:rsidR="00AF013D" w:rsidRDefault="00AF013D" w:rsidP="00AF013D">
      <w:pPr>
        <w:pStyle w:val="Standard"/>
      </w:pPr>
      <w:r>
        <w:t>Third, the Staff Proposal recommends a quick start grants program.  The quick start grant</w:t>
      </w:r>
      <w:r w:rsidR="001367B4">
        <w:t>s</w:t>
      </w:r>
      <w:r>
        <w:t xml:space="preserve"> program provides the TECH</w:t>
      </w:r>
      <w:r w:rsidR="001367B4">
        <w:t xml:space="preserve"> Initiative</w:t>
      </w:r>
      <w:r>
        <w:t xml:space="preserve"> implementer with a </w:t>
      </w:r>
      <w:r>
        <w:lastRenderedPageBreak/>
        <w:t>$5</w:t>
      </w:r>
      <w:r w:rsidR="00AD660C">
        <w:t> </w:t>
      </w:r>
      <w:r>
        <w:t>million budget to fund localized, innovative approaches to building decarbonization.</w:t>
      </w:r>
      <w:r>
        <w:rPr>
          <w:rStyle w:val="FootnoteReference"/>
        </w:rPr>
        <w:footnoteReference w:id="234"/>
      </w:r>
      <w:r>
        <w:t xml:space="preserve">  The goal of the quick start grant</w:t>
      </w:r>
      <w:r w:rsidR="001367B4">
        <w:t>s</w:t>
      </w:r>
      <w:r>
        <w:t xml:space="preserve"> program aims to test market transformation strategies and approaches, support technology development, and building decarbonization market research.</w:t>
      </w:r>
      <w:r>
        <w:rPr>
          <w:rStyle w:val="FootnoteReference"/>
        </w:rPr>
        <w:footnoteReference w:id="235"/>
      </w:r>
      <w:r>
        <w:t xml:space="preserve"> </w:t>
      </w:r>
    </w:p>
    <w:p w14:paraId="4CF7EAA7" w14:textId="21CFEBA1" w:rsidR="00AF013D" w:rsidRDefault="00AF013D" w:rsidP="00AF013D">
      <w:pPr>
        <w:pStyle w:val="Standard"/>
      </w:pPr>
      <w:r>
        <w:t>Fourth, the Staff Proposal provides for a prize program.  The prize program is intended to foster innovative, short term approaches by market actors.</w:t>
      </w:r>
      <w:r>
        <w:rPr>
          <w:rStyle w:val="FootnoteReference"/>
        </w:rPr>
        <w:footnoteReference w:id="236"/>
      </w:r>
      <w:r>
        <w:t xml:space="preserve"> </w:t>
      </w:r>
      <w:r w:rsidR="00595E9B">
        <w:t xml:space="preserve"> </w:t>
      </w:r>
      <w:r>
        <w:t xml:space="preserve">Here, the </w:t>
      </w:r>
      <w:r w:rsidR="00CD7A6B">
        <w:t>Commission</w:t>
      </w:r>
      <w:r w:rsidR="001367B4">
        <w:t xml:space="preserve"> </w:t>
      </w:r>
      <w:r>
        <w:t xml:space="preserve">and the TECH </w:t>
      </w:r>
      <w:r w:rsidR="001367B4">
        <w:t>I</w:t>
      </w:r>
      <w:r>
        <w:t>nitiative implementer would set simple targets for entities to hit (</w:t>
      </w:r>
      <w:r w:rsidRPr="00006196">
        <w:rPr>
          <w:i/>
          <w:iCs/>
        </w:rPr>
        <w:t>i.e.,</w:t>
      </w:r>
      <w:r>
        <w:t xml:space="preserve"> the number of heat pump HVAC systems installed), and a prize may be given to the first party who hits the target.</w:t>
      </w:r>
      <w:r>
        <w:rPr>
          <w:rStyle w:val="FootnoteReference"/>
        </w:rPr>
        <w:footnoteReference w:id="237"/>
      </w:r>
    </w:p>
    <w:p w14:paraId="5DF1D58B" w14:textId="1C5BDA82" w:rsidR="00AF013D" w:rsidRDefault="00AF013D" w:rsidP="00AF013D">
      <w:pPr>
        <w:pStyle w:val="Standard"/>
      </w:pPr>
      <w:r>
        <w:t xml:space="preserve">Finally, the Staff Proposal recommends that the TECH </w:t>
      </w:r>
      <w:r w:rsidR="008F0C18">
        <w:t>I</w:t>
      </w:r>
      <w:r>
        <w:t>nitiative take a regional approach in its initial targeting of customers who are most likely to see bill savings and where final costs are minimized.</w:t>
      </w:r>
      <w:r>
        <w:rPr>
          <w:rStyle w:val="FootnoteReference"/>
        </w:rPr>
        <w:footnoteReference w:id="238"/>
      </w:r>
      <w:r>
        <w:t xml:space="preserve">  Thus,</w:t>
      </w:r>
      <w:r w:rsidR="007768EC">
        <w:t xml:space="preserve"> </w:t>
      </w:r>
      <w:r w:rsidR="008F0C18">
        <w:t xml:space="preserve">the </w:t>
      </w:r>
      <w:r>
        <w:t>Staff</w:t>
      </w:r>
      <w:r w:rsidR="007768EC">
        <w:t xml:space="preserve"> Proposal</w:t>
      </w:r>
      <w:r>
        <w:t xml:space="preserve"> recommends targeting hotter climates of California.</w:t>
      </w:r>
      <w:r>
        <w:rPr>
          <w:rStyle w:val="FootnoteReference"/>
        </w:rPr>
        <w:footnoteReference w:id="239"/>
      </w:r>
      <w:r>
        <w:t xml:space="preserve"> </w:t>
      </w:r>
    </w:p>
    <w:p w14:paraId="219A1D46" w14:textId="77777777" w:rsidR="00AF013D" w:rsidRDefault="00AF013D" w:rsidP="00AF013D">
      <w:pPr>
        <w:pStyle w:val="Heading3"/>
      </w:pPr>
      <w:bookmarkStart w:id="66" w:name="_Toc32310273"/>
      <w:r>
        <w:t>Parties’ Positions</w:t>
      </w:r>
      <w:bookmarkEnd w:id="66"/>
    </w:p>
    <w:p w14:paraId="3061CFDC" w14:textId="7BA1F2AC" w:rsidR="00AF013D" w:rsidRDefault="00AF013D" w:rsidP="00AF013D">
      <w:pPr>
        <w:pStyle w:val="Standard"/>
      </w:pPr>
      <w:r>
        <w:t xml:space="preserve">All parties oppose </w:t>
      </w:r>
      <w:r w:rsidR="007768EC">
        <w:t xml:space="preserve">the </w:t>
      </w:r>
      <w:r>
        <w:t>Staff</w:t>
      </w:r>
      <w:r w:rsidR="007768EC">
        <w:t xml:space="preserve"> Proposal’s</w:t>
      </w:r>
      <w:r>
        <w:t xml:space="preserve"> proposed prize program.  However, parties offer recommendations on the other components of </w:t>
      </w:r>
      <w:r w:rsidR="007768EC">
        <w:t xml:space="preserve">the </w:t>
      </w:r>
      <w:r>
        <w:t>Staff</w:t>
      </w:r>
      <w:r w:rsidR="007768EC">
        <w:t xml:space="preserve"> Proposal</w:t>
      </w:r>
      <w:r>
        <w:t xml:space="preserve"> market approach.</w:t>
      </w:r>
    </w:p>
    <w:p w14:paraId="33700510" w14:textId="6A525798" w:rsidR="00AF013D" w:rsidRDefault="00AF013D" w:rsidP="00AF013D">
      <w:pPr>
        <w:pStyle w:val="Standard"/>
      </w:pPr>
      <w:r>
        <w:t>SBUA advocates for redistributing the prize program funds to the “quick start” grant category or reserve the funds for future allocation.</w:t>
      </w:r>
      <w:r>
        <w:rPr>
          <w:rStyle w:val="FootnoteReference"/>
        </w:rPr>
        <w:footnoteReference w:id="240"/>
      </w:r>
      <w:r>
        <w:t xml:space="preserve"> </w:t>
      </w:r>
      <w:r w:rsidR="001D4AE3">
        <w:t xml:space="preserve"> </w:t>
      </w:r>
      <w:r>
        <w:t xml:space="preserve">SBUA </w:t>
      </w:r>
      <w:r>
        <w:lastRenderedPageBreak/>
        <w:t xml:space="preserve">disagrees with </w:t>
      </w:r>
      <w:r w:rsidR="00516799">
        <w:t xml:space="preserve">the </w:t>
      </w:r>
      <w:r>
        <w:t>Staff</w:t>
      </w:r>
      <w:r w:rsidR="00636858">
        <w:t xml:space="preserve"> </w:t>
      </w:r>
      <w:r w:rsidR="00516799">
        <w:t>Proposal’s</w:t>
      </w:r>
      <w:r>
        <w:t xml:space="preserve"> recommendation that</w:t>
      </w:r>
      <w:r w:rsidR="001367B4">
        <w:t xml:space="preserve"> the</w:t>
      </w:r>
      <w:r>
        <w:t xml:space="preserve"> TECH </w:t>
      </w:r>
      <w:r w:rsidR="001367B4">
        <w:t xml:space="preserve">Initiative </w:t>
      </w:r>
      <w:r>
        <w:t>focus on California’s hotter climate zones.</w:t>
      </w:r>
      <w:r>
        <w:rPr>
          <w:rStyle w:val="FootnoteReference"/>
        </w:rPr>
        <w:footnoteReference w:id="241"/>
      </w:r>
    </w:p>
    <w:p w14:paraId="6B7EFDFE" w14:textId="73F75A67" w:rsidR="00AF013D" w:rsidRDefault="00501F1B" w:rsidP="00AF013D">
      <w:pPr>
        <w:pStyle w:val="Standard"/>
      </w:pPr>
      <w:r>
        <w:t xml:space="preserve">Wild Tree </w:t>
      </w:r>
      <w:r w:rsidR="006851D3">
        <w:t>F</w:t>
      </w:r>
      <w:r>
        <w:t xml:space="preserve">oundation </w:t>
      </w:r>
      <w:r w:rsidR="00AF013D">
        <w:t>recommends pairing the upstream and midstream strategies with a downstream strategy of decommissioning and recycling of replaced appliances.</w:t>
      </w:r>
      <w:r w:rsidR="00AF013D">
        <w:rPr>
          <w:rStyle w:val="FootnoteReference"/>
        </w:rPr>
        <w:footnoteReference w:id="242"/>
      </w:r>
      <w:r w:rsidR="00AF013D">
        <w:t xml:space="preserve"> </w:t>
      </w:r>
      <w:r w:rsidR="000E50EF">
        <w:t xml:space="preserve"> </w:t>
      </w:r>
      <w:r w:rsidR="00AF013D">
        <w:t xml:space="preserve">CALSSA, recommends: </w:t>
      </w:r>
      <w:r w:rsidR="000E50EF">
        <w:t xml:space="preserve"> </w:t>
      </w:r>
      <w:r w:rsidR="00AF013D">
        <w:t>(1) on-bill financing to customers to cover some of the cost of installing a certain number energy efficient, electrified appliances; (2) funding a call center to provide off-site audits to help customers decided whether replacing existing water heaters; (3) send</w:t>
      </w:r>
      <w:r w:rsidR="002A0763">
        <w:t>ing</w:t>
      </w:r>
      <w:r w:rsidR="00AF013D">
        <w:t xml:space="preserve"> customer a sticker to attach to their water heater tank with information about replacement options; and (4) support</w:t>
      </w:r>
      <w:r w:rsidR="002A0763">
        <w:t>ing</w:t>
      </w:r>
      <w:r w:rsidR="00AF013D">
        <w:t xml:space="preserve"> local inspector training.</w:t>
      </w:r>
      <w:r w:rsidR="00AF013D">
        <w:rPr>
          <w:rStyle w:val="FootnoteReference"/>
        </w:rPr>
        <w:footnoteReference w:id="243"/>
      </w:r>
      <w:r w:rsidR="00AF013D">
        <w:t xml:space="preserve"> </w:t>
      </w:r>
      <w:r w:rsidR="003F565B">
        <w:t xml:space="preserve"> </w:t>
      </w:r>
      <w:r w:rsidR="00AF013D">
        <w:t xml:space="preserve">EDF supports </w:t>
      </w:r>
      <w:r w:rsidR="00516799">
        <w:t xml:space="preserve">the </w:t>
      </w:r>
      <w:r w:rsidR="008F0C18">
        <w:t xml:space="preserve">Staff Proposal </w:t>
      </w:r>
      <w:r w:rsidR="00AF013D">
        <w:t>“upstream” approach</w:t>
      </w:r>
      <w:r w:rsidR="008F0C18">
        <w:t>,</w:t>
      </w:r>
      <w:r w:rsidR="00AF013D">
        <w:t xml:space="preserve"> as well as its midstream approach but did not support the “quick start” grants program.</w:t>
      </w:r>
      <w:r w:rsidR="00AF013D">
        <w:rPr>
          <w:rStyle w:val="FootnoteReference"/>
        </w:rPr>
        <w:footnoteReference w:id="244"/>
      </w:r>
      <w:r w:rsidR="00AF013D">
        <w:t xml:space="preserve"> </w:t>
      </w:r>
    </w:p>
    <w:p w14:paraId="01E2E88C" w14:textId="5F669EE2" w:rsidR="00AF013D" w:rsidRDefault="00AF013D" w:rsidP="00AF013D">
      <w:pPr>
        <w:pStyle w:val="Standard"/>
      </w:pPr>
      <w:r>
        <w:t xml:space="preserve">SWG argues that the TECH Initiative should not be limited to high efficiency electric equipment but, </w:t>
      </w:r>
      <w:r w:rsidR="002A0763">
        <w:t xml:space="preserve">instead, </w:t>
      </w:r>
      <w:r>
        <w:t xml:space="preserve">a broader portfolio of technologies applied to </w:t>
      </w:r>
      <w:r w:rsidR="001367B4">
        <w:t xml:space="preserve">natural </w:t>
      </w:r>
      <w:r>
        <w:t>gas appliances.</w:t>
      </w:r>
      <w:r>
        <w:rPr>
          <w:rStyle w:val="FootnoteReference"/>
        </w:rPr>
        <w:footnoteReference w:id="245"/>
      </w:r>
      <w:r>
        <w:t xml:space="preserve"> </w:t>
      </w:r>
    </w:p>
    <w:p w14:paraId="78FFEC4B" w14:textId="2D07E1F6" w:rsidR="00AF013D" w:rsidRDefault="00AF013D" w:rsidP="00AF013D">
      <w:pPr>
        <w:pStyle w:val="Standard"/>
      </w:pPr>
      <w:r>
        <w:t>VEIC supports</w:t>
      </w:r>
      <w:r w:rsidR="00516799">
        <w:t xml:space="preserve"> the</w:t>
      </w:r>
      <w:r>
        <w:t xml:space="preserve"> Staff</w:t>
      </w:r>
      <w:r w:rsidR="00516799">
        <w:t xml:space="preserve"> Proposal’s</w:t>
      </w:r>
      <w:r>
        <w:t xml:space="preserve"> focus on specific climate markets but discourages an overly geographic focus in lieu of the broader state marker.</w:t>
      </w:r>
      <w:r>
        <w:rPr>
          <w:rStyle w:val="FootnoteReference"/>
        </w:rPr>
        <w:footnoteReference w:id="246"/>
      </w:r>
      <w:r>
        <w:t xml:space="preserve">  VEIC recommends increased program administrator flexibility for the TECH Initiative, a strengthened focus on low-income households and hard-to-reach populations, and tie the quick start grants program to specific market </w:t>
      </w:r>
      <w:r w:rsidR="001367B4">
        <w:lastRenderedPageBreak/>
        <w:t xml:space="preserve">development </w:t>
      </w:r>
      <w:r>
        <w:t>strategies.</w:t>
      </w:r>
      <w:r>
        <w:rPr>
          <w:rStyle w:val="FootnoteReference"/>
        </w:rPr>
        <w:footnoteReference w:id="247"/>
      </w:r>
      <w:r>
        <w:t xml:space="preserve">  PG&amp;E similarly agrees, asserting that the TECH Initiative implementer be given the flexibility to propose only one or two of the approaches presented </w:t>
      </w:r>
      <w:r w:rsidR="008F0C18">
        <w:t xml:space="preserve">in the </w:t>
      </w:r>
      <w:r w:rsidR="001367B4">
        <w:t>S</w:t>
      </w:r>
      <w:r>
        <w:t>taff</w:t>
      </w:r>
      <w:r w:rsidR="008F0C18">
        <w:t xml:space="preserve"> Proposal</w:t>
      </w:r>
      <w:r>
        <w:t>.</w:t>
      </w:r>
      <w:r>
        <w:rPr>
          <w:rStyle w:val="FootnoteReference"/>
        </w:rPr>
        <w:footnoteReference w:id="248"/>
      </w:r>
    </w:p>
    <w:p w14:paraId="0D18E440" w14:textId="2274623A" w:rsidR="00AF013D" w:rsidRDefault="00AF013D" w:rsidP="00AF013D">
      <w:pPr>
        <w:pStyle w:val="Standard"/>
      </w:pPr>
      <w:r>
        <w:t xml:space="preserve">The Partnership and Joint Environmentals argue that the four-pronged approach presented </w:t>
      </w:r>
      <w:r w:rsidR="00E33E3F">
        <w:t xml:space="preserve">in </w:t>
      </w:r>
      <w:r w:rsidR="00516799">
        <w:t xml:space="preserve">the </w:t>
      </w:r>
      <w:r>
        <w:t>Staff</w:t>
      </w:r>
      <w:r w:rsidR="00516799">
        <w:t xml:space="preserve"> Proposal</w:t>
      </w:r>
      <w:r>
        <w:t xml:space="preserve"> must ultimately benefit low-income households</w:t>
      </w:r>
      <w:r>
        <w:rPr>
          <w:rStyle w:val="FootnoteReference"/>
        </w:rPr>
        <w:footnoteReference w:id="249"/>
      </w:r>
      <w:r>
        <w:t xml:space="preserve"> and hard-to-reach populations and </w:t>
      </w:r>
      <w:r w:rsidR="001367B4">
        <w:t xml:space="preserve">that there should be </w:t>
      </w:r>
      <w:r>
        <w:t>funding for the quick start grants program of up to $10 million.</w:t>
      </w:r>
      <w:r>
        <w:rPr>
          <w:rStyle w:val="FootnoteReference"/>
        </w:rPr>
        <w:footnoteReference w:id="250"/>
      </w:r>
    </w:p>
    <w:p w14:paraId="0EF91E21" w14:textId="0050F235" w:rsidR="00AF013D" w:rsidRDefault="00AF013D" w:rsidP="00AF013D">
      <w:pPr>
        <w:pStyle w:val="Standard"/>
      </w:pPr>
      <w:r>
        <w:t>Cal Advocates articulates that if manufacturer offerings are not an important barrier that impedes the availability of low-emissions heating technologies, the implementer for the TECH initiative should budget less money to upstream incentives in subsequent program years.</w:t>
      </w:r>
      <w:r>
        <w:rPr>
          <w:rStyle w:val="FootnoteReference"/>
        </w:rPr>
        <w:footnoteReference w:id="251"/>
      </w:r>
      <w:r>
        <w:t xml:space="preserve"> </w:t>
      </w:r>
      <w:r w:rsidR="003F565B">
        <w:t xml:space="preserve"> </w:t>
      </w:r>
      <w:r>
        <w:t xml:space="preserve">Cal Advocates recommends that the implementer for </w:t>
      </w:r>
      <w:r w:rsidR="001367B4">
        <w:t xml:space="preserve">the </w:t>
      </w:r>
      <w:r>
        <w:t xml:space="preserve">TECH </w:t>
      </w:r>
      <w:r w:rsidR="00105558">
        <w:t>Initiative</w:t>
      </w:r>
      <w:r w:rsidR="001367B4">
        <w:t xml:space="preserve"> </w:t>
      </w:r>
      <w:r>
        <w:t>should adjust the program to specific product improvements or market niches where incentives are likely to be useful.</w:t>
      </w:r>
      <w:r>
        <w:rPr>
          <w:rStyle w:val="FootnoteReference"/>
        </w:rPr>
        <w:footnoteReference w:id="252"/>
      </w:r>
    </w:p>
    <w:p w14:paraId="06059848" w14:textId="59A9BC86" w:rsidR="00AF013D" w:rsidRDefault="00AF013D" w:rsidP="00AF013D">
      <w:pPr>
        <w:pStyle w:val="Heading3"/>
      </w:pPr>
      <w:bookmarkStart w:id="67" w:name="_Toc32310274"/>
      <w:r>
        <w:t>Analysis:</w:t>
      </w:r>
      <w:r w:rsidR="003F565B">
        <w:t xml:space="preserve"> </w:t>
      </w:r>
      <w:r>
        <w:t xml:space="preserve"> The TECH Initiative Implementer Shall Approach the Initiative with a Menu of Tactics but </w:t>
      </w:r>
      <w:r w:rsidR="008F0C18">
        <w:t>M</w:t>
      </w:r>
      <w:r>
        <w:t xml:space="preserve">ust Implement an Upstream and </w:t>
      </w:r>
      <w:r w:rsidR="00636858">
        <w:t>Mid-Stream</w:t>
      </w:r>
      <w:r>
        <w:t xml:space="preserve"> Market Approach to Drive Market Transformation</w:t>
      </w:r>
      <w:r w:rsidR="001367B4">
        <w:t xml:space="preserve"> Consistent </w:t>
      </w:r>
      <w:r w:rsidR="008F0C18">
        <w:t>W</w:t>
      </w:r>
      <w:r w:rsidR="001367B4">
        <w:t>ith Statutory Requirements</w:t>
      </w:r>
      <w:bookmarkEnd w:id="67"/>
      <w:r w:rsidR="001367B4">
        <w:t xml:space="preserve"> </w:t>
      </w:r>
    </w:p>
    <w:p w14:paraId="1FAFAFCA" w14:textId="1903FDC7" w:rsidR="00AF013D" w:rsidRDefault="00AF013D" w:rsidP="00AF013D">
      <w:pPr>
        <w:pStyle w:val="Standard"/>
      </w:pPr>
      <w:r>
        <w:t xml:space="preserve">We decline to adopt an approach that may, in effect, become overly prescriptive for the TECH Initiative implementer.  Market </w:t>
      </w:r>
      <w:r w:rsidR="001367B4">
        <w:t xml:space="preserve">development </w:t>
      </w:r>
      <w:r>
        <w:t xml:space="preserve">initiatives involve phases that require development and testing of strategies and </w:t>
      </w:r>
      <w:r>
        <w:lastRenderedPageBreak/>
        <w:t xml:space="preserve">approaches to arrive at impactful market intervention efforts.  Therefore, we adopt an approach that gives the implementer the flexibility to approach the TECH Initiative with a menu of tactics.  While we grant the implementer flexibility, we do not deviate from </w:t>
      </w:r>
      <w:r w:rsidR="001367B4">
        <w:t xml:space="preserve">the </w:t>
      </w:r>
      <w:r>
        <w:t xml:space="preserve">statutory </w:t>
      </w:r>
      <w:r w:rsidR="00B004DC">
        <w:t xml:space="preserve">mandate </w:t>
      </w:r>
      <w:r>
        <w:t xml:space="preserve">that the implementer include an upstream and midstream approach to drive market </w:t>
      </w:r>
      <w:r w:rsidR="001367B4">
        <w:t xml:space="preserve">development, as well as provide </w:t>
      </w:r>
      <w:r w:rsidR="001367B4" w:rsidRPr="007C5555">
        <w:t xml:space="preserve">consumer education, contractor </w:t>
      </w:r>
      <w:r w:rsidR="001367B4">
        <w:t xml:space="preserve">training, </w:t>
      </w:r>
      <w:r w:rsidR="001367B4" w:rsidRPr="007C5555">
        <w:t>and vendor training</w:t>
      </w:r>
      <w:r>
        <w:t xml:space="preserve">.  The statute does not envision the TECH Initiative delivering downstream or direct-to-customer incentives.  The implementer has the responsibility to evaluate the market structure and dynamics, by </w:t>
      </w:r>
      <w:r w:rsidR="001367B4">
        <w:t xml:space="preserve">proposing intervention strategies </w:t>
      </w:r>
      <w:r>
        <w:t xml:space="preserve">to overcome barriers and </w:t>
      </w:r>
      <w:r w:rsidR="001367B4">
        <w:t>to further the</w:t>
      </w:r>
      <w:r>
        <w:t xml:space="preserve"> market. </w:t>
      </w:r>
    </w:p>
    <w:p w14:paraId="31F7A39D" w14:textId="3C9AC3BF" w:rsidR="00AF013D" w:rsidRDefault="00AF013D" w:rsidP="00AF013D">
      <w:pPr>
        <w:pStyle w:val="Standard"/>
      </w:pPr>
      <w:r>
        <w:t xml:space="preserve">To set some parameters to guide the implementer, we define </w:t>
      </w:r>
      <w:r w:rsidR="00B004DC">
        <w:t xml:space="preserve">the elements of </w:t>
      </w:r>
      <w:r>
        <w:t xml:space="preserve">upstream and midstream </w:t>
      </w:r>
      <w:r w:rsidR="00B004DC">
        <w:t>programs</w:t>
      </w:r>
      <w:r>
        <w:t xml:space="preserve">. </w:t>
      </w:r>
      <w:r w:rsidR="007C1FB7">
        <w:t xml:space="preserve"> </w:t>
      </w:r>
      <w:r w:rsidRPr="00ED1ECD">
        <w:t>U</w:t>
      </w:r>
      <w:r w:rsidRPr="00ED1ECD">
        <w:rPr>
          <w:bCs/>
        </w:rPr>
        <w:t>pstream</w:t>
      </w:r>
      <w:r w:rsidR="00B004DC">
        <w:rPr>
          <w:rStyle w:val="FootnoteReference"/>
          <w:bCs/>
        </w:rPr>
        <w:footnoteReference w:id="253"/>
      </w:r>
      <w:r w:rsidRPr="00ED1ECD">
        <w:rPr>
          <w:bCs/>
        </w:rPr>
        <w:t xml:space="preserve"> shall be defined as program element</w:t>
      </w:r>
      <w:r>
        <w:rPr>
          <w:bCs/>
        </w:rPr>
        <w:t>s</w:t>
      </w:r>
      <w:r w:rsidRPr="00ED1ECD">
        <w:rPr>
          <w:bCs/>
        </w:rPr>
        <w:t xml:space="preserve"> aimed at </w:t>
      </w:r>
      <w:r w:rsidRPr="00ED1ECD">
        <w:t>encouraging manufacturers to make the most efficient equipment available at competitive prices</w:t>
      </w:r>
      <w:r w:rsidR="001367B4">
        <w:t>.</w:t>
      </w:r>
      <w:r w:rsidRPr="00ED1ECD">
        <w:t xml:space="preserve"> </w:t>
      </w:r>
      <w:r w:rsidR="00681AE4">
        <w:t xml:space="preserve"> </w:t>
      </w:r>
      <w:r w:rsidRPr="00ED1ECD">
        <w:t xml:space="preserve">This also includes manufacturer buydowns to targeted channels such as retailers that are not </w:t>
      </w:r>
      <w:r>
        <w:t xml:space="preserve">positioned </w:t>
      </w:r>
      <w:r w:rsidRPr="00ED1ECD">
        <w:t xml:space="preserve">to collect data from the purchaser or end-user.  For market adoption of energy-efficient products in the upstream supply chain, the implementer must work with upstream supply chain actors like manufacturers, manufacturer representatives, and distributors to reduce the real and perceived business risks of building decarbonization market </w:t>
      </w:r>
      <w:r w:rsidR="001367B4">
        <w:t>development</w:t>
      </w:r>
      <w:r w:rsidRPr="00ED1ECD">
        <w:t xml:space="preserve">.  </w:t>
      </w:r>
      <w:r>
        <w:t>Next, we define midstream.</w:t>
      </w:r>
    </w:p>
    <w:p w14:paraId="044C7F9A" w14:textId="49D21A16" w:rsidR="007864B8" w:rsidRDefault="00AF013D" w:rsidP="00AF013D">
      <w:pPr>
        <w:pStyle w:val="Standard"/>
      </w:pPr>
      <w:r>
        <w:t>Midstream</w:t>
      </w:r>
      <w:r w:rsidR="00B004DC">
        <w:rPr>
          <w:rStyle w:val="FootnoteReference"/>
        </w:rPr>
        <w:footnoteReference w:id="254"/>
      </w:r>
      <w:r>
        <w:t xml:space="preserve"> shall mean</w:t>
      </w:r>
      <w:r w:rsidRPr="001040A4">
        <w:rPr>
          <w:rFonts w:cstheme="minorHAnsi"/>
          <w:color w:val="000000"/>
        </w:rPr>
        <w:t xml:space="preserve"> program element</w:t>
      </w:r>
      <w:r w:rsidR="001367B4">
        <w:rPr>
          <w:rFonts w:cstheme="minorHAnsi"/>
          <w:color w:val="000000"/>
        </w:rPr>
        <w:t>s</w:t>
      </w:r>
      <w:r w:rsidRPr="001040A4">
        <w:rPr>
          <w:rFonts w:cstheme="minorHAnsi"/>
          <w:color w:val="000000"/>
        </w:rPr>
        <w:t xml:space="preserve"> that provide incentives to wholesale distributors, retailers, e-commerce companies and/or contractors to stock and/or sell more efficient products</w:t>
      </w:r>
      <w:r>
        <w:rPr>
          <w:rFonts w:cstheme="minorHAnsi"/>
          <w:color w:val="000000"/>
        </w:rPr>
        <w:t xml:space="preserve">.  </w:t>
      </w:r>
      <w:r w:rsidRPr="001040A4">
        <w:rPr>
          <w:rFonts w:cstheme="minorHAnsi"/>
          <w:color w:val="000000"/>
        </w:rPr>
        <w:t>The definition</w:t>
      </w:r>
      <w:r>
        <w:rPr>
          <w:rFonts w:cstheme="minorHAnsi"/>
          <w:color w:val="000000"/>
        </w:rPr>
        <w:t xml:space="preserve"> also</w:t>
      </w:r>
      <w:r w:rsidRPr="001040A4">
        <w:rPr>
          <w:rFonts w:cstheme="minorHAnsi"/>
          <w:color w:val="000000"/>
        </w:rPr>
        <w:t xml:space="preserve"> includes</w:t>
      </w:r>
      <w:r>
        <w:rPr>
          <w:rFonts w:cstheme="minorHAnsi"/>
          <w:color w:val="000000"/>
        </w:rPr>
        <w:t>:</w:t>
      </w:r>
      <w:r w:rsidR="00B564A2">
        <w:rPr>
          <w:rFonts w:cstheme="minorHAnsi"/>
          <w:color w:val="000000"/>
        </w:rPr>
        <w:t xml:space="preserve"> </w:t>
      </w:r>
      <w:r>
        <w:rPr>
          <w:rFonts w:cstheme="minorHAnsi"/>
          <w:color w:val="000000"/>
        </w:rPr>
        <w:t xml:space="preserve"> </w:t>
      </w:r>
      <w:r>
        <w:rPr>
          <w:rFonts w:cstheme="minorHAnsi"/>
          <w:color w:val="000000"/>
        </w:rPr>
        <w:lastRenderedPageBreak/>
        <w:t>(1)</w:t>
      </w:r>
      <w:r w:rsidR="00B564A2">
        <w:rPr>
          <w:rFonts w:cstheme="minorHAnsi"/>
          <w:color w:val="000000"/>
        </w:rPr>
        <w:t> </w:t>
      </w:r>
      <w:r w:rsidRPr="001040A4">
        <w:rPr>
          <w:rFonts w:cstheme="minorHAnsi"/>
          <w:color w:val="000000"/>
        </w:rPr>
        <w:t>program elements that require a percent pass-through of the incentive to the distributor’s purchaser or customer</w:t>
      </w:r>
      <w:r>
        <w:rPr>
          <w:rFonts w:cstheme="minorHAnsi"/>
          <w:color w:val="000000"/>
        </w:rPr>
        <w:t>; (2)</w:t>
      </w:r>
      <w:r w:rsidRPr="001040A4">
        <w:rPr>
          <w:rFonts w:cstheme="minorHAnsi"/>
          <w:color w:val="000000"/>
        </w:rPr>
        <w:t xml:space="preserve"> a spiff/management fee paid to the applicant for participating with the program and the program’s requirements such as collecting data</w:t>
      </w:r>
      <w:r>
        <w:rPr>
          <w:rFonts w:cstheme="minorHAnsi"/>
          <w:color w:val="000000"/>
        </w:rPr>
        <w:t>; and (3)</w:t>
      </w:r>
      <w:r w:rsidRPr="001040A4">
        <w:rPr>
          <w:rFonts w:cstheme="minorHAnsi"/>
          <w:color w:val="000000"/>
        </w:rPr>
        <w:t xml:space="preserve"> </w:t>
      </w:r>
      <w:r w:rsidRPr="001040A4">
        <w:t>interventions that will affect contractors, builders, plumbers, electricians, and retail sales outlets</w:t>
      </w:r>
      <w:r w:rsidR="007864B8">
        <w:t>.</w:t>
      </w:r>
    </w:p>
    <w:p w14:paraId="05C7E7F4" w14:textId="50E11ED5" w:rsidR="00AF013D" w:rsidRPr="001040A4" w:rsidRDefault="00AF013D" w:rsidP="00AF013D">
      <w:pPr>
        <w:pStyle w:val="Standard"/>
      </w:pPr>
      <w:r>
        <w:t xml:space="preserve">With respect to a menu of tactics for the implementer to pursue, we offer the following </w:t>
      </w:r>
      <w:r w:rsidR="001367B4">
        <w:t xml:space="preserve">discretionary </w:t>
      </w:r>
      <w:r w:rsidR="009C3169">
        <w:t>tactics</w:t>
      </w:r>
      <w:r w:rsidR="001367B4">
        <w:t xml:space="preserve"> </w:t>
      </w:r>
      <w:r>
        <w:t xml:space="preserve">the implementer may utilize as options to further market </w:t>
      </w:r>
      <w:r w:rsidR="001367B4">
        <w:t xml:space="preserve">development </w:t>
      </w:r>
      <w:r>
        <w:t xml:space="preserve">transformation efforts through the TECH Initiative: </w:t>
      </w:r>
    </w:p>
    <w:p w14:paraId="435DB147" w14:textId="1E1C3D34" w:rsidR="00AF013D" w:rsidRDefault="00AF013D" w:rsidP="00B204BB">
      <w:pPr>
        <w:pStyle w:val="ListParagraph"/>
        <w:numPr>
          <w:ilvl w:val="0"/>
          <w:numId w:val="18"/>
        </w:numPr>
        <w:spacing w:after="120" w:line="240" w:lineRule="auto"/>
        <w:ind w:left="1080" w:right="1440"/>
        <w:contextualSpacing w:val="0"/>
        <w:rPr>
          <w:szCs w:val="26"/>
        </w:rPr>
      </w:pPr>
      <w:r>
        <w:rPr>
          <w:b/>
          <w:szCs w:val="26"/>
        </w:rPr>
        <w:t xml:space="preserve">Manufacturer incentives for resilient and long-lasting equipment: </w:t>
      </w:r>
      <w:r w:rsidR="008C43C1">
        <w:rPr>
          <w:b/>
          <w:szCs w:val="26"/>
        </w:rPr>
        <w:t xml:space="preserve"> </w:t>
      </w:r>
      <w:r>
        <w:rPr>
          <w:szCs w:val="26"/>
        </w:rPr>
        <w:t xml:space="preserve">As California prepares for catastrophic wildfires, we will need equipment that is more resilient, and designed and installed with adaptive safety features. Low-income households will benefit from equipment with longer expected </w:t>
      </w:r>
      <w:r w:rsidR="002A2043">
        <w:rPr>
          <w:szCs w:val="26"/>
        </w:rPr>
        <w:t xml:space="preserve">useful </w:t>
      </w:r>
      <w:r>
        <w:rPr>
          <w:szCs w:val="26"/>
        </w:rPr>
        <w:t>li</w:t>
      </w:r>
      <w:r w:rsidR="002A2043">
        <w:rPr>
          <w:szCs w:val="26"/>
        </w:rPr>
        <w:t>ves</w:t>
      </w:r>
      <w:r>
        <w:rPr>
          <w:szCs w:val="26"/>
        </w:rPr>
        <w:t xml:space="preserve"> and manufacturer warranties to get the best return on investment.</w:t>
      </w:r>
    </w:p>
    <w:p w14:paraId="10A061B2" w14:textId="37EF8959" w:rsidR="00AF013D" w:rsidRPr="00A714A4" w:rsidRDefault="00AF013D" w:rsidP="00B204BB">
      <w:pPr>
        <w:pStyle w:val="ListParagraph"/>
        <w:numPr>
          <w:ilvl w:val="0"/>
          <w:numId w:val="18"/>
        </w:numPr>
        <w:spacing w:after="120" w:line="240" w:lineRule="auto"/>
        <w:ind w:left="1080" w:right="1440"/>
        <w:contextualSpacing w:val="0"/>
        <w:rPr>
          <w:b/>
          <w:bCs/>
          <w:szCs w:val="26"/>
        </w:rPr>
      </w:pPr>
      <w:r>
        <w:rPr>
          <w:b/>
          <w:bCs/>
          <w:szCs w:val="26"/>
        </w:rPr>
        <w:t xml:space="preserve">Kicker incentives to manufacturers for innovative technology partnerships: </w:t>
      </w:r>
      <w:r w:rsidR="008C43C1">
        <w:rPr>
          <w:b/>
          <w:bCs/>
          <w:szCs w:val="26"/>
        </w:rPr>
        <w:t xml:space="preserve"> </w:t>
      </w:r>
      <w:r w:rsidRPr="007B53CE">
        <w:rPr>
          <w:bCs/>
          <w:szCs w:val="26"/>
        </w:rPr>
        <w:t>The need</w:t>
      </w:r>
      <w:r>
        <w:rPr>
          <w:bCs/>
          <w:szCs w:val="26"/>
        </w:rPr>
        <w:t xml:space="preserve"> for flexible demand side resources means grid-responsive capabilities across multiple integrated systems. </w:t>
      </w:r>
      <w:r w:rsidR="008C43C1">
        <w:rPr>
          <w:bCs/>
          <w:szCs w:val="26"/>
        </w:rPr>
        <w:t xml:space="preserve"> </w:t>
      </w:r>
      <w:r>
        <w:rPr>
          <w:bCs/>
          <w:szCs w:val="26"/>
        </w:rPr>
        <w:t xml:space="preserve">Niche products such as demand-responsive electrical panels and smart battery storage that can seamlessly work with distributed resource-enabled space and water heaters would need program support for integration into </w:t>
      </w:r>
      <w:r w:rsidR="008C43C1">
        <w:rPr>
          <w:bCs/>
          <w:szCs w:val="26"/>
        </w:rPr>
        <w:t>mainstream</w:t>
      </w:r>
      <w:r>
        <w:rPr>
          <w:bCs/>
          <w:szCs w:val="26"/>
        </w:rPr>
        <w:t xml:space="preserve"> market.  </w:t>
      </w:r>
    </w:p>
    <w:p w14:paraId="6D0DA226" w14:textId="769D5D3C" w:rsidR="00AF013D" w:rsidRPr="00A714A4" w:rsidRDefault="00AF013D" w:rsidP="00B204BB">
      <w:pPr>
        <w:pStyle w:val="ListParagraph"/>
        <w:numPr>
          <w:ilvl w:val="0"/>
          <w:numId w:val="18"/>
        </w:numPr>
        <w:spacing w:after="120" w:line="240" w:lineRule="auto"/>
        <w:ind w:left="1080" w:right="1440"/>
        <w:contextualSpacing w:val="0"/>
        <w:rPr>
          <w:szCs w:val="26"/>
        </w:rPr>
      </w:pPr>
      <w:r w:rsidRPr="00A714A4">
        <w:rPr>
          <w:b/>
          <w:szCs w:val="26"/>
        </w:rPr>
        <w:t xml:space="preserve">Bulk purchasing: </w:t>
      </w:r>
      <w:r w:rsidR="008C43C1">
        <w:rPr>
          <w:b/>
          <w:szCs w:val="26"/>
        </w:rPr>
        <w:t xml:space="preserve"> </w:t>
      </w:r>
      <w:r w:rsidRPr="00A714A4">
        <w:rPr>
          <w:szCs w:val="26"/>
        </w:rPr>
        <w:t>This could include working with a utility to purchase a large quantity of appliances in order to take advantage of economies of scale.</w:t>
      </w:r>
    </w:p>
    <w:p w14:paraId="40DAB0CA" w14:textId="0E0EBFBC" w:rsidR="00AF013D" w:rsidRPr="00A714A4" w:rsidRDefault="00AF013D" w:rsidP="00B204BB">
      <w:pPr>
        <w:pStyle w:val="ListParagraph"/>
        <w:numPr>
          <w:ilvl w:val="0"/>
          <w:numId w:val="18"/>
        </w:numPr>
        <w:spacing w:after="120" w:line="240" w:lineRule="auto"/>
        <w:ind w:left="1080" w:right="1440"/>
        <w:contextualSpacing w:val="0"/>
        <w:rPr>
          <w:szCs w:val="26"/>
        </w:rPr>
      </w:pPr>
      <w:r w:rsidRPr="00A714A4">
        <w:rPr>
          <w:b/>
          <w:szCs w:val="26"/>
        </w:rPr>
        <w:t>Local government outreach and advocacy:</w:t>
      </w:r>
      <w:r w:rsidRPr="00A714A4">
        <w:rPr>
          <w:szCs w:val="26"/>
        </w:rPr>
        <w:t xml:space="preserve"> </w:t>
      </w:r>
      <w:r w:rsidR="008C43C1">
        <w:rPr>
          <w:szCs w:val="26"/>
        </w:rPr>
        <w:t xml:space="preserve"> </w:t>
      </w:r>
      <w:r w:rsidRPr="00A714A4">
        <w:rPr>
          <w:szCs w:val="26"/>
        </w:rPr>
        <w:t>This could include educating permitting offices and inspectors on the state regulations for heat pump appliances or partnering with local governments to promote heat pump appliances to their citizens.</w:t>
      </w:r>
    </w:p>
    <w:p w14:paraId="11A45C5F" w14:textId="66DE495D" w:rsidR="00AF013D" w:rsidRPr="00A714A4" w:rsidRDefault="00AF013D" w:rsidP="00B204BB">
      <w:pPr>
        <w:pStyle w:val="ListParagraph"/>
        <w:numPr>
          <w:ilvl w:val="0"/>
          <w:numId w:val="18"/>
        </w:numPr>
        <w:spacing w:after="120" w:line="240" w:lineRule="auto"/>
        <w:ind w:left="1080" w:right="1440"/>
        <w:contextualSpacing w:val="0"/>
        <w:rPr>
          <w:szCs w:val="26"/>
        </w:rPr>
      </w:pPr>
      <w:r w:rsidRPr="00A714A4">
        <w:rPr>
          <w:b/>
          <w:szCs w:val="26"/>
        </w:rPr>
        <w:t>Consumer financing</w:t>
      </w:r>
      <w:r w:rsidRPr="00A714A4">
        <w:rPr>
          <w:szCs w:val="26"/>
        </w:rPr>
        <w:t xml:space="preserve">: </w:t>
      </w:r>
      <w:r w:rsidR="008C43C1">
        <w:rPr>
          <w:szCs w:val="26"/>
        </w:rPr>
        <w:t xml:space="preserve"> </w:t>
      </w:r>
      <w:r w:rsidRPr="00A714A4">
        <w:rPr>
          <w:szCs w:val="26"/>
        </w:rPr>
        <w:t xml:space="preserve">In order to reduce the up-front costs to consumers, the implementer may partner with a bank to </w:t>
      </w:r>
      <w:r w:rsidRPr="00A714A4">
        <w:rPr>
          <w:szCs w:val="26"/>
        </w:rPr>
        <w:lastRenderedPageBreak/>
        <w:t xml:space="preserve">offer loans to customers, or with a utility to offer an on-bill financing program. </w:t>
      </w:r>
    </w:p>
    <w:p w14:paraId="4A901D85" w14:textId="78B16C38" w:rsidR="00AF013D" w:rsidRPr="00A714A4" w:rsidRDefault="00AF013D" w:rsidP="00B204BB">
      <w:pPr>
        <w:pStyle w:val="ListParagraph"/>
        <w:numPr>
          <w:ilvl w:val="0"/>
          <w:numId w:val="18"/>
        </w:numPr>
        <w:spacing w:after="120" w:line="240" w:lineRule="auto"/>
        <w:ind w:left="1080" w:right="1440"/>
        <w:contextualSpacing w:val="0"/>
        <w:rPr>
          <w:szCs w:val="26"/>
        </w:rPr>
      </w:pPr>
      <w:r w:rsidRPr="00A714A4">
        <w:rPr>
          <w:b/>
          <w:szCs w:val="26"/>
        </w:rPr>
        <w:t xml:space="preserve">Buyback programs: </w:t>
      </w:r>
      <w:r w:rsidR="008C43C1">
        <w:rPr>
          <w:b/>
          <w:szCs w:val="26"/>
        </w:rPr>
        <w:t xml:space="preserve"> </w:t>
      </w:r>
      <w:r w:rsidRPr="00A714A4">
        <w:rPr>
          <w:szCs w:val="26"/>
        </w:rPr>
        <w:t>This could include paying a customer to take their high-emissions appliance as part of an incentive program.</w:t>
      </w:r>
    </w:p>
    <w:p w14:paraId="68075405" w14:textId="492B67CD" w:rsidR="00AF013D" w:rsidRPr="00FD6D57" w:rsidRDefault="00AF013D" w:rsidP="00B204BB">
      <w:pPr>
        <w:pStyle w:val="ListParagraph"/>
        <w:numPr>
          <w:ilvl w:val="0"/>
          <w:numId w:val="18"/>
        </w:numPr>
        <w:spacing w:after="120" w:line="240" w:lineRule="auto"/>
        <w:ind w:left="1080" w:right="1440"/>
        <w:contextualSpacing w:val="0"/>
        <w:rPr>
          <w:szCs w:val="26"/>
        </w:rPr>
      </w:pPr>
      <w:r w:rsidRPr="00A714A4">
        <w:rPr>
          <w:b/>
          <w:szCs w:val="26"/>
        </w:rPr>
        <w:t>Layering incentives</w:t>
      </w:r>
      <w:r w:rsidR="00516799">
        <w:rPr>
          <w:b/>
          <w:szCs w:val="26"/>
        </w:rPr>
        <w:t xml:space="preserve"> and financing</w:t>
      </w:r>
      <w:r w:rsidRPr="00A714A4">
        <w:rPr>
          <w:b/>
          <w:szCs w:val="26"/>
        </w:rPr>
        <w:t xml:space="preserve"> from other programs: </w:t>
      </w:r>
      <w:r w:rsidR="008C43C1">
        <w:rPr>
          <w:b/>
          <w:szCs w:val="26"/>
        </w:rPr>
        <w:t xml:space="preserve"> </w:t>
      </w:r>
      <w:r w:rsidR="008C43C1">
        <w:rPr>
          <w:szCs w:val="26"/>
        </w:rPr>
        <w:t>W</w:t>
      </w:r>
      <w:r>
        <w:rPr>
          <w:szCs w:val="26"/>
        </w:rPr>
        <w:t>e</w:t>
      </w:r>
      <w:r w:rsidRPr="00A714A4">
        <w:rPr>
          <w:szCs w:val="26"/>
        </w:rPr>
        <w:t xml:space="preserve"> encourage bidders to consider innovative approaches to layer or stack TECH</w:t>
      </w:r>
      <w:r w:rsidR="001367B4">
        <w:rPr>
          <w:szCs w:val="26"/>
        </w:rPr>
        <w:t xml:space="preserve"> Initiative incentives</w:t>
      </w:r>
      <w:r w:rsidRPr="00A714A4">
        <w:rPr>
          <w:szCs w:val="26"/>
        </w:rPr>
        <w:t xml:space="preserve"> with other programs, such as net energy metering, </w:t>
      </w:r>
      <w:r w:rsidR="001367B4">
        <w:rPr>
          <w:szCs w:val="26"/>
        </w:rPr>
        <w:t xml:space="preserve">the </w:t>
      </w:r>
      <w:r w:rsidRPr="00A714A4">
        <w:rPr>
          <w:szCs w:val="26"/>
        </w:rPr>
        <w:t xml:space="preserve">Self-Generation Incentive Program, Home Upgrade, or </w:t>
      </w:r>
      <w:r w:rsidR="001367B4">
        <w:rPr>
          <w:szCs w:val="26"/>
        </w:rPr>
        <w:t xml:space="preserve">the </w:t>
      </w:r>
      <w:r w:rsidRPr="00A714A4">
        <w:rPr>
          <w:szCs w:val="26"/>
        </w:rPr>
        <w:t>Energy Savings Assistance</w:t>
      </w:r>
      <w:r w:rsidR="001367B4">
        <w:rPr>
          <w:szCs w:val="26"/>
        </w:rPr>
        <w:t xml:space="preserve"> Program</w:t>
      </w:r>
      <w:r w:rsidR="00516799">
        <w:rPr>
          <w:szCs w:val="26"/>
        </w:rPr>
        <w:t>, as well as financing products such as the Residential Energy Efficiency Loan (REEL) program.</w:t>
      </w:r>
    </w:p>
    <w:p w14:paraId="45E4E544" w14:textId="6CBAEA92" w:rsidR="00AF013D" w:rsidRPr="00516799" w:rsidRDefault="00AF013D" w:rsidP="00B204BB">
      <w:pPr>
        <w:pStyle w:val="ListParagraph"/>
        <w:numPr>
          <w:ilvl w:val="0"/>
          <w:numId w:val="18"/>
        </w:numPr>
        <w:spacing w:after="120" w:line="240" w:lineRule="auto"/>
        <w:ind w:left="1080" w:right="1440"/>
        <w:contextualSpacing w:val="0"/>
        <w:rPr>
          <w:b/>
          <w:szCs w:val="26"/>
        </w:rPr>
      </w:pPr>
      <w:bookmarkStart w:id="68" w:name="_Hlk20997552"/>
      <w:r w:rsidRPr="0079017B">
        <w:rPr>
          <w:b/>
          <w:bCs/>
          <w:szCs w:val="26"/>
        </w:rPr>
        <w:t>Quick Start</w:t>
      </w:r>
      <w:r>
        <w:rPr>
          <w:b/>
          <w:bCs/>
          <w:szCs w:val="26"/>
        </w:rPr>
        <w:t xml:space="preserve"> </w:t>
      </w:r>
      <w:r w:rsidR="001367B4">
        <w:rPr>
          <w:b/>
          <w:bCs/>
          <w:szCs w:val="26"/>
        </w:rPr>
        <w:t xml:space="preserve">Grants </w:t>
      </w:r>
      <w:r>
        <w:rPr>
          <w:b/>
          <w:bCs/>
          <w:szCs w:val="26"/>
        </w:rPr>
        <w:t xml:space="preserve">Program: </w:t>
      </w:r>
      <w:r w:rsidR="008C43C1">
        <w:rPr>
          <w:b/>
          <w:bCs/>
          <w:szCs w:val="26"/>
        </w:rPr>
        <w:t xml:space="preserve"> </w:t>
      </w:r>
      <w:r w:rsidRPr="0079017B">
        <w:rPr>
          <w:szCs w:val="26"/>
        </w:rPr>
        <w:t>Un</w:t>
      </w:r>
      <w:r>
        <w:rPr>
          <w:szCs w:val="26"/>
        </w:rPr>
        <w:t>der this program category, the i</w:t>
      </w:r>
      <w:r w:rsidRPr="0079017B">
        <w:rPr>
          <w:szCs w:val="26"/>
        </w:rPr>
        <w:t xml:space="preserve">mplementer will work with a limited carve out of the TECH </w:t>
      </w:r>
      <w:r w:rsidR="001367B4">
        <w:rPr>
          <w:szCs w:val="26"/>
        </w:rPr>
        <w:t xml:space="preserve">Initiative </w:t>
      </w:r>
      <w:r w:rsidRPr="0079017B">
        <w:rPr>
          <w:szCs w:val="26"/>
        </w:rPr>
        <w:t xml:space="preserve">budget over the first two years of the program. </w:t>
      </w:r>
      <w:r w:rsidR="00750E89">
        <w:rPr>
          <w:szCs w:val="26"/>
        </w:rPr>
        <w:t xml:space="preserve"> </w:t>
      </w:r>
      <w:r w:rsidRPr="0079017B">
        <w:rPr>
          <w:szCs w:val="26"/>
        </w:rPr>
        <w:t xml:space="preserve">These funds will be intended to fund localized, vanguard approaches to decarbonization. </w:t>
      </w:r>
      <w:r w:rsidR="008C43C1">
        <w:rPr>
          <w:szCs w:val="26"/>
        </w:rPr>
        <w:t xml:space="preserve"> </w:t>
      </w:r>
      <w:r w:rsidRPr="0079017B">
        <w:rPr>
          <w:szCs w:val="26"/>
        </w:rPr>
        <w:t>This program will consist of a grants program involving the procurement and administration of a portfolio of high</w:t>
      </w:r>
      <w:r w:rsidR="00750E89">
        <w:rPr>
          <w:szCs w:val="26"/>
        </w:rPr>
        <w:noBreakHyphen/>
      </w:r>
      <w:r w:rsidRPr="0079017B">
        <w:rPr>
          <w:szCs w:val="26"/>
        </w:rPr>
        <w:t>impact projects and strategy testing engagements with local, regional and other third-party implementers.</w:t>
      </w:r>
    </w:p>
    <w:p w14:paraId="3341E45B" w14:textId="5056FFC1" w:rsidR="00516799" w:rsidRPr="005C5BE0" w:rsidRDefault="00516799" w:rsidP="00636858">
      <w:pPr>
        <w:pStyle w:val="ListParagraph"/>
        <w:numPr>
          <w:ilvl w:val="0"/>
          <w:numId w:val="18"/>
        </w:numPr>
        <w:spacing w:line="240" w:lineRule="auto"/>
        <w:ind w:left="1080" w:right="1440"/>
        <w:contextualSpacing w:val="0"/>
        <w:rPr>
          <w:szCs w:val="26"/>
        </w:rPr>
      </w:pPr>
      <w:r w:rsidRPr="00940E3F">
        <w:rPr>
          <w:b/>
          <w:szCs w:val="26"/>
        </w:rPr>
        <w:t>Innovation for lower-GWP refrigerants:</w:t>
      </w:r>
      <w:r w:rsidRPr="005C5BE0">
        <w:rPr>
          <w:szCs w:val="26"/>
        </w:rPr>
        <w:t xml:space="preserve"> </w:t>
      </w:r>
      <w:r>
        <w:rPr>
          <w:szCs w:val="26"/>
        </w:rPr>
        <w:t>Using strategic partnerships and leveraging other funding sources</w:t>
      </w:r>
      <w:r w:rsidR="00E33E3F">
        <w:rPr>
          <w:szCs w:val="26"/>
        </w:rPr>
        <w:t xml:space="preserve"> -</w:t>
      </w:r>
      <w:r>
        <w:rPr>
          <w:szCs w:val="26"/>
        </w:rPr>
        <w:t xml:space="preserve"> for instance</w:t>
      </w:r>
      <w:r w:rsidR="00E33E3F">
        <w:rPr>
          <w:szCs w:val="26"/>
        </w:rPr>
        <w:t>,</w:t>
      </w:r>
      <w:r>
        <w:rPr>
          <w:szCs w:val="26"/>
        </w:rPr>
        <w:t xml:space="preserve"> the EPIC program, work with manufacturers to install mid</w:t>
      </w:r>
      <w:r w:rsidR="00E33E3F">
        <w:rPr>
          <w:szCs w:val="26"/>
        </w:rPr>
        <w:t>-</w:t>
      </w:r>
      <w:r w:rsidR="00E61E7F">
        <w:rPr>
          <w:szCs w:val="26"/>
        </w:rPr>
        <w:t>range</w:t>
      </w:r>
      <w:r>
        <w:rPr>
          <w:szCs w:val="26"/>
        </w:rPr>
        <w:t>- or low-</w:t>
      </w:r>
      <w:r w:rsidR="00E61E7F">
        <w:rPr>
          <w:szCs w:val="26"/>
        </w:rPr>
        <w:t xml:space="preserve">range </w:t>
      </w:r>
      <w:r>
        <w:rPr>
          <w:szCs w:val="26"/>
        </w:rPr>
        <w:t>GWP refrigerants in incented appliances.</w:t>
      </w:r>
    </w:p>
    <w:p w14:paraId="59C5DCDF" w14:textId="77777777" w:rsidR="00516799" w:rsidRPr="00636858" w:rsidRDefault="00516799" w:rsidP="00516799">
      <w:pPr>
        <w:spacing w:after="120" w:line="240" w:lineRule="auto"/>
        <w:ind w:right="1440"/>
        <w:rPr>
          <w:b/>
          <w:sz w:val="12"/>
          <w:szCs w:val="12"/>
        </w:rPr>
      </w:pPr>
    </w:p>
    <w:bookmarkEnd w:id="68"/>
    <w:p w14:paraId="135CC36F" w14:textId="3EC2FDCC" w:rsidR="0063583F" w:rsidRPr="00E50745" w:rsidRDefault="00AF013D" w:rsidP="00E61E7F">
      <w:pPr>
        <w:pStyle w:val="Standard"/>
      </w:pPr>
      <w:r>
        <w:t xml:space="preserve">Finally, SB 1477 requires </w:t>
      </w:r>
      <w:r w:rsidR="001367B4">
        <w:t xml:space="preserve">the Commission to ensure that </w:t>
      </w:r>
      <w:r>
        <w:t xml:space="preserve">TECH Initiative </w:t>
      </w:r>
      <w:r w:rsidR="001367B4" w:rsidRPr="00300CED">
        <w:t>implement</w:t>
      </w:r>
      <w:r w:rsidR="001367B4">
        <w:t>ation includes</w:t>
      </w:r>
      <w:r w:rsidR="001367B4" w:rsidRPr="00300CED">
        <w:t xml:space="preserve"> outreach strategies for hard-to-reach customers.</w:t>
      </w:r>
      <w:r w:rsidR="001367B4">
        <w:rPr>
          <w:rStyle w:val="FootnoteReference"/>
        </w:rPr>
        <w:footnoteReference w:id="255"/>
      </w:r>
      <w:r w:rsidR="001367B4">
        <w:t xml:space="preserve">  The</w:t>
      </w:r>
      <w:r>
        <w:t xml:space="preserve"> implementer </w:t>
      </w:r>
      <w:r w:rsidR="001367B4">
        <w:t xml:space="preserve">shall </w:t>
      </w:r>
      <w:r>
        <w:t xml:space="preserve">employ strategies that </w:t>
      </w:r>
      <w:r w:rsidR="001367B4">
        <w:t>target not only hard-to-reach customers, but also those in low-income and disadvantaged communities</w:t>
      </w:r>
      <w:r>
        <w:t>.  These strategies should support long-term market development across these groups</w:t>
      </w:r>
      <w:r w:rsidR="00E943A5">
        <w:t xml:space="preserve"> </w:t>
      </w:r>
      <w:r w:rsidR="00E943A5">
        <w:lastRenderedPageBreak/>
        <w:t>and communities</w:t>
      </w:r>
      <w:r>
        <w:t>.</w:t>
      </w:r>
      <w:r w:rsidR="00516799">
        <w:t xml:space="preserve">  </w:t>
      </w:r>
      <w:r w:rsidR="002A0763">
        <w:t xml:space="preserve">Each bid for the TECH Initiative implementer shall include </w:t>
      </w:r>
      <w:r w:rsidR="00516799">
        <w:t xml:space="preserve"> plans to provide common marketing, education and outreach materials and tactics to support the programs that are already serving low-income populations and those in disadvantaged communities.</w:t>
      </w:r>
      <w:r w:rsidR="00516799">
        <w:rPr>
          <w:rStyle w:val="FootnoteReference"/>
        </w:rPr>
        <w:footnoteReference w:id="256"/>
      </w:r>
      <w:r w:rsidR="00516799">
        <w:t xml:space="preserve">  In addition, </w:t>
      </w:r>
      <w:r w:rsidR="00E61E7F">
        <w:t>b</w:t>
      </w:r>
      <w:r w:rsidR="0063583F">
        <w:t xml:space="preserve">idders shall propose how </w:t>
      </w:r>
      <w:r w:rsidR="00516799">
        <w:t xml:space="preserve">workforce training should focus on low-income residents or those living in disadvantaged communities.  </w:t>
      </w:r>
      <w:r w:rsidR="0063583F">
        <w:t xml:space="preserve">We remind stakeholders that the TECH Initiative is intended to develop the market by working with upstream and midstream actors.  Any resources beyond these market streams is contrary to the intention of SB 1477, and we decline to adopt an approach that is – or could be deployed as – downstream activity.  </w:t>
      </w:r>
      <w:r w:rsidR="00E61E7F">
        <w:t>Finally, we direct Energy Division staff to conduct a workshop, after the adoption of this decision, to focus on stakeholder concern for “fund-stacking.”  From this workshop, Energy Division staff will produce a staff proposal with a framework for how to address funding when combining incentives from separate program budgets</w:t>
      </w:r>
      <w:r w:rsidR="0063583F">
        <w:t xml:space="preserve">. </w:t>
      </w:r>
    </w:p>
    <w:p w14:paraId="556D2198" w14:textId="77777777" w:rsidR="00E50745" w:rsidRDefault="00AF013D" w:rsidP="00AF013D">
      <w:pPr>
        <w:pStyle w:val="Heading2"/>
      </w:pPr>
      <w:bookmarkStart w:id="69" w:name="_Toc32310275"/>
      <w:r>
        <w:t>TECH Initiative Technology Parameters</w:t>
      </w:r>
      <w:bookmarkEnd w:id="69"/>
    </w:p>
    <w:p w14:paraId="56AEADDE" w14:textId="598F4763" w:rsidR="00AF013D" w:rsidRDefault="00AF013D" w:rsidP="00AF013D">
      <w:pPr>
        <w:pStyle w:val="Standard"/>
      </w:pPr>
      <w:r>
        <w:t>Section 922(a)(2)(a) requires the Commission,</w:t>
      </w:r>
      <w:r w:rsidR="002A0763">
        <w:t xml:space="preserve"> as part of</w:t>
      </w:r>
      <w:r>
        <w:t xml:space="preserve"> its supervision of the TECH Initiative, to develop guidelines that include a list of eligible technologies, a process for evaluating new technologies, and a process and set of metrics by which to evaluate and track the TECH </w:t>
      </w:r>
      <w:r w:rsidR="00F170DF">
        <w:t>Initiative</w:t>
      </w:r>
      <w:r>
        <w:t xml:space="preserve"> results. </w:t>
      </w:r>
    </w:p>
    <w:p w14:paraId="0650FBD6" w14:textId="28B2D859" w:rsidR="00AF013D" w:rsidRPr="005538C7" w:rsidRDefault="00AF013D" w:rsidP="00AF013D">
      <w:pPr>
        <w:pStyle w:val="Standard"/>
      </w:pPr>
      <w:r>
        <w:t>In the Scoping Memo and Ruling,</w:t>
      </w:r>
      <w:r>
        <w:rPr>
          <w:rStyle w:val="FootnoteReference"/>
        </w:rPr>
        <w:footnoteReference w:id="257"/>
      </w:r>
      <w:r>
        <w:t xml:space="preserve"> and in a subsequent Administrative Law Judge Ruling,</w:t>
      </w:r>
      <w:r>
        <w:rPr>
          <w:rStyle w:val="FootnoteReference"/>
        </w:rPr>
        <w:footnoteReference w:id="258"/>
      </w:r>
      <w:r>
        <w:t xml:space="preserve"> parties were asked:</w:t>
      </w:r>
      <w:r w:rsidR="00F170DF">
        <w:t xml:space="preserve"> </w:t>
      </w:r>
      <w:r>
        <w:t xml:space="preserve"> (1) what technology eligibility criteria </w:t>
      </w:r>
      <w:r>
        <w:lastRenderedPageBreak/>
        <w:t xml:space="preserve">should be utilized; (2) what process should be utilized for evaluating new technologies; </w:t>
      </w:r>
      <w:r w:rsidR="00E943A5">
        <w:t xml:space="preserve">(3) guidelines for evaluation metrics; </w:t>
      </w:r>
      <w:r>
        <w:t>and (</w:t>
      </w:r>
      <w:r w:rsidR="00E943A5">
        <w:t>4</w:t>
      </w:r>
      <w:r>
        <w:t>) what criteria should be used for scoring and selecting projects.</w:t>
      </w:r>
    </w:p>
    <w:p w14:paraId="6BDA0094" w14:textId="77777777" w:rsidR="00AF013D" w:rsidRDefault="00AF013D" w:rsidP="00AF013D">
      <w:pPr>
        <w:pStyle w:val="Heading3"/>
      </w:pPr>
      <w:bookmarkStart w:id="70" w:name="_Toc32310276"/>
      <w:r>
        <w:t>Staff Proposal Summary</w:t>
      </w:r>
      <w:bookmarkEnd w:id="70"/>
    </w:p>
    <w:p w14:paraId="255524AE" w14:textId="24B2DC23" w:rsidR="00AF013D" w:rsidRDefault="00AF013D" w:rsidP="00AF013D">
      <w:pPr>
        <w:pStyle w:val="Standard"/>
      </w:pPr>
      <w:r>
        <w:t xml:space="preserve">In selecting the eligible technologies for the TECH Initiative, </w:t>
      </w:r>
      <w:r w:rsidR="0063583F">
        <w:t xml:space="preserve">the </w:t>
      </w:r>
      <w:r>
        <w:t xml:space="preserve">Staff </w:t>
      </w:r>
      <w:r w:rsidR="0063583F">
        <w:t xml:space="preserve">Proposal </w:t>
      </w:r>
      <w:r>
        <w:t>recommends that the CEC provide preliminary technology specifications, then work with the selected contractors to finalize all technology eligibility.</w:t>
      </w:r>
      <w:r>
        <w:rPr>
          <w:rStyle w:val="FootnoteReference"/>
        </w:rPr>
        <w:footnoteReference w:id="259"/>
      </w:r>
      <w:r>
        <w:t xml:space="preserve">  The Staff Proposal gives the </w:t>
      </w:r>
      <w:r w:rsidR="00E943A5">
        <w:t xml:space="preserve">Commission </w:t>
      </w:r>
      <w:r>
        <w:t>final approval over technology eligibility specifications.</w:t>
      </w:r>
      <w:r>
        <w:rPr>
          <w:rStyle w:val="FootnoteReference"/>
        </w:rPr>
        <w:footnoteReference w:id="260"/>
      </w:r>
      <w:r>
        <w:t xml:space="preserve">  The Staff Proposal focuses on existing technical specifications for space and water heating equipment, such as the Northeast Energy Efficiency Partnership’s cold-climate air-source heat pump specification.</w:t>
      </w:r>
      <w:r>
        <w:rPr>
          <w:rStyle w:val="FootnoteReference"/>
        </w:rPr>
        <w:footnoteReference w:id="261"/>
      </w:r>
      <w:r>
        <w:t xml:space="preserve">  For water heating, the Staff Proposal recommends utilizing </w:t>
      </w:r>
      <w:r w:rsidR="00E943A5">
        <w:t>the NEEA’s</w:t>
      </w:r>
      <w:r>
        <w:t xml:space="preserve"> performance specification for heat pump water heaters.</w:t>
      </w:r>
      <w:r>
        <w:rPr>
          <w:rStyle w:val="FootnoteReference"/>
        </w:rPr>
        <w:footnoteReference w:id="262"/>
      </w:r>
      <w:r>
        <w:t xml:space="preserve">  The Staff Proposal also recommends that future decision making regarding technology eligibility consider: </w:t>
      </w:r>
      <w:r w:rsidR="00F170DF">
        <w:t xml:space="preserve"> </w:t>
      </w:r>
      <w:r>
        <w:t>(1) GHG reduction potential;</w:t>
      </w:r>
      <w:r w:rsidR="00E943A5" w:rsidRPr="00E943A5">
        <w:rPr>
          <w:rStyle w:val="FootnoteReference"/>
        </w:rPr>
        <w:t xml:space="preserve"> </w:t>
      </w:r>
      <w:r w:rsidR="00E943A5">
        <w:rPr>
          <w:rStyle w:val="FootnoteReference"/>
        </w:rPr>
        <w:footnoteReference w:id="263"/>
      </w:r>
      <w:r>
        <w:t xml:space="preserve"> (2) commercial readiness;</w:t>
      </w:r>
      <w:r w:rsidR="00E943A5" w:rsidRPr="00E943A5">
        <w:rPr>
          <w:rStyle w:val="FootnoteReference"/>
        </w:rPr>
        <w:t xml:space="preserve"> </w:t>
      </w:r>
      <w:r w:rsidR="00E943A5">
        <w:rPr>
          <w:rStyle w:val="FootnoteReference"/>
        </w:rPr>
        <w:footnoteReference w:id="264"/>
      </w:r>
      <w:r>
        <w:t xml:space="preserve"> and (3)</w:t>
      </w:r>
      <w:r w:rsidR="005E5532">
        <w:t> </w:t>
      </w:r>
      <w:r>
        <w:t>equipment and installation costs.</w:t>
      </w:r>
      <w:r>
        <w:rPr>
          <w:rStyle w:val="FootnoteReference"/>
        </w:rPr>
        <w:footnoteReference w:id="265"/>
      </w:r>
    </w:p>
    <w:p w14:paraId="4E6CE4E0" w14:textId="6F38EF84" w:rsidR="00AF013D" w:rsidRDefault="00AF013D" w:rsidP="00AF013D">
      <w:pPr>
        <w:pStyle w:val="Standard"/>
        <w:rPr>
          <w:rFonts w:eastAsia="Times New Roman" w:cs="Times New Roman"/>
        </w:rPr>
      </w:pPr>
      <w:r>
        <w:t xml:space="preserve">Finally, </w:t>
      </w:r>
      <w:r w:rsidR="0063583F">
        <w:t xml:space="preserve">the </w:t>
      </w:r>
      <w:r>
        <w:t>Staff</w:t>
      </w:r>
      <w:r w:rsidR="0063583F">
        <w:t xml:space="preserve"> Proposal</w:t>
      </w:r>
      <w:r>
        <w:t xml:space="preserve"> recommends </w:t>
      </w:r>
      <w:r w:rsidR="00E943A5">
        <w:t xml:space="preserve">targeting </w:t>
      </w:r>
      <w:r>
        <w:t xml:space="preserve">an array of technologies </w:t>
      </w:r>
      <w:r w:rsidR="00E943A5">
        <w:t xml:space="preserve">and approaches for </w:t>
      </w:r>
      <w:r w:rsidRPr="007547B5">
        <w:t xml:space="preserve">the TECH Initiative.  This includes the following: </w:t>
      </w:r>
      <w:r w:rsidR="00F170DF">
        <w:t xml:space="preserve"> </w:t>
      </w:r>
      <w:r w:rsidRPr="007547B5">
        <w:t xml:space="preserve">(1) heat pump HVAC systems in residential low-rise retrofit homes, where central air </w:t>
      </w:r>
      <w:r w:rsidRPr="007547B5">
        <w:lastRenderedPageBreak/>
        <w:t xml:space="preserve">conditioning is warranted or needed; (2) </w:t>
      </w:r>
      <w:r w:rsidRPr="007547B5">
        <w:rPr>
          <w:rFonts w:eastAsia="Times New Roman" w:cs="Times New Roman"/>
        </w:rPr>
        <w:t>HVAC heat pumps to replace space heating currently provided by propane, distillate, or electric resistance heat; (3)</w:t>
      </w:r>
      <w:r w:rsidR="00241E15">
        <w:rPr>
          <w:rFonts w:eastAsia="Times New Roman" w:cs="Times New Roman"/>
        </w:rPr>
        <w:t> </w:t>
      </w:r>
      <w:r w:rsidRPr="007547B5">
        <w:rPr>
          <w:rFonts w:eastAsia="Times New Roman" w:cs="Times New Roman"/>
        </w:rPr>
        <w:t>high efficiency HVAC heat pumps rather than standalone central AC units should be encouraged wherever possible; (4) early replacement program for older</w:t>
      </w:r>
      <w:r w:rsidR="00E943A5">
        <w:rPr>
          <w:rFonts w:eastAsia="Times New Roman" w:cs="Times New Roman"/>
        </w:rPr>
        <w:t xml:space="preserve"> natural</w:t>
      </w:r>
      <w:r w:rsidRPr="007547B5">
        <w:rPr>
          <w:rFonts w:eastAsia="Times New Roman" w:cs="Times New Roman"/>
        </w:rPr>
        <w:t xml:space="preserve"> gas furnaces and </w:t>
      </w:r>
      <w:r w:rsidR="00E943A5">
        <w:rPr>
          <w:rFonts w:eastAsia="Times New Roman" w:cs="Times New Roman"/>
        </w:rPr>
        <w:t xml:space="preserve">natural </w:t>
      </w:r>
      <w:r w:rsidRPr="007547B5">
        <w:rPr>
          <w:rFonts w:eastAsia="Times New Roman" w:cs="Times New Roman"/>
        </w:rPr>
        <w:t>gas water heaters should be considered; and (5) incentives and low-cost financing targeted to landlords and low-income consumers to overcome capital cost barriers and ensure that clean energy benefits are enjoyed by all communities.</w:t>
      </w:r>
      <w:r>
        <w:rPr>
          <w:rStyle w:val="FootnoteReference"/>
          <w:rFonts w:eastAsia="Times New Roman" w:cs="Times New Roman"/>
        </w:rPr>
        <w:footnoteReference w:id="266"/>
      </w:r>
    </w:p>
    <w:p w14:paraId="42955205" w14:textId="77777777" w:rsidR="00AF013D" w:rsidRDefault="00AF013D" w:rsidP="00AF013D">
      <w:pPr>
        <w:pStyle w:val="Heading3"/>
      </w:pPr>
      <w:bookmarkStart w:id="71" w:name="_Toc32310277"/>
      <w:r>
        <w:t>Parties Positions</w:t>
      </w:r>
      <w:bookmarkEnd w:id="71"/>
    </w:p>
    <w:p w14:paraId="75787230" w14:textId="494CBFE7" w:rsidR="00AF013D" w:rsidRDefault="00AF013D" w:rsidP="00AF013D">
      <w:pPr>
        <w:pStyle w:val="Standard"/>
      </w:pPr>
      <w:r>
        <w:t xml:space="preserve">Joint Environmentals support the elements of </w:t>
      </w:r>
      <w:r w:rsidR="0063583F">
        <w:t xml:space="preserve">the </w:t>
      </w:r>
      <w:r>
        <w:t>Staff</w:t>
      </w:r>
      <w:r w:rsidR="0063583F">
        <w:t xml:space="preserve"> P</w:t>
      </w:r>
      <w:r>
        <w:t>roposal</w:t>
      </w:r>
      <w:r w:rsidR="0063583F">
        <w:t xml:space="preserve">’s technology parameter </w:t>
      </w:r>
      <w:r w:rsidR="00E61E7F">
        <w:t>recommendations but</w:t>
      </w:r>
      <w:r>
        <w:t xml:space="preserve"> caution that leveraging certain technical specifications (</w:t>
      </w:r>
      <w:r w:rsidRPr="00075B2A">
        <w:rPr>
          <w:i/>
          <w:iCs/>
        </w:rPr>
        <w:t>i.e.,</w:t>
      </w:r>
      <w:r>
        <w:t xml:space="preserve"> cold climate heat pump) may not be needed everywhere and the Commission should not predetermine how the implementer should target TECH</w:t>
      </w:r>
      <w:r w:rsidR="00E943A5">
        <w:t xml:space="preserve"> Initiative</w:t>
      </w:r>
      <w:r>
        <w:t xml:space="preserve"> funding.</w:t>
      </w:r>
      <w:r>
        <w:rPr>
          <w:rStyle w:val="FootnoteReference"/>
        </w:rPr>
        <w:footnoteReference w:id="267"/>
      </w:r>
      <w:r>
        <w:t xml:space="preserve">  Cal Advocates also agrees that </w:t>
      </w:r>
      <w:r w:rsidR="0063583F">
        <w:t xml:space="preserve">the </w:t>
      </w:r>
      <w:r>
        <w:t>Staff</w:t>
      </w:r>
      <w:r w:rsidR="0063583F">
        <w:t xml:space="preserve"> Proposal’s</w:t>
      </w:r>
      <w:r>
        <w:t xml:space="preserve"> technology eligibility criteria is reasonable but adds that it is beneficial for market transformation goals if the TECH Initiative implement</w:t>
      </w:r>
      <w:r w:rsidR="00E943A5">
        <w:t>e</w:t>
      </w:r>
      <w:r>
        <w:t>r focuses on technologies with a large market potential, leaving technologies aimed at smaller market niches for later efforts.</w:t>
      </w:r>
      <w:r>
        <w:rPr>
          <w:rStyle w:val="FootnoteReference"/>
        </w:rPr>
        <w:footnoteReference w:id="268"/>
      </w:r>
      <w:r>
        <w:t xml:space="preserve">  </w:t>
      </w:r>
    </w:p>
    <w:p w14:paraId="28C19C9E" w14:textId="206AE806" w:rsidR="00AF013D" w:rsidRDefault="00AF013D" w:rsidP="00AF013D">
      <w:pPr>
        <w:pStyle w:val="Standard"/>
      </w:pPr>
      <w:r>
        <w:t xml:space="preserve">CHBC disagrees with some of </w:t>
      </w:r>
      <w:r w:rsidR="0063583F">
        <w:t xml:space="preserve">the Staff Proposal’s </w:t>
      </w:r>
      <w:r>
        <w:t>recommendations, arguing that hydrogen should be considered</w:t>
      </w:r>
      <w:r>
        <w:rPr>
          <w:rStyle w:val="FootnoteReference"/>
        </w:rPr>
        <w:footnoteReference w:id="269"/>
      </w:r>
      <w:r>
        <w:t xml:space="preserve"> while EDF supports an emphasis on market ready technologies like water heating technologies that require little </w:t>
      </w:r>
      <w:r>
        <w:lastRenderedPageBreak/>
        <w:t xml:space="preserve">electrical panel work for conversion from </w:t>
      </w:r>
      <w:r w:rsidR="00E943A5">
        <w:t xml:space="preserve">a natural </w:t>
      </w:r>
      <w:r>
        <w:t xml:space="preserve">gas </w:t>
      </w:r>
      <w:r w:rsidR="00E943A5">
        <w:t>system</w:t>
      </w:r>
      <w:r>
        <w:t>.</w:t>
      </w:r>
      <w:r>
        <w:rPr>
          <w:rStyle w:val="FootnoteReference"/>
        </w:rPr>
        <w:footnoteReference w:id="270"/>
      </w:r>
      <w:r>
        <w:t xml:space="preserve">  SWG also argues for consideration of additional heating technologies – like solar thermal, gas heat pump technologies, low-NOx technologies and renewable natural gas.</w:t>
      </w:r>
      <w:r>
        <w:rPr>
          <w:rStyle w:val="FootnoteReference"/>
        </w:rPr>
        <w:footnoteReference w:id="271"/>
      </w:r>
    </w:p>
    <w:p w14:paraId="26A21292" w14:textId="6644EAB4" w:rsidR="00AF013D" w:rsidRDefault="00AF013D" w:rsidP="00AF013D">
      <w:pPr>
        <w:pStyle w:val="Standard"/>
      </w:pPr>
      <w:r>
        <w:t xml:space="preserve">VEIC argues that the TECH </w:t>
      </w:r>
      <w:r w:rsidR="00745293">
        <w:t xml:space="preserve">Initiative </w:t>
      </w:r>
      <w:r>
        <w:t>should emphasize heat pump technologies for space and heating.</w:t>
      </w:r>
      <w:r>
        <w:rPr>
          <w:rStyle w:val="FootnoteReference"/>
        </w:rPr>
        <w:footnoteReference w:id="272"/>
      </w:r>
      <w:r>
        <w:t xml:space="preserve">  Specifically, VEIC suggests: </w:t>
      </w:r>
      <w:r w:rsidR="00FE2EF5">
        <w:t xml:space="preserve"> </w:t>
      </w:r>
      <w:r>
        <w:t>(1)</w:t>
      </w:r>
      <w:r w:rsidR="00FE2EF5">
        <w:t> </w:t>
      </w:r>
      <w:r>
        <w:t>retrofit</w:t>
      </w:r>
      <w:r w:rsidR="00FE2EF5">
        <w:noBreakHyphen/>
      </w:r>
      <w:r>
        <w:t>ready technologies and specifications suitable for the California market, like low-amperage and low-wattage water heaters and space heaters that do not rely on electric resistant backup; and (2) technologies with specific application to low-income households, such as replacements for swamp coolers.</w:t>
      </w:r>
      <w:r>
        <w:rPr>
          <w:rStyle w:val="FootnoteReference"/>
        </w:rPr>
        <w:footnoteReference w:id="273"/>
      </w:r>
      <w:r>
        <w:t xml:space="preserve">  </w:t>
      </w:r>
    </w:p>
    <w:p w14:paraId="32AF3538" w14:textId="2A79E806" w:rsidR="00AF013D" w:rsidRDefault="00AF013D" w:rsidP="00AF013D">
      <w:pPr>
        <w:pStyle w:val="Standard"/>
      </w:pPr>
      <w:r>
        <w:t>CBIA cautions against supporting heat pump water heaters because they are typically more expensive per unit and have high operating costs.</w:t>
      </w:r>
      <w:r>
        <w:rPr>
          <w:rStyle w:val="FootnoteReference"/>
        </w:rPr>
        <w:footnoteReference w:id="274"/>
      </w:r>
      <w:r>
        <w:t xml:space="preserve">  The Partnership </w:t>
      </w:r>
      <w:r w:rsidR="00745293">
        <w:t>encourages</w:t>
      </w:r>
      <w:r>
        <w:t xml:space="preserve"> low-cost technologies that help achieve high savings to ensure that the technologies are accessible.</w:t>
      </w:r>
      <w:r>
        <w:rPr>
          <w:rStyle w:val="FootnoteReference"/>
        </w:rPr>
        <w:footnoteReference w:id="275"/>
      </w:r>
    </w:p>
    <w:p w14:paraId="06997871" w14:textId="21C6E567" w:rsidR="00AF013D" w:rsidRDefault="00AF013D" w:rsidP="00AF013D">
      <w:pPr>
        <w:pStyle w:val="Standard"/>
      </w:pPr>
      <w:r>
        <w:t>W</w:t>
      </w:r>
      <w:r w:rsidR="00745293">
        <w:t xml:space="preserve">ild </w:t>
      </w:r>
      <w:r>
        <w:t>T</w:t>
      </w:r>
      <w:r w:rsidR="00745293">
        <w:t xml:space="preserve">ree </w:t>
      </w:r>
      <w:r>
        <w:t>F</w:t>
      </w:r>
      <w:r w:rsidR="00745293">
        <w:t>oundation</w:t>
      </w:r>
      <w:r>
        <w:t xml:space="preserve"> argues for highly efficient heat pumps utilizing natural, non-GHG emitting refrigerants, low cost solar thermal water heating systems, and efficient space heat pump that works in climate extremes of both heat and cold.</w:t>
      </w:r>
      <w:r>
        <w:rPr>
          <w:rStyle w:val="FootnoteReference"/>
        </w:rPr>
        <w:footnoteReference w:id="276"/>
      </w:r>
    </w:p>
    <w:p w14:paraId="3926CDD2" w14:textId="6B9E578C" w:rsidR="00CC3C7D" w:rsidRPr="007E7AEA" w:rsidRDefault="00AF013D" w:rsidP="002A0763">
      <w:pPr>
        <w:pStyle w:val="Standard"/>
      </w:pPr>
      <w:r>
        <w:lastRenderedPageBreak/>
        <w:t xml:space="preserve">PG&amp;E recommends that the Commission require an evaluation plan with </w:t>
      </w:r>
      <w:r w:rsidR="00745293">
        <w:t xml:space="preserve">a </w:t>
      </w:r>
      <w:r>
        <w:t>program design to maximize the program evaluation’s usefulness.</w:t>
      </w:r>
      <w:r>
        <w:rPr>
          <w:rStyle w:val="FootnoteReference"/>
        </w:rPr>
        <w:footnoteReference w:id="277"/>
      </w:r>
    </w:p>
    <w:p w14:paraId="618EE19D" w14:textId="5DAD7050" w:rsidR="00AF013D" w:rsidRDefault="00AF013D" w:rsidP="00AF013D">
      <w:pPr>
        <w:pStyle w:val="Heading3"/>
      </w:pPr>
      <w:bookmarkStart w:id="72" w:name="_Toc32310278"/>
      <w:r>
        <w:t xml:space="preserve">Analysis: The TECH Initiative Implementer Shall Select Eligible Technologies </w:t>
      </w:r>
      <w:r w:rsidR="00745293">
        <w:t>W</w:t>
      </w:r>
      <w:r>
        <w:t>ith a Performance-based Approach on GHG Emission Reduction Baselines to Best Meet Program Goals</w:t>
      </w:r>
      <w:bookmarkEnd w:id="72"/>
      <w:r>
        <w:t xml:space="preserve"> </w:t>
      </w:r>
    </w:p>
    <w:p w14:paraId="56A555DC" w14:textId="35129787" w:rsidR="00AF013D" w:rsidRDefault="00AF013D" w:rsidP="00CC3C7D">
      <w:pPr>
        <w:pStyle w:val="Standard"/>
        <w:ind w:firstLine="0"/>
        <w:rPr>
          <w:iCs/>
        </w:rPr>
      </w:pPr>
      <w:r>
        <w:rPr>
          <w:iCs/>
        </w:rPr>
        <w:t xml:space="preserve">We direct the TECH </w:t>
      </w:r>
      <w:r w:rsidR="00745293">
        <w:rPr>
          <w:iCs/>
        </w:rPr>
        <w:t xml:space="preserve">Initiative </w:t>
      </w:r>
      <w:r>
        <w:rPr>
          <w:iCs/>
        </w:rPr>
        <w:t xml:space="preserve">implementer to leverage existing technical specifications where possible and in doing so, delegate it the discretion to determine that such specifications may not be needed everywhere.  In other words, we provide the implementer flexibility in setting technology criteria, allowing for adjustments to be made as advanced low-emission technologies become commercially available.  </w:t>
      </w:r>
      <w:r w:rsidR="00CC3C7D">
        <w:rPr>
          <w:iCs/>
        </w:rPr>
        <w:t>The selected implementer shall work with Energy Division and the CEC to finalize all technology eligibility requirements as needed.  Energy Division shall have final approval over these specifications.</w:t>
      </w:r>
    </w:p>
    <w:p w14:paraId="1FDBB1F0" w14:textId="2716DAC5" w:rsidR="00AF013D" w:rsidRDefault="00AF013D" w:rsidP="00AF013D">
      <w:pPr>
        <w:pStyle w:val="Standard"/>
        <w:rPr>
          <w:iCs/>
        </w:rPr>
      </w:pPr>
      <w:r>
        <w:rPr>
          <w:iCs/>
        </w:rPr>
        <w:t xml:space="preserve">We decline to adopt an approach that could single out any particular product, which could stymie innovation in this emerging market.  Therefore, rather than having a list of eligible equipment and products, we </w:t>
      </w:r>
      <w:r w:rsidR="00A00A6C">
        <w:rPr>
          <w:iCs/>
        </w:rPr>
        <w:t>adopt</w:t>
      </w:r>
      <w:r>
        <w:rPr>
          <w:iCs/>
        </w:rPr>
        <w:t xml:space="preserve"> a performance-based approach on GHG emission reduction baselines.  When submitting bids to serve as the TECH Initiative implementer, bidders shall propose which technologies would best meet program goals and only include technologies that are eligible for other programs if they provide evidence.  Additionally, </w:t>
      </w:r>
      <w:r w:rsidR="00745293">
        <w:rPr>
          <w:iCs/>
        </w:rPr>
        <w:t xml:space="preserve">special </w:t>
      </w:r>
      <w:r>
        <w:rPr>
          <w:iCs/>
        </w:rPr>
        <w:t>consideration shall be given to technologies that are grid</w:t>
      </w:r>
      <w:r w:rsidR="00935F9F">
        <w:rPr>
          <w:iCs/>
        </w:rPr>
        <w:noBreakHyphen/>
      </w:r>
      <w:r>
        <w:rPr>
          <w:iCs/>
        </w:rPr>
        <w:t xml:space="preserve">enabled, have a high market-potential, and </w:t>
      </w:r>
      <w:r w:rsidR="00745293">
        <w:rPr>
          <w:iCs/>
        </w:rPr>
        <w:t xml:space="preserve">that improve the health and safety of, and energy affordability for, low-income </w:t>
      </w:r>
      <w:r w:rsidR="00935F9F">
        <w:rPr>
          <w:iCs/>
        </w:rPr>
        <w:t>households</w:t>
      </w:r>
      <w:r>
        <w:rPr>
          <w:iCs/>
        </w:rPr>
        <w:t>.</w:t>
      </w:r>
      <w:r w:rsidR="00721804" w:rsidRPr="00721804">
        <w:rPr>
          <w:rStyle w:val="FootnoteReference"/>
          <w:iCs/>
        </w:rPr>
        <w:t xml:space="preserve"> </w:t>
      </w:r>
      <w:r w:rsidR="00721804">
        <w:rPr>
          <w:rStyle w:val="FootnoteReference"/>
          <w:iCs/>
        </w:rPr>
        <w:footnoteReference w:id="278"/>
      </w:r>
      <w:r w:rsidR="00721804">
        <w:rPr>
          <w:iCs/>
        </w:rPr>
        <w:t xml:space="preserve"> </w:t>
      </w:r>
      <w:r>
        <w:rPr>
          <w:iCs/>
        </w:rPr>
        <w:t xml:space="preserve"> Bidders are </w:t>
      </w:r>
      <w:r>
        <w:rPr>
          <w:iCs/>
        </w:rPr>
        <w:lastRenderedPageBreak/>
        <w:t xml:space="preserve">directed to explain their strategy for technology selection in the RFP process, and also explain what strategy they would not pursue and why. </w:t>
      </w:r>
    </w:p>
    <w:p w14:paraId="4A4615EF" w14:textId="413A93C1" w:rsidR="00AF013D" w:rsidRDefault="00AF013D" w:rsidP="00AF013D">
      <w:pPr>
        <w:pStyle w:val="Standard"/>
        <w:rPr>
          <w:iCs/>
        </w:rPr>
      </w:pPr>
      <w:bookmarkStart w:id="73" w:name="_Hlk21349007"/>
      <w:r>
        <w:rPr>
          <w:iCs/>
        </w:rPr>
        <w:t>We decline to adopt the recommendations by SWG, SoCalGas, and CHBC for the inclusion of renewable natural gas and hydrogen into these pilot programs</w:t>
      </w:r>
      <w:r w:rsidR="00CC3C7D">
        <w:rPr>
          <w:iCs/>
        </w:rPr>
        <w:t>.</w:t>
      </w:r>
      <w:r>
        <w:rPr>
          <w:iCs/>
        </w:rPr>
        <w:t xml:space="preserve"> </w:t>
      </w:r>
      <w:r w:rsidR="00275240">
        <w:rPr>
          <w:iCs/>
        </w:rPr>
        <w:t xml:space="preserve">SB 1477 is focused on </w:t>
      </w:r>
      <w:r>
        <w:rPr>
          <w:iCs/>
        </w:rPr>
        <w:t>advancing the state’s market for low</w:t>
      </w:r>
      <w:r w:rsidR="005411BC">
        <w:rPr>
          <w:iCs/>
        </w:rPr>
        <w:noBreakHyphen/>
      </w:r>
      <w:r>
        <w:rPr>
          <w:iCs/>
        </w:rPr>
        <w:t>emission space and water heating equipment for new and existing residential and non-residential buildings through consumer education, contractor</w:t>
      </w:r>
      <w:r w:rsidR="00745293">
        <w:rPr>
          <w:iCs/>
        </w:rPr>
        <w:t xml:space="preserve"> training,</w:t>
      </w:r>
      <w:r w:rsidR="00935F9F">
        <w:rPr>
          <w:iCs/>
        </w:rPr>
        <w:t xml:space="preserve"> </w:t>
      </w:r>
      <w:r>
        <w:rPr>
          <w:iCs/>
        </w:rPr>
        <w:t>vendor training</w:t>
      </w:r>
      <w:r w:rsidR="00745293">
        <w:rPr>
          <w:iCs/>
        </w:rPr>
        <w:t>,</w:t>
      </w:r>
      <w:r>
        <w:rPr>
          <w:iCs/>
        </w:rPr>
        <w:t xml:space="preserve"> and the provision of upstream and midstream incentives</w:t>
      </w:r>
      <w:r w:rsidR="00745293">
        <w:rPr>
          <w:iCs/>
        </w:rPr>
        <w:t>,</w:t>
      </w:r>
      <w:r>
        <w:rPr>
          <w:rStyle w:val="FootnoteReference"/>
          <w:iCs/>
        </w:rPr>
        <w:footnoteReference w:id="279"/>
      </w:r>
      <w:r>
        <w:rPr>
          <w:iCs/>
        </w:rPr>
        <w:t xml:space="preserve"> -  not on </w:t>
      </w:r>
      <w:r w:rsidR="00A00A6C">
        <w:rPr>
          <w:iCs/>
        </w:rPr>
        <w:t xml:space="preserve">particularized </w:t>
      </w:r>
      <w:r>
        <w:rPr>
          <w:iCs/>
        </w:rPr>
        <w:t>infrastructure or</w:t>
      </w:r>
      <w:r w:rsidR="00745293">
        <w:rPr>
          <w:iCs/>
        </w:rPr>
        <w:t xml:space="preserve"> </w:t>
      </w:r>
      <w:r>
        <w:rPr>
          <w:iCs/>
        </w:rPr>
        <w:t xml:space="preserve">fuels. </w:t>
      </w:r>
    </w:p>
    <w:bookmarkEnd w:id="73"/>
    <w:p w14:paraId="7DC4522E" w14:textId="33C35E8E" w:rsidR="00AF013D" w:rsidRPr="009A122F" w:rsidRDefault="00AF013D" w:rsidP="009A122F">
      <w:pPr>
        <w:pStyle w:val="Standard"/>
        <w:rPr>
          <w:iCs/>
        </w:rPr>
      </w:pPr>
      <w:r>
        <w:rPr>
          <w:iCs/>
        </w:rPr>
        <w:t xml:space="preserve">Finally, </w:t>
      </w:r>
      <w:bookmarkStart w:id="74" w:name="_Hlk21349048"/>
      <w:r>
        <w:rPr>
          <w:iCs/>
        </w:rPr>
        <w:t>we direct the implementer to use its discretion to determine the most promising geographic target areas for a focused TECH Initiative effort</w:t>
      </w:r>
      <w:bookmarkEnd w:id="74"/>
      <w:r>
        <w:rPr>
          <w:iCs/>
        </w:rPr>
        <w:t>, within the regional requirements required by CARB regulations for Cap</w:t>
      </w:r>
      <w:r w:rsidR="00447AD6">
        <w:rPr>
          <w:iCs/>
        </w:rPr>
        <w:noBreakHyphen/>
      </w:r>
      <w:r>
        <w:rPr>
          <w:iCs/>
        </w:rPr>
        <w:t>and</w:t>
      </w:r>
      <w:r w:rsidR="00447AD6">
        <w:rPr>
          <w:iCs/>
        </w:rPr>
        <w:noBreakHyphen/>
      </w:r>
      <w:r>
        <w:rPr>
          <w:iCs/>
        </w:rPr>
        <w:t xml:space="preserve">Trade funding.  We agree with Joint Environmentals that targeting program funds can help achieve critical mass in certain markets and better jump start market </w:t>
      </w:r>
      <w:r w:rsidR="00745293">
        <w:rPr>
          <w:iCs/>
        </w:rPr>
        <w:t>development</w:t>
      </w:r>
      <w:r>
        <w:rPr>
          <w:iCs/>
        </w:rPr>
        <w:t xml:space="preserve">.  We acknowledge that due to climate change, an increased </w:t>
      </w:r>
      <w:r w:rsidR="00275240">
        <w:rPr>
          <w:iCs/>
        </w:rPr>
        <w:t>number</w:t>
      </w:r>
      <w:r w:rsidR="00A00A6C">
        <w:rPr>
          <w:iCs/>
        </w:rPr>
        <w:t xml:space="preserve"> and higher intensity </w:t>
      </w:r>
      <w:r>
        <w:rPr>
          <w:iCs/>
        </w:rPr>
        <w:t>of heat waves is affecting many areas of the state – including the Central Valley, which experiences hotter summers and colder winters than coastal areas.  Given the changing climate and the diversity of the state, we grant the implementer the flexibility to identify the most promising geographic target areas for a focused TECH Initiative implementation.</w:t>
      </w:r>
    </w:p>
    <w:p w14:paraId="6F919F2D" w14:textId="77777777" w:rsidR="00FA1B4F" w:rsidRDefault="005939A5" w:rsidP="00FA1B4F">
      <w:pPr>
        <w:pStyle w:val="Heading1"/>
      </w:pPr>
      <w:bookmarkStart w:id="75" w:name="_Toc8123721"/>
      <w:bookmarkStart w:id="76" w:name="_Toc12866692"/>
      <w:bookmarkStart w:id="77" w:name="_Toc32310279"/>
      <w:r>
        <w:t>Conclusion</w:t>
      </w:r>
      <w:bookmarkEnd w:id="75"/>
      <w:bookmarkEnd w:id="76"/>
      <w:bookmarkEnd w:id="77"/>
    </w:p>
    <w:p w14:paraId="7EC1F120" w14:textId="4DEACB8F" w:rsidR="0063583F" w:rsidRDefault="00AF013D" w:rsidP="00AF013D">
      <w:pPr>
        <w:pStyle w:val="Standard"/>
      </w:pPr>
      <w:r>
        <w:t>In summary, this decision establishes a framework for Commission oversight of SB 1477’s two building decarbonization pilot programs.  SB 1477 makes available</w:t>
      </w:r>
      <w:r w:rsidR="00745293">
        <w:t xml:space="preserve"> a pool of</w:t>
      </w:r>
      <w:r>
        <w:t xml:space="preserve"> $200 million</w:t>
      </w:r>
      <w:r w:rsidR="00745293">
        <w:t xml:space="preserve">, collected </w:t>
      </w:r>
      <w:r w:rsidR="00E61E7F">
        <w:t xml:space="preserve">over </w:t>
      </w:r>
      <w:r w:rsidR="00745293">
        <w:t>four</w:t>
      </w:r>
      <w:r w:rsidR="00E61E7F">
        <w:t xml:space="preserve"> years in increments </w:t>
      </w:r>
      <w:r w:rsidR="00745293">
        <w:t xml:space="preserve"> </w:t>
      </w:r>
      <w:r w:rsidR="00E61E7F">
        <w:lastRenderedPageBreak/>
        <w:t xml:space="preserve">totaling </w:t>
      </w:r>
      <w:r w:rsidR="00745293">
        <w:t>$50 million annual</w:t>
      </w:r>
      <w:r w:rsidR="00E61E7F">
        <w:t>ly</w:t>
      </w:r>
      <w:r w:rsidR="00745293">
        <w:t xml:space="preserve"> starting in FY 2019-20 and ending in FY 2022-23,</w:t>
      </w:r>
      <w:r>
        <w:t xml:space="preserve"> </w:t>
      </w:r>
      <w:r w:rsidR="00745293">
        <w:t xml:space="preserve">and </w:t>
      </w:r>
      <w:r>
        <w:t xml:space="preserve">derived from the revenue generated from the GHG allowances directly allocated to gas corporations and consigned to auction as part of the </w:t>
      </w:r>
      <w:r w:rsidR="00745293">
        <w:t xml:space="preserve">California’s </w:t>
      </w:r>
      <w:r>
        <w:t xml:space="preserve">Cap-and-Trade program, from 2019-2023.  We appropriate </w:t>
      </w:r>
      <w:r w:rsidR="00745293">
        <w:t>40</w:t>
      </w:r>
      <w:r>
        <w:t xml:space="preserve">-percent of the $200 million budget for the BUILD Program and </w:t>
      </w:r>
      <w:r w:rsidR="00D3626A">
        <w:t>sixty percent</w:t>
      </w:r>
      <w:r>
        <w:t xml:space="preserve"> for the TECH Initiative.</w:t>
      </w:r>
      <w:r w:rsidR="00550ADA">
        <w:t xml:space="preserve"> </w:t>
      </w:r>
      <w:r>
        <w:t xml:space="preserve"> To comply with Cap-and-Trade rules, the spending for the BUILD Program and the TECH Initiative shall be proportionally directed to the gas corporation service territories where the funds are derived.</w:t>
      </w:r>
      <w:r>
        <w:rPr>
          <w:rStyle w:val="FootnoteReference"/>
        </w:rPr>
        <w:footnoteReference w:id="280"/>
      </w:r>
      <w:r>
        <w:t xml:space="preserve">  The percentage allocation for each gas corporation service territory is discussed above. </w:t>
      </w:r>
    </w:p>
    <w:p w14:paraId="409473EA" w14:textId="7A674102" w:rsidR="00AF013D" w:rsidRDefault="0063583F" w:rsidP="00E61E7F">
      <w:pPr>
        <w:pStyle w:val="Standard"/>
      </w:pPr>
      <w:r>
        <w:t>Any spending for the BUILD Program and the TECH Initiative with</w:t>
      </w:r>
      <w:r w:rsidRPr="006079B9">
        <w:t xml:space="preserve"> statewide or cross-territory benefits</w:t>
      </w:r>
      <w:r>
        <w:t>, including but not limited to administrative and evaluation spending,</w:t>
      </w:r>
      <w:r w:rsidRPr="006079B9">
        <w:t xml:space="preserve"> sh</w:t>
      </w:r>
      <w:r>
        <w:t>all</w:t>
      </w:r>
      <w:r w:rsidRPr="006079B9">
        <w:t xml:space="preserve"> be attributed to the gas </w:t>
      </w:r>
      <w:r>
        <w:t xml:space="preserve">corporation service </w:t>
      </w:r>
      <w:r w:rsidRPr="006079B9">
        <w:t>territories in proportion to their original funding contribution</w:t>
      </w:r>
      <w:r>
        <w:t>.</w:t>
      </w:r>
      <w:r w:rsidR="00AF013D">
        <w:t xml:space="preserve"> </w:t>
      </w:r>
      <w:r w:rsidR="00AF013D" w:rsidRPr="008E7167">
        <w:t xml:space="preserve">To the extent </w:t>
      </w:r>
      <w:r w:rsidR="00AF013D">
        <w:t xml:space="preserve">that </w:t>
      </w:r>
      <w:r w:rsidR="00AF013D" w:rsidRPr="008E7167">
        <w:t xml:space="preserve">there are unspent </w:t>
      </w:r>
      <w:r w:rsidR="00745293">
        <w:t>GHG</w:t>
      </w:r>
      <w:r w:rsidR="00AF013D">
        <w:t xml:space="preserve"> </w:t>
      </w:r>
      <w:r w:rsidR="00AF013D" w:rsidRPr="008E7167">
        <w:t xml:space="preserve">allowance proceeds </w:t>
      </w:r>
      <w:r w:rsidR="00AF013D">
        <w:t>allocated for an individual gas corporation’s service territory,</w:t>
      </w:r>
      <w:r w:rsidR="00AF013D" w:rsidRPr="008E7167">
        <w:t xml:space="preserve"> and no remaining eligible projects within that service territory, the remaining </w:t>
      </w:r>
      <w:r w:rsidR="00745293">
        <w:t xml:space="preserve">GHG </w:t>
      </w:r>
      <w:r w:rsidR="00AF013D" w:rsidRPr="008E7167">
        <w:t xml:space="preserve">allowance proceeds may be spent </w:t>
      </w:r>
      <w:r>
        <w:t>outside of that gas corporation’s service territory starting</w:t>
      </w:r>
      <w:r w:rsidR="00AF013D">
        <w:t xml:space="preserve"> two years </w:t>
      </w:r>
      <w:r>
        <w:t xml:space="preserve">after program </w:t>
      </w:r>
      <w:r w:rsidR="00AF013D">
        <w:t>implementation.</w:t>
      </w:r>
      <w:r w:rsidR="00E61E7F">
        <w:t xml:space="preserve"> </w:t>
      </w:r>
      <w:r w:rsidR="00E61E7F" w:rsidRPr="004C768F">
        <w:t>Any unspent funds remaining on July 1, 20</w:t>
      </w:r>
      <w:r w:rsidR="00E61E7F">
        <w:t>3</w:t>
      </w:r>
      <w:r w:rsidR="00E61E7F" w:rsidRPr="004C768F">
        <w:t xml:space="preserve">3 shall </w:t>
      </w:r>
      <w:r w:rsidR="00E61E7F" w:rsidRPr="00D8128F">
        <w:t xml:space="preserve">be returned to the ratepayers of the respective gas corporations </w:t>
      </w:r>
      <w:r w:rsidR="00E61E7F">
        <w:t>as part of the California Climate Credit</w:t>
      </w:r>
      <w:r w:rsidR="00E61E7F" w:rsidRPr="004C768F">
        <w:t>.</w:t>
      </w:r>
    </w:p>
    <w:p w14:paraId="10ADA050" w14:textId="6368A361" w:rsidR="00DD0B03" w:rsidRDefault="00AF013D" w:rsidP="00DD0B03">
      <w:pPr>
        <w:pStyle w:val="Standard"/>
      </w:pPr>
      <w:r>
        <w:t xml:space="preserve">The BUILD Program shall be administered by the CEC, with Commission oversight.  We direct the CEC to design the BUILD Program with the goal to </w:t>
      </w:r>
      <w:r w:rsidR="00745293" w:rsidRPr="009C59F3">
        <w:lastRenderedPageBreak/>
        <w:t>deploy near-zero-emission building technologies in</w:t>
      </w:r>
      <w:r>
        <w:t xml:space="preserve"> the largest number of residential units as possible.</w:t>
      </w:r>
      <w:r w:rsidR="000E228F">
        <w:t xml:space="preserve"> </w:t>
      </w:r>
      <w:r>
        <w:t xml:space="preserve"> </w:t>
      </w:r>
      <w:r w:rsidR="00B54427">
        <w:t>Thirty percent of the $200 million in total funding authorized by SB 1477 (</w:t>
      </w:r>
      <w:r w:rsidR="00333C69">
        <w:rPr>
          <w:i/>
          <w:iCs/>
        </w:rPr>
        <w:t>e</w:t>
      </w:r>
      <w:r w:rsidR="00333C69" w:rsidRPr="00B54427">
        <w:rPr>
          <w:i/>
          <w:iCs/>
        </w:rPr>
        <w:t>.g.</w:t>
      </w:r>
      <w:r w:rsidR="00B54427" w:rsidRPr="00B54427">
        <w:rPr>
          <w:i/>
          <w:iCs/>
        </w:rPr>
        <w:t>.,</w:t>
      </w:r>
      <w:r w:rsidR="00B54427">
        <w:t xml:space="preserve"> $</w:t>
      </w:r>
      <w:r w:rsidR="00E61E7F">
        <w:t>60</w:t>
      </w:r>
      <w:r w:rsidR="00B54427">
        <w:t xml:space="preserve"> </w:t>
      </w:r>
      <w:r w:rsidR="00E61E7F">
        <w:t>m</w:t>
      </w:r>
      <w:r w:rsidR="00B54427">
        <w:t>illion)</w:t>
      </w:r>
      <w:r w:rsidR="000E228F">
        <w:t xml:space="preserve"> </w:t>
      </w:r>
      <w:r w:rsidR="00B54427">
        <w:t>is appropriated for new low-income residential housing under the BUILD Program.</w:t>
      </w:r>
      <w:r w:rsidR="0086034F">
        <w:t xml:space="preserve"> </w:t>
      </w:r>
      <w:r w:rsidR="000E228F">
        <w:t xml:space="preserve"> </w:t>
      </w:r>
      <w:r w:rsidR="00745293">
        <w:t>T</w:t>
      </w:r>
      <w:r>
        <w:t xml:space="preserve">his percentage is not the ceiling for spending on low-income households but rather, the floor.  Incentive eligibility for the </w:t>
      </w:r>
      <w:r w:rsidR="00272ED0">
        <w:t>BUILD P</w:t>
      </w:r>
      <w:r>
        <w:t>rogram shall be limited strictly to</w:t>
      </w:r>
      <w:r w:rsidR="00E61E7F">
        <w:t xml:space="preserve"> new</w:t>
      </w:r>
      <w:r>
        <w:t>all</w:t>
      </w:r>
      <w:r w:rsidR="008610DB">
        <w:noBreakHyphen/>
      </w:r>
      <w:r>
        <w:t xml:space="preserve">electric </w:t>
      </w:r>
      <w:r w:rsidR="0063583F">
        <w:t>residential housing</w:t>
      </w:r>
      <w:r>
        <w:t xml:space="preserve">, without any hookup to the </w:t>
      </w:r>
      <w:r w:rsidR="00061E0B">
        <w:t xml:space="preserve">natural </w:t>
      </w:r>
      <w:r>
        <w:t xml:space="preserve">gas distribution grid. </w:t>
      </w:r>
      <w:r w:rsidR="00074036">
        <w:t xml:space="preserve"> </w:t>
      </w:r>
      <w:r w:rsidR="00DD0B03">
        <w:t>New residential housing is defined as one of the following:</w:t>
      </w:r>
    </w:p>
    <w:p w14:paraId="6FEBD70E" w14:textId="77777777" w:rsidR="00DD0B03" w:rsidRDefault="00DD0B03" w:rsidP="00333C69">
      <w:pPr>
        <w:pStyle w:val="Standard"/>
        <w:numPr>
          <w:ilvl w:val="0"/>
          <w:numId w:val="40"/>
        </w:numPr>
        <w:spacing w:after="120" w:line="240" w:lineRule="auto"/>
        <w:ind w:right="1440"/>
      </w:pPr>
      <w:r>
        <w:t>A building that has never been used or occupied for any purpose;</w:t>
      </w:r>
      <w:r>
        <w:rPr>
          <w:rStyle w:val="FootnoteReference"/>
        </w:rPr>
        <w:footnoteReference w:id="281"/>
      </w:r>
      <w:r>
        <w:t xml:space="preserve"> or</w:t>
      </w:r>
    </w:p>
    <w:p w14:paraId="45A6248E" w14:textId="4050A817" w:rsidR="00DD0B03" w:rsidRDefault="00DD0B03" w:rsidP="00333C69">
      <w:pPr>
        <w:pStyle w:val="Standard"/>
        <w:numPr>
          <w:ilvl w:val="0"/>
          <w:numId w:val="40"/>
        </w:numPr>
        <w:spacing w:after="120" w:line="240" w:lineRule="auto"/>
        <w:ind w:right="1440"/>
      </w:pPr>
      <w:r>
        <w:t>Any work, addition to, remodel, repair, renovation, or alteration of any building(s) or structure(s) when 50</w:t>
      </w:r>
      <w:r w:rsidR="00333C69">
        <w:t> </w:t>
      </w:r>
      <w:r>
        <w:t>percent or more of the exterior weight bearing walls are removed or demolished;”</w:t>
      </w:r>
      <w:r>
        <w:rPr>
          <w:rStyle w:val="FootnoteReference"/>
        </w:rPr>
        <w:footnoteReference w:id="282"/>
      </w:r>
      <w:r>
        <w:t xml:space="preserve"> or</w:t>
      </w:r>
    </w:p>
    <w:p w14:paraId="13E1DDD0" w14:textId="0D642E45" w:rsidR="0063583F" w:rsidRDefault="00DD0B03" w:rsidP="00333C69">
      <w:pPr>
        <w:pStyle w:val="Standard"/>
        <w:numPr>
          <w:ilvl w:val="0"/>
          <w:numId w:val="40"/>
        </w:numPr>
        <w:spacing w:after="120" w:line="240" w:lineRule="auto"/>
        <w:ind w:right="1440"/>
      </w:pPr>
      <w:r>
        <w:t>An existing building repurposed for housing, whose original use was not residential.</w:t>
      </w:r>
    </w:p>
    <w:p w14:paraId="3139F55A" w14:textId="714D4AC0" w:rsidR="00AF013D" w:rsidRDefault="00AF013D" w:rsidP="00AF013D">
      <w:pPr>
        <w:pStyle w:val="Standard"/>
      </w:pPr>
      <w:r>
        <w:t xml:space="preserve">The </w:t>
      </w:r>
      <w:r w:rsidR="00272ED0">
        <w:t>TECH I</w:t>
      </w:r>
      <w:r>
        <w:t xml:space="preserve">nitiative shall be effectuated by a third-party implementer.  The third-party implementer shall be selected with Commission oversight.  The </w:t>
      </w:r>
      <w:r w:rsidR="00272ED0">
        <w:t xml:space="preserve">Commission </w:t>
      </w:r>
      <w:r>
        <w:t xml:space="preserve">directs </w:t>
      </w:r>
      <w:r w:rsidR="00272ED0">
        <w:t>SCE</w:t>
      </w:r>
      <w:r>
        <w:t xml:space="preserve"> to act as the contracting agent responsible for managing the solicitation for the third-party implementer.  </w:t>
      </w:r>
      <w:r w:rsidR="00272ED0">
        <w:t>SCE</w:t>
      </w:r>
      <w:r>
        <w:t xml:space="preserve"> is entitled to a portion of the </w:t>
      </w:r>
      <w:r w:rsidR="00272ED0">
        <w:t>TECH I</w:t>
      </w:r>
      <w:r>
        <w:t>nitiative funding</w:t>
      </w:r>
      <w:r w:rsidR="00061E0B">
        <w:t xml:space="preserve"> in order </w:t>
      </w:r>
      <w:r>
        <w:t xml:space="preserve">to recover expenses that may be incurred while serving as the contracting agent.  Energy Division, alongside a panel of financially disinterested experts, shall score proposals and select a bidder to serve as the third-party implementer for the </w:t>
      </w:r>
      <w:r w:rsidR="00272ED0">
        <w:t>TECH I</w:t>
      </w:r>
      <w:r>
        <w:t xml:space="preserve">nitiative.  The selection process shall occur through </w:t>
      </w:r>
      <w:r w:rsidR="00061E0B">
        <w:t>an RFP</w:t>
      </w:r>
      <w:r>
        <w:t xml:space="preserve"> process.  Upon the conclusion of the selection </w:t>
      </w:r>
      <w:r>
        <w:lastRenderedPageBreak/>
        <w:t xml:space="preserve">process, </w:t>
      </w:r>
      <w:r w:rsidR="00272ED0">
        <w:t>SCE</w:t>
      </w:r>
      <w:r>
        <w:t xml:space="preserve"> shall file a Tier </w:t>
      </w:r>
      <w:r w:rsidR="00314F2D">
        <w:t>2</w:t>
      </w:r>
      <w:r w:rsidR="00061E0B">
        <w:t xml:space="preserve"> </w:t>
      </w:r>
      <w:r>
        <w:t xml:space="preserve">advice letter with Energy Division to seek </w:t>
      </w:r>
      <w:r w:rsidR="00061E0B">
        <w:t xml:space="preserve">final </w:t>
      </w:r>
      <w:r>
        <w:t xml:space="preserve">approval of </w:t>
      </w:r>
      <w:r w:rsidR="00061E0B">
        <w:t>the candidate-</w:t>
      </w:r>
      <w:r>
        <w:t xml:space="preserve">implementer for the </w:t>
      </w:r>
      <w:r w:rsidR="00272ED0">
        <w:t>TECH</w:t>
      </w:r>
      <w:r>
        <w:t xml:space="preserve"> </w:t>
      </w:r>
      <w:r w:rsidR="00272ED0">
        <w:t>I</w:t>
      </w:r>
      <w:r>
        <w:t xml:space="preserve">nitiative.    </w:t>
      </w:r>
    </w:p>
    <w:p w14:paraId="17865058" w14:textId="552D0E97" w:rsidR="00AF013D" w:rsidRDefault="00AF013D" w:rsidP="00AF013D">
      <w:pPr>
        <w:pStyle w:val="Standard"/>
      </w:pPr>
      <w:r>
        <w:t xml:space="preserve">To accelerate market development and adoption of building decarbonization technologies targeted under the </w:t>
      </w:r>
      <w:r w:rsidR="00272ED0">
        <w:t>TECH I</w:t>
      </w:r>
      <w:r>
        <w:t>nitiative, we allow the implementer the prerogative to select from an array of tactics and approaches.  However, we require the implementer to use the upstream and midstream approaches we adopt here</w:t>
      </w:r>
      <w:r w:rsidR="00061E0B">
        <w:t>, as well as provide consumer</w:t>
      </w:r>
      <w:r w:rsidR="00061E0B" w:rsidRPr="00023BE3">
        <w:t xml:space="preserve"> </w:t>
      </w:r>
      <w:r w:rsidR="00061E0B" w:rsidRPr="002E56B1">
        <w:t xml:space="preserve">education, contractor </w:t>
      </w:r>
      <w:r w:rsidR="00061E0B">
        <w:t xml:space="preserve">training, </w:t>
      </w:r>
      <w:r w:rsidR="00061E0B" w:rsidRPr="002E56B1">
        <w:t>and vendor training</w:t>
      </w:r>
      <w:r w:rsidR="00061E0B">
        <w:t xml:space="preserve">, </w:t>
      </w:r>
      <w:r>
        <w:t xml:space="preserve">to facilitate the market development for building decarbonization </w:t>
      </w:r>
      <w:r w:rsidR="00061E0B">
        <w:t>technologies</w:t>
      </w:r>
      <w:r>
        <w:t xml:space="preserve">.  Additionally, we decline to adopt a prescriptive list of eligible technologies and products at this time, </w:t>
      </w:r>
      <w:r w:rsidR="00061E0B">
        <w:t>as we</w:t>
      </w:r>
      <w:r w:rsidR="00074036">
        <w:t xml:space="preserve"> </w:t>
      </w:r>
      <w:r>
        <w:t xml:space="preserve">do not want to single out a product or products which could stymie market innovation.  </w:t>
      </w:r>
      <w:r>
        <w:rPr>
          <w:iCs/>
        </w:rPr>
        <w:t xml:space="preserve">We direct Energy Division to include in </w:t>
      </w:r>
      <w:r w:rsidR="00061E0B">
        <w:rPr>
          <w:iCs/>
        </w:rPr>
        <w:t>the RFP process</w:t>
      </w:r>
      <w:r>
        <w:rPr>
          <w:iCs/>
        </w:rPr>
        <w:t xml:space="preserve"> direction to applicants to propose the most promising market segments areas for focused implementation efforts.</w:t>
      </w:r>
      <w:r>
        <w:t xml:space="preserve">  </w:t>
      </w:r>
    </w:p>
    <w:p w14:paraId="6497F9B9" w14:textId="35541E9A" w:rsidR="00061E0B" w:rsidRPr="00D156B1" w:rsidRDefault="00061E0B" w:rsidP="00AF013D">
      <w:pPr>
        <w:pStyle w:val="Standard"/>
        <w:rPr>
          <w:iCs/>
        </w:rPr>
      </w:pPr>
      <w:r>
        <w:t>The TECH Initiative implementer shall employ outreach strategies that target hard-to-reach customers, as well as those in low-income and disadvantaged communities, in order to support long-term market development across these groups and communities.</w:t>
      </w:r>
    </w:p>
    <w:p w14:paraId="16C500DC" w14:textId="09CB58B5" w:rsidR="00AF013D" w:rsidRDefault="00AF013D" w:rsidP="00AF013D">
      <w:pPr>
        <w:pStyle w:val="Standard"/>
      </w:pPr>
      <w:r>
        <w:t xml:space="preserve">Finally, a single, independent program evaluator shall evaluate both pilot programs.  </w:t>
      </w:r>
      <w:r w:rsidR="00272ED0">
        <w:t>SCE</w:t>
      </w:r>
      <w:r>
        <w:t xml:space="preserve"> shall procure an independent program evaluator through a </w:t>
      </w:r>
      <w:r w:rsidR="00061E0B">
        <w:t>RFP</w:t>
      </w:r>
      <w:r>
        <w:t xml:space="preserve"> process at the same time as an implementer for the </w:t>
      </w:r>
      <w:r w:rsidR="00272ED0">
        <w:t>TECH I</w:t>
      </w:r>
      <w:r>
        <w:t xml:space="preserve">nitiative is procured.  The program evaluator shall be engaged throughout the initiation of </w:t>
      </w:r>
      <w:r w:rsidR="00061E0B">
        <w:t xml:space="preserve">the two </w:t>
      </w:r>
      <w:r>
        <w:t xml:space="preserve">pilot programs and during the administration of them to ensure that substantive, </w:t>
      </w:r>
      <w:r w:rsidR="00061E0B">
        <w:t xml:space="preserve">real </w:t>
      </w:r>
      <w:r>
        <w:t>time feedback is given, and data and information gathering is meaningful to support the success of these pilots.</w:t>
      </w:r>
    </w:p>
    <w:p w14:paraId="1EBEB6F0" w14:textId="77777777" w:rsidR="005939A5" w:rsidRDefault="005939A5" w:rsidP="005939A5">
      <w:pPr>
        <w:pStyle w:val="Heading1"/>
      </w:pPr>
      <w:bookmarkStart w:id="78" w:name="_Toc8123723"/>
      <w:bookmarkStart w:id="79" w:name="_Toc12866693"/>
      <w:bookmarkStart w:id="80" w:name="_Toc32310280"/>
      <w:r>
        <w:lastRenderedPageBreak/>
        <w:t>Comments on Proposed Decision</w:t>
      </w:r>
      <w:bookmarkEnd w:id="78"/>
      <w:bookmarkEnd w:id="79"/>
      <w:bookmarkEnd w:id="80"/>
    </w:p>
    <w:p w14:paraId="28740836" w14:textId="128C4DAB" w:rsidR="00E61E7F" w:rsidRDefault="00DB2E6B" w:rsidP="00E61E7F">
      <w:pPr>
        <w:pStyle w:val="Standard"/>
      </w:pPr>
      <w:r w:rsidRPr="00761FC5">
        <w:t>The proposed decision in this matter was mailed to the parties in accordance with Section 311 of the Public Utilities Code and comments were allowed under Rule 14.3 of the CPUC’s Rules of Practice and Procedure.  Comments were filed on</w:t>
      </w:r>
      <w:r>
        <w:t xml:space="preserve"> </w:t>
      </w:r>
      <w:r w:rsidR="00314F2D">
        <w:t xml:space="preserve">March 3, 2020  by the following parties:  </w:t>
      </w:r>
      <w:r w:rsidR="00E61E7F">
        <w:t>(1) A.O. Smith Corporation; (2) BayREN; (3) Cal Advocates, (4) CBIA; (5) CALSSA; (6) CSE; (7)</w:t>
      </w:r>
      <w:r w:rsidR="00333C69">
        <w:t> </w:t>
      </w:r>
      <w:r w:rsidR="00E61E7F">
        <w:t>East Bay Community Energy (EBCE); (8) EDF; (9) GRID Alternatives; (10) Joint Environmentals; (11) Mitsubishi Electric US; (12) PG&amp;E; (13) Recurve Analytics, Inc; (14) Rheem Manufacturing Company; (15) Sacramento Municipal Utility District; (16) SBUA; (17) SCE; (18) SDG&amp;E; (19) SoCalGas and SWG (Joint Gas Corporations); (20) The Council; (21) The Partnership; (22) VEIC; and (23) Wild Tree Foundation.</w:t>
      </w:r>
    </w:p>
    <w:p w14:paraId="066BD6FD" w14:textId="2B8C6733" w:rsidR="00E61E7F" w:rsidRDefault="00E61E7F" w:rsidP="00E61E7F">
      <w:pPr>
        <w:pStyle w:val="Standard"/>
      </w:pPr>
      <w:r>
        <w:t>Reply comments were filed on March 9, 2020 by: (1) Cal Advocates; (2)</w:t>
      </w:r>
      <w:r w:rsidR="00333C69">
        <w:t> </w:t>
      </w:r>
      <w:r>
        <w:t>CHBC; (3) CSE; (4) EDF; (5) Joint Environmentals; (6) Joint Gas Corporations; (7) Marin Clean Energy; (8) NFCRC; (9) Orsted; (10) SBUA; (11) SCE; (12) SDG&amp;E; (13) The Council; and (14) Wild Tree Foundation.</w:t>
      </w:r>
    </w:p>
    <w:p w14:paraId="799E3079" w14:textId="639395CC" w:rsidR="007F1C5F" w:rsidRPr="006E6574" w:rsidRDefault="007F1C5F" w:rsidP="001350E6">
      <w:pPr>
        <w:pStyle w:val="Standard"/>
      </w:pPr>
      <w:r w:rsidRPr="00463942">
        <w:t>We have carefully considered the suggested changes proposed by parties</w:t>
      </w:r>
      <w:r>
        <w:t xml:space="preserve"> in their comments and reply comments to this proposed decision.  The proposed changes that we have accepted are reflected in the revised document.  </w:t>
      </w:r>
    </w:p>
    <w:p w14:paraId="7389211E" w14:textId="77777777" w:rsidR="005939A5" w:rsidRDefault="005939A5" w:rsidP="005939A5">
      <w:pPr>
        <w:pStyle w:val="Heading1"/>
      </w:pPr>
      <w:bookmarkStart w:id="81" w:name="_Toc8123724"/>
      <w:bookmarkStart w:id="82" w:name="_Toc12866694"/>
      <w:bookmarkStart w:id="83" w:name="_Toc32310281"/>
      <w:r>
        <w:t>Assignment of Proceeding</w:t>
      </w:r>
      <w:bookmarkEnd w:id="81"/>
      <w:bookmarkEnd w:id="82"/>
      <w:bookmarkEnd w:id="83"/>
    </w:p>
    <w:p w14:paraId="6EC883D1" w14:textId="445FCD58" w:rsidR="005939A5" w:rsidRDefault="00272ED0" w:rsidP="00272ED0">
      <w:pPr>
        <w:pStyle w:val="Standard"/>
      </w:pPr>
      <w:r>
        <w:t>Liane M. Randolph is the assigned Commissioner and Colin Rizzo</w:t>
      </w:r>
      <w:r w:rsidR="00E61E7F">
        <w:t>,</w:t>
      </w:r>
      <w:r>
        <w:t xml:space="preserve">  Julie Fitch</w:t>
      </w:r>
      <w:r w:rsidR="00E61E7F">
        <w:t>,</w:t>
      </w:r>
      <w:r w:rsidR="001350E6">
        <w:t xml:space="preserve"> and</w:t>
      </w:r>
      <w:r w:rsidR="00E61E7F">
        <w:t xml:space="preserve"> Jeanne McKinney</w:t>
      </w:r>
      <w:r>
        <w:t xml:space="preserve"> are the assigned Administrative Law Judges in this proceeding.</w:t>
      </w:r>
    </w:p>
    <w:p w14:paraId="1D75D5F3" w14:textId="77777777" w:rsidR="005939A5" w:rsidRDefault="005939A5" w:rsidP="005939A5">
      <w:pPr>
        <w:pStyle w:val="Dummy"/>
      </w:pPr>
      <w:bookmarkStart w:id="84" w:name="_Toc8123725"/>
      <w:bookmarkStart w:id="85" w:name="_Toc12866695"/>
      <w:bookmarkStart w:id="86" w:name="_Toc32310282"/>
      <w:r>
        <w:lastRenderedPageBreak/>
        <w:t>Findings of Fact</w:t>
      </w:r>
      <w:bookmarkEnd w:id="84"/>
      <w:bookmarkEnd w:id="85"/>
      <w:bookmarkEnd w:id="86"/>
    </w:p>
    <w:p w14:paraId="4C9D89D8" w14:textId="2A557D31" w:rsidR="00DA5FE1" w:rsidRDefault="009A122F" w:rsidP="00692835">
      <w:pPr>
        <w:pStyle w:val="FoF"/>
      </w:pPr>
      <w:r>
        <w:t>The</w:t>
      </w:r>
      <w:r w:rsidR="00E61E7F">
        <w:t xml:space="preserve"> California Public Utilities</w:t>
      </w:r>
      <w:r>
        <w:t xml:space="preserve"> Commission</w:t>
      </w:r>
      <w:r w:rsidR="00E61E7F">
        <w:t xml:space="preserve"> (Commission or CPUC)</w:t>
      </w:r>
      <w:r>
        <w:t xml:space="preserve"> initiated </w:t>
      </w:r>
      <w:r w:rsidR="00A00A6C">
        <w:t>Rulemaking (</w:t>
      </w:r>
      <w:r>
        <w:t>R.</w:t>
      </w:r>
      <w:r w:rsidR="00A00A6C">
        <w:t>)</w:t>
      </w:r>
      <w:r>
        <w:t xml:space="preserve">19-01-011 to begin crafting policy </w:t>
      </w:r>
      <w:r w:rsidR="00A00A6C">
        <w:t xml:space="preserve">regarding </w:t>
      </w:r>
      <w:r>
        <w:t xml:space="preserve">building decarbonization in California pursuant to </w:t>
      </w:r>
      <w:r w:rsidR="00E61E7F">
        <w:t>Senate Bill (SB)</w:t>
      </w:r>
      <w:r>
        <w:t xml:space="preserve"> 1477</w:t>
      </w:r>
      <w:r w:rsidR="001350E6">
        <w:t xml:space="preserve"> (Stern, 2018)</w:t>
      </w:r>
      <w:r>
        <w:t>.</w:t>
      </w:r>
    </w:p>
    <w:p w14:paraId="52BDF0A5" w14:textId="77777777" w:rsidR="009A122F" w:rsidRDefault="009A122F" w:rsidP="00692835">
      <w:pPr>
        <w:pStyle w:val="FoF"/>
      </w:pPr>
      <w:r>
        <w:t>SB 1477 requires the Commission to develop two programs to test specific programmatic approaches to building decarbonization.</w:t>
      </w:r>
    </w:p>
    <w:p w14:paraId="5BC5C73A" w14:textId="7F8377AA" w:rsidR="009A122F" w:rsidRDefault="009A122F" w:rsidP="00692835">
      <w:pPr>
        <w:pStyle w:val="FoF"/>
      </w:pPr>
      <w:r>
        <w:t>The SB 1477 pilot programs are</w:t>
      </w:r>
      <w:r w:rsidR="001350E6">
        <w:t xml:space="preserve"> the</w:t>
      </w:r>
      <w:r>
        <w:t xml:space="preserve"> BUILD Program and the TECH Initiative.</w:t>
      </w:r>
    </w:p>
    <w:p w14:paraId="4D78DB61" w14:textId="7C6C14EC" w:rsidR="009A122F" w:rsidRDefault="009A122F" w:rsidP="00692835">
      <w:pPr>
        <w:pStyle w:val="FoF"/>
      </w:pPr>
      <w:r>
        <w:t xml:space="preserve">SB 1477 mandates the BUILD Program to incent the deployment of building technologies in new residential buildings that GHG emissions significantly beyond what otherwise would have resulted from complying </w:t>
      </w:r>
      <w:r w:rsidR="00061E0B">
        <w:t>the prescriptive requirements of the California Energy Code</w:t>
      </w:r>
      <w:r>
        <w:t xml:space="preserve">.   </w:t>
      </w:r>
    </w:p>
    <w:p w14:paraId="3084F3E0" w14:textId="1266C8DB" w:rsidR="009A122F" w:rsidRDefault="009A122F" w:rsidP="009A122F">
      <w:pPr>
        <w:pStyle w:val="FoF"/>
      </w:pPr>
      <w:r>
        <w:t>SB 1477 mandates the TECH Initiative to incent the deployment of low</w:t>
      </w:r>
      <w:r>
        <w:noBreakHyphen/>
        <w:t>emissions space and water heating technologies that are in an early stage of market development in both new and existing residential buildings that are in an early stage of market development.</w:t>
      </w:r>
    </w:p>
    <w:p w14:paraId="0C343B93" w14:textId="30ED0E00" w:rsidR="008405AE" w:rsidRDefault="008405AE" w:rsidP="009A122F">
      <w:pPr>
        <w:pStyle w:val="FoF"/>
      </w:pPr>
      <w:r>
        <w:t>The</w:t>
      </w:r>
      <w:r w:rsidR="00E040F8">
        <w:t>se</w:t>
      </w:r>
      <w:r>
        <w:t xml:space="preserve"> SB 1477 pilot programs are focused on advancing the state’s market for low-emission space and water heating equipment for new and existing residential and non-residential buildings </w:t>
      </w:r>
      <w:r w:rsidR="00423C8B">
        <w:t xml:space="preserve">through customer education, contractor training, vendor training, and the provision of upstream and midstream incentives - </w:t>
      </w:r>
      <w:r>
        <w:t>not particularized infrastructure</w:t>
      </w:r>
      <w:r w:rsidR="00E040F8">
        <w:t xml:space="preserve"> or fuels</w:t>
      </w:r>
      <w:r>
        <w:t>, such as renewable natural gas or hydrogen.</w:t>
      </w:r>
    </w:p>
    <w:p w14:paraId="778CB7D5" w14:textId="054C0271" w:rsidR="009A122F" w:rsidRDefault="009A122F" w:rsidP="009A122F">
      <w:pPr>
        <w:pStyle w:val="FoF"/>
      </w:pPr>
      <w:r>
        <w:t xml:space="preserve">SB 1477 finances the BUILD Program and the TECH Initiative from </w:t>
      </w:r>
      <w:r w:rsidR="00061E0B">
        <w:t xml:space="preserve">a pool of $200 million, collected </w:t>
      </w:r>
      <w:r w:rsidR="00E61E7F">
        <w:t xml:space="preserve">over four years in increments totaling </w:t>
      </w:r>
      <w:r w:rsidR="00061E0B">
        <w:t xml:space="preserve"> $50 million annual</w:t>
      </w:r>
      <w:r w:rsidR="00E61E7F">
        <w:t>ly</w:t>
      </w:r>
      <w:r w:rsidR="00333C69">
        <w:t xml:space="preserve"> </w:t>
      </w:r>
      <w:r w:rsidR="00061E0B">
        <w:t>starting in FY</w:t>
      </w:r>
      <w:r w:rsidR="00343BE1">
        <w:t> </w:t>
      </w:r>
      <w:r w:rsidR="00061E0B">
        <w:t xml:space="preserve">2019-20 and ending in FY 2022-23, and derived from the GHG proceeds resulting from emissions allowances directly allocated to gas </w:t>
      </w:r>
      <w:r w:rsidR="00061E0B">
        <w:lastRenderedPageBreak/>
        <w:t>corporations and consigned to auction as part of the CARB Cap-and-Trade program.</w:t>
      </w:r>
      <w:r>
        <w:t xml:space="preserve">.   </w:t>
      </w:r>
    </w:p>
    <w:p w14:paraId="534ABF8F" w14:textId="50064A05" w:rsidR="00A00A6C" w:rsidRDefault="009A122F" w:rsidP="00A00A6C">
      <w:pPr>
        <w:pStyle w:val="FoF"/>
      </w:pPr>
      <w:r>
        <w:t xml:space="preserve">The natural gas corporations covered under SB 1477’s compliance costs are: </w:t>
      </w:r>
      <w:r w:rsidR="00A00A6C">
        <w:t>(1) SoCalGas; (2) PG&amp;E (3) SDG&amp;E; and (4) SWG.</w:t>
      </w:r>
    </w:p>
    <w:p w14:paraId="6B891AEE" w14:textId="473A2027" w:rsidR="009A122F" w:rsidRDefault="009A122F" w:rsidP="00692835">
      <w:pPr>
        <w:pStyle w:val="FoF"/>
      </w:pPr>
      <w:r>
        <w:t xml:space="preserve">SB 1477 </w:t>
      </w:r>
      <w:r w:rsidR="00061E0B">
        <w:t xml:space="preserve">should </w:t>
      </w:r>
      <w:r>
        <w:t>emphasi</w:t>
      </w:r>
      <w:r w:rsidR="00061E0B">
        <w:t>ze</w:t>
      </w:r>
      <w:r>
        <w:t xml:space="preserve"> new, low-income residential housing by allocating no less than </w:t>
      </w:r>
      <w:r w:rsidR="00EB29DD">
        <w:t>75</w:t>
      </w:r>
      <w:r w:rsidR="00267CBF">
        <w:t xml:space="preserve"> </w:t>
      </w:r>
      <w:r>
        <w:t xml:space="preserve">percent of the total BUILD Program funding </w:t>
      </w:r>
      <w:r w:rsidR="00267CBF">
        <w:t>(</w:t>
      </w:r>
      <w:r w:rsidR="00267CBF" w:rsidRPr="00333C69">
        <w:rPr>
          <w:i/>
          <w:iCs/>
        </w:rPr>
        <w:t>i.e.,</w:t>
      </w:r>
      <w:r w:rsidR="00267CBF">
        <w:t xml:space="preserve"> $</w:t>
      </w:r>
      <w:r w:rsidR="00BD1B40">
        <w:t>60</w:t>
      </w:r>
      <w:r w:rsidR="00333C69">
        <w:t> </w:t>
      </w:r>
      <w:r w:rsidR="00267CBF">
        <w:t xml:space="preserve">million) </w:t>
      </w:r>
      <w:r>
        <w:t>for new low-income residential housing.</w:t>
      </w:r>
    </w:p>
    <w:p w14:paraId="05DB0DD5" w14:textId="5763959F" w:rsidR="009A122F" w:rsidRDefault="009A122F" w:rsidP="00692835">
      <w:pPr>
        <w:pStyle w:val="FoF"/>
      </w:pPr>
      <w:r>
        <w:t xml:space="preserve">SB 1477 </w:t>
      </w:r>
      <w:r w:rsidR="00061E0B">
        <w:t xml:space="preserve">states the Legislature’s intent that the building decarbonization pilot programs ultimately not result in higher utility bills for occupants and </w:t>
      </w:r>
      <w:r w:rsidR="00061E0B" w:rsidRPr="00F8739D">
        <w:t>requires</w:t>
      </w:r>
      <w:r w:rsidR="00061E0B">
        <w:t xml:space="preserve"> that </w:t>
      </w:r>
      <w:r w:rsidR="002A0763">
        <w:t xml:space="preserve">bills </w:t>
      </w:r>
      <w:r w:rsidR="00061E0B">
        <w:t xml:space="preserve">not rise for low-income </w:t>
      </w:r>
      <w:r w:rsidR="003B15E6">
        <w:t xml:space="preserve">residents of buildings that are funded with the low-income portion of the BUILD </w:t>
      </w:r>
      <w:r w:rsidR="002A0763">
        <w:t>P</w:t>
      </w:r>
      <w:r w:rsidR="003B15E6">
        <w:t>rogram.</w:t>
      </w:r>
      <w:r w:rsidR="00061E0B">
        <w:t xml:space="preserve">. </w:t>
      </w:r>
    </w:p>
    <w:p w14:paraId="3FAE511D" w14:textId="226FE502" w:rsidR="009A122F" w:rsidRDefault="009A122F" w:rsidP="00692835">
      <w:pPr>
        <w:pStyle w:val="FoF"/>
      </w:pPr>
      <w:r>
        <w:t xml:space="preserve">SB 1477 requires a BUILD Program outreach plan </w:t>
      </w:r>
      <w:r w:rsidR="00483507">
        <w:t>that</w:t>
      </w:r>
      <w:r>
        <w:t xml:space="preserve"> encourage</w:t>
      </w:r>
      <w:r w:rsidR="00483507">
        <w:t>s</w:t>
      </w:r>
      <w:r>
        <w:t xml:space="preserve"> applications for projects in new low-income, residential housing.</w:t>
      </w:r>
    </w:p>
    <w:p w14:paraId="1D6A89DF" w14:textId="77777777" w:rsidR="009A122F" w:rsidRDefault="009A122F" w:rsidP="00692835">
      <w:pPr>
        <w:pStyle w:val="FoF"/>
      </w:pPr>
      <w:r>
        <w:t>SB 1477 places specific programmatic emphasis on eligible technology and targeting criteria.</w:t>
      </w:r>
    </w:p>
    <w:p w14:paraId="1B37FCAA" w14:textId="5E492318" w:rsidR="009A122F" w:rsidRDefault="009A122F" w:rsidP="00692835">
      <w:pPr>
        <w:pStyle w:val="FoF"/>
      </w:pPr>
      <w:r>
        <w:t>SB 1477 TECH Initiative’s technology and targeting criteria are:</w:t>
      </w:r>
      <w:r w:rsidR="00333C69">
        <w:t xml:space="preserve">  </w:t>
      </w:r>
      <w:r w:rsidR="001350E6">
        <w:t>(</w:t>
      </w:r>
      <w:r>
        <w:t>1) space and water heating technology; (2) technology at an early stage of market development; (3) technology with the greatest potential for reducing GHG emissions; and (4) technology with the greatest potential for improving health and safety and energy affordability for low-income households.</w:t>
      </w:r>
    </w:p>
    <w:p w14:paraId="4DE4D8A1" w14:textId="77777777" w:rsidR="009A122F" w:rsidRDefault="009A122F" w:rsidP="00692835">
      <w:pPr>
        <w:pStyle w:val="FoF"/>
      </w:pPr>
      <w:r>
        <w:t>SB 1477 requires the development of an outreach plan to determine guideline and evaluation metrics, outreach strategies for hard-to-reach customers, and provide job training and employment opportunities to further building decarbonization market transformation.</w:t>
      </w:r>
    </w:p>
    <w:p w14:paraId="5F576E48" w14:textId="2F60B860" w:rsidR="009A122F" w:rsidRDefault="009A122F" w:rsidP="00692835">
      <w:pPr>
        <w:pStyle w:val="FoF"/>
      </w:pPr>
      <w:r>
        <w:t>Commission staff, in consultation with the CEC staff, issued a Staff</w:t>
      </w:r>
      <w:r w:rsidR="00005269">
        <w:t> </w:t>
      </w:r>
      <w:r>
        <w:t>Proposal for the two building decarbonization pilots in July</w:t>
      </w:r>
      <w:r w:rsidR="00061E0B">
        <w:t xml:space="preserve"> of</w:t>
      </w:r>
      <w:r>
        <w:t xml:space="preserve"> 2019.</w:t>
      </w:r>
    </w:p>
    <w:p w14:paraId="382E992C" w14:textId="207795B6" w:rsidR="009A122F" w:rsidRDefault="009A122F" w:rsidP="00692835">
      <w:pPr>
        <w:pStyle w:val="FoF"/>
      </w:pPr>
      <w:r>
        <w:lastRenderedPageBreak/>
        <w:t>The Staff Proposal offered recommendations for the implementation of SB</w:t>
      </w:r>
      <w:r w:rsidR="00005269">
        <w:t> </w:t>
      </w:r>
      <w:r>
        <w:t>1477’s BUILD Program and TECH Initiative.</w:t>
      </w:r>
    </w:p>
    <w:p w14:paraId="68080A52" w14:textId="7CCA30BA" w:rsidR="003B15E6" w:rsidRDefault="003B15E6" w:rsidP="003B15E6">
      <w:pPr>
        <w:pStyle w:val="FoF"/>
      </w:pPr>
      <w:r>
        <w:t>Presently, more than 95 percent of new homes built in California are constructed as du</w:t>
      </w:r>
      <w:r w:rsidR="00E61E7F">
        <w:t>a</w:t>
      </w:r>
      <w:r>
        <w:t>l fuel homes.</w:t>
      </w:r>
    </w:p>
    <w:p w14:paraId="30924CDB" w14:textId="1B5E4478" w:rsidR="0083138E" w:rsidRDefault="0083138E" w:rsidP="0083138E">
      <w:pPr>
        <w:pStyle w:val="FoF"/>
      </w:pPr>
      <w:r>
        <w:t>Policy makers, program implementers and evaluators require access to certain confidential customer data to understand program efficacy and impacts.</w:t>
      </w:r>
    </w:p>
    <w:p w14:paraId="066E4C70" w14:textId="77777777" w:rsidR="00E61E7F" w:rsidRDefault="00E61E7F" w:rsidP="00E61E7F">
      <w:pPr>
        <w:pStyle w:val="FoF"/>
      </w:pPr>
      <w:r>
        <w:t xml:space="preserve">Granular </w:t>
      </w:r>
      <w:r w:rsidRPr="004A34E3">
        <w:t>customer-level data is useful for public interest decarbonization research</w:t>
      </w:r>
      <w:r>
        <w:t>,</w:t>
      </w:r>
      <w:r w:rsidRPr="004A34E3">
        <w:t xml:space="preserve"> but </w:t>
      </w:r>
      <w:r>
        <w:t xml:space="preserve">is </w:t>
      </w:r>
      <w:r w:rsidRPr="004A34E3">
        <w:t>not publicly available due to privacy and confidentiality laws</w:t>
      </w:r>
    </w:p>
    <w:p w14:paraId="5E68E78B" w14:textId="36D4413C" w:rsidR="002A0763" w:rsidRDefault="0083138E" w:rsidP="00E61E7F">
      <w:pPr>
        <w:pStyle w:val="FoF"/>
      </w:pPr>
      <w:r>
        <w:t>Not all low- income housing is in low income or disadvantaged communities.</w:t>
      </w:r>
      <w:r w:rsidR="00333C69">
        <w:t xml:space="preserve">  </w:t>
      </w:r>
      <w:r w:rsidR="002A0763">
        <w:t>Participation in the TECH Initiative Scoring Committee will assist the Commission, and therefore, constitute a</w:t>
      </w:r>
      <w:r w:rsidR="00245295">
        <w:t xml:space="preserve"> substantial</w:t>
      </w:r>
      <w:r w:rsidR="002A0763">
        <w:t xml:space="preserve"> contribution to a proceeding of the Commission.</w:t>
      </w:r>
    </w:p>
    <w:p w14:paraId="7D572C4A" w14:textId="77777777" w:rsidR="005939A5" w:rsidRDefault="005939A5" w:rsidP="005939A5">
      <w:pPr>
        <w:pStyle w:val="Dummy"/>
      </w:pPr>
      <w:bookmarkStart w:id="87" w:name="_Toc8123726"/>
      <w:bookmarkStart w:id="88" w:name="_Toc12866696"/>
      <w:bookmarkStart w:id="89" w:name="_Toc32310283"/>
      <w:r>
        <w:t>Conclusions of Law</w:t>
      </w:r>
      <w:bookmarkEnd w:id="87"/>
      <w:bookmarkEnd w:id="88"/>
      <w:bookmarkEnd w:id="89"/>
    </w:p>
    <w:p w14:paraId="144B0381" w14:textId="6711DC70" w:rsidR="009A122F" w:rsidRDefault="009A122F" w:rsidP="009A122F">
      <w:pPr>
        <w:pStyle w:val="OP"/>
      </w:pPr>
      <w:r>
        <w:t xml:space="preserve">It is reasonable to appropriate the SB 1477 program budget compliance costs across California’s gas corporations according to each gas </w:t>
      </w:r>
      <w:r w:rsidR="00572E91">
        <w:t>corporation’s</w:t>
      </w:r>
      <w:r>
        <w:t xml:space="preserve"> percentage share of allocated Cap-and-Trade allowances, consistent with Cap</w:t>
      </w:r>
      <w:r w:rsidR="00572E91">
        <w:noBreakHyphen/>
      </w:r>
      <w:r>
        <w:t xml:space="preserve">and-Trade </w:t>
      </w:r>
      <w:r w:rsidR="00061E0B">
        <w:t>r</w:t>
      </w:r>
      <w:r>
        <w:t xml:space="preserve">egulations. </w:t>
      </w:r>
    </w:p>
    <w:p w14:paraId="1CD21FA4" w14:textId="6D1B6E1B" w:rsidR="009A122F" w:rsidRDefault="009A122F" w:rsidP="009A122F">
      <w:pPr>
        <w:pStyle w:val="OP"/>
      </w:pPr>
      <w:r>
        <w:t>It is reasonable to set SoCalGas’ SB 1477 compliance costs at $24,630,000</w:t>
      </w:r>
      <w:r w:rsidR="00572E91">
        <w:t> </w:t>
      </w:r>
      <w:r>
        <w:t xml:space="preserve">annually, or 49.26 percent of the annual pool of SB 1477 funds. </w:t>
      </w:r>
    </w:p>
    <w:p w14:paraId="44149DC3" w14:textId="6FC6D875" w:rsidR="009A122F" w:rsidRDefault="009A122F" w:rsidP="009A122F">
      <w:pPr>
        <w:pStyle w:val="OP"/>
      </w:pPr>
      <w:r>
        <w:t>It is reasonable to set PG&amp;E’s SB 1477 compliance costs at $21,170,00</w:t>
      </w:r>
      <w:r w:rsidR="00572E91">
        <w:t> </w:t>
      </w:r>
      <w:r>
        <w:t>annually, or 42.34 percent of the annual pool of SB 1477 funds.</w:t>
      </w:r>
    </w:p>
    <w:p w14:paraId="65F50ABE" w14:textId="36EA075C" w:rsidR="009A122F" w:rsidRDefault="009A122F" w:rsidP="009A122F">
      <w:pPr>
        <w:pStyle w:val="OP"/>
      </w:pPr>
      <w:r>
        <w:t>It is reasonable to set SDG&amp;E’s SB 1477 compliance costs at $3,385,000</w:t>
      </w:r>
      <w:r w:rsidR="00572E91">
        <w:t> </w:t>
      </w:r>
      <w:r>
        <w:t xml:space="preserve">annually, or 6.77 percent of the annual pool of SB 1477 funds. </w:t>
      </w:r>
    </w:p>
    <w:p w14:paraId="04AA111D" w14:textId="5BC6DCEB" w:rsidR="009A122F" w:rsidRDefault="009A122F" w:rsidP="009A122F">
      <w:pPr>
        <w:pStyle w:val="OP"/>
      </w:pPr>
      <w:r>
        <w:t xml:space="preserve">It is reasonable to set SWG’s SB 1477 </w:t>
      </w:r>
      <w:r w:rsidR="00572E91">
        <w:t>compliance</w:t>
      </w:r>
      <w:r>
        <w:t xml:space="preserve"> costs at $815,000, or 1.63</w:t>
      </w:r>
      <w:r w:rsidR="00572E91">
        <w:t> </w:t>
      </w:r>
      <w:r>
        <w:t xml:space="preserve">percent of the annual pool of SB 1477 funds. </w:t>
      </w:r>
    </w:p>
    <w:p w14:paraId="0B5F4334" w14:textId="3342ABD3" w:rsidR="009A122F" w:rsidRDefault="009A122F" w:rsidP="009A122F">
      <w:pPr>
        <w:pStyle w:val="OP"/>
      </w:pPr>
      <w:r>
        <w:lastRenderedPageBreak/>
        <w:t xml:space="preserve">It is reasonable to require SoCalGas, PG&amp;E, SDG&amp;E, and SWG to remit their respective SB 1477 compliance costs directly and in full to the Commission designated contracting agent who shall establish a new balancing account specifically for these funds. </w:t>
      </w:r>
    </w:p>
    <w:p w14:paraId="60A1E82C" w14:textId="07A86D3F" w:rsidR="009A122F" w:rsidRDefault="009A122F" w:rsidP="009A122F">
      <w:pPr>
        <w:pStyle w:val="OP"/>
      </w:pPr>
      <w:r>
        <w:t>It is reasonable to designate SCE as the Commission</w:t>
      </w:r>
      <w:r w:rsidR="0083138E">
        <w:t>-</w:t>
      </w:r>
      <w:r>
        <w:t xml:space="preserve">designated building decarbonization pilot program contracting agent. </w:t>
      </w:r>
    </w:p>
    <w:p w14:paraId="3E54C85C" w14:textId="0A6C9A9C" w:rsidR="009A122F" w:rsidRDefault="009A122F" w:rsidP="009A122F">
      <w:pPr>
        <w:pStyle w:val="OP"/>
      </w:pPr>
      <w:r>
        <w:t>It is reasonable to require SCE to file a Tier 1 advice letter with the Energy</w:t>
      </w:r>
      <w:r w:rsidR="00724D84">
        <w:t> </w:t>
      </w:r>
      <w:r>
        <w:t xml:space="preserve">Division formalizing a new SB 1477 balancing account. </w:t>
      </w:r>
    </w:p>
    <w:p w14:paraId="55974C3C" w14:textId="49939BF1" w:rsidR="009A122F" w:rsidRDefault="009A122F" w:rsidP="009A122F">
      <w:pPr>
        <w:pStyle w:val="OP"/>
      </w:pPr>
      <w:r>
        <w:t xml:space="preserve">It is reasonable to require SCE, immediately following approval of the new balancing account, </w:t>
      </w:r>
      <w:r w:rsidR="00483507">
        <w:t xml:space="preserve">to </w:t>
      </w:r>
      <w:r>
        <w:t>request from the gas corporations disbursal of first year funding set aside as directed by Resolution G-3565, which shall be provided no more than 15 days following the request.</w:t>
      </w:r>
    </w:p>
    <w:p w14:paraId="28547955" w14:textId="77777777" w:rsidR="009A122F" w:rsidRDefault="009A122F" w:rsidP="009A122F">
      <w:pPr>
        <w:pStyle w:val="OP"/>
      </w:pPr>
      <w:r>
        <w:t>It is reasonable to require SCE to account for all interest accrued, prior to disbursal to the BUILD Program administrator and TECH Initiative implementer.</w:t>
      </w:r>
    </w:p>
    <w:p w14:paraId="4BBF7C0F" w14:textId="1F94DB1F" w:rsidR="009A122F" w:rsidRDefault="009A122F" w:rsidP="009A122F">
      <w:pPr>
        <w:pStyle w:val="OP"/>
      </w:pPr>
      <w:r>
        <w:t xml:space="preserve">It is reasonable to require SCE to immediately disburse the SB 1477 funds to the BUILD Program </w:t>
      </w:r>
      <w:r w:rsidR="00061E0B">
        <w:t>a</w:t>
      </w:r>
      <w:r>
        <w:t xml:space="preserve">dministrator and the TECH Initiative implementer when the funds are requested formally by writing. </w:t>
      </w:r>
    </w:p>
    <w:p w14:paraId="0C071E8C" w14:textId="4E9AA426" w:rsidR="009A122F" w:rsidRDefault="009A122F" w:rsidP="009A122F">
      <w:pPr>
        <w:pStyle w:val="OP"/>
      </w:pPr>
      <w:r>
        <w:t>It is reasonable to require SCE to provide Energy Division</w:t>
      </w:r>
      <w:r w:rsidR="000943EA">
        <w:t>, the BUILD Program administrator, and the TECH Initiative implementer</w:t>
      </w:r>
      <w:r>
        <w:t xml:space="preserve"> monthly updates regarding all disbursements of funds made and the status of the funds. </w:t>
      </w:r>
    </w:p>
    <w:p w14:paraId="082BA533" w14:textId="77777777" w:rsidR="009A122F" w:rsidRDefault="009A122F" w:rsidP="009A122F">
      <w:pPr>
        <w:pStyle w:val="OP"/>
      </w:pPr>
      <w:r>
        <w:t xml:space="preserve">It is reasonable to require Energy Division to provide annual updates to the Legislature regarding funding and expenditures for the SB 1477 pilot programs. </w:t>
      </w:r>
    </w:p>
    <w:p w14:paraId="0D6D3BD2" w14:textId="031A00D8" w:rsidR="009A122F" w:rsidRDefault="009A122F" w:rsidP="009A122F">
      <w:pPr>
        <w:pStyle w:val="OP"/>
      </w:pPr>
      <w:r>
        <w:lastRenderedPageBreak/>
        <w:t xml:space="preserve">It is reasonable to require spending </w:t>
      </w:r>
      <w:r w:rsidR="00061E0B">
        <w:t xml:space="preserve">levels </w:t>
      </w:r>
      <w:r>
        <w:t xml:space="preserve">for the BUILD Program and TECH Initiative </w:t>
      </w:r>
      <w:r w:rsidR="00061E0B">
        <w:t xml:space="preserve">in </w:t>
      </w:r>
      <w:r>
        <w:t xml:space="preserve">the gas corporation service territories </w:t>
      </w:r>
      <w:r w:rsidR="00061E0B">
        <w:t xml:space="preserve">to be proportional to </w:t>
      </w:r>
      <w:r>
        <w:t xml:space="preserve">where the funds are derived, consistent with Cap-and-Trade regulations. </w:t>
      </w:r>
    </w:p>
    <w:p w14:paraId="11F64F68" w14:textId="4B9AF225" w:rsidR="000943EA" w:rsidRDefault="000943EA" w:rsidP="000943EA">
      <w:pPr>
        <w:pStyle w:val="OP"/>
      </w:pPr>
      <w:r>
        <w:t>It is reasonable that spending for the BUILD Program and TECH Initiative, with statewide or cross-territory benefits, including but not limited to administrative and evaluation spending, shall be attributed to the gas corporation service territories in proportion to their original funding contribution.</w:t>
      </w:r>
    </w:p>
    <w:p w14:paraId="329C93CC" w14:textId="77777777" w:rsidR="009A122F" w:rsidRDefault="009A122F" w:rsidP="009A122F">
      <w:pPr>
        <w:pStyle w:val="OP"/>
      </w:pPr>
      <w:r>
        <w:t xml:space="preserve">It is reasonable to appropriate 40 percent of the total program funds to the BUILD Program and 60 percent of the program funds to the TECH Initiative to maximize pilot program efforts to stimulate market transformation. </w:t>
      </w:r>
    </w:p>
    <w:p w14:paraId="3BDECEE7" w14:textId="5DF51FD2" w:rsidR="009A122F" w:rsidRDefault="009A122F" w:rsidP="009A122F">
      <w:pPr>
        <w:pStyle w:val="OP"/>
      </w:pPr>
      <w:r>
        <w:t xml:space="preserve">It is reasonable to </w:t>
      </w:r>
      <w:r w:rsidR="00061E0B">
        <w:t xml:space="preserve">encourage </w:t>
      </w:r>
      <w:r>
        <w:t>the BUILD Program administrator to go beyond the SB 1477 minimum of 30 percent allotment for new low-income residential housing; in other words, the BUILD Program’s budgetary allotment for the low</w:t>
      </w:r>
      <w:r w:rsidR="00724D84">
        <w:noBreakHyphen/>
      </w:r>
      <w:r>
        <w:t>income program costs should be considered a minimum threshold, not a cap.</w:t>
      </w:r>
    </w:p>
    <w:p w14:paraId="6DB44CEE" w14:textId="1BA66BE9" w:rsidR="009A122F" w:rsidRDefault="009A122F" w:rsidP="009A122F">
      <w:pPr>
        <w:pStyle w:val="OP"/>
      </w:pPr>
      <w:r>
        <w:t>It is reasonable to cap the BUILD Program administrative budget at 10</w:t>
      </w:r>
      <w:r w:rsidR="008A3DC9">
        <w:t> </w:t>
      </w:r>
      <w:r>
        <w:t>percent of the total BUILD Program budget.</w:t>
      </w:r>
    </w:p>
    <w:p w14:paraId="5253BFD6" w14:textId="3854EE96" w:rsidR="0083138E" w:rsidRDefault="0083138E" w:rsidP="0083138E">
      <w:pPr>
        <w:pStyle w:val="OP"/>
      </w:pPr>
      <w:r>
        <w:t xml:space="preserve">It is reasonable to establish that current standard practice in new residential housing </w:t>
      </w:r>
      <w:r w:rsidR="00500439">
        <w:t>is to build building that</w:t>
      </w:r>
      <w:r w:rsidR="000943EA">
        <w:t xml:space="preserve"> use</w:t>
      </w:r>
      <w:r>
        <w:t xml:space="preserve"> at least one more fuel in addition to electricity for the building’s operation.</w:t>
      </w:r>
    </w:p>
    <w:p w14:paraId="5A867B52" w14:textId="02362467" w:rsidR="0083138E" w:rsidRDefault="0083138E" w:rsidP="0083138E">
      <w:pPr>
        <w:pStyle w:val="OP"/>
      </w:pPr>
      <w:r>
        <w:t>It is reasonable to allow use of SB 1477 funds in jurisdictions with local ordinances that have additional requirements beyond the California Energy Code or other state requirements.</w:t>
      </w:r>
    </w:p>
    <w:p w14:paraId="665458C9" w14:textId="6AD28357" w:rsidR="005C75F7" w:rsidRDefault="009A122F" w:rsidP="009A122F">
      <w:pPr>
        <w:pStyle w:val="OP"/>
      </w:pPr>
      <w:r>
        <w:t xml:space="preserve">It is reasonable to cap the TECH Initiative administrative budget at </w:t>
      </w:r>
    </w:p>
    <w:p w14:paraId="38F83E92" w14:textId="4EC0EFF5" w:rsidR="009A122F" w:rsidRDefault="005C75F7" w:rsidP="005C75F7">
      <w:pPr>
        <w:pStyle w:val="OP"/>
        <w:numPr>
          <w:ilvl w:val="0"/>
          <w:numId w:val="0"/>
        </w:numPr>
      </w:pPr>
      <w:r>
        <w:lastRenderedPageBreak/>
        <w:t>10 </w:t>
      </w:r>
      <w:r w:rsidR="009A122F">
        <w:t xml:space="preserve">percent; </w:t>
      </w:r>
      <w:r w:rsidR="000943EA">
        <w:t xml:space="preserve">and establish that </w:t>
      </w:r>
      <w:r w:rsidR="009A122F">
        <w:t>if the selected bid to implement the TECH Initiative is below the</w:t>
      </w:r>
      <w:r>
        <w:t xml:space="preserve"> 10</w:t>
      </w:r>
      <w:r w:rsidR="009A122F">
        <w:t xml:space="preserve"> percent cap, then the difference between the winning bid amount and the </w:t>
      </w:r>
      <w:r>
        <w:t>10 percent administrative cost cap</w:t>
      </w:r>
      <w:r w:rsidR="009A122F">
        <w:t xml:space="preserve"> shall be reallocated for program costs.</w:t>
      </w:r>
    </w:p>
    <w:p w14:paraId="1C59B967" w14:textId="5AC25ED2" w:rsidR="00194A6E" w:rsidRDefault="00194A6E" w:rsidP="009A122F">
      <w:pPr>
        <w:pStyle w:val="OP"/>
      </w:pPr>
      <w:r>
        <w:t xml:space="preserve">It is reasonable to </w:t>
      </w:r>
      <w:r w:rsidR="002A0763">
        <w:t xml:space="preserve">limit </w:t>
      </w:r>
      <w:r>
        <w:t xml:space="preserve">the TECH Initiative contracting agent to no more than one percent of TECH Initiative funding. </w:t>
      </w:r>
    </w:p>
    <w:p w14:paraId="26854779" w14:textId="77777777" w:rsidR="009A122F" w:rsidRDefault="009A122F" w:rsidP="009A122F">
      <w:pPr>
        <w:pStyle w:val="OP"/>
      </w:pPr>
      <w:r>
        <w:t>It is reasonable to designate a single, independent program evaluator for both the BUILD Program and TECH Initiative for purposes of economies of scale and to require the program evaluator to engage closely with the initiation and ongoing implementation of both pilot programs.</w:t>
      </w:r>
    </w:p>
    <w:p w14:paraId="6213BE07" w14:textId="77777777" w:rsidR="009A122F" w:rsidRDefault="009A122F" w:rsidP="009A122F">
      <w:pPr>
        <w:pStyle w:val="OP"/>
      </w:pPr>
      <w:r>
        <w:t xml:space="preserve">It is reasonable to require the program evaluator to use the SB 1477 GHG benefits metrics as the primary factor for measuring both pilot program’s outcomes and success. </w:t>
      </w:r>
    </w:p>
    <w:p w14:paraId="2A6E00EA" w14:textId="7A3890C6" w:rsidR="009A122F" w:rsidRDefault="009A122F" w:rsidP="009A122F">
      <w:pPr>
        <w:pStyle w:val="OP"/>
      </w:pPr>
      <w:r>
        <w:t xml:space="preserve">It is reasonable to require the program evaluator to closely collaborate with Energy Division to determine whether and </w:t>
      </w:r>
      <w:r w:rsidR="00061E0B">
        <w:t xml:space="preserve">to </w:t>
      </w:r>
      <w:r>
        <w:t>what extent GHG benefits sub</w:t>
      </w:r>
      <w:r w:rsidR="001E26BB">
        <w:noBreakHyphen/>
      </w:r>
      <w:r>
        <w:t xml:space="preserve">metrics shall be applied. </w:t>
      </w:r>
    </w:p>
    <w:p w14:paraId="5925D9D6" w14:textId="27B48B62" w:rsidR="009A122F" w:rsidRDefault="009A122F" w:rsidP="009A122F">
      <w:pPr>
        <w:pStyle w:val="OP"/>
      </w:pPr>
      <w:r>
        <w:t>It is reasonable to require the program evaluator to include gas corporations</w:t>
      </w:r>
      <w:r w:rsidR="00061E0B">
        <w:t>’</w:t>
      </w:r>
      <w:r>
        <w:t xml:space="preserve"> Cap-and-Trade reporting obligations as part of its pilot program evaluation. </w:t>
      </w:r>
    </w:p>
    <w:p w14:paraId="1C22D5DD" w14:textId="75E5B2CA" w:rsidR="009A122F" w:rsidRDefault="009A122F" w:rsidP="009A122F">
      <w:pPr>
        <w:pStyle w:val="OP"/>
      </w:pPr>
      <w:r>
        <w:t xml:space="preserve">It is reasonable to require the BUILD Program administrator and the TECH Initiative implementer to calibrate the </w:t>
      </w:r>
      <w:r w:rsidR="000943EA">
        <w:t>technical assistance, education,</w:t>
      </w:r>
      <w:r>
        <w:t xml:space="preserve"> and outreach of their respective building decarbonization pilot programs to the varied regions of California. </w:t>
      </w:r>
    </w:p>
    <w:p w14:paraId="3461EEAE" w14:textId="77777777" w:rsidR="005C75F7" w:rsidRDefault="009A122F" w:rsidP="005C75F7">
      <w:pPr>
        <w:pStyle w:val="OP"/>
      </w:pPr>
      <w:r>
        <w:t xml:space="preserve">It is reasonable to require the BUILD Program administrator and the TECH Initiative implementer to partner with organizations that primarily serve low-income, disadvantaged, and hard-to-reach customers to ensure active </w:t>
      </w:r>
      <w:r>
        <w:lastRenderedPageBreak/>
        <w:t xml:space="preserve">participation and partnership with customers across a variety of demographic groups. </w:t>
      </w:r>
    </w:p>
    <w:p w14:paraId="11696173" w14:textId="2DAE8BA6" w:rsidR="005C75F7" w:rsidRDefault="000943EA" w:rsidP="000943EA">
      <w:pPr>
        <w:pStyle w:val="OP"/>
      </w:pPr>
      <w:r>
        <w:t xml:space="preserve">It is reasonable for the pilot program implementers and the program evaluator to sign non-disclosure agreements with the CPUC in order to gain access to confidential customer data rather than sign separate non-disclosure agreements with each investor-owned utility (IOU). </w:t>
      </w:r>
      <w:r w:rsidR="005C75F7">
        <w:t xml:space="preserve"> </w:t>
      </w:r>
    </w:p>
    <w:p w14:paraId="7A8E64D1" w14:textId="20C60DA3" w:rsidR="005C75F7" w:rsidRDefault="005C75F7" w:rsidP="005C75F7">
      <w:pPr>
        <w:pStyle w:val="OP"/>
      </w:pPr>
      <w:r>
        <w:t>I</w:t>
      </w:r>
      <w:r w:rsidR="005206DE">
        <w:t xml:space="preserve">t is reasonable to provide IOU customers the option </w:t>
      </w:r>
      <w:r w:rsidR="005206DE" w:rsidRPr="00F75427">
        <w:t>of voluntary public donation of their energy use data</w:t>
      </w:r>
      <w:r w:rsidR="005206DE">
        <w:t xml:space="preserve"> rather than </w:t>
      </w:r>
      <w:r w:rsidR="005206DE" w:rsidRPr="00F75427">
        <w:t>assume that every customer is unwilling to share their individual energy use data for public interest decarbonization</w:t>
      </w:r>
      <w:r w:rsidR="005206DE">
        <w:t>-related</w:t>
      </w:r>
      <w:r w:rsidR="005206DE" w:rsidRPr="00F75427">
        <w:t xml:space="preserve"> research</w:t>
      </w:r>
      <w:r w:rsidR="005206DE">
        <w:t>.</w:t>
      </w:r>
    </w:p>
    <w:p w14:paraId="3D381F30" w14:textId="77777777" w:rsidR="005206DE" w:rsidRDefault="005206DE" w:rsidP="005206DE">
      <w:pPr>
        <w:pStyle w:val="OP"/>
      </w:pPr>
      <w:r>
        <w:t>It is reasonable to reduce refrigerant-based GHG emissions and thus, adopt: (1) a low-Global Warming Potential (GWP) refrigerant threshold of less than 150; and (2) a high-GWP refrigerant threshold above 750.</w:t>
      </w:r>
    </w:p>
    <w:p w14:paraId="180781EF" w14:textId="659FAFE0" w:rsidR="005206DE" w:rsidRDefault="005206DE" w:rsidP="009A122F">
      <w:pPr>
        <w:pStyle w:val="OP"/>
      </w:pPr>
      <w:r>
        <w:t>It is reasonable to require that</w:t>
      </w:r>
      <w:r w:rsidRPr="005206DE">
        <w:rPr>
          <w:color w:val="000000"/>
          <w:szCs w:val="26"/>
          <w:lang w:val="en"/>
        </w:rPr>
        <w:t xml:space="preserve"> refrigerants used in the space and water heating appliances of building projects funded by the BUILD Program or incentivized by the TECH Initiative shall not exceed the 750 GWP threshold starting January 1, 2023.</w:t>
      </w:r>
      <w:r>
        <w:t>It is reasonable for the Commission</w:t>
      </w:r>
      <w:r>
        <w:rPr>
          <w:color w:val="000000" w:themeColor="text1"/>
          <w:lang w:val="en"/>
        </w:rPr>
        <w:t>, in a later phase of this proceeding,</w:t>
      </w:r>
      <w:r w:rsidRPr="1D7B1D3D">
        <w:rPr>
          <w:color w:val="000000" w:themeColor="text1"/>
          <w:lang w:val="en"/>
        </w:rPr>
        <w:t xml:space="preserve"> to consider whether to maintain or modify – for either the pilot programs or a potential permanent program – the </w:t>
      </w:r>
      <w:r w:rsidR="00402E03">
        <w:rPr>
          <w:color w:val="000000" w:themeColor="text1"/>
          <w:lang w:val="en"/>
        </w:rPr>
        <w:t xml:space="preserve">GWP limit or the </w:t>
      </w:r>
      <w:r w:rsidRPr="1DEEED46">
        <w:rPr>
          <w:color w:val="000000" w:themeColor="text1"/>
          <w:lang w:val="en"/>
        </w:rPr>
        <w:t xml:space="preserve">date after which </w:t>
      </w:r>
      <w:r w:rsidRPr="1D7B1D3D">
        <w:rPr>
          <w:color w:val="000000" w:themeColor="text1"/>
          <w:lang w:val="en"/>
        </w:rPr>
        <w:t>incentives for appliances using high-GWP refrigerants</w:t>
      </w:r>
      <w:r>
        <w:rPr>
          <w:color w:val="000000" w:themeColor="text1"/>
          <w:lang w:val="en"/>
        </w:rPr>
        <w:t xml:space="preserve"> would be prohibit.</w:t>
      </w:r>
    </w:p>
    <w:p w14:paraId="68C7602B" w14:textId="1ED97919" w:rsidR="009A122F" w:rsidRDefault="009A122F" w:rsidP="009A122F">
      <w:pPr>
        <w:pStyle w:val="OP"/>
      </w:pPr>
      <w:r>
        <w:t xml:space="preserve">It is reasonable to designate the CEC as the BUILD Program </w:t>
      </w:r>
      <w:r w:rsidR="00061E0B">
        <w:t>a</w:t>
      </w:r>
      <w:r>
        <w:t>dministrator, with ultimate Commission oversight, because the CEC has broad technical, programmatic, and policy experience.</w:t>
      </w:r>
    </w:p>
    <w:p w14:paraId="43C14802" w14:textId="77777777" w:rsidR="009A122F" w:rsidRDefault="009A122F" w:rsidP="009A122F">
      <w:pPr>
        <w:pStyle w:val="OP"/>
      </w:pPr>
      <w:r>
        <w:t xml:space="preserve">It is reasonable to make disbursal of BUILD Program funding to the CEC contingent upon legislative authorization for the CEC’s administrative expenses. </w:t>
      </w:r>
    </w:p>
    <w:p w14:paraId="68F44E44" w14:textId="202201BD" w:rsidR="009A122F" w:rsidRDefault="009A122F" w:rsidP="009A122F">
      <w:pPr>
        <w:pStyle w:val="OP"/>
      </w:pPr>
      <w:r>
        <w:lastRenderedPageBreak/>
        <w:t>It is reasonable to cap the total BUILD Program administration at $8</w:t>
      </w:r>
      <w:r w:rsidR="007F6EDD">
        <w:t> </w:t>
      </w:r>
      <w:r>
        <w:t xml:space="preserve">million </w:t>
      </w:r>
      <w:r w:rsidR="005C75F7">
        <w:t xml:space="preserve">for the duration of the </w:t>
      </w:r>
      <w:r w:rsidR="005206DE">
        <w:t>BUILD P</w:t>
      </w:r>
      <w:r w:rsidR="005C75F7">
        <w:t>rogram</w:t>
      </w:r>
      <w:r>
        <w:t xml:space="preserve">.  </w:t>
      </w:r>
    </w:p>
    <w:p w14:paraId="7F6B62DD" w14:textId="77777777" w:rsidR="009A122F" w:rsidRDefault="009A122F" w:rsidP="009A122F">
      <w:pPr>
        <w:pStyle w:val="OP"/>
      </w:pPr>
      <w:r>
        <w:t xml:space="preserve">It is reasonable to ultimately defer to the Legislature should the Legislature find that BUILD Program administrative funding to the CEC should be less. </w:t>
      </w:r>
    </w:p>
    <w:p w14:paraId="55BCA228" w14:textId="17BFF184" w:rsidR="009A122F" w:rsidRDefault="009A122F" w:rsidP="009A122F">
      <w:pPr>
        <w:pStyle w:val="OP"/>
      </w:pPr>
      <w:r>
        <w:t xml:space="preserve">It is reasonable to appropriate BUILD Program incentives to only </w:t>
      </w:r>
      <w:r w:rsidR="005C75F7">
        <w:t xml:space="preserve">new </w:t>
      </w:r>
      <w:r w:rsidR="005206DE">
        <w:t xml:space="preserve">residential </w:t>
      </w:r>
      <w:r w:rsidR="005C75F7">
        <w:t>housing</w:t>
      </w:r>
      <w:r>
        <w:t xml:space="preserve"> that </w:t>
      </w:r>
      <w:r w:rsidR="005206DE">
        <w:t xml:space="preserve">is </w:t>
      </w:r>
      <w:r>
        <w:t>all</w:t>
      </w:r>
      <w:r w:rsidR="00061E0B">
        <w:t>-</w:t>
      </w:r>
      <w:r>
        <w:t xml:space="preserve">electric, which is consistent with State of California </w:t>
      </w:r>
      <w:r w:rsidR="005206DE">
        <w:t xml:space="preserve">goals </w:t>
      </w:r>
      <w:r>
        <w:t xml:space="preserve">to achieve a zero-GHG electricity supply by 2045. </w:t>
      </w:r>
    </w:p>
    <w:p w14:paraId="2D2450E0" w14:textId="246799E1" w:rsidR="00396BB8" w:rsidRDefault="00396BB8" w:rsidP="009A122F">
      <w:pPr>
        <w:pStyle w:val="OP"/>
      </w:pPr>
      <w:r>
        <w:t>It is unreasonable to adopt the inclusion of renewable natural gas and hydrogen into the BUILD Program and TECH Initiative pilot programs because these pilot programs are not focused on particularized infrastructure or fuels.</w:t>
      </w:r>
    </w:p>
    <w:p w14:paraId="40A5CBB2" w14:textId="39C74810" w:rsidR="009A122F" w:rsidRDefault="009A122F" w:rsidP="009A122F">
      <w:pPr>
        <w:pStyle w:val="OP"/>
      </w:pPr>
      <w:r>
        <w:t>It is reasonable to require the CEC to ensure that the structure of the BUILD Program incentives design and distribution is consistent with Cap</w:t>
      </w:r>
      <w:r w:rsidR="007F6EDD">
        <w:noBreakHyphen/>
      </w:r>
      <w:r>
        <w:t>and</w:t>
      </w:r>
      <w:r w:rsidR="007F6EDD">
        <w:noBreakHyphen/>
      </w:r>
      <w:r>
        <w:t xml:space="preserve">Trade regulations so that incentives are proportionally allocated back to the service territory from which they came. </w:t>
      </w:r>
    </w:p>
    <w:p w14:paraId="7CA4FDDB" w14:textId="7DB21D5B" w:rsidR="005206DE" w:rsidRDefault="005206DE" w:rsidP="005206DE">
      <w:pPr>
        <w:pStyle w:val="OP"/>
      </w:pPr>
      <w:r w:rsidRPr="00994002">
        <w:t xml:space="preserve">It is reasonable to define new residential housing as either </w:t>
      </w:r>
      <w:r>
        <w:t>(</w:t>
      </w:r>
      <w:r w:rsidRPr="00994002">
        <w:t>a) a new building that has not previously been used or occupied</w:t>
      </w:r>
      <w:r>
        <w:t>;</w:t>
      </w:r>
      <w:r w:rsidRPr="00994002">
        <w:t xml:space="preserve"> </w:t>
      </w:r>
      <w:r>
        <w:t>(</w:t>
      </w:r>
      <w:r w:rsidRPr="00994002">
        <w:t>b) an existing building where at least 50</w:t>
      </w:r>
      <w:r>
        <w:t xml:space="preserve"> percent</w:t>
      </w:r>
      <w:r w:rsidRPr="00994002">
        <w:t xml:space="preserve"> of the exterior weight-bearing walls are removed or demolished for new construction</w:t>
      </w:r>
      <w:r>
        <w:t>;</w:t>
      </w:r>
      <w:r w:rsidRPr="00994002">
        <w:t xml:space="preserve"> or </w:t>
      </w:r>
      <w:r>
        <w:t>(</w:t>
      </w:r>
      <w:r w:rsidRPr="00994002">
        <w:t>c) an existing building repurposed for housing, whose original use was not residential.</w:t>
      </w:r>
      <w:r>
        <w:t xml:space="preserve"> </w:t>
      </w:r>
    </w:p>
    <w:p w14:paraId="5E6511E0" w14:textId="39A12367" w:rsidR="00194A6E" w:rsidRPr="001C774F" w:rsidRDefault="00194A6E" w:rsidP="00194A6E">
      <w:pPr>
        <w:pStyle w:val="OP"/>
      </w:pPr>
      <w:r w:rsidRPr="00720EC7">
        <w:t xml:space="preserve">It is reasonable to require that </w:t>
      </w:r>
      <w:r w:rsidRPr="001C774F">
        <w:t>BUILD Program incentives be based on whole building GHG performance modelled using the CEC’s California Energy Code compliance software against a reference case.</w:t>
      </w:r>
    </w:p>
    <w:p w14:paraId="666B960A" w14:textId="3CA7C789" w:rsidR="00194A6E" w:rsidRDefault="00194A6E" w:rsidP="00194A6E">
      <w:pPr>
        <w:pStyle w:val="OP"/>
      </w:pPr>
      <w:r w:rsidRPr="001C774F">
        <w:t>It is reasonable to reconsider the BUILD Program parameters if the CEC is unable to spend the funds after two years of implementation.</w:t>
      </w:r>
    </w:p>
    <w:p w14:paraId="0B9E965C" w14:textId="4E8AA62B" w:rsidR="005206DE" w:rsidRPr="00500439" w:rsidRDefault="00500439" w:rsidP="005206DE">
      <w:pPr>
        <w:pStyle w:val="OP"/>
      </w:pPr>
      <w:r w:rsidRPr="00500439">
        <w:lastRenderedPageBreak/>
        <w:t>It is reasonable to establish the implementation start date for the BUILD Program as the date when the CEC notifies the public that it is accepting applications for the program.</w:t>
      </w:r>
    </w:p>
    <w:p w14:paraId="4867EB67" w14:textId="5E222F49" w:rsidR="00194A6E" w:rsidRPr="001C774F" w:rsidRDefault="00194A6E" w:rsidP="00194A6E">
      <w:pPr>
        <w:pStyle w:val="OP"/>
      </w:pPr>
      <w:r w:rsidRPr="001C774F">
        <w:t>It is</w:t>
      </w:r>
      <w:r w:rsidR="001350E6">
        <w:t xml:space="preserve"> </w:t>
      </w:r>
      <w:r w:rsidR="001350E6" w:rsidRPr="001C774F">
        <w:t xml:space="preserve">reasonable to consider extending BUILD Program eligibility to </w:t>
      </w:r>
      <w:r w:rsidR="001350E6">
        <w:t>address barriers to scaling decarbonization in new low-income residential housing</w:t>
      </w:r>
      <w:r w:rsidR="001350E6" w:rsidRPr="001C774F">
        <w:t>, market-rate projects</w:t>
      </w:r>
      <w:r w:rsidR="001350E6">
        <w:t xml:space="preserve">, and </w:t>
      </w:r>
      <w:r w:rsidR="001350E6" w:rsidRPr="001C774F">
        <w:t xml:space="preserve">electric-ready retrofits if allocated funds are not spent within two years of </w:t>
      </w:r>
      <w:r w:rsidR="002A0763">
        <w:t xml:space="preserve">the </w:t>
      </w:r>
      <w:r w:rsidR="001350E6" w:rsidRPr="001C774F">
        <w:t>implementation</w:t>
      </w:r>
      <w:r w:rsidR="002A0763">
        <w:t xml:space="preserve"> start date</w:t>
      </w:r>
      <w:r w:rsidR="001350E6">
        <w:t xml:space="preserve">. </w:t>
      </w:r>
      <w:r w:rsidRPr="001C774F">
        <w:t>.</w:t>
      </w:r>
    </w:p>
    <w:p w14:paraId="55BEAC3A" w14:textId="77777777" w:rsidR="00194A6E" w:rsidRPr="001C774F" w:rsidRDefault="00194A6E" w:rsidP="00194A6E">
      <w:pPr>
        <w:pStyle w:val="OP"/>
      </w:pPr>
      <w:r w:rsidRPr="001C774F">
        <w:t>It is reasonable to consider funds set aside for approved BUILD Program applications as spent for the purposes of this program.</w:t>
      </w:r>
    </w:p>
    <w:p w14:paraId="0EE216CC" w14:textId="334D43B1" w:rsidR="00194A6E" w:rsidRPr="001C774F" w:rsidRDefault="00194A6E" w:rsidP="00194A6E">
      <w:pPr>
        <w:pStyle w:val="OP"/>
      </w:pPr>
      <w:r w:rsidRPr="001C774F">
        <w:t xml:space="preserve">It is reasonable to require </w:t>
      </w:r>
      <w:r w:rsidR="005206DE">
        <w:t xml:space="preserve">electric and </w:t>
      </w:r>
      <w:r w:rsidRPr="001C774F">
        <w:t>gas corporations to release non</w:t>
      </w:r>
      <w:r w:rsidR="00333C69">
        <w:noBreakHyphen/>
      </w:r>
      <w:r w:rsidRPr="001C774F">
        <w:t xml:space="preserve">confidential data </w:t>
      </w:r>
      <w:r w:rsidR="005206DE">
        <w:t xml:space="preserve">that may effectively inform </w:t>
      </w:r>
      <w:r w:rsidRPr="001C774F">
        <w:t xml:space="preserve">BUILD Program </w:t>
      </w:r>
      <w:r w:rsidR="005206DE">
        <w:t xml:space="preserve">and TECH Initiative </w:t>
      </w:r>
      <w:r w:rsidRPr="001C774F">
        <w:t>design</w:t>
      </w:r>
      <w:r w:rsidR="005206DE">
        <w:t>s</w:t>
      </w:r>
      <w:r w:rsidRPr="001C774F">
        <w:t>.</w:t>
      </w:r>
    </w:p>
    <w:p w14:paraId="12914EE7" w14:textId="77777777" w:rsidR="00194A6E" w:rsidRPr="00720EC7" w:rsidRDefault="00194A6E" w:rsidP="00194A6E">
      <w:pPr>
        <w:pStyle w:val="OP"/>
      </w:pPr>
      <w:r w:rsidRPr="001C774F">
        <w:t>It is reasonable to require the CEC to submit an implementation plan every two years to the Commission’s Deputy Executive Director for Energy and Climate Policy for approval via the Commission’s resolution process.</w:t>
      </w:r>
    </w:p>
    <w:p w14:paraId="0A78251B" w14:textId="35B61842" w:rsidR="00061E0B" w:rsidRDefault="00194A6E" w:rsidP="009A122F">
      <w:pPr>
        <w:pStyle w:val="OP"/>
      </w:pPr>
      <w:r>
        <w:t>It is reasonable to designate a</w:t>
      </w:r>
      <w:r w:rsidR="00061E0B">
        <w:t xml:space="preserve">ll new low-income residential housing projects within the territories of gas corporations subject to this decision be eligible for BUILD Program incentives. </w:t>
      </w:r>
    </w:p>
    <w:p w14:paraId="33844C79" w14:textId="5605FB5C" w:rsidR="009A122F" w:rsidRDefault="009F244A" w:rsidP="009A122F">
      <w:pPr>
        <w:pStyle w:val="OP"/>
      </w:pPr>
      <w:r>
        <w:t xml:space="preserve">It is reasonable to direct </w:t>
      </w:r>
      <w:r w:rsidR="00275240">
        <w:t xml:space="preserve">SCE, in cooperation with the Commission’s </w:t>
      </w:r>
      <w:r>
        <w:t>Energy Division</w:t>
      </w:r>
      <w:r w:rsidR="00275240">
        <w:t>,</w:t>
      </w:r>
      <w:r>
        <w:t xml:space="preserve"> to issue a request for proposal (RFP) to select the implementer for the TECH Initiative. </w:t>
      </w:r>
    </w:p>
    <w:p w14:paraId="1BC8005C" w14:textId="1BC71F89" w:rsidR="00673451" w:rsidRDefault="009F244A" w:rsidP="00673451">
      <w:pPr>
        <w:pStyle w:val="OP"/>
      </w:pPr>
      <w:r>
        <w:t xml:space="preserve">It is reasonable to </w:t>
      </w:r>
      <w:r w:rsidR="00721093" w:rsidRPr="00D14F50">
        <w:rPr>
          <w:bCs/>
        </w:rPr>
        <w:t xml:space="preserve">convene a scoring committee for the purpose of selecting the TECH Initiative implementer that consists of </w:t>
      </w:r>
      <w:r w:rsidR="00721093" w:rsidRPr="00D14F50">
        <w:t>the following nine members:</w:t>
      </w:r>
      <w:r w:rsidR="0051232E">
        <w:t xml:space="preserve"> </w:t>
      </w:r>
      <w:r w:rsidR="00721093" w:rsidRPr="00D14F50">
        <w:t xml:space="preserve"> (1) one representative from Energy Division; (2) one representative from the CEC; (3) one representative from SCE; (4) three market transformation experts selected by Energy Division; and (5) one representative each from three separate </w:t>
      </w:r>
      <w:r w:rsidR="00721093" w:rsidRPr="00D14F50">
        <w:lastRenderedPageBreak/>
        <w:t>environmental or consumer public interest groups</w:t>
      </w:r>
      <w:r w:rsidR="005C75F7">
        <w:t>, or a coalition of environmental or consumer public interest groups,</w:t>
      </w:r>
      <w:r w:rsidR="00721093" w:rsidRPr="00D14F50">
        <w:t xml:space="preserve"> that are parties to R.19</w:t>
      </w:r>
      <w:r w:rsidR="00333C69">
        <w:noBreakHyphen/>
      </w:r>
      <w:r w:rsidR="00721093" w:rsidRPr="00D14F50">
        <w:t>01</w:t>
      </w:r>
      <w:r w:rsidR="00333C69">
        <w:noBreakHyphen/>
      </w:r>
      <w:r w:rsidR="00721093" w:rsidRPr="00D14F50">
        <w:t>011, as selected by Energy Division.</w:t>
      </w:r>
      <w:r>
        <w:t xml:space="preserve"> </w:t>
      </w:r>
    </w:p>
    <w:p w14:paraId="2784DA5E" w14:textId="24E805E6" w:rsidR="00673451" w:rsidRDefault="00673451" w:rsidP="00673451">
      <w:pPr>
        <w:pStyle w:val="OP"/>
      </w:pPr>
      <w:r>
        <w:t xml:space="preserve">It is reasonable to award intervenor compensation to any participating in the Scoring Committee who makes a substantial contribution to the work of the Scoring Committee and meets all other requirements of the rules and statutes governing intervenor compensation.  Participation in the Scoring Committee will assist the Commission and therefore constitutes a contribution to a proceeding of the Commission.  </w:t>
      </w:r>
    </w:p>
    <w:p w14:paraId="73E57433" w14:textId="41117ED8" w:rsidR="009F244A" w:rsidRDefault="009F244A" w:rsidP="009A122F">
      <w:pPr>
        <w:pStyle w:val="OP"/>
      </w:pPr>
      <w:r>
        <w:t>It is reasonable to require, upon selection of a</w:t>
      </w:r>
      <w:r w:rsidR="00483507">
        <w:t xml:space="preserve"> </w:t>
      </w:r>
      <w:r>
        <w:t>prospective</w:t>
      </w:r>
      <w:r w:rsidR="00483507">
        <w:t xml:space="preserve"> TECH Initiative</w:t>
      </w:r>
      <w:r>
        <w:t xml:space="preserve"> implementer, to require SCE to file a Tier 3 advice letter requesting formal </w:t>
      </w:r>
      <w:r w:rsidR="005C75F7">
        <w:t xml:space="preserve">Energy Division </w:t>
      </w:r>
      <w:r>
        <w:t>approval</w:t>
      </w:r>
      <w:r w:rsidR="00483507">
        <w:t xml:space="preserve"> of the selection of the TECH Initiative implementer.</w:t>
      </w:r>
      <w:r>
        <w:t xml:space="preserve"> </w:t>
      </w:r>
    </w:p>
    <w:p w14:paraId="75768B81" w14:textId="4DCE7415" w:rsidR="009A122F" w:rsidRDefault="009A122F" w:rsidP="009A122F">
      <w:pPr>
        <w:pStyle w:val="OP"/>
      </w:pPr>
      <w:r>
        <w:t xml:space="preserve">It is reasonable to give the TECH Initiative implementer the </w:t>
      </w:r>
      <w:r w:rsidR="002A0763">
        <w:t xml:space="preserve">discretion </w:t>
      </w:r>
      <w:r>
        <w:t>to select from a menu of market transformation tactics</w:t>
      </w:r>
      <w:r w:rsidR="00483507">
        <w:t>,</w:t>
      </w:r>
      <w:r>
        <w:t xml:space="preserve"> but it</w:t>
      </w:r>
      <w:r w:rsidR="00483507">
        <w:t xml:space="preserve"> shall</w:t>
      </w:r>
      <w:r>
        <w:t xml:space="preserve"> implement an upstream and midstream market </w:t>
      </w:r>
      <w:r w:rsidR="005206DE">
        <w:t xml:space="preserve">development </w:t>
      </w:r>
      <w:r>
        <w:t xml:space="preserve"> approach as </w:t>
      </w:r>
      <w:r w:rsidR="00483507">
        <w:t>specific</w:t>
      </w:r>
      <w:r>
        <w:t xml:space="preserve"> driver</w:t>
      </w:r>
      <w:r w:rsidR="00483507">
        <w:t>s</w:t>
      </w:r>
      <w:r>
        <w:t xml:space="preserve"> for market transformation. </w:t>
      </w:r>
    </w:p>
    <w:p w14:paraId="5FD2D3FD" w14:textId="607C8DA2" w:rsidR="009A122F" w:rsidRDefault="009A122F" w:rsidP="009A122F">
      <w:pPr>
        <w:pStyle w:val="OP"/>
      </w:pPr>
      <w:r>
        <w:t xml:space="preserve">It is reasonable to define upstream market </w:t>
      </w:r>
      <w:r w:rsidR="005206DE">
        <w:t xml:space="preserve">development </w:t>
      </w:r>
      <w:r>
        <w:t xml:space="preserve"> as </w:t>
      </w:r>
      <w:r w:rsidRPr="00ED1ECD">
        <w:rPr>
          <w:bCs/>
        </w:rPr>
        <w:t>program element</w:t>
      </w:r>
      <w:r>
        <w:rPr>
          <w:bCs/>
        </w:rPr>
        <w:t>s</w:t>
      </w:r>
      <w:r w:rsidRPr="00ED1ECD">
        <w:rPr>
          <w:bCs/>
        </w:rPr>
        <w:t xml:space="preserve"> aimed at </w:t>
      </w:r>
      <w:r w:rsidRPr="00ED1ECD">
        <w:t xml:space="preserve">encouraging manufacturers to make the most </w:t>
      </w:r>
      <w:r w:rsidR="005206DE">
        <w:t>GHG-reducing</w:t>
      </w:r>
      <w:r w:rsidR="005206DE" w:rsidRPr="00ED1ECD">
        <w:t xml:space="preserve"> </w:t>
      </w:r>
      <w:r w:rsidRPr="00ED1ECD">
        <w:t>equipment available at competitive prices</w:t>
      </w:r>
      <w:r w:rsidR="0051232E">
        <w:t>.</w:t>
      </w:r>
    </w:p>
    <w:p w14:paraId="361B8221" w14:textId="255260F6" w:rsidR="009A122F" w:rsidRDefault="009A122F" w:rsidP="009A122F">
      <w:pPr>
        <w:pStyle w:val="OP"/>
      </w:pPr>
      <w:r>
        <w:t xml:space="preserve">It is reasonable to define mid-stream market </w:t>
      </w:r>
      <w:r w:rsidR="005206DE">
        <w:t xml:space="preserve">development </w:t>
      </w:r>
      <w:r>
        <w:t xml:space="preserve">as </w:t>
      </w:r>
      <w:r w:rsidRPr="001040A4">
        <w:t>a program element that provides incentives to wholesale distributors, retailers, e-commerce companies and/or contractors to stock and/or sell more efficient products</w:t>
      </w:r>
      <w:r>
        <w:t>.</w:t>
      </w:r>
    </w:p>
    <w:p w14:paraId="585BF112" w14:textId="645E806D" w:rsidR="009A122F" w:rsidRDefault="009A122F" w:rsidP="009A122F">
      <w:pPr>
        <w:pStyle w:val="OP"/>
      </w:pPr>
      <w:r>
        <w:t>It is reasonable to require the TECH Initiative implementer to select from technologies that demonstrably reduce GHG emissions to meet building decarbonization pilot program goals.</w:t>
      </w:r>
    </w:p>
    <w:p w14:paraId="515E109D" w14:textId="77777777" w:rsidR="00BB0243" w:rsidRDefault="005939A5" w:rsidP="001916DD">
      <w:pPr>
        <w:pStyle w:val="Mainex"/>
        <w:spacing w:before="240"/>
      </w:pPr>
      <w:bookmarkStart w:id="90" w:name="_Toc12866697"/>
      <w:bookmarkStart w:id="91" w:name="_Toc32310284"/>
      <w:r>
        <w:lastRenderedPageBreak/>
        <w:t>O</w:t>
      </w:r>
      <w:r w:rsidR="00722850">
        <w:t>RDER</w:t>
      </w:r>
      <w:bookmarkEnd w:id="90"/>
      <w:bookmarkEnd w:id="91"/>
    </w:p>
    <w:p w14:paraId="20B03094" w14:textId="77777777" w:rsidR="00BB0243" w:rsidRDefault="00BB0243" w:rsidP="000A6E05">
      <w:pPr>
        <w:keepNext/>
      </w:pPr>
      <w:r w:rsidRPr="00BB0243">
        <w:rPr>
          <w:b/>
        </w:rPr>
        <w:t>IT IS ORDERED</w:t>
      </w:r>
      <w:r>
        <w:t xml:space="preserve"> that:</w:t>
      </w:r>
    </w:p>
    <w:p w14:paraId="1C8ACD4F" w14:textId="643759FE" w:rsidR="002753B7" w:rsidRPr="00A44EB5" w:rsidRDefault="00BB0218" w:rsidP="00BB0218">
      <w:pPr>
        <w:pStyle w:val="OP"/>
        <w:numPr>
          <w:ilvl w:val="0"/>
          <w:numId w:val="25"/>
        </w:numPr>
      </w:pPr>
      <w:r>
        <w:t xml:space="preserve">Pursuant to </w:t>
      </w:r>
      <w:r w:rsidR="002753B7" w:rsidRPr="00A44EB5">
        <w:t>S</w:t>
      </w:r>
      <w:r>
        <w:t xml:space="preserve">enate </w:t>
      </w:r>
      <w:r w:rsidR="002753B7" w:rsidRPr="00A44EB5">
        <w:t>B</w:t>
      </w:r>
      <w:r>
        <w:t xml:space="preserve">ill </w:t>
      </w:r>
      <w:r w:rsidR="008F3276">
        <w:t>1</w:t>
      </w:r>
      <w:r w:rsidR="002753B7" w:rsidRPr="00A44EB5">
        <w:t>477</w:t>
      </w:r>
      <w:r>
        <w:t>, we order</w:t>
      </w:r>
      <w:r w:rsidR="002753B7" w:rsidRPr="00A44EB5">
        <w:t xml:space="preserve"> </w:t>
      </w:r>
      <w:r>
        <w:t xml:space="preserve">that </w:t>
      </w:r>
      <w:r w:rsidR="002753B7" w:rsidRPr="00A44EB5">
        <w:t xml:space="preserve">funding for the </w:t>
      </w:r>
      <w:r>
        <w:t xml:space="preserve">Building Initiative for Low-Emissions Development program </w:t>
      </w:r>
      <w:r w:rsidR="00721093">
        <w:t xml:space="preserve">(BUILD Program) </w:t>
      </w:r>
      <w:r w:rsidR="002753B7" w:rsidRPr="00A44EB5">
        <w:t xml:space="preserve">and </w:t>
      </w:r>
      <w:r>
        <w:t xml:space="preserve">the Technology and Equipment for Clean Heating initiative </w:t>
      </w:r>
      <w:r w:rsidR="00721093">
        <w:t xml:space="preserve">(TECH Initiative) be made </w:t>
      </w:r>
      <w:r w:rsidR="00721093" w:rsidRPr="00A44EB5">
        <w:t xml:space="preserve">available from </w:t>
      </w:r>
      <w:r w:rsidR="00721093">
        <w:t xml:space="preserve">a pool of </w:t>
      </w:r>
      <w:r w:rsidR="00721093" w:rsidRPr="00A44EB5">
        <w:t>$200 million</w:t>
      </w:r>
      <w:r w:rsidR="00721093">
        <w:t>,</w:t>
      </w:r>
      <w:r w:rsidR="00721093" w:rsidRPr="00A44EB5">
        <w:t xml:space="preserve"> </w:t>
      </w:r>
      <w:r w:rsidR="00721093">
        <w:t xml:space="preserve">collected </w:t>
      </w:r>
      <w:r w:rsidR="005C75F7">
        <w:t xml:space="preserve">over </w:t>
      </w:r>
      <w:r w:rsidR="00721093">
        <w:t xml:space="preserve">four </w:t>
      </w:r>
      <w:r w:rsidR="005C75F7">
        <w:t xml:space="preserve">years in increments totaling </w:t>
      </w:r>
      <w:r w:rsidR="00721093">
        <w:t xml:space="preserve">$50 </w:t>
      </w:r>
      <w:r w:rsidR="005C75F7">
        <w:t xml:space="preserve">million </w:t>
      </w:r>
      <w:r w:rsidR="00721093" w:rsidRPr="00A44EB5">
        <w:t>annual</w:t>
      </w:r>
      <w:r w:rsidR="005C75F7">
        <w:t>ly</w:t>
      </w:r>
      <w:r w:rsidR="00721093" w:rsidRPr="00A44EB5">
        <w:t xml:space="preserve"> </w:t>
      </w:r>
      <w:r w:rsidR="00721093">
        <w:t xml:space="preserve"> starting in Fiscal Year (FY) 2019-20 and ending in FY 2022-23, and</w:t>
      </w:r>
      <w:r w:rsidR="00721093" w:rsidRPr="00A44EB5">
        <w:t xml:space="preserve"> derived from the revenue generated from the greenhouse gas emission allowances directly allocated to gas corporations and consigned to auction as part of the California Air Resources Board</w:t>
      </w:r>
      <w:r w:rsidR="00721093">
        <w:t xml:space="preserve"> </w:t>
      </w:r>
      <w:r w:rsidR="00721093" w:rsidRPr="00A44EB5">
        <w:t>Cap-and-Trade program</w:t>
      </w:r>
      <w:r w:rsidR="002753B7" w:rsidRPr="00A44EB5">
        <w:t xml:space="preserve">.  </w:t>
      </w:r>
    </w:p>
    <w:p w14:paraId="1F75FF32" w14:textId="3C9380CC" w:rsidR="00175C42" w:rsidRDefault="002753B7" w:rsidP="00175C42">
      <w:pPr>
        <w:pStyle w:val="OP"/>
        <w:numPr>
          <w:ilvl w:val="0"/>
          <w:numId w:val="25"/>
        </w:numPr>
      </w:pPr>
      <w:r w:rsidRPr="00A44EB5">
        <w:t>California gas corporations subject to S</w:t>
      </w:r>
      <w:r w:rsidR="008F3276">
        <w:t xml:space="preserve">enate </w:t>
      </w:r>
      <w:r w:rsidRPr="00A44EB5">
        <w:t>B</w:t>
      </w:r>
      <w:r w:rsidR="008F3276">
        <w:t>ill</w:t>
      </w:r>
      <w:r w:rsidR="0069552A">
        <w:t xml:space="preserve"> (SB)</w:t>
      </w:r>
      <w:r w:rsidRPr="00A44EB5">
        <w:t xml:space="preserve"> 1477 </w:t>
      </w:r>
      <w:r w:rsidR="00721093">
        <w:t xml:space="preserve">funding obligations </w:t>
      </w:r>
      <w:r w:rsidRPr="00A44EB5">
        <w:t>are Pacific Gas and Electric Company</w:t>
      </w:r>
      <w:r w:rsidR="009A2888">
        <w:t xml:space="preserve"> </w:t>
      </w:r>
      <w:r w:rsidRPr="00A44EB5">
        <w:t>, Southern California Gas Company</w:t>
      </w:r>
      <w:r w:rsidR="009A2888">
        <w:t xml:space="preserve"> </w:t>
      </w:r>
      <w:r w:rsidRPr="00A44EB5">
        <w:t>, San Diego Gas &amp; Electric Company, and Southwest Gas Company</w:t>
      </w:r>
      <w:r w:rsidR="009A2888">
        <w:t xml:space="preserve"> </w:t>
      </w:r>
      <w:r w:rsidRPr="00A44EB5">
        <w:t xml:space="preserve"> </w:t>
      </w:r>
      <w:r w:rsidR="00C6675B">
        <w:t xml:space="preserve">Southern California Edison Company shall act as the Commission’s contracting agent.  </w:t>
      </w:r>
      <w:r w:rsidR="00BB0218" w:rsidRPr="00A44EB5">
        <w:t xml:space="preserve">To comply with California Air Resources Board rules regarding Cap-and-Trade funds, SB 1477 compliance costs shall be allocated according to the following percentages, for each gas corporation service territory:  (a) </w:t>
      </w:r>
      <w:r w:rsidR="009A2888">
        <w:t>P</w:t>
      </w:r>
      <w:r w:rsidR="00C6675B">
        <w:t xml:space="preserve">acific </w:t>
      </w:r>
      <w:r w:rsidR="009A2888">
        <w:t>G</w:t>
      </w:r>
      <w:r w:rsidR="00C6675B">
        <w:t xml:space="preserve">as </w:t>
      </w:r>
      <w:r w:rsidR="00160E92">
        <w:t>and</w:t>
      </w:r>
      <w:r w:rsidR="00C6675B">
        <w:t xml:space="preserve"> </w:t>
      </w:r>
      <w:r w:rsidR="009A2888">
        <w:t>E</w:t>
      </w:r>
      <w:r w:rsidR="00C6675B">
        <w:t xml:space="preserve">lectric Company </w:t>
      </w:r>
      <w:r w:rsidR="00BB0218" w:rsidRPr="00A44EB5">
        <w:t>:</w:t>
      </w:r>
      <w:r w:rsidR="009A2888">
        <w:t xml:space="preserve"> </w:t>
      </w:r>
      <w:r w:rsidR="00BB0218" w:rsidRPr="00A44EB5">
        <w:t xml:space="preserve"> 42.34 percent; (b) </w:t>
      </w:r>
      <w:r w:rsidR="009A2888">
        <w:t>So</w:t>
      </w:r>
      <w:r w:rsidR="00C6675B">
        <w:t xml:space="preserve">uthern </w:t>
      </w:r>
      <w:r w:rsidR="009A2888">
        <w:t>Cal</w:t>
      </w:r>
      <w:r w:rsidR="00C6675B">
        <w:t xml:space="preserve">ifornia </w:t>
      </w:r>
      <w:r w:rsidR="009A2888">
        <w:t>Gas</w:t>
      </w:r>
      <w:r w:rsidR="00C6675B">
        <w:t xml:space="preserve"> Company</w:t>
      </w:r>
      <w:r w:rsidR="00BB0218" w:rsidRPr="00A44EB5">
        <w:t xml:space="preserve"> 49.26 percent; (c) </w:t>
      </w:r>
      <w:r w:rsidR="009A2888">
        <w:t>S</w:t>
      </w:r>
      <w:r w:rsidR="00C6675B">
        <w:t xml:space="preserve">an </w:t>
      </w:r>
      <w:r w:rsidR="009A2888">
        <w:t>D</w:t>
      </w:r>
      <w:r w:rsidR="00C6675B">
        <w:t xml:space="preserve">iego </w:t>
      </w:r>
      <w:r w:rsidR="009A2888">
        <w:t>G</w:t>
      </w:r>
      <w:r w:rsidR="00C6675B">
        <w:t xml:space="preserve">as </w:t>
      </w:r>
      <w:r w:rsidR="009A2888">
        <w:t>&amp;</w:t>
      </w:r>
      <w:r w:rsidR="00C6675B">
        <w:t xml:space="preserve"> </w:t>
      </w:r>
      <w:r w:rsidR="009A2888">
        <w:t>E</w:t>
      </w:r>
      <w:r w:rsidR="00C6675B">
        <w:t>lectric Company</w:t>
      </w:r>
      <w:r w:rsidR="00BB0218" w:rsidRPr="00A44EB5">
        <w:t xml:space="preserve"> 6.77 percent; and (d)</w:t>
      </w:r>
      <w:r w:rsidR="0069552A">
        <w:t> </w:t>
      </w:r>
      <w:r w:rsidR="009A2888">
        <w:t>S</w:t>
      </w:r>
      <w:r w:rsidR="00C6675B">
        <w:t xml:space="preserve">outhwest Gas Corporation </w:t>
      </w:r>
      <w:r w:rsidR="00BB0218" w:rsidRPr="00A44EB5">
        <w:t xml:space="preserve"> 1.63 percent. </w:t>
      </w:r>
      <w:r w:rsidR="00BB0218">
        <w:t xml:space="preserve"> </w:t>
      </w:r>
    </w:p>
    <w:p w14:paraId="6F8DE755" w14:textId="7508FF7D" w:rsidR="002753B7" w:rsidRDefault="00175C42" w:rsidP="00175C42">
      <w:pPr>
        <w:pStyle w:val="OP"/>
        <w:numPr>
          <w:ilvl w:val="0"/>
          <w:numId w:val="25"/>
        </w:numPr>
      </w:pPr>
      <w:r>
        <w:t>Pa</w:t>
      </w:r>
      <w:r w:rsidR="00C6675B">
        <w:t xml:space="preserve">cific Gas </w:t>
      </w:r>
      <w:r w:rsidR="00160E92">
        <w:t>and</w:t>
      </w:r>
      <w:r w:rsidR="00C6675B">
        <w:t xml:space="preserve"> Electric Company, Southern California Gas Company, San</w:t>
      </w:r>
      <w:r w:rsidR="00333C69">
        <w:t> </w:t>
      </w:r>
      <w:r w:rsidR="00C6675B">
        <w:t>Diego Gas &amp; Electric Company, and Southwest Gas Corporation</w:t>
      </w:r>
      <w:r w:rsidR="00C6675B" w:rsidRPr="00845467">
        <w:t xml:space="preserve"> shall modify the table format established by D.15-10-032 (</w:t>
      </w:r>
      <w:r w:rsidR="00C6675B" w:rsidRPr="00333C69">
        <w:rPr>
          <w:i/>
          <w:iCs/>
        </w:rPr>
        <w:t>i.e.,</w:t>
      </w:r>
      <w:r w:rsidR="00C6675B" w:rsidRPr="00845467">
        <w:t xml:space="preserve"> Table C of Appendix A of that decision) to include below line 9 a new line numbered 9b and titled “SB</w:t>
      </w:r>
      <w:r w:rsidR="00333C69">
        <w:t> </w:t>
      </w:r>
      <w:r w:rsidR="00C6675B" w:rsidRPr="00845467">
        <w:t xml:space="preserve">1477 Compliance Costs.”  This line shall record each gas utility’s share of the </w:t>
      </w:r>
      <w:r w:rsidR="00C6675B" w:rsidRPr="00845467">
        <w:lastRenderedPageBreak/>
        <w:t>SB 1477 funding, as established by this decision.  Line 10 of Table C of Appendix</w:t>
      </w:r>
      <w:r w:rsidR="00333C69">
        <w:t> </w:t>
      </w:r>
      <w:r w:rsidR="00C6675B" w:rsidRPr="00845467">
        <w:t>A of D.15-10-032 shall also be modified to equal the Subtotal Allowance Proceeds minus Outreach and Admin Expenses minus the SB 1477 Compliance Costs.  In order to reflect this change, the four gas utilities shall further modify the template for Table C by changing the description of Line 10 of Table C of Appendix A of D.15-10-032 to “Net GHG Proceeds Available for Customer Returns ($) (Line 8 + Line 9 + Line 9b).”</w:t>
      </w:r>
      <w:r w:rsidR="00721093">
        <w:t xml:space="preserve">To </w:t>
      </w:r>
      <w:r w:rsidR="002753B7" w:rsidRPr="00A44EB5">
        <w:t xml:space="preserve">comply with California Air Resources Board’s rules regarding Cap-and-Trade funds, the spending for the </w:t>
      </w:r>
      <w:r w:rsidR="00C6675B">
        <w:t>BUILD Program</w:t>
      </w:r>
      <w:r w:rsidR="002753B7" w:rsidRPr="00A44EB5">
        <w:t xml:space="preserve"> and </w:t>
      </w:r>
      <w:r w:rsidR="00C6675B">
        <w:t xml:space="preserve">TECH Initiative </w:t>
      </w:r>
      <w:r w:rsidR="002753B7" w:rsidRPr="00A44EB5">
        <w:t>shall be proportionally directed to the gas corporation service territories where the funds are derived.</w:t>
      </w:r>
      <w:r w:rsidR="002753B7" w:rsidRPr="00A44EB5">
        <w:rPr>
          <w:rStyle w:val="FootnoteReference"/>
          <w:rFonts w:ascii="Arial" w:hAnsi="Arial"/>
          <w:sz w:val="24"/>
          <w:szCs w:val="24"/>
        </w:rPr>
        <w:footnoteReference w:id="283"/>
      </w:r>
      <w:r w:rsidR="002753B7">
        <w:t xml:space="preserve">  </w:t>
      </w:r>
      <w:r w:rsidR="00C6675B">
        <w:t>Any spending for the BUILD Program and the TECH Initiative with</w:t>
      </w:r>
      <w:r w:rsidR="00C6675B" w:rsidRPr="006079B9">
        <w:t xml:space="preserve"> statewide or cross-territory benefits</w:t>
      </w:r>
      <w:r w:rsidR="00C6675B">
        <w:t>, including but not limited to administrative and evaluation spending,</w:t>
      </w:r>
      <w:r w:rsidR="00C6675B" w:rsidRPr="006079B9">
        <w:t xml:space="preserve"> sh</w:t>
      </w:r>
      <w:r w:rsidR="00C6675B">
        <w:t>all</w:t>
      </w:r>
      <w:r w:rsidR="00C6675B" w:rsidRPr="006079B9">
        <w:t xml:space="preserve"> be attributed to the gas </w:t>
      </w:r>
      <w:r w:rsidR="00C6675B">
        <w:t xml:space="preserve">corporation service </w:t>
      </w:r>
      <w:r w:rsidR="00C6675B" w:rsidRPr="006079B9">
        <w:t>territories in proportion to their original funding contribution.</w:t>
      </w:r>
      <w:r w:rsidR="00C6675B" w:rsidRPr="00D33312">
        <w:t xml:space="preserve"> </w:t>
      </w:r>
      <w:r w:rsidR="00C6675B">
        <w:t xml:space="preserve"> </w:t>
      </w:r>
      <w:r w:rsidR="00C6675B" w:rsidRPr="008E7167">
        <w:t xml:space="preserve">To the extent </w:t>
      </w:r>
      <w:r w:rsidR="00C6675B">
        <w:t xml:space="preserve">that </w:t>
      </w:r>
      <w:r w:rsidR="00C6675B" w:rsidRPr="008E7167">
        <w:t xml:space="preserve">there are unspent </w:t>
      </w:r>
      <w:r w:rsidR="00C6675B">
        <w:t xml:space="preserve">greenhouse gas </w:t>
      </w:r>
      <w:r w:rsidR="00C6675B" w:rsidRPr="008E7167">
        <w:t xml:space="preserve">allowance proceeds </w:t>
      </w:r>
      <w:r w:rsidR="00C6675B">
        <w:t>allocated for an individual gas corporation’s service territory,</w:t>
      </w:r>
      <w:r w:rsidR="00C6675B" w:rsidRPr="008E7167">
        <w:t xml:space="preserve"> and no remaining eligible projects within that service territory, the remaining </w:t>
      </w:r>
      <w:r w:rsidR="00C6675B">
        <w:t xml:space="preserve">greenhouse gas </w:t>
      </w:r>
      <w:r w:rsidR="00C6675B" w:rsidRPr="008E7167">
        <w:t>allowance proceeds may be spent</w:t>
      </w:r>
      <w:r w:rsidR="00C6675B">
        <w:t xml:space="preserve"> outside of that gas corporation’s service territory starting two years after program implementation.</w:t>
      </w:r>
      <w:r w:rsidR="005206DE">
        <w:t xml:space="preserve"> </w:t>
      </w:r>
      <w:r w:rsidR="005206DE" w:rsidRPr="0069400E">
        <w:t>Any unspent funds remaining as of July 1, 20</w:t>
      </w:r>
      <w:r w:rsidR="005206DE">
        <w:t>3</w:t>
      </w:r>
      <w:r w:rsidR="005206DE" w:rsidRPr="0069400E">
        <w:t xml:space="preserve">3 shall </w:t>
      </w:r>
      <w:r w:rsidR="005206DE" w:rsidRPr="00D8128F">
        <w:t xml:space="preserve">be returned to the ratepayers of the respective gas corporations </w:t>
      </w:r>
      <w:r w:rsidR="005206DE">
        <w:t>as part of the California Climate Credit</w:t>
      </w:r>
      <w:r w:rsidR="005206DE" w:rsidRPr="0069400E">
        <w:t>.</w:t>
      </w:r>
    </w:p>
    <w:p w14:paraId="378A9138" w14:textId="332594D4" w:rsidR="00C6675B" w:rsidRDefault="00C6675B" w:rsidP="00C6675B">
      <w:pPr>
        <w:pStyle w:val="OP"/>
        <w:numPr>
          <w:ilvl w:val="0"/>
          <w:numId w:val="25"/>
        </w:numPr>
      </w:pPr>
      <w:r>
        <w:lastRenderedPageBreak/>
        <w:t xml:space="preserve">Southern California Edison shall be the contracting agent responsible for: (a) managing the solicitation for the third-party implementer of the TECH Initiative; and (b) disbursing funds to both the TECH Initiative </w:t>
      </w:r>
      <w:r w:rsidR="005206DE">
        <w:t>i</w:t>
      </w:r>
      <w:r>
        <w:t xml:space="preserve">mplementer and the BUILD Program </w:t>
      </w:r>
      <w:r w:rsidR="005206DE">
        <w:t>a</w:t>
      </w:r>
      <w:r>
        <w:t xml:space="preserve">dministrator.  Southern California Edison is entitled to a portion of the TECH Initiative funding to recover expenses that may be incurred while serving as the contracting agent.  </w:t>
      </w:r>
    </w:p>
    <w:p w14:paraId="33DD2C4D" w14:textId="422439BC" w:rsidR="00C6675B" w:rsidRPr="00A44EB5" w:rsidRDefault="00C6675B" w:rsidP="00C6675B">
      <w:pPr>
        <w:pStyle w:val="OP"/>
        <w:numPr>
          <w:ilvl w:val="0"/>
          <w:numId w:val="25"/>
        </w:numPr>
      </w:pPr>
      <w:r>
        <w:t>Southern California Edison shall file a Tier 1 advice letter with the Commission’s Energy Division within 15 days of the date of the approval of this decision to track costs associated with performing the functions required of the contracting agent.  Southern California Edison shall book all costs associated with performing the functions required of the contracting agent to the new balancing account and shall be entitled to no more than one percent of TECH Initiative funding, with cost recovery subject to a true-up based on actual costs accrued and to a final verification by Energy Division staff.</w:t>
      </w:r>
    </w:p>
    <w:p w14:paraId="4E0EAB95" w14:textId="78BA23FE" w:rsidR="00BB0218" w:rsidRDefault="00BB0218" w:rsidP="00993FF2">
      <w:pPr>
        <w:pStyle w:val="OP"/>
        <w:numPr>
          <w:ilvl w:val="0"/>
          <w:numId w:val="25"/>
        </w:numPr>
      </w:pPr>
      <w:r w:rsidRPr="00A44EB5">
        <w:t xml:space="preserve">Southern California Edison Company shall, within 15 days of the date of the approval of this decision, file a Tier 1 advice letter with the Commission’s Energy Division formalizing a new balancing account for </w:t>
      </w:r>
      <w:r w:rsidR="00C6675B">
        <w:t xml:space="preserve">tracking </w:t>
      </w:r>
      <w:r w:rsidRPr="00A44EB5">
        <w:t xml:space="preserve">the gas corporation’s </w:t>
      </w:r>
      <w:r w:rsidR="00C6675B">
        <w:t>remittance</w:t>
      </w:r>
      <w:r w:rsidR="00B43293">
        <w:t>s</w:t>
      </w:r>
      <w:r w:rsidR="00C6675B">
        <w:t xml:space="preserve"> of their </w:t>
      </w:r>
      <w:r w:rsidRPr="00A44EB5">
        <w:t>S</w:t>
      </w:r>
      <w:r w:rsidR="00286EC1">
        <w:t xml:space="preserve">enate </w:t>
      </w:r>
      <w:r w:rsidRPr="00A44EB5">
        <w:t>B</w:t>
      </w:r>
      <w:r w:rsidR="00286EC1">
        <w:t>ill</w:t>
      </w:r>
      <w:r w:rsidRPr="00A44EB5">
        <w:t xml:space="preserve"> 1477 compliance costs. </w:t>
      </w:r>
    </w:p>
    <w:p w14:paraId="0F252EE3" w14:textId="41E4919C" w:rsidR="00C6675B" w:rsidRPr="00A44EB5" w:rsidRDefault="00C6675B" w:rsidP="00C6675B">
      <w:pPr>
        <w:pStyle w:val="OP"/>
        <w:numPr>
          <w:ilvl w:val="0"/>
          <w:numId w:val="25"/>
        </w:numPr>
      </w:pPr>
      <w:r>
        <w:t xml:space="preserve">Pacific Gas </w:t>
      </w:r>
      <w:r w:rsidR="00160E92">
        <w:t>and</w:t>
      </w:r>
      <w:r>
        <w:t xml:space="preserve"> Electric Company, Southern California Gas Company, San Diego Gas &amp; Electric Company, and Southwest Gas Corporation</w:t>
      </w:r>
      <w:r w:rsidRPr="00BC1D09">
        <w:t xml:space="preserve"> shall, on or before June 1, 2020, disburse to the contracting agent the entire first year funding set aside as directed by Resolution G</w:t>
      </w:r>
      <w:r>
        <w:t>-</w:t>
      </w:r>
      <w:r w:rsidRPr="00BC1D09">
        <w:t>3565.</w:t>
      </w:r>
    </w:p>
    <w:p w14:paraId="3C14DE95" w14:textId="1E317274" w:rsidR="002753B7" w:rsidRDefault="002753B7" w:rsidP="00993FF2">
      <w:pPr>
        <w:pStyle w:val="OP"/>
        <w:numPr>
          <w:ilvl w:val="0"/>
          <w:numId w:val="25"/>
        </w:numPr>
      </w:pPr>
      <w:r w:rsidRPr="00A44EB5">
        <w:t xml:space="preserve">Pacific Gas </w:t>
      </w:r>
      <w:r w:rsidR="00C6675B">
        <w:t>&amp;</w:t>
      </w:r>
      <w:r w:rsidRPr="00A44EB5">
        <w:t xml:space="preserve"> Electric Company, Southern California Gas Company, San</w:t>
      </w:r>
      <w:r w:rsidR="00286EC1">
        <w:t> </w:t>
      </w:r>
      <w:r w:rsidRPr="00A44EB5">
        <w:t>Diego Gas &amp; Electric Company, and Southwest Gas Company shall</w:t>
      </w:r>
      <w:r w:rsidR="00175C42">
        <w:t xml:space="preserve">, beginning September 1, 2020, remit </w:t>
      </w:r>
      <w:r w:rsidR="00175C42" w:rsidRPr="00572E9F">
        <w:t>their respective "SB 1477 Compliance Costs" directly to the contracting agent on a quarterly basis in four equal installments</w:t>
      </w:r>
      <w:r w:rsidR="00175C42">
        <w:t xml:space="preserve"> </w:t>
      </w:r>
      <w:r w:rsidR="00175C42">
        <w:lastRenderedPageBreak/>
        <w:t>per fiscal year.  Remittances shall be made on or before March 1, June 1, September 1, and December 1.  Funding obligations shall cease following the remittances made on June 1, 2023 unless otherwise directed by a subsequent decision of the Commission.</w:t>
      </w:r>
      <w:r w:rsidR="007C7440">
        <w:t xml:space="preserve">. </w:t>
      </w:r>
    </w:p>
    <w:p w14:paraId="062953C8" w14:textId="5445A790" w:rsidR="002753B7" w:rsidRPr="00A44EB5" w:rsidRDefault="00BB0218" w:rsidP="00993FF2">
      <w:pPr>
        <w:pStyle w:val="OP"/>
        <w:numPr>
          <w:ilvl w:val="0"/>
          <w:numId w:val="25"/>
        </w:numPr>
      </w:pPr>
      <w:r>
        <w:t>$80 million</w:t>
      </w:r>
      <w:r w:rsidR="002753B7" w:rsidRPr="00A44EB5">
        <w:t xml:space="preserve"> of the $200 million S</w:t>
      </w:r>
      <w:r w:rsidR="00286EC1">
        <w:t xml:space="preserve">enate </w:t>
      </w:r>
      <w:r w:rsidR="002753B7" w:rsidRPr="00A44EB5">
        <w:t>B</w:t>
      </w:r>
      <w:r w:rsidR="00286EC1">
        <w:t>ill</w:t>
      </w:r>
      <w:r w:rsidR="00407210">
        <w:t xml:space="preserve"> (SB)</w:t>
      </w:r>
      <w:r w:rsidR="002753B7" w:rsidRPr="00A44EB5">
        <w:t xml:space="preserve"> 1477 budget shall be appropriated for the </w:t>
      </w:r>
      <w:r w:rsidR="00175C42">
        <w:t>BUILD Program</w:t>
      </w:r>
      <w:r w:rsidR="00286EC1">
        <w:t xml:space="preserve"> </w:t>
      </w:r>
      <w:r w:rsidR="002753B7" w:rsidRPr="00A44EB5">
        <w:t xml:space="preserve">and </w:t>
      </w:r>
      <w:r>
        <w:t>$120 million</w:t>
      </w:r>
      <w:r w:rsidR="002753B7" w:rsidRPr="00A44EB5">
        <w:t xml:space="preserve"> of the $200 million SB</w:t>
      </w:r>
      <w:r w:rsidR="00333C69">
        <w:t> </w:t>
      </w:r>
      <w:r w:rsidR="002753B7" w:rsidRPr="00A44EB5">
        <w:t xml:space="preserve">1477 budget shall be appropriated for the </w:t>
      </w:r>
      <w:r w:rsidR="00175C42">
        <w:t>TECH Initiative</w:t>
      </w:r>
      <w:r w:rsidR="002753B7" w:rsidRPr="00A44EB5">
        <w:t xml:space="preserve">. </w:t>
      </w:r>
    </w:p>
    <w:p w14:paraId="7A7FCE69" w14:textId="723EA4C9" w:rsidR="002753B7" w:rsidRPr="00A44EB5" w:rsidRDefault="002753B7" w:rsidP="00993FF2">
      <w:pPr>
        <w:pStyle w:val="OP"/>
        <w:numPr>
          <w:ilvl w:val="0"/>
          <w:numId w:val="25"/>
        </w:numPr>
      </w:pPr>
      <w:r w:rsidRPr="00A44EB5">
        <w:t>The California Energy Commission</w:t>
      </w:r>
      <w:r w:rsidR="009A280E">
        <w:t xml:space="preserve"> (CEC)</w:t>
      </w:r>
      <w:r w:rsidRPr="00A44EB5">
        <w:t xml:space="preserve"> shall be </w:t>
      </w:r>
      <w:r w:rsidR="00803EF2">
        <w:t>the administrator of</w:t>
      </w:r>
      <w:r w:rsidRPr="00A44EB5">
        <w:t xml:space="preserve"> the </w:t>
      </w:r>
      <w:r w:rsidR="003E3C55">
        <w:t>Building Initiative for Low-Emissions Development program</w:t>
      </w:r>
      <w:r w:rsidRPr="00A44EB5">
        <w:t xml:space="preserve">, with Commission oversight.   </w:t>
      </w:r>
    </w:p>
    <w:p w14:paraId="141E792D" w14:textId="42B8AC3E" w:rsidR="002753B7" w:rsidRPr="00A44EB5" w:rsidRDefault="002753B7" w:rsidP="00993FF2">
      <w:pPr>
        <w:pStyle w:val="OP"/>
        <w:numPr>
          <w:ilvl w:val="0"/>
          <w:numId w:val="25"/>
        </w:numPr>
      </w:pPr>
      <w:r w:rsidRPr="00A44EB5">
        <w:t xml:space="preserve">The </w:t>
      </w:r>
      <w:r w:rsidR="009A280E">
        <w:t xml:space="preserve">CEC </w:t>
      </w:r>
      <w:r w:rsidRPr="00A44EB5">
        <w:t xml:space="preserve">administration of the </w:t>
      </w:r>
      <w:r w:rsidR="003E3C55">
        <w:t>Building Initiative for Low-Emissions Development program</w:t>
      </w:r>
      <w:r w:rsidRPr="00A44EB5">
        <w:t xml:space="preserve"> shall be contingent upon legislative authorization for the CEC’s administrative expenses.</w:t>
      </w:r>
    </w:p>
    <w:p w14:paraId="64E00E5C" w14:textId="4BB7C797" w:rsidR="002753B7" w:rsidRDefault="002753B7" w:rsidP="00993FF2">
      <w:pPr>
        <w:pStyle w:val="OP"/>
        <w:numPr>
          <w:ilvl w:val="0"/>
          <w:numId w:val="25"/>
        </w:numPr>
      </w:pPr>
      <w:r w:rsidRPr="00A44EB5">
        <w:t xml:space="preserve">The </w:t>
      </w:r>
      <w:r w:rsidR="009A280E">
        <w:t>CEC’s</w:t>
      </w:r>
      <w:r w:rsidRPr="00A44EB5">
        <w:t xml:space="preserve"> total administrative budget </w:t>
      </w:r>
      <w:r w:rsidR="00175C42">
        <w:t xml:space="preserve">for </w:t>
      </w:r>
      <w:r w:rsidRPr="00A44EB5">
        <w:t xml:space="preserve">implementing the </w:t>
      </w:r>
      <w:r w:rsidR="003E3C55">
        <w:t>Building Initiative for Low-Emissions Development program</w:t>
      </w:r>
      <w:r w:rsidR="003E3C55" w:rsidRPr="00A44EB5">
        <w:t xml:space="preserve"> </w:t>
      </w:r>
      <w:r w:rsidRPr="00A44EB5">
        <w:t xml:space="preserve">shall be no more than $8 </w:t>
      </w:r>
      <w:r w:rsidR="00B43293">
        <w:t>million over the duration of the BUILD Program</w:t>
      </w:r>
      <w:r w:rsidRPr="00A44EB5">
        <w:t>.  Should the Legislature authorize an administrative funding amount less than this, remaining funds shall be repurposed for non-administrative programmatic incentives.</w:t>
      </w:r>
    </w:p>
    <w:p w14:paraId="2B83A053" w14:textId="33DA9E7B" w:rsidR="007C7440" w:rsidRDefault="007C7440" w:rsidP="00993FF2">
      <w:pPr>
        <w:pStyle w:val="OP"/>
        <w:numPr>
          <w:ilvl w:val="0"/>
          <w:numId w:val="25"/>
        </w:numPr>
      </w:pPr>
      <w:r>
        <w:t xml:space="preserve">If the </w:t>
      </w:r>
      <w:r w:rsidR="009A280E">
        <w:t xml:space="preserve">CEC </w:t>
      </w:r>
      <w:r>
        <w:t xml:space="preserve">does not receive </w:t>
      </w:r>
      <w:r w:rsidRPr="00F8739D">
        <w:t>budgetary approval from the Legislature</w:t>
      </w:r>
      <w:r>
        <w:t xml:space="preserve"> for administering the </w:t>
      </w:r>
      <w:r w:rsidR="00175C42">
        <w:t>BUILD</w:t>
      </w:r>
      <w:r>
        <w:t xml:space="preserve"> Program, or otherwise determines that it is unable to administer the program or parts of the program due to unforeseen circumstances, the Energy Division staff, in consultation with the </w:t>
      </w:r>
      <w:r w:rsidR="009A280E">
        <w:t>CEC</w:t>
      </w:r>
      <w:r>
        <w:t xml:space="preserve">, may issue </w:t>
      </w:r>
      <w:r w:rsidR="00175C42">
        <w:t xml:space="preserve">BUILD Program </w:t>
      </w:r>
      <w:r>
        <w:t>related request for proposals through the contracting agent, Southern California Edison</w:t>
      </w:r>
      <w:r w:rsidR="00175C42">
        <w:t xml:space="preserve"> Company</w:t>
      </w:r>
      <w:r>
        <w:t>.</w:t>
      </w:r>
    </w:p>
    <w:p w14:paraId="1130842E" w14:textId="5B0EF5F5" w:rsidR="00657944" w:rsidRDefault="00657944" w:rsidP="00175C42">
      <w:pPr>
        <w:pStyle w:val="OP"/>
        <w:numPr>
          <w:ilvl w:val="0"/>
          <w:numId w:val="25"/>
        </w:numPr>
      </w:pPr>
      <w:r>
        <w:t xml:space="preserve">The CEC, as the BUILD Program administrator, shall emphasize new, low-income residential housing by allocating no less than 75 percent of the total </w:t>
      </w:r>
      <w:r>
        <w:lastRenderedPageBreak/>
        <w:t>BUILD Program funding (i.e., $60 million) for new low-income residential housing</w:t>
      </w:r>
    </w:p>
    <w:p w14:paraId="01CADEEC" w14:textId="7C9C3F2C" w:rsidR="00175C42" w:rsidRDefault="00175C42" w:rsidP="00175C42">
      <w:pPr>
        <w:pStyle w:val="OP"/>
        <w:numPr>
          <w:ilvl w:val="0"/>
          <w:numId w:val="25"/>
        </w:numPr>
      </w:pPr>
      <w:r>
        <w:t xml:space="preserve">The standard practice, or reference baseline, for residential new buildings shall be assumed to be </w:t>
      </w:r>
      <w:r w:rsidR="00500439">
        <w:t xml:space="preserve">a building built </w:t>
      </w:r>
      <w:r>
        <w:t>for dual fuel usage for both the BUILD Program and the TECH</w:t>
      </w:r>
      <w:r w:rsidDel="00D2500C">
        <w:t xml:space="preserve"> </w:t>
      </w:r>
      <w:r>
        <w:t xml:space="preserve">Initiative until at least the 2022 </w:t>
      </w:r>
      <w:r w:rsidR="00B43293">
        <w:t>California Energy</w:t>
      </w:r>
      <w:r>
        <w:t xml:space="preserve"> Code becomes effective.  After this date, the </w:t>
      </w:r>
      <w:r w:rsidR="009A280E">
        <w:t>CEC</w:t>
      </w:r>
      <w:r>
        <w:t>, in consultation with the program evaluator, may propose a different baseline in its biennial implementation plan.</w:t>
      </w:r>
    </w:p>
    <w:p w14:paraId="2E0774B3" w14:textId="74DE1610" w:rsidR="00175C42" w:rsidRDefault="00175C42" w:rsidP="00175C42">
      <w:pPr>
        <w:pStyle w:val="OP"/>
        <w:numPr>
          <w:ilvl w:val="0"/>
          <w:numId w:val="25"/>
        </w:numPr>
      </w:pPr>
      <w:r>
        <w:t>Projects and installations in local government territories that have</w:t>
      </w:r>
      <w:r w:rsidRPr="00D9251A">
        <w:t xml:space="preserve"> “reach” codes </w:t>
      </w:r>
      <w:r>
        <w:t>which</w:t>
      </w:r>
      <w:r w:rsidRPr="00D9251A">
        <w:t xml:space="preserve"> surpass </w:t>
      </w:r>
      <w:r>
        <w:t xml:space="preserve">the California </w:t>
      </w:r>
      <w:r w:rsidRPr="00DC0DF9">
        <w:t xml:space="preserve">Energy </w:t>
      </w:r>
      <w:r>
        <w:t>Code –</w:t>
      </w:r>
      <w:r w:rsidRPr="00D9251A">
        <w:t xml:space="preserve"> or any other state requirement</w:t>
      </w:r>
      <w:r>
        <w:t xml:space="preserve"> –</w:t>
      </w:r>
      <w:r w:rsidRPr="00D9251A">
        <w:t xml:space="preserve"> </w:t>
      </w:r>
      <w:r>
        <w:t xml:space="preserve">are not prohibited from participating in the BUILD Program or the TECH Initiative.  </w:t>
      </w:r>
    </w:p>
    <w:p w14:paraId="070169F0" w14:textId="6361EC2B" w:rsidR="00B43293" w:rsidRPr="00A44EB5" w:rsidRDefault="00B43293" w:rsidP="00B43293">
      <w:pPr>
        <w:pStyle w:val="OP"/>
        <w:numPr>
          <w:ilvl w:val="0"/>
          <w:numId w:val="25"/>
        </w:numPr>
      </w:pPr>
      <w:r>
        <w:t xml:space="preserve">For </w:t>
      </w:r>
      <w:r w:rsidRPr="00994002">
        <w:t xml:space="preserve">the purposes of the pilot programs, new residential housing shall be defined as either </w:t>
      </w:r>
      <w:r>
        <w:t>(</w:t>
      </w:r>
      <w:r w:rsidRPr="00994002">
        <w:t>a) a new building that has not previously been used or occupied</w:t>
      </w:r>
      <w:r>
        <w:t>;</w:t>
      </w:r>
      <w:r w:rsidRPr="00994002">
        <w:t xml:space="preserve"> </w:t>
      </w:r>
      <w:r>
        <w:t>(</w:t>
      </w:r>
      <w:r w:rsidRPr="00994002">
        <w:t>b) an existing building where at least 50</w:t>
      </w:r>
      <w:r w:rsidR="00F93B31">
        <w:t xml:space="preserve"> percent</w:t>
      </w:r>
      <w:r w:rsidRPr="00994002">
        <w:t xml:space="preserve"> of the exterior weight-bearing walls are removed or demolished for new construction</w:t>
      </w:r>
      <w:r>
        <w:t>;</w:t>
      </w:r>
      <w:r w:rsidRPr="00994002">
        <w:t xml:space="preserve"> or </w:t>
      </w:r>
      <w:r>
        <w:t>(</w:t>
      </w:r>
      <w:r w:rsidRPr="00994002">
        <w:t>c) an existing building repurposed for housing, whose original use was not residential.</w:t>
      </w:r>
      <w:r>
        <w:t xml:space="preserve">  </w:t>
      </w:r>
    </w:p>
    <w:p w14:paraId="7A02FC51" w14:textId="64FE992B" w:rsidR="002753B7" w:rsidRPr="00A44EB5" w:rsidRDefault="00BB0218" w:rsidP="00993FF2">
      <w:pPr>
        <w:pStyle w:val="OP"/>
        <w:numPr>
          <w:ilvl w:val="0"/>
          <w:numId w:val="25"/>
        </w:numPr>
      </w:pPr>
      <w:r>
        <w:t>A</w:t>
      </w:r>
      <w:r w:rsidR="002753B7" w:rsidRPr="00A44EB5">
        <w:t xml:space="preserve">t least </w:t>
      </w:r>
      <w:r w:rsidR="007C7440">
        <w:t xml:space="preserve">30 </w:t>
      </w:r>
      <w:r w:rsidR="002753B7" w:rsidRPr="00A44EB5">
        <w:t xml:space="preserve">percent of the total </w:t>
      </w:r>
      <w:r w:rsidR="007C7440">
        <w:t>S</w:t>
      </w:r>
      <w:r w:rsidR="00FD2BC7">
        <w:t xml:space="preserve">enate </w:t>
      </w:r>
      <w:r w:rsidR="007C7440">
        <w:t>B</w:t>
      </w:r>
      <w:r w:rsidR="00FD2BC7">
        <w:t>ill</w:t>
      </w:r>
      <w:r w:rsidR="007C7440">
        <w:t xml:space="preserve"> 1477 four-year </w:t>
      </w:r>
      <w:r w:rsidR="007C7440" w:rsidRPr="00A44EB5">
        <w:t>budget</w:t>
      </w:r>
      <w:r w:rsidR="007C7440">
        <w:t xml:space="preserve"> shall be appropriated</w:t>
      </w:r>
      <w:r w:rsidR="007C7440" w:rsidRPr="00A44EB5">
        <w:t xml:space="preserve"> for new low-income residential housing</w:t>
      </w:r>
      <w:r w:rsidR="00F93B31">
        <w:t xml:space="preserve"> direct incentives</w:t>
      </w:r>
      <w:r w:rsidR="007C7440">
        <w:t xml:space="preserve">, to be disbursed under the </w:t>
      </w:r>
      <w:bookmarkStart w:id="92" w:name="_Hlk31111073"/>
      <w:r w:rsidR="009A280E">
        <w:t>BUILD</w:t>
      </w:r>
      <w:r w:rsidR="007C7440">
        <w:t xml:space="preserve"> Program</w:t>
      </w:r>
      <w:bookmarkEnd w:id="92"/>
      <w:r w:rsidR="002753B7" w:rsidRPr="00A44EB5">
        <w:t>.</w:t>
      </w:r>
    </w:p>
    <w:p w14:paraId="35ED0158" w14:textId="4104FD93" w:rsidR="007C7440" w:rsidRDefault="00BB0218" w:rsidP="00993FF2">
      <w:pPr>
        <w:pStyle w:val="OP"/>
        <w:numPr>
          <w:ilvl w:val="0"/>
          <w:numId w:val="25"/>
        </w:numPr>
      </w:pPr>
      <w:r>
        <w:t>The</w:t>
      </w:r>
      <w:r w:rsidR="002753B7" w:rsidRPr="00A44EB5">
        <w:t xml:space="preserve"> </w:t>
      </w:r>
      <w:r w:rsidR="009A280E">
        <w:t>BUILD</w:t>
      </w:r>
      <w:r w:rsidR="003E3C55">
        <w:t xml:space="preserve"> </w:t>
      </w:r>
      <w:r w:rsidR="009A280E">
        <w:t>P</w:t>
      </w:r>
      <w:r w:rsidR="003E3C55">
        <w:t>rogram</w:t>
      </w:r>
      <w:r w:rsidR="002753B7" w:rsidRPr="00A44EB5">
        <w:t xml:space="preserve"> financial incentives </w:t>
      </w:r>
      <w:r>
        <w:t xml:space="preserve">are authorized </w:t>
      </w:r>
      <w:r w:rsidR="002753B7" w:rsidRPr="00A44EB5">
        <w:t xml:space="preserve">solely to </w:t>
      </w:r>
      <w:r w:rsidR="00175C42">
        <w:t xml:space="preserve">new residential housing </w:t>
      </w:r>
      <w:r w:rsidR="002753B7" w:rsidRPr="00A44EB5">
        <w:t xml:space="preserve">that </w:t>
      </w:r>
      <w:r w:rsidR="00175C42">
        <w:t>is</w:t>
      </w:r>
      <w:r w:rsidR="00175C42" w:rsidRPr="00A44EB5">
        <w:t xml:space="preserve"> </w:t>
      </w:r>
      <w:r w:rsidR="002753B7" w:rsidRPr="00A44EB5">
        <w:t>all-electric, consistent with the State of California’s requirements to achieve a zero</w:t>
      </w:r>
      <w:r w:rsidR="003E3C55">
        <w:noBreakHyphen/>
      </w:r>
      <w:r w:rsidR="002753B7" w:rsidRPr="00A44EB5">
        <w:t>greenhouse gas emissions future by 2045.</w:t>
      </w:r>
    </w:p>
    <w:p w14:paraId="5F96A7FC" w14:textId="7F66915F" w:rsidR="002753B7" w:rsidRPr="00A44EB5" w:rsidRDefault="007C7440" w:rsidP="00993FF2">
      <w:pPr>
        <w:pStyle w:val="OP"/>
        <w:numPr>
          <w:ilvl w:val="0"/>
          <w:numId w:val="25"/>
        </w:numPr>
      </w:pPr>
      <w:r>
        <w:t xml:space="preserve">The </w:t>
      </w:r>
      <w:r w:rsidR="00175C42">
        <w:t>BUILD</w:t>
      </w:r>
      <w:r>
        <w:t xml:space="preserve"> Program i</w:t>
      </w:r>
      <w:r w:rsidRPr="00607FC8">
        <w:t xml:space="preserve">ncentives shall be based on whole building </w:t>
      </w:r>
      <w:r>
        <w:t>greenhouse</w:t>
      </w:r>
      <w:r w:rsidR="00FD2BC7">
        <w:t xml:space="preserve"> </w:t>
      </w:r>
      <w:r>
        <w:t>gas</w:t>
      </w:r>
      <w:r w:rsidRPr="00607FC8">
        <w:t xml:space="preserve"> performance modelled using the </w:t>
      </w:r>
      <w:r>
        <w:t xml:space="preserve">California </w:t>
      </w:r>
      <w:r w:rsidRPr="00607FC8">
        <w:t xml:space="preserve">Energy </w:t>
      </w:r>
      <w:r>
        <w:t>Code</w:t>
      </w:r>
      <w:r w:rsidRPr="00607FC8">
        <w:t xml:space="preserve"> </w:t>
      </w:r>
      <w:r>
        <w:t xml:space="preserve">compliance </w:t>
      </w:r>
      <w:r w:rsidRPr="00607FC8">
        <w:t>software against a reference case.</w:t>
      </w:r>
      <w:r w:rsidR="002753B7" w:rsidRPr="00A44EB5">
        <w:t xml:space="preserve"> </w:t>
      </w:r>
    </w:p>
    <w:p w14:paraId="31B7695B" w14:textId="1ED77E93" w:rsidR="002753B7" w:rsidRDefault="00BB0218" w:rsidP="00993FF2">
      <w:pPr>
        <w:pStyle w:val="OP"/>
        <w:numPr>
          <w:ilvl w:val="0"/>
          <w:numId w:val="25"/>
        </w:numPr>
      </w:pPr>
      <w:r>
        <w:lastRenderedPageBreak/>
        <w:t>T</w:t>
      </w:r>
      <w:r w:rsidR="002753B7" w:rsidRPr="00A44EB5">
        <w:t xml:space="preserve">he </w:t>
      </w:r>
      <w:bookmarkStart w:id="93" w:name="_Hlk31111173"/>
      <w:r w:rsidR="009A280E">
        <w:t>BUILD</w:t>
      </w:r>
      <w:r w:rsidR="003E3C55">
        <w:t xml:space="preserve"> </w:t>
      </w:r>
      <w:bookmarkEnd w:id="93"/>
      <w:r w:rsidR="009A280E">
        <w:t>P</w:t>
      </w:r>
      <w:r w:rsidR="003E3C55">
        <w:t>rogram</w:t>
      </w:r>
      <w:r w:rsidR="003E3C55" w:rsidRPr="00A44EB5">
        <w:t xml:space="preserve"> </w:t>
      </w:r>
      <w:r w:rsidR="002753B7" w:rsidRPr="00A44EB5">
        <w:t xml:space="preserve">incentive design and distribution </w:t>
      </w:r>
      <w:r>
        <w:t xml:space="preserve">shall be implemented </w:t>
      </w:r>
      <w:r w:rsidR="002753B7" w:rsidRPr="00A44EB5">
        <w:t xml:space="preserve">consistent with California’s Cap-and-Trade regulations, to ensure that such incentives are proportionally allocated to the service territory from which the fund are derived. </w:t>
      </w:r>
    </w:p>
    <w:p w14:paraId="0D5938E0" w14:textId="6566A02C" w:rsidR="009E3E7E" w:rsidRDefault="009E3E7E" w:rsidP="009E3E7E">
      <w:pPr>
        <w:pStyle w:val="OP"/>
        <w:numPr>
          <w:ilvl w:val="0"/>
          <w:numId w:val="25"/>
        </w:numPr>
      </w:pPr>
      <w:r>
        <w:t xml:space="preserve">New, low-income residential housing not located in low income or disadvantaged communities shall also be eligible to receive BUILD </w:t>
      </w:r>
      <w:r w:rsidR="00B43293">
        <w:t>P</w:t>
      </w:r>
      <w:r>
        <w:t xml:space="preserve">rogram </w:t>
      </w:r>
      <w:r w:rsidR="00B43293">
        <w:t>incentives.</w:t>
      </w:r>
    </w:p>
    <w:p w14:paraId="78DB5BB2" w14:textId="75ED22F6" w:rsidR="00500439" w:rsidRPr="00500439" w:rsidRDefault="009A280E" w:rsidP="00993FF2">
      <w:pPr>
        <w:pStyle w:val="OP"/>
        <w:numPr>
          <w:ilvl w:val="0"/>
          <w:numId w:val="25"/>
        </w:numPr>
      </w:pPr>
      <w:r>
        <w:t xml:space="preserve"> The CEC </w:t>
      </w:r>
      <w:r w:rsidR="00D94500">
        <w:t>shall</w:t>
      </w:r>
      <w:r w:rsidR="007C7440">
        <w:t xml:space="preserve"> submit an implementation plan to the Commission’s Deputy </w:t>
      </w:r>
      <w:r w:rsidR="007C7440" w:rsidRPr="001853A2">
        <w:t>Executive Director for</w:t>
      </w:r>
      <w:r w:rsidR="007C7440">
        <w:t xml:space="preserve"> Energy and Climate Policy for approval via the Commission resolution process within </w:t>
      </w:r>
      <w:r w:rsidR="009C49D1">
        <w:t xml:space="preserve">one-hundred </w:t>
      </w:r>
      <w:r w:rsidR="005B6862">
        <w:t xml:space="preserve">and twenty </w:t>
      </w:r>
      <w:r w:rsidR="007C7440">
        <w:t>days of the adoption of this decision and every two years thereafter.</w:t>
      </w:r>
      <w:r w:rsidR="00500439" w:rsidRPr="00500439">
        <w:t>Following the approval of the implementation plan by the Commission, and after having completed the statutory and regulatory requirements necessary to begin implementation, CEC shall publicly notice the commencement of the BUILD program to signal that applications for the program are being accepted.  Implementation shall be considered to have begun from the date the notice is published.  The notice shall also be sent to the relevant listservs at both the CEC and the Commission.</w:t>
      </w:r>
    </w:p>
    <w:p w14:paraId="2570FB5B" w14:textId="7F7DB1A2" w:rsidR="007C7440" w:rsidRDefault="007C7440" w:rsidP="00993FF2">
      <w:pPr>
        <w:pStyle w:val="OP"/>
        <w:numPr>
          <w:ilvl w:val="0"/>
          <w:numId w:val="25"/>
        </w:numPr>
      </w:pPr>
      <w:r>
        <w:t>T</w:t>
      </w:r>
      <w:r w:rsidRPr="00326739">
        <w:t>he</w:t>
      </w:r>
      <w:r w:rsidR="00B43293">
        <w:t>CEC</w:t>
      </w:r>
      <w:r w:rsidRPr="00326739">
        <w:t xml:space="preserve"> shall develop or adopt a tool</w:t>
      </w:r>
      <w:r w:rsidR="00500439">
        <w:t xml:space="preserve"> or a methodology</w:t>
      </w:r>
      <w:r w:rsidRPr="00326739">
        <w:t xml:space="preserve"> to measure bill savings</w:t>
      </w:r>
      <w:r w:rsidR="009E3E7E">
        <w:t>prior to the start of program implementation for low-income housing.</w:t>
      </w:r>
      <w:r w:rsidRPr="00326739">
        <w:t xml:space="preserve">. </w:t>
      </w:r>
      <w:r w:rsidR="00FD2BC7">
        <w:t xml:space="preserve"> </w:t>
      </w:r>
      <w:r w:rsidR="009E3E7E">
        <w:t>The</w:t>
      </w:r>
      <w:r w:rsidRPr="004868F6">
        <w:t xml:space="preserve"> program evaluator </w:t>
      </w:r>
      <w:r w:rsidR="009E3E7E">
        <w:t xml:space="preserve">shall </w:t>
      </w:r>
      <w:r>
        <w:t xml:space="preserve">examine the </w:t>
      </w:r>
      <w:r w:rsidRPr="004868F6">
        <w:t xml:space="preserve">efficacy and accuracy of the tool </w:t>
      </w:r>
      <w:r>
        <w:t>and recommend any necessary improvements</w:t>
      </w:r>
      <w:r w:rsidR="009E3E7E">
        <w:t>.</w:t>
      </w:r>
      <w:r>
        <w:t xml:space="preserve"> </w:t>
      </w:r>
      <w:r w:rsidR="009E3E7E">
        <w:t xml:space="preserve">The </w:t>
      </w:r>
      <w:r w:rsidR="00B43293">
        <w:t>CEC</w:t>
      </w:r>
      <w:r w:rsidRPr="004868F6">
        <w:t xml:space="preserve"> shall make changes to the tool based on the evaluator’s recommendations.</w:t>
      </w:r>
      <w:r w:rsidRPr="00326739">
        <w:t xml:space="preserve"> </w:t>
      </w:r>
    </w:p>
    <w:p w14:paraId="152DC549" w14:textId="62C6567E" w:rsidR="00D94500" w:rsidRDefault="00D94500" w:rsidP="00993FF2">
      <w:pPr>
        <w:pStyle w:val="OP"/>
        <w:numPr>
          <w:ilvl w:val="0"/>
          <w:numId w:val="25"/>
        </w:numPr>
      </w:pPr>
      <w:r>
        <w:t xml:space="preserve">On </w:t>
      </w:r>
      <w:r w:rsidR="009E3E7E">
        <w:t xml:space="preserve">September </w:t>
      </w:r>
      <w:r>
        <w:t xml:space="preserve">1 of each year, each </w:t>
      </w:r>
      <w:r w:rsidR="009E3E7E">
        <w:t>investor-owned</w:t>
      </w:r>
      <w:r>
        <w:t xml:space="preserve"> </w:t>
      </w:r>
      <w:r w:rsidR="00A70178">
        <w:t xml:space="preserve">utility </w:t>
      </w:r>
      <w:r>
        <w:t xml:space="preserve">shall release </w:t>
      </w:r>
      <w:r w:rsidR="00A70178">
        <w:t>required data and maps needed for program planning and assessment</w:t>
      </w:r>
      <w:r>
        <w:t>.</w:t>
      </w:r>
      <w:r w:rsidR="009E3E7E">
        <w:t xml:space="preserve"> Details and format of what will be released shall be decided through a</w:t>
      </w:r>
      <w:r w:rsidR="00A70178">
        <w:t>n</w:t>
      </w:r>
      <w:r w:rsidR="009E3E7E">
        <w:t xml:space="preserve"> Energy Division staff-led workshop. Based on the workshop, Energy Division staff will finalize </w:t>
      </w:r>
      <w:r w:rsidR="009E3E7E">
        <w:lastRenderedPageBreak/>
        <w:t>and publish the data requirements no later than 90 days from the adoption of this decision.</w:t>
      </w:r>
      <w:r w:rsidR="009E3E7E">
        <w:rPr>
          <w:rStyle w:val="FootnoteReference"/>
        </w:rPr>
        <w:footnoteReference w:id="284"/>
      </w:r>
    </w:p>
    <w:p w14:paraId="156C82A5" w14:textId="6A3E42A1" w:rsidR="009E3E7E" w:rsidRPr="00A44EB5" w:rsidRDefault="009E3E7E" w:rsidP="00993FF2">
      <w:pPr>
        <w:pStyle w:val="OP"/>
        <w:numPr>
          <w:ilvl w:val="0"/>
          <w:numId w:val="25"/>
        </w:numPr>
      </w:pPr>
      <w:r w:rsidRPr="00136247">
        <w:rPr>
          <w:rFonts w:cs="Calibri"/>
          <w:szCs w:val="26"/>
        </w:rPr>
        <w:t xml:space="preserve">The </w:t>
      </w:r>
      <w:r w:rsidR="00B43293">
        <w:rPr>
          <w:rFonts w:cs="Calibri"/>
          <w:szCs w:val="26"/>
        </w:rPr>
        <w:t xml:space="preserve">BUILD Program administrator and </w:t>
      </w:r>
      <w:r>
        <w:rPr>
          <w:rFonts w:cs="Calibri"/>
          <w:szCs w:val="26"/>
        </w:rPr>
        <w:t xml:space="preserve">TECH Initiative </w:t>
      </w:r>
      <w:r w:rsidR="00B43293">
        <w:rPr>
          <w:rFonts w:cs="Calibri"/>
          <w:szCs w:val="26"/>
        </w:rPr>
        <w:t>i</w:t>
      </w:r>
      <w:r w:rsidRPr="00136247">
        <w:rPr>
          <w:rFonts w:cs="Calibri"/>
          <w:szCs w:val="26"/>
        </w:rPr>
        <w:t xml:space="preserve">mplementer shall ensure that any applicants to the program are made aware that program-related and customer data will be shared with authorized entities, including but not limited to, policy makers, implementers and evaluator, under confidentiality protocols. </w:t>
      </w:r>
      <w:r w:rsidR="00B43293" w:rsidRPr="00136247">
        <w:rPr>
          <w:rFonts w:cs="Calibri"/>
          <w:szCs w:val="26"/>
        </w:rPr>
        <w:t>As this data will not be made public and will follow the confidentiality rules and protocols established by the CPUC in prior proceedings, it does not require individual customer permission</w:t>
      </w:r>
      <w:r w:rsidR="00B43293">
        <w:rPr>
          <w:rFonts w:cs="Calibri"/>
          <w:szCs w:val="26"/>
        </w:rPr>
        <w:t>.</w:t>
      </w:r>
    </w:p>
    <w:p w14:paraId="7B970784" w14:textId="4C90B22C" w:rsidR="002753B7" w:rsidRPr="00A44EB5" w:rsidRDefault="002753B7" w:rsidP="00993FF2">
      <w:pPr>
        <w:pStyle w:val="OP"/>
        <w:numPr>
          <w:ilvl w:val="0"/>
          <w:numId w:val="25"/>
        </w:numPr>
      </w:pPr>
      <w:r w:rsidRPr="00A44EB5">
        <w:t xml:space="preserve">The solicitation and selection </w:t>
      </w:r>
      <w:r w:rsidR="00D94500">
        <w:t>p</w:t>
      </w:r>
      <w:r w:rsidRPr="00A44EB5">
        <w:t xml:space="preserve">rocess of the </w:t>
      </w:r>
      <w:r w:rsidR="009A280E">
        <w:t>TECH</w:t>
      </w:r>
      <w:r w:rsidRPr="00A44EB5">
        <w:t xml:space="preserve"> Initiative </w:t>
      </w:r>
      <w:r w:rsidR="00D94500">
        <w:t>i</w:t>
      </w:r>
      <w:r w:rsidRPr="00A44EB5">
        <w:t>mplementer shall be led by Energy Division, with advice from partnered stakeholders,</w:t>
      </w:r>
      <w:r w:rsidR="00BB0218">
        <w:t xml:space="preserve"> consistent with </w:t>
      </w:r>
      <w:r w:rsidR="00751A0D">
        <w:t>S</w:t>
      </w:r>
      <w:r w:rsidR="00BB0218">
        <w:t>ection 5.1.3 of this decision.</w:t>
      </w:r>
    </w:p>
    <w:p w14:paraId="636969D7" w14:textId="7DED458F" w:rsidR="002753B7" w:rsidRPr="00A44EB5" w:rsidRDefault="002753B7" w:rsidP="00993FF2">
      <w:pPr>
        <w:pStyle w:val="OP"/>
        <w:numPr>
          <w:ilvl w:val="0"/>
          <w:numId w:val="25"/>
        </w:numPr>
      </w:pPr>
      <w:r w:rsidRPr="00A44EB5">
        <w:t xml:space="preserve">The solicitation and selection process of the </w:t>
      </w:r>
      <w:r w:rsidR="00751A0D">
        <w:t xml:space="preserve">TECH </w:t>
      </w:r>
      <w:r w:rsidRPr="00A44EB5">
        <w:t xml:space="preserve">Initiative </w:t>
      </w:r>
      <w:r w:rsidR="00D94500">
        <w:t>i</w:t>
      </w:r>
      <w:r w:rsidRPr="00A44EB5">
        <w:t xml:space="preserve">mplementer and the program evaluator for both the </w:t>
      </w:r>
      <w:r w:rsidR="009A280E">
        <w:t>BUILD Program</w:t>
      </w:r>
      <w:r w:rsidR="00751A0D" w:rsidRPr="00A44EB5">
        <w:t xml:space="preserve"> </w:t>
      </w:r>
      <w:r w:rsidRPr="00A44EB5">
        <w:t xml:space="preserve">and TECH Initiative, shall be led by Energy Division, with advice from partnered stakeholders, </w:t>
      </w:r>
      <w:r w:rsidR="00BB0218">
        <w:t xml:space="preserve">and be implemented consistent with the minimum requirements as stated in </w:t>
      </w:r>
      <w:r w:rsidR="00751A0D">
        <w:t>S</w:t>
      </w:r>
      <w:r w:rsidR="00BB0218">
        <w:t>ection</w:t>
      </w:r>
      <w:r w:rsidR="00440A15">
        <w:t> </w:t>
      </w:r>
      <w:r w:rsidR="00BB0218">
        <w:t xml:space="preserve"> 5.1.3 of this decision. </w:t>
      </w:r>
    </w:p>
    <w:p w14:paraId="67217CC0" w14:textId="12926DD9" w:rsidR="002753B7" w:rsidRPr="00A44EB5" w:rsidRDefault="002753B7" w:rsidP="00993FF2">
      <w:pPr>
        <w:pStyle w:val="OP"/>
        <w:numPr>
          <w:ilvl w:val="0"/>
          <w:numId w:val="25"/>
        </w:numPr>
        <w:rPr>
          <w:bCs/>
        </w:rPr>
      </w:pPr>
      <w:r w:rsidRPr="00A44EB5">
        <w:lastRenderedPageBreak/>
        <w:t xml:space="preserve">Energy Division shall </w:t>
      </w:r>
      <w:r w:rsidRPr="00A44EB5">
        <w:rPr>
          <w:bCs/>
        </w:rPr>
        <w:t xml:space="preserve">convene a </w:t>
      </w:r>
      <w:r w:rsidR="00B43293" w:rsidRPr="00A44EB5">
        <w:rPr>
          <w:bCs/>
        </w:rPr>
        <w:t>T</w:t>
      </w:r>
      <w:r w:rsidR="00B43293">
        <w:rPr>
          <w:bCs/>
        </w:rPr>
        <w:t>ECH</w:t>
      </w:r>
      <w:r w:rsidR="00B43293" w:rsidRPr="00A44EB5">
        <w:rPr>
          <w:bCs/>
        </w:rPr>
        <w:t xml:space="preserve"> </w:t>
      </w:r>
      <w:r w:rsidRPr="00A44EB5">
        <w:rPr>
          <w:bCs/>
        </w:rPr>
        <w:t xml:space="preserve">Initiative Scoring Committee (Scoring Committee) to select the TECH Initiative Implementer, consisting of the following </w:t>
      </w:r>
      <w:r w:rsidR="00D94500">
        <w:rPr>
          <w:bCs/>
        </w:rPr>
        <w:t xml:space="preserve">nine </w:t>
      </w:r>
      <w:r w:rsidRPr="00A44EB5">
        <w:rPr>
          <w:bCs/>
        </w:rPr>
        <w:t>financially disinterested</w:t>
      </w:r>
      <w:r w:rsidRPr="00A44EB5">
        <w:rPr>
          <w:rStyle w:val="FootnoteReference"/>
          <w:rFonts w:ascii="Arial" w:hAnsi="Arial"/>
          <w:bCs/>
          <w:sz w:val="24"/>
          <w:szCs w:val="24"/>
        </w:rPr>
        <w:footnoteReference w:id="285"/>
      </w:r>
      <w:r w:rsidRPr="00A44EB5">
        <w:rPr>
          <w:bCs/>
        </w:rPr>
        <w:t xml:space="preserve"> entities:</w:t>
      </w:r>
    </w:p>
    <w:p w14:paraId="0ABBBC87" w14:textId="77777777" w:rsidR="002753B7" w:rsidRPr="00A44EB5" w:rsidRDefault="002753B7" w:rsidP="00751A0D">
      <w:pPr>
        <w:pStyle w:val="Standard"/>
        <w:numPr>
          <w:ilvl w:val="0"/>
          <w:numId w:val="22"/>
        </w:numPr>
        <w:spacing w:after="120" w:line="240" w:lineRule="auto"/>
        <w:ind w:left="907" w:right="1440"/>
      </w:pPr>
      <w:r w:rsidRPr="00A44EB5">
        <w:t xml:space="preserve">One representative each from the CPUC, the CEC, and the Contracting Agent. </w:t>
      </w:r>
    </w:p>
    <w:p w14:paraId="5F3C344C" w14:textId="72BD0522" w:rsidR="002753B7" w:rsidRPr="00A44EB5" w:rsidRDefault="002753B7" w:rsidP="00751A0D">
      <w:pPr>
        <w:pStyle w:val="Standard"/>
        <w:numPr>
          <w:ilvl w:val="0"/>
          <w:numId w:val="22"/>
        </w:numPr>
        <w:spacing w:after="120" w:line="240" w:lineRule="auto"/>
        <w:ind w:left="907" w:right="1440"/>
      </w:pPr>
      <w:r w:rsidRPr="00A44EB5">
        <w:t>Three market transformation experts, chosen by Energy</w:t>
      </w:r>
      <w:r w:rsidR="00D41F61">
        <w:t> </w:t>
      </w:r>
      <w:r w:rsidRPr="00A44EB5">
        <w:t xml:space="preserve">Division. </w:t>
      </w:r>
    </w:p>
    <w:p w14:paraId="23AF3CB9" w14:textId="06F9C3F9" w:rsidR="002753B7" w:rsidRPr="00A44EB5" w:rsidRDefault="002753B7" w:rsidP="00751A0D">
      <w:pPr>
        <w:pStyle w:val="Standard"/>
        <w:numPr>
          <w:ilvl w:val="0"/>
          <w:numId w:val="22"/>
        </w:numPr>
        <w:spacing w:after="120" w:line="240" w:lineRule="auto"/>
        <w:ind w:left="907" w:right="1440"/>
      </w:pPr>
      <w:r w:rsidRPr="00A44EB5">
        <w:t>One representative each from three separate environmental or consumer public interest groups</w:t>
      </w:r>
      <w:r w:rsidR="009E3E7E">
        <w:t>, or coalitions of environmental or consumer public interest groups,</w:t>
      </w:r>
      <w:r w:rsidRPr="00A44EB5">
        <w:t xml:space="preserve"> that are parties to Rulemaking 19-01-011, chosen by Energy Division.  Interested parties</w:t>
      </w:r>
      <w:r w:rsidR="009E3E7E">
        <w:t xml:space="preserve"> or coalitions of parties</w:t>
      </w:r>
      <w:r w:rsidRPr="00A44EB5">
        <w:t xml:space="preserve"> may submit to Energy Division a letter of interest, no longer than two pages, which explains their qualifications for being on the Scoring Committee.  Should Energy Division receive more than three letters of interest, staff will select the three they determine to be the most qualified.  Letters of interest are due to Energy Division no later than 14 days after the date of this decision’s adoption. </w:t>
      </w:r>
    </w:p>
    <w:p w14:paraId="1CC49652" w14:textId="168CCAB8" w:rsidR="00673451" w:rsidRPr="00A44EB5" w:rsidRDefault="002753B7" w:rsidP="00440A15">
      <w:pPr>
        <w:pStyle w:val="OP"/>
        <w:numPr>
          <w:ilvl w:val="0"/>
          <w:numId w:val="25"/>
        </w:numPr>
      </w:pPr>
      <w:r w:rsidRPr="00A44EB5">
        <w:t xml:space="preserve">With the advice of stakeholders, Energy Division shall make the final decision </w:t>
      </w:r>
      <w:r w:rsidR="00D94500">
        <w:t>for</w:t>
      </w:r>
      <w:r w:rsidR="00D94500" w:rsidRPr="00A44EB5">
        <w:t xml:space="preserve"> </w:t>
      </w:r>
      <w:r w:rsidR="00D94500">
        <w:t xml:space="preserve">selection of the </w:t>
      </w:r>
      <w:r w:rsidR="00D94500" w:rsidRPr="00A44EB5">
        <w:t>TECH Initiative implementer</w:t>
      </w:r>
      <w:r w:rsidR="00D94500">
        <w:t>.</w:t>
      </w:r>
      <w:r w:rsidR="009E3E7E" w:rsidRPr="00440A15">
        <w:footnoteReference w:id="286"/>
      </w:r>
      <w:r w:rsidR="00D94500">
        <w:t xml:space="preserve"> Southern California Edison Company, as</w:t>
      </w:r>
      <w:r w:rsidR="00D94500" w:rsidRPr="00A44EB5" w:rsidDel="00D94500">
        <w:t xml:space="preserve"> </w:t>
      </w:r>
      <w:r w:rsidRPr="00A44EB5">
        <w:t xml:space="preserve">the designated contracting agent, shall negotiate and sign a preliminary contract with the winner </w:t>
      </w:r>
      <w:r w:rsidR="009E3E7E">
        <w:t>after</w:t>
      </w:r>
      <w:r w:rsidR="009E3E7E" w:rsidRPr="00A44EB5">
        <w:t xml:space="preserve"> </w:t>
      </w:r>
      <w:r w:rsidRPr="00A44EB5">
        <w:t>instruction by the Energy Division on selected TECH Initiative implementer.</w:t>
      </w:r>
      <w:r w:rsidR="00A70178">
        <w:t xml:space="preserve"> </w:t>
      </w:r>
      <w:r w:rsidR="00A70178" w:rsidRPr="00A70178">
        <w:t xml:space="preserve">For the time and resources spent on </w:t>
      </w:r>
      <w:r w:rsidR="00A70178" w:rsidRPr="00A70178">
        <w:lastRenderedPageBreak/>
        <w:t>Scoring Committee activity, qualifying public interest groups may claim intervenor compensation per the rules in the California Public Utilities Code Section 1801 – 1812.</w:t>
      </w:r>
      <w:r w:rsidR="00673451">
        <w:t xml:space="preserve">  Participation in the Scoring Committee assists the Commission, and therefore constitutes a contribution to a proceeding of the Commission.  The Commission shall award intervenor compensation to any participant in the Scoring Committee who makes a substantial contribution to the work of the Scoring Committee and meets all other requirements of the rules and statutes governing intervenor compensation.</w:t>
      </w:r>
    </w:p>
    <w:p w14:paraId="0105C4A8" w14:textId="4DA8D086" w:rsidR="002753B7" w:rsidRPr="00A44EB5" w:rsidRDefault="002753B7" w:rsidP="00993FF2">
      <w:pPr>
        <w:pStyle w:val="OP"/>
        <w:numPr>
          <w:ilvl w:val="0"/>
          <w:numId w:val="25"/>
        </w:numPr>
      </w:pPr>
      <w:r w:rsidRPr="00A44EB5">
        <w:t>Southern California Edison Company shall, within 15 days of Energy</w:t>
      </w:r>
      <w:r w:rsidR="00D3096D">
        <w:t> </w:t>
      </w:r>
      <w:r w:rsidRPr="00A44EB5">
        <w:t>Division’s final decision</w:t>
      </w:r>
      <w:r w:rsidR="009E3E7E">
        <w:t xml:space="preserve"> for the selection of the </w:t>
      </w:r>
      <w:r w:rsidR="00B43293">
        <w:t>TECH</w:t>
      </w:r>
      <w:r w:rsidR="009E3E7E" w:rsidRPr="00A44EB5" w:rsidDel="009925E5">
        <w:t xml:space="preserve"> </w:t>
      </w:r>
      <w:r w:rsidR="009E3E7E">
        <w:t>Initiative implementer</w:t>
      </w:r>
      <w:r w:rsidRPr="00A44EB5">
        <w:t xml:space="preserve">, file a Tier </w:t>
      </w:r>
      <w:r w:rsidR="009E3E7E">
        <w:t>2</w:t>
      </w:r>
      <w:r w:rsidRPr="00A44EB5">
        <w:t xml:space="preserve"> advice letter seeking </w:t>
      </w:r>
      <w:r w:rsidR="009E3E7E">
        <w:t>Energy Division</w:t>
      </w:r>
      <w:r w:rsidR="009E3E7E" w:rsidRPr="00A44EB5">
        <w:t xml:space="preserve"> </w:t>
      </w:r>
      <w:r w:rsidRPr="00A44EB5">
        <w:t>approval of the preliminary contract.</w:t>
      </w:r>
    </w:p>
    <w:p w14:paraId="55561CE6" w14:textId="2397F0B9" w:rsidR="002753B7" w:rsidRDefault="002753B7" w:rsidP="00993FF2">
      <w:pPr>
        <w:pStyle w:val="OP"/>
        <w:numPr>
          <w:ilvl w:val="0"/>
          <w:numId w:val="25"/>
        </w:numPr>
      </w:pPr>
      <w:r w:rsidRPr="00A44EB5">
        <w:t xml:space="preserve">The </w:t>
      </w:r>
      <w:r w:rsidR="009E3E7E">
        <w:t>TECH</w:t>
      </w:r>
      <w:r w:rsidR="00D3096D" w:rsidRPr="00A44EB5">
        <w:t xml:space="preserve"> Initiative </w:t>
      </w:r>
      <w:r w:rsidR="00D94500">
        <w:t>i</w:t>
      </w:r>
      <w:r w:rsidRPr="00A44EB5">
        <w:t>mplementer shall approach the initiative with a menu of tactics, that may include but is not limited to the list in Section 5.2.3 of this decision, but shall implement the upstream and midstream market approach</w:t>
      </w:r>
      <w:r w:rsidR="00D94500">
        <w:t>, as well as provide consumer education, contractor training, and vendor training,</w:t>
      </w:r>
      <w:r w:rsidRPr="00A44EB5">
        <w:t xml:space="preserve"> to drive market </w:t>
      </w:r>
      <w:r w:rsidR="00D94500">
        <w:t>development</w:t>
      </w:r>
      <w:r w:rsidRPr="00A44EB5">
        <w:t>.</w:t>
      </w:r>
    </w:p>
    <w:p w14:paraId="798B77D0" w14:textId="768056E1" w:rsidR="00B43293" w:rsidRPr="00A44EB5" w:rsidRDefault="00B43293" w:rsidP="00993FF2">
      <w:pPr>
        <w:pStyle w:val="OP"/>
        <w:numPr>
          <w:ilvl w:val="0"/>
          <w:numId w:val="25"/>
        </w:numPr>
      </w:pPr>
      <w:r w:rsidRPr="00F06FEC">
        <w:t xml:space="preserve">Any consumer education campaign developed under the </w:t>
      </w:r>
      <w:r>
        <w:t>TECH</w:t>
      </w:r>
      <w:r w:rsidRPr="00F06FEC">
        <w:t xml:space="preserve"> Initiative shall coordinate with other space and water heating programs in the investor-owned utility territories for consistent messaging and to avoid duplicative channels. </w:t>
      </w:r>
      <w:r>
        <w:t xml:space="preserve"> </w:t>
      </w:r>
      <w:r w:rsidRPr="00F06FEC">
        <w:t>Consumer education must also prioritize outreach to low</w:t>
      </w:r>
      <w:r>
        <w:t>-</w:t>
      </w:r>
      <w:r w:rsidRPr="00F06FEC">
        <w:t>income households</w:t>
      </w:r>
    </w:p>
    <w:p w14:paraId="639F826A" w14:textId="7F0D0CD8" w:rsidR="002753B7" w:rsidRDefault="002753B7" w:rsidP="00993FF2">
      <w:pPr>
        <w:pStyle w:val="OP"/>
        <w:numPr>
          <w:ilvl w:val="0"/>
          <w:numId w:val="25"/>
        </w:numPr>
      </w:pPr>
      <w:r w:rsidRPr="00A44EB5">
        <w:t xml:space="preserve">The </w:t>
      </w:r>
      <w:r w:rsidR="00777EEF">
        <w:t>TECH</w:t>
      </w:r>
      <w:r w:rsidR="00D3096D" w:rsidRPr="00A44EB5">
        <w:t xml:space="preserve"> </w:t>
      </w:r>
      <w:r w:rsidR="00B43293">
        <w:t>i</w:t>
      </w:r>
      <w:r w:rsidRPr="00A44EB5">
        <w:t xml:space="preserve">mplementer shall </w:t>
      </w:r>
      <w:r w:rsidR="00A70178" w:rsidRPr="00A70178">
        <w:t xml:space="preserve">in coordination with the Commission and the CEC, develop guidelines and select eligible technologies with a performance-based approach on greenhouse gas emission reduction potential and other </w:t>
      </w:r>
      <w:r w:rsidR="00A70178" w:rsidRPr="00A70178">
        <w:lastRenderedPageBreak/>
        <w:t>program goals, and ensure that any performance evaluation needs are embedded in the program design</w:t>
      </w:r>
      <w:r w:rsidR="00A70178">
        <w:t xml:space="preserve"> .</w:t>
      </w:r>
    </w:p>
    <w:p w14:paraId="2CD47DC6" w14:textId="77B36D02" w:rsidR="002753B7" w:rsidRPr="00A44EB5" w:rsidRDefault="002753B7" w:rsidP="00B43293">
      <w:pPr>
        <w:pStyle w:val="OP"/>
        <w:numPr>
          <w:ilvl w:val="0"/>
          <w:numId w:val="25"/>
        </w:numPr>
      </w:pPr>
      <w:r w:rsidRPr="00A44EB5">
        <w:t xml:space="preserve">The </w:t>
      </w:r>
      <w:r w:rsidR="00B43293">
        <w:t>CEC</w:t>
      </w:r>
      <w:r w:rsidRPr="00A44EB5">
        <w:t xml:space="preserve"> and the </w:t>
      </w:r>
      <w:r w:rsidR="00777EEF">
        <w:t>TECH</w:t>
      </w:r>
      <w:r w:rsidR="00D608B7" w:rsidRPr="00A44EB5">
        <w:t xml:space="preserve"> Initiative </w:t>
      </w:r>
      <w:r w:rsidR="00D94500">
        <w:t>i</w:t>
      </w:r>
      <w:r w:rsidRPr="00A44EB5">
        <w:t xml:space="preserve">mplementer shall make requests for </w:t>
      </w:r>
      <w:r w:rsidR="00777EEF">
        <w:t>SB</w:t>
      </w:r>
      <w:r w:rsidR="00333C69">
        <w:t> </w:t>
      </w:r>
      <w:r w:rsidRPr="00A44EB5">
        <w:t>1477 funding, including</w:t>
      </w:r>
      <w:r w:rsidR="00D94500">
        <w:t xml:space="preserve"> any accrued</w:t>
      </w:r>
      <w:r w:rsidRPr="00A44EB5">
        <w:t xml:space="preserve"> interest, in writing to Southern California Edison </w:t>
      </w:r>
      <w:r w:rsidR="00777EEF">
        <w:t xml:space="preserve">Company </w:t>
      </w:r>
      <w:r w:rsidRPr="00A44EB5">
        <w:t>who shall disburse funds and provide monthly updates to Energy Division</w:t>
      </w:r>
      <w:r w:rsidR="00B43293">
        <w:t>, , the BUILD Program administrator, and the TECH Initiative implementer</w:t>
      </w:r>
      <w:r w:rsidRPr="00A44EB5">
        <w:t xml:space="preserve"> regarding all disbursements made and the status of funds </w:t>
      </w:r>
      <w:r w:rsidR="00B43293">
        <w:t>BUILD</w:t>
      </w:r>
      <w:r w:rsidR="00E94A7F">
        <w:t xml:space="preserve"> </w:t>
      </w:r>
      <w:r w:rsidRPr="00A44EB5">
        <w:t xml:space="preserve">Program and </w:t>
      </w:r>
      <w:r w:rsidR="00B43293">
        <w:t>TECH</w:t>
      </w:r>
      <w:r w:rsidR="00DF3B39" w:rsidRPr="00A44EB5">
        <w:t xml:space="preserve"> Initiative </w:t>
      </w:r>
      <w:r w:rsidRPr="00A44EB5">
        <w:t xml:space="preserve">shall be evaluated by a single evaluator </w:t>
      </w:r>
      <w:r w:rsidR="00B43293">
        <w:t>and shall follow the guidelines as set forth in Section 3.1.4</w:t>
      </w:r>
      <w:r w:rsidRPr="00A44EB5">
        <w:t xml:space="preserve">. </w:t>
      </w:r>
    </w:p>
    <w:p w14:paraId="4ED88682" w14:textId="1CE82F67" w:rsidR="003E5101" w:rsidRDefault="00B43293" w:rsidP="00440A15">
      <w:pPr>
        <w:pStyle w:val="OP"/>
        <w:numPr>
          <w:ilvl w:val="0"/>
          <w:numId w:val="25"/>
        </w:numPr>
      </w:pPr>
      <w:r w:rsidRPr="00A44EB5">
        <w:t xml:space="preserve">The BUILD Program and </w:t>
      </w:r>
      <w:r>
        <w:t xml:space="preserve">TECH Initiative </w:t>
      </w:r>
      <w:r w:rsidRPr="00A44EB5">
        <w:t xml:space="preserve">single program evaluator </w:t>
      </w:r>
      <w:r>
        <w:t>budget is 2.5 percent of total program costs, or $5 million over the duration of the pilot programs.  Data collection will be expected of the BUILD Program administrator and TECH Initiative implementer, who shall work with the program evaluator to understand data needs and implement processes to obtain and share program data</w:t>
      </w:r>
      <w:r w:rsidRPr="00A44EB5">
        <w:t>.</w:t>
      </w:r>
    </w:p>
    <w:p w14:paraId="1446291C" w14:textId="5E8A7FA6" w:rsidR="00EE52BB" w:rsidRPr="00A44EB5" w:rsidRDefault="00A70178" w:rsidP="00EE52BB">
      <w:pPr>
        <w:pStyle w:val="OP"/>
        <w:numPr>
          <w:ilvl w:val="0"/>
          <w:numId w:val="25"/>
        </w:numPr>
      </w:pPr>
      <w:r w:rsidRPr="00EE52BB">
        <w:t>R</w:t>
      </w:r>
      <w:r w:rsidR="00F912B3" w:rsidRPr="00EE52BB">
        <w:t>efrigerants used in the appliances of building projects incentivized by the</w:t>
      </w:r>
      <w:r w:rsidR="00F912B3" w:rsidRPr="003E5101">
        <w:rPr>
          <w:color w:val="000000" w:themeColor="text1"/>
          <w:lang w:val="en"/>
        </w:rPr>
        <w:t xml:space="preserve"> </w:t>
      </w:r>
      <w:r w:rsidR="00F912B3">
        <w:t xml:space="preserve">BUILD </w:t>
      </w:r>
      <w:r w:rsidR="00F912B3" w:rsidRPr="00A44EB5">
        <w:t>Program</w:t>
      </w:r>
      <w:r w:rsidR="00F912B3" w:rsidRPr="003E5101">
        <w:rPr>
          <w:color w:val="000000" w:themeColor="text1"/>
          <w:lang w:val="en"/>
        </w:rPr>
        <w:t xml:space="preserve"> or by the </w:t>
      </w:r>
      <w:r w:rsidR="00F912B3">
        <w:t xml:space="preserve">TECH </w:t>
      </w:r>
      <w:r w:rsidR="00F912B3" w:rsidRPr="003E5101">
        <w:rPr>
          <w:color w:val="000000" w:themeColor="text1"/>
          <w:lang w:val="en"/>
        </w:rPr>
        <w:t xml:space="preserve">Initiative shall not exceed a 750 Global Warming Potential (GWP) threshold by January 1, 2023, </w:t>
      </w:r>
      <w:r w:rsidR="00F912B3" w:rsidRPr="003E5101">
        <w:rPr>
          <w:color w:val="000000"/>
          <w:szCs w:val="26"/>
          <w:lang w:val="en"/>
        </w:rPr>
        <w:t>unless otherwise modified or determined alternatively by the Assigned Commissioner to this proceeding</w:t>
      </w:r>
      <w:r w:rsidR="00F912B3" w:rsidRPr="003E5101">
        <w:rPr>
          <w:color w:val="000000" w:themeColor="text1"/>
          <w:lang w:val="en"/>
        </w:rPr>
        <w:t>.  Additionally, in a later phase of this proceeding, or in a successor proceeding, the Commission shall consider whether to maintain or modify – for either the pilot programs or a potential permanent program – the date after which incentives for appliances using high-GWP refrigerants would be prohibited, or what an appropriate GWP limit might be.</w:t>
      </w:r>
    </w:p>
    <w:p w14:paraId="3CC8516C" w14:textId="024FF01B" w:rsidR="002753B7" w:rsidRDefault="002753B7" w:rsidP="00EE52BB">
      <w:pPr>
        <w:pStyle w:val="OP"/>
        <w:numPr>
          <w:ilvl w:val="0"/>
          <w:numId w:val="25"/>
        </w:numPr>
      </w:pPr>
      <w:r>
        <w:t>Rulemaking 19-01-011 remains open</w:t>
      </w:r>
      <w:r w:rsidRPr="001E2A62">
        <w:t>.</w:t>
      </w:r>
    </w:p>
    <w:p w14:paraId="5B3BEF2A" w14:textId="77777777" w:rsidR="008F0116" w:rsidRDefault="008F0116" w:rsidP="008F0116">
      <w:r>
        <w:t>This order is effective today.</w:t>
      </w:r>
    </w:p>
    <w:p w14:paraId="1B99F0D0" w14:textId="19234EA8" w:rsidR="00440A15" w:rsidRDefault="008F0116" w:rsidP="008F0116">
      <w:r>
        <w:lastRenderedPageBreak/>
        <w:t xml:space="preserve">Dated </w:t>
      </w:r>
      <w:r w:rsidR="008F5EFB" w:rsidRPr="008F5EFB">
        <w:t>March 26, 2020</w:t>
      </w:r>
      <w:r>
        <w:t xml:space="preserve">, at </w:t>
      </w:r>
      <w:r w:rsidR="004D067F">
        <w:t>San Francisco</w:t>
      </w:r>
      <w:r>
        <w:t>, California</w:t>
      </w:r>
      <w:r w:rsidR="00FF110C">
        <w:t>.</w:t>
      </w:r>
    </w:p>
    <w:p w14:paraId="668F3A7B" w14:textId="77777777" w:rsidR="00440A15" w:rsidRDefault="00440A15" w:rsidP="00440A15">
      <w:pPr>
        <w:spacing w:line="240" w:lineRule="auto"/>
      </w:pPr>
    </w:p>
    <w:p w14:paraId="14E71AC4" w14:textId="77777777" w:rsidR="008F5EFB" w:rsidRDefault="008F5EFB" w:rsidP="008F5EFB">
      <w:pPr>
        <w:autoSpaceDE w:val="0"/>
        <w:autoSpaceDN w:val="0"/>
        <w:adjustRightInd w:val="0"/>
        <w:spacing w:line="240" w:lineRule="auto"/>
        <w:ind w:left="4320"/>
        <w:jc w:val="both"/>
        <w:rPr>
          <w:rFonts w:cs="Palatino"/>
          <w:szCs w:val="26"/>
        </w:rPr>
      </w:pPr>
      <w:bookmarkStart w:id="94" w:name="_Hlk17215919"/>
      <w:r>
        <w:rPr>
          <w:rFonts w:cs="Courier New"/>
          <w:szCs w:val="26"/>
        </w:rPr>
        <w:t>MARYBEL BATJER</w:t>
      </w:r>
    </w:p>
    <w:p w14:paraId="00FA941E" w14:textId="77777777" w:rsidR="008F5EFB" w:rsidRDefault="008F5EFB" w:rsidP="008F5EFB">
      <w:pPr>
        <w:autoSpaceDE w:val="0"/>
        <w:autoSpaceDN w:val="0"/>
        <w:adjustRightInd w:val="0"/>
        <w:spacing w:line="240" w:lineRule="auto"/>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14:paraId="2810FE3E" w14:textId="77777777" w:rsidR="008F5EFB" w:rsidRDefault="008F5EFB" w:rsidP="008F5EFB">
      <w:pPr>
        <w:autoSpaceDE w:val="0"/>
        <w:autoSpaceDN w:val="0"/>
        <w:adjustRightInd w:val="0"/>
        <w:spacing w:line="240" w:lineRule="auto"/>
        <w:ind w:left="4320"/>
        <w:jc w:val="both"/>
        <w:rPr>
          <w:rFonts w:cs="Courier New"/>
          <w:szCs w:val="26"/>
        </w:rPr>
      </w:pPr>
      <w:r>
        <w:rPr>
          <w:rFonts w:cs="Courier New"/>
          <w:szCs w:val="26"/>
        </w:rPr>
        <w:t>LIANE M. RANDOLPH</w:t>
      </w:r>
    </w:p>
    <w:p w14:paraId="2EF664F8" w14:textId="77777777" w:rsidR="008F5EFB" w:rsidRDefault="008F5EFB" w:rsidP="008F5EFB">
      <w:pPr>
        <w:autoSpaceDE w:val="0"/>
        <w:autoSpaceDN w:val="0"/>
        <w:adjustRightInd w:val="0"/>
        <w:spacing w:line="240" w:lineRule="auto"/>
        <w:ind w:left="4320"/>
        <w:jc w:val="both"/>
        <w:rPr>
          <w:rFonts w:ascii="Times New Roman" w:hAnsi="Times New Roman"/>
          <w:sz w:val="28"/>
          <w:szCs w:val="28"/>
        </w:rPr>
      </w:pPr>
      <w:r>
        <w:rPr>
          <w:rFonts w:ascii="Times New Roman" w:hAnsi="Times New Roman"/>
          <w:sz w:val="28"/>
          <w:szCs w:val="28"/>
        </w:rPr>
        <w:t>MARTHA GUZMAN ACEVES</w:t>
      </w:r>
    </w:p>
    <w:p w14:paraId="3D8C5845" w14:textId="77777777" w:rsidR="008F5EFB" w:rsidRDefault="008F5EFB" w:rsidP="008F5EFB">
      <w:pPr>
        <w:autoSpaceDE w:val="0"/>
        <w:autoSpaceDN w:val="0"/>
        <w:adjustRightInd w:val="0"/>
        <w:spacing w:line="240" w:lineRule="auto"/>
        <w:ind w:left="4320"/>
        <w:jc w:val="both"/>
        <w:rPr>
          <w:sz w:val="28"/>
          <w:szCs w:val="28"/>
        </w:rPr>
      </w:pPr>
      <w:r>
        <w:rPr>
          <w:sz w:val="28"/>
          <w:szCs w:val="28"/>
        </w:rPr>
        <w:t>CLIFFORD RECHTSCHAFFEN</w:t>
      </w:r>
    </w:p>
    <w:p w14:paraId="4C232CEA" w14:textId="77777777" w:rsidR="008F5EFB" w:rsidRPr="00620FCB" w:rsidRDefault="008F5EFB" w:rsidP="008F5EFB">
      <w:pPr>
        <w:autoSpaceDE w:val="0"/>
        <w:autoSpaceDN w:val="0"/>
        <w:adjustRightInd w:val="0"/>
        <w:spacing w:line="240" w:lineRule="auto"/>
        <w:ind w:left="4320"/>
        <w:jc w:val="both"/>
        <w:rPr>
          <w:sz w:val="28"/>
          <w:szCs w:val="28"/>
        </w:rPr>
      </w:pPr>
      <w:r w:rsidRPr="00620FCB">
        <w:rPr>
          <w:sz w:val="28"/>
          <w:szCs w:val="28"/>
        </w:rPr>
        <w:t>GENEVIEVE SHIROMA</w:t>
      </w:r>
    </w:p>
    <w:p w14:paraId="7C7EE711" w14:textId="77777777" w:rsidR="008F5EFB" w:rsidRDefault="008F5EFB" w:rsidP="008F5EFB">
      <w:pPr>
        <w:autoSpaceDE w:val="0"/>
        <w:autoSpaceDN w:val="0"/>
        <w:adjustRightInd w:val="0"/>
        <w:spacing w:line="240" w:lineRule="auto"/>
        <w:ind w:left="4320"/>
        <w:jc w:val="both"/>
        <w:rPr>
          <w:rFonts w:cs="Palatino"/>
          <w:szCs w:val="26"/>
        </w:rPr>
      </w:pPr>
      <w:r>
        <w:rPr>
          <w:rFonts w:cs="Palatino"/>
          <w:szCs w:val="26"/>
        </w:rPr>
        <w:t xml:space="preserve">                 Commissioners</w:t>
      </w:r>
    </w:p>
    <w:bookmarkEnd w:id="94"/>
    <w:p w14:paraId="141CC376" w14:textId="77777777" w:rsidR="00440A15" w:rsidRDefault="00440A15" w:rsidP="00440A15">
      <w:pPr>
        <w:spacing w:line="240" w:lineRule="auto"/>
      </w:pPr>
    </w:p>
    <w:p w14:paraId="6AF455CD" w14:textId="77777777" w:rsidR="00440A15" w:rsidRDefault="00440A15" w:rsidP="00440A15">
      <w:pPr>
        <w:spacing w:line="240" w:lineRule="auto"/>
      </w:pPr>
    </w:p>
    <w:p w14:paraId="277912C1" w14:textId="77777777" w:rsidR="00440A15" w:rsidRDefault="00440A15" w:rsidP="00440A15">
      <w:pPr>
        <w:spacing w:line="240" w:lineRule="auto"/>
      </w:pPr>
    </w:p>
    <w:p w14:paraId="6043AF00" w14:textId="77777777" w:rsidR="00440A15" w:rsidRDefault="00440A15" w:rsidP="00440A15">
      <w:pPr>
        <w:spacing w:line="240" w:lineRule="auto"/>
      </w:pPr>
    </w:p>
    <w:p w14:paraId="000A853E" w14:textId="4F0725D8" w:rsidR="00440A15" w:rsidRDefault="00440A15" w:rsidP="008F0116">
      <w:pPr>
        <w:sectPr w:rsidR="00440A15" w:rsidSect="002344FF">
          <w:headerReference w:type="default" r:id="rId15"/>
          <w:footerReference w:type="default" r:id="rId16"/>
          <w:pgSz w:w="12240" w:h="15840"/>
          <w:pgMar w:top="1728" w:right="1440" w:bottom="1440" w:left="1440" w:header="720" w:footer="720" w:gutter="0"/>
          <w:pgNumType w:start="2"/>
          <w:cols w:space="720"/>
          <w:docGrid w:linePitch="360"/>
        </w:sectPr>
      </w:pPr>
    </w:p>
    <w:p w14:paraId="4B1B7073" w14:textId="777AD035" w:rsidR="00440A15" w:rsidRDefault="00440A15" w:rsidP="00440A15">
      <w:pPr>
        <w:jc w:val="center"/>
        <w:rPr>
          <w:rFonts w:ascii="Arial" w:hAnsi="Arial" w:cs="Arial"/>
          <w:b/>
          <w:bCs/>
          <w:szCs w:val="26"/>
        </w:rPr>
      </w:pPr>
    </w:p>
    <w:p w14:paraId="3D926FEC" w14:textId="2136FD79" w:rsidR="00440A15" w:rsidRDefault="00440A15" w:rsidP="00440A15">
      <w:pPr>
        <w:jc w:val="center"/>
        <w:rPr>
          <w:rFonts w:ascii="Arial" w:hAnsi="Arial" w:cs="Arial"/>
          <w:b/>
          <w:bCs/>
          <w:szCs w:val="26"/>
        </w:rPr>
      </w:pPr>
    </w:p>
    <w:p w14:paraId="55A6D55C" w14:textId="711438D7" w:rsidR="00440A15" w:rsidRDefault="00440A15" w:rsidP="00440A15">
      <w:pPr>
        <w:jc w:val="center"/>
        <w:rPr>
          <w:rFonts w:ascii="Arial" w:hAnsi="Arial" w:cs="Arial"/>
          <w:b/>
          <w:bCs/>
          <w:szCs w:val="26"/>
        </w:rPr>
      </w:pPr>
    </w:p>
    <w:p w14:paraId="2FD58E96" w14:textId="27EA823F" w:rsidR="00440A15" w:rsidRDefault="00440A15" w:rsidP="00440A15">
      <w:pPr>
        <w:jc w:val="center"/>
        <w:rPr>
          <w:rFonts w:ascii="Arial" w:hAnsi="Arial" w:cs="Arial"/>
          <w:b/>
          <w:bCs/>
          <w:szCs w:val="26"/>
        </w:rPr>
      </w:pPr>
    </w:p>
    <w:p w14:paraId="6A9364F4" w14:textId="0CFF6EEF" w:rsidR="00440A15" w:rsidRDefault="00440A15" w:rsidP="00440A15">
      <w:pPr>
        <w:jc w:val="center"/>
        <w:rPr>
          <w:rFonts w:ascii="Arial" w:hAnsi="Arial" w:cs="Arial"/>
          <w:b/>
          <w:bCs/>
          <w:szCs w:val="26"/>
        </w:rPr>
      </w:pPr>
    </w:p>
    <w:p w14:paraId="3E4F7308" w14:textId="2B6F2B17" w:rsidR="00440A15" w:rsidRDefault="00440A15" w:rsidP="00440A15">
      <w:pPr>
        <w:jc w:val="center"/>
        <w:rPr>
          <w:rFonts w:ascii="Arial" w:hAnsi="Arial" w:cs="Arial"/>
          <w:b/>
          <w:bCs/>
          <w:szCs w:val="26"/>
        </w:rPr>
      </w:pPr>
    </w:p>
    <w:p w14:paraId="62D4EE7D" w14:textId="77777777" w:rsidR="00440A15" w:rsidRDefault="00440A15" w:rsidP="00440A15">
      <w:pPr>
        <w:jc w:val="center"/>
        <w:rPr>
          <w:rFonts w:ascii="Arial" w:hAnsi="Arial" w:cs="Arial"/>
          <w:b/>
          <w:bCs/>
          <w:szCs w:val="26"/>
        </w:rPr>
      </w:pPr>
    </w:p>
    <w:p w14:paraId="76B5BDD2" w14:textId="77777777" w:rsidR="00440A15" w:rsidRDefault="00440A15" w:rsidP="00440A15">
      <w:pPr>
        <w:jc w:val="center"/>
        <w:rPr>
          <w:rFonts w:ascii="Arial" w:hAnsi="Arial" w:cs="Arial"/>
          <w:b/>
          <w:bCs/>
          <w:szCs w:val="26"/>
        </w:rPr>
      </w:pPr>
    </w:p>
    <w:p w14:paraId="35401D85" w14:textId="77777777" w:rsidR="00440A15" w:rsidRDefault="00440A15" w:rsidP="00440A15">
      <w:pPr>
        <w:ind w:firstLine="0"/>
        <w:jc w:val="center"/>
      </w:pPr>
      <w:r w:rsidRPr="00A42547">
        <w:rPr>
          <w:rFonts w:ascii="Arial" w:hAnsi="Arial" w:cs="Arial"/>
          <w:b/>
          <w:bCs/>
          <w:szCs w:val="26"/>
        </w:rPr>
        <w:t xml:space="preserve">Appendix </w:t>
      </w:r>
      <w:r>
        <w:rPr>
          <w:rFonts w:ascii="Arial" w:hAnsi="Arial" w:cs="Arial"/>
          <w:b/>
          <w:bCs/>
          <w:szCs w:val="26"/>
        </w:rPr>
        <w:t>A</w:t>
      </w:r>
    </w:p>
    <w:p w14:paraId="77B95772" w14:textId="77777777" w:rsidR="00440A15" w:rsidRDefault="00440A15" w:rsidP="00440A15">
      <w:pPr>
        <w:ind w:firstLine="0"/>
        <w:jc w:val="center"/>
        <w:rPr>
          <w:rFonts w:ascii="Arial" w:hAnsi="Arial" w:cs="Arial"/>
          <w:b/>
          <w:bCs/>
          <w:sz w:val="48"/>
          <w:szCs w:val="40"/>
        </w:rPr>
      </w:pPr>
      <w:r>
        <w:rPr>
          <w:rFonts w:ascii="Arial" w:hAnsi="Arial" w:cs="Arial"/>
          <w:b/>
          <w:bCs/>
          <w:sz w:val="48"/>
          <w:szCs w:val="40"/>
        </w:rPr>
        <w:t>[APPENDIX A]</w:t>
      </w:r>
    </w:p>
    <w:p w14:paraId="1C5CB258" w14:textId="77777777" w:rsidR="00440A15" w:rsidRDefault="00440A15" w:rsidP="00440A15">
      <w:pPr>
        <w:ind w:firstLine="0"/>
        <w:jc w:val="center"/>
        <w:rPr>
          <w:rFonts w:ascii="Arial" w:hAnsi="Arial" w:cs="Arial"/>
          <w:b/>
          <w:bCs/>
          <w:sz w:val="48"/>
          <w:szCs w:val="40"/>
        </w:rPr>
      </w:pPr>
    </w:p>
    <w:p w14:paraId="1C9000C1" w14:textId="1C5EE882" w:rsidR="00426014" w:rsidRDefault="00426014" w:rsidP="008F0116"/>
    <w:p w14:paraId="4A2999AE" w14:textId="77777777" w:rsidR="003F3CB9" w:rsidRDefault="003F3CB9" w:rsidP="003F3CB9">
      <w:pPr>
        <w:spacing w:line="240" w:lineRule="auto"/>
      </w:pPr>
    </w:p>
    <w:p w14:paraId="5552B1AA" w14:textId="77777777" w:rsidR="003F3CB9" w:rsidRDefault="003F3CB9" w:rsidP="003F3CB9">
      <w:pPr>
        <w:spacing w:line="240" w:lineRule="auto"/>
      </w:pPr>
    </w:p>
    <w:p w14:paraId="028A6BE4" w14:textId="77777777" w:rsidR="00B56EFA" w:rsidRDefault="00B56EFA" w:rsidP="00A42547">
      <w:pPr>
        <w:jc w:val="center"/>
        <w:rPr>
          <w:rFonts w:ascii="Arial" w:hAnsi="Arial" w:cs="Arial"/>
          <w:b/>
          <w:bCs/>
          <w:szCs w:val="26"/>
        </w:rPr>
      </w:pPr>
    </w:p>
    <w:p w14:paraId="728144DF" w14:textId="77777777" w:rsidR="00B56EFA" w:rsidRDefault="00B56EFA" w:rsidP="00A42547">
      <w:pPr>
        <w:jc w:val="center"/>
        <w:rPr>
          <w:rFonts w:ascii="Arial" w:hAnsi="Arial" w:cs="Arial"/>
          <w:b/>
          <w:bCs/>
          <w:szCs w:val="26"/>
        </w:rPr>
      </w:pPr>
    </w:p>
    <w:p w14:paraId="71F0ADDD" w14:textId="77777777" w:rsidR="00B56EFA" w:rsidRDefault="00B56EFA" w:rsidP="00A42547">
      <w:pPr>
        <w:jc w:val="center"/>
        <w:rPr>
          <w:rFonts w:ascii="Arial" w:hAnsi="Arial" w:cs="Arial"/>
          <w:b/>
          <w:bCs/>
          <w:szCs w:val="26"/>
        </w:rPr>
      </w:pPr>
    </w:p>
    <w:p w14:paraId="0C196754" w14:textId="77777777" w:rsidR="00B56EFA" w:rsidRDefault="00B56EFA" w:rsidP="00A42547">
      <w:pPr>
        <w:jc w:val="center"/>
        <w:rPr>
          <w:rFonts w:ascii="Arial" w:hAnsi="Arial" w:cs="Arial"/>
          <w:b/>
          <w:bCs/>
          <w:szCs w:val="26"/>
        </w:rPr>
      </w:pPr>
    </w:p>
    <w:p w14:paraId="51A7BE3E" w14:textId="77777777" w:rsidR="00B56EFA" w:rsidRDefault="00B56EFA" w:rsidP="00A42547">
      <w:pPr>
        <w:jc w:val="center"/>
        <w:rPr>
          <w:rFonts w:ascii="Arial" w:hAnsi="Arial" w:cs="Arial"/>
          <w:b/>
          <w:bCs/>
          <w:szCs w:val="26"/>
        </w:rPr>
      </w:pPr>
    </w:p>
    <w:p w14:paraId="718662CF" w14:textId="77777777" w:rsidR="00B56EFA" w:rsidRDefault="00B56EFA" w:rsidP="00A42547">
      <w:pPr>
        <w:jc w:val="center"/>
        <w:rPr>
          <w:rFonts w:ascii="Arial" w:hAnsi="Arial" w:cs="Arial"/>
          <w:b/>
          <w:bCs/>
          <w:szCs w:val="26"/>
        </w:rPr>
      </w:pPr>
    </w:p>
    <w:p w14:paraId="768D4894" w14:textId="77777777" w:rsidR="00B56EFA" w:rsidRDefault="00B56EFA" w:rsidP="00A42547">
      <w:pPr>
        <w:jc w:val="center"/>
        <w:rPr>
          <w:rFonts w:ascii="Arial" w:hAnsi="Arial" w:cs="Arial"/>
          <w:b/>
          <w:bCs/>
          <w:szCs w:val="26"/>
        </w:rPr>
      </w:pPr>
    </w:p>
    <w:p w14:paraId="48139B91" w14:textId="77777777" w:rsidR="00B56EFA" w:rsidRDefault="00B56EFA" w:rsidP="00A42547">
      <w:pPr>
        <w:jc w:val="center"/>
        <w:rPr>
          <w:rFonts w:ascii="Arial" w:hAnsi="Arial" w:cs="Arial"/>
          <w:b/>
          <w:bCs/>
          <w:szCs w:val="26"/>
        </w:rPr>
      </w:pPr>
    </w:p>
    <w:p w14:paraId="4D653D2B" w14:textId="77777777" w:rsidR="00B56EFA" w:rsidRDefault="00B56EFA" w:rsidP="00A42547">
      <w:pPr>
        <w:jc w:val="center"/>
        <w:rPr>
          <w:rFonts w:ascii="Arial" w:hAnsi="Arial" w:cs="Arial"/>
          <w:b/>
          <w:bCs/>
          <w:szCs w:val="26"/>
        </w:rPr>
      </w:pPr>
    </w:p>
    <w:p w14:paraId="465B3D6F" w14:textId="77777777" w:rsidR="004A46C5" w:rsidRDefault="004A46C5" w:rsidP="00714CF2">
      <w:pPr>
        <w:ind w:firstLine="0"/>
        <w:jc w:val="center"/>
        <w:rPr>
          <w:rFonts w:ascii="Arial" w:hAnsi="Arial" w:cs="Arial"/>
          <w:b/>
          <w:bCs/>
          <w:sz w:val="48"/>
          <w:szCs w:val="40"/>
        </w:rPr>
      </w:pPr>
    </w:p>
    <w:p w14:paraId="5C29E939" w14:textId="01393A25" w:rsidR="004A46C5" w:rsidRDefault="004A46C5" w:rsidP="00714CF2">
      <w:pPr>
        <w:ind w:firstLine="0"/>
        <w:jc w:val="center"/>
        <w:rPr>
          <w:rFonts w:ascii="Arial" w:hAnsi="Arial" w:cs="Arial"/>
          <w:b/>
          <w:bCs/>
          <w:sz w:val="48"/>
          <w:szCs w:val="40"/>
        </w:rPr>
        <w:sectPr w:rsidR="004A46C5" w:rsidSect="00D44DB6">
          <w:headerReference w:type="default" r:id="rId17"/>
          <w:footerReference w:type="default" r:id="rId18"/>
          <w:pgSz w:w="12240" w:h="15840"/>
          <w:pgMar w:top="1728" w:right="1440" w:bottom="1440" w:left="1440" w:header="720" w:footer="720" w:gutter="0"/>
          <w:pgNumType w:start="1"/>
          <w:cols w:space="720"/>
          <w:docGrid w:linePitch="360"/>
        </w:sectPr>
      </w:pPr>
    </w:p>
    <w:p w14:paraId="3D313739" w14:textId="77777777" w:rsidR="00494B3C" w:rsidRPr="00494B3C" w:rsidRDefault="00494B3C" w:rsidP="00494B3C">
      <w:pPr>
        <w:pStyle w:val="Standard"/>
        <w:jc w:val="center"/>
        <w:rPr>
          <w:rFonts w:ascii="Arial" w:hAnsi="Arial" w:cs="Arial"/>
          <w:b/>
          <w:bCs/>
          <w:sz w:val="48"/>
          <w:szCs w:val="48"/>
          <w:u w:val="single"/>
        </w:rPr>
      </w:pPr>
      <w:r w:rsidRPr="00494B3C">
        <w:rPr>
          <w:rFonts w:ascii="Arial" w:hAnsi="Arial" w:cs="Arial"/>
          <w:b/>
          <w:bCs/>
          <w:sz w:val="48"/>
          <w:szCs w:val="48"/>
          <w:u w:val="single"/>
        </w:rPr>
        <w:lastRenderedPageBreak/>
        <w:t>Additional Pilot Program Guidelines</w:t>
      </w:r>
    </w:p>
    <w:p w14:paraId="247D47F2" w14:textId="1FBC5E27" w:rsidR="00B56EFA" w:rsidRPr="00440A15" w:rsidRDefault="004230D1" w:rsidP="00440A15">
      <w:pPr>
        <w:pStyle w:val="Heading1"/>
        <w:ind w:firstLine="0"/>
        <w:rPr>
          <w:szCs w:val="26"/>
        </w:rPr>
      </w:pPr>
      <w:bookmarkStart w:id="95" w:name="_Toc11762730"/>
      <w:bookmarkStart w:id="96" w:name="_Toc11768988"/>
      <w:bookmarkEnd w:id="95"/>
      <w:bookmarkEnd w:id="96"/>
      <w:r w:rsidRPr="00440A15">
        <w:rPr>
          <w:szCs w:val="26"/>
        </w:rPr>
        <w:t xml:space="preserve">1. </w:t>
      </w:r>
      <w:bookmarkStart w:id="97" w:name="_Toc30493608"/>
      <w:bookmarkStart w:id="98" w:name="_Toc32309332"/>
      <w:r w:rsidRPr="00440A15">
        <w:rPr>
          <w:szCs w:val="26"/>
        </w:rPr>
        <w:t xml:space="preserve"> </w:t>
      </w:r>
      <w:r w:rsidR="00B56EFA" w:rsidRPr="00440A15">
        <w:rPr>
          <w:szCs w:val="26"/>
        </w:rPr>
        <w:t>Program Evaluation Guidelines</w:t>
      </w:r>
      <w:bookmarkEnd w:id="97"/>
      <w:bookmarkEnd w:id="98"/>
    </w:p>
    <w:p w14:paraId="03F344F7" w14:textId="0BF62A20" w:rsidR="00597E58" w:rsidRPr="004230D1" w:rsidRDefault="00597E58" w:rsidP="00597E58">
      <w:pPr>
        <w:ind w:left="360" w:firstLine="0"/>
        <w:rPr>
          <w:rFonts w:ascii="Arial" w:eastAsiaTheme="majorEastAsia" w:hAnsi="Arial" w:cstheme="majorBidi"/>
          <w:b/>
          <w:szCs w:val="26"/>
        </w:rPr>
      </w:pPr>
      <w:r>
        <w:rPr>
          <w:rFonts w:ascii="Arial" w:eastAsiaTheme="majorEastAsia" w:hAnsi="Arial" w:cstheme="majorBidi"/>
          <w:b/>
          <w:szCs w:val="26"/>
        </w:rPr>
        <w:t>1.1.  GHG Sub-metrics</w:t>
      </w:r>
    </w:p>
    <w:p w14:paraId="5D968527" w14:textId="77777777" w:rsidR="00B56EFA" w:rsidRDefault="00B56EFA" w:rsidP="00B56EFA">
      <w:r>
        <w:t>In</w:t>
      </w:r>
      <w:bookmarkStart w:id="99" w:name="_Hlk9944486"/>
      <w:r>
        <w:t xml:space="preserve"> calculating the cost per metric ton of avoided GHG emissions, the Program </w:t>
      </w:r>
      <w:r w:rsidRPr="007243D2">
        <w:t>Evaluator shall work with the CPUC to determine whether – and to what extent – to apply the following sub</w:t>
      </w:r>
      <w:r>
        <w:t>-metrics:</w:t>
      </w:r>
    </w:p>
    <w:p w14:paraId="727F1AFB" w14:textId="77777777" w:rsidR="00B56EFA" w:rsidRDefault="00B56EFA" w:rsidP="00B56EFA">
      <w:pPr>
        <w:pStyle w:val="Bullet1"/>
      </w:pPr>
      <w:r>
        <w:t>Upfront incremental equipment costs</w:t>
      </w:r>
    </w:p>
    <w:p w14:paraId="113B0C04" w14:textId="77777777" w:rsidR="00B56EFA" w:rsidRDefault="00B56EFA" w:rsidP="00B56EFA">
      <w:pPr>
        <w:pStyle w:val="Bullet1"/>
      </w:pPr>
      <w:r>
        <w:t>Upfront incremental installation costs (including labor and infrastructure upgrades)</w:t>
      </w:r>
    </w:p>
    <w:p w14:paraId="2148C09C" w14:textId="77777777" w:rsidR="00B56EFA" w:rsidRDefault="00B56EFA" w:rsidP="00B56EFA">
      <w:pPr>
        <w:pStyle w:val="Bullet1"/>
      </w:pPr>
      <w:r>
        <w:t>Upfront incremental design costs</w:t>
      </w:r>
    </w:p>
    <w:p w14:paraId="7F11DB43" w14:textId="77777777" w:rsidR="00B56EFA" w:rsidRDefault="00B56EFA" w:rsidP="00B56EFA">
      <w:pPr>
        <w:pStyle w:val="Bullet1"/>
      </w:pPr>
      <w:r>
        <w:t>Annual incremental operation and maintenance costs</w:t>
      </w:r>
    </w:p>
    <w:p w14:paraId="6B159B30" w14:textId="77777777" w:rsidR="00B56EFA" w:rsidRDefault="00B56EFA" w:rsidP="00B56EFA">
      <w:pPr>
        <w:pStyle w:val="Bullet1"/>
      </w:pPr>
      <w:r>
        <w:t>Avoided or incremental energy-to-the-home infrastructure costs</w:t>
      </w:r>
      <w:r>
        <w:rPr>
          <w:rStyle w:val="FootnoteReference"/>
        </w:rPr>
        <w:footnoteReference w:id="287"/>
      </w:r>
      <w:r>
        <w:t xml:space="preserve">  </w:t>
      </w:r>
    </w:p>
    <w:p w14:paraId="36EF7866" w14:textId="77777777" w:rsidR="00B56EFA" w:rsidRDefault="00B56EFA" w:rsidP="00B56EFA">
      <w:pPr>
        <w:pStyle w:val="Bullet1"/>
      </w:pPr>
      <w:r>
        <w:t>Effective Useful Lifetime of equipment and buildings, if applicable</w:t>
      </w:r>
    </w:p>
    <w:p w14:paraId="1BEAB38E" w14:textId="77777777" w:rsidR="00B56EFA" w:rsidRDefault="00B56EFA" w:rsidP="00B56EFA">
      <w:pPr>
        <w:pStyle w:val="Bullet1"/>
      </w:pPr>
      <w:r>
        <w:t>Remaining useful lifetime (if applicable, re any early replacement of existing equipment)</w:t>
      </w:r>
    </w:p>
    <w:p w14:paraId="15F7018A" w14:textId="77777777" w:rsidR="00B56EFA" w:rsidRDefault="00B56EFA" w:rsidP="00B56EFA">
      <w:pPr>
        <w:pStyle w:val="Bullet1"/>
      </w:pPr>
      <w:r>
        <w:t>Annual energy consumption and load profiles of decarbonized and baseline technologies</w:t>
      </w:r>
    </w:p>
    <w:p w14:paraId="4002D264" w14:textId="77777777" w:rsidR="00B56EFA" w:rsidRPr="00BB3FB3" w:rsidRDefault="00B56EFA" w:rsidP="00B56EFA">
      <w:pPr>
        <w:pStyle w:val="Bullet1"/>
        <w:rPr>
          <w:rFonts w:ascii="Times New Roman" w:hAnsi="Times New Roman"/>
          <w:sz w:val="24"/>
          <w:szCs w:val="24"/>
        </w:rPr>
      </w:pPr>
      <w:r>
        <w:t>GHGs associated with refrigerants used in electric appliances</w:t>
      </w:r>
      <w:r>
        <w:rPr>
          <w:rFonts w:ascii="Times New Roman" w:hAnsi="Times New Roman"/>
          <w:sz w:val="24"/>
          <w:szCs w:val="24"/>
        </w:rPr>
        <w:t xml:space="preserve"> </w:t>
      </w:r>
      <w:r>
        <w:t xml:space="preserve"> </w:t>
      </w:r>
    </w:p>
    <w:p w14:paraId="474E1634" w14:textId="77777777" w:rsidR="00B56EFA" w:rsidRDefault="00B56EFA" w:rsidP="00B56EFA">
      <w:pPr>
        <w:pStyle w:val="Bullet1"/>
      </w:pPr>
      <w:r>
        <w:t>GHG emissions of electric and gas generation and delivery, including methane leakage</w:t>
      </w:r>
    </w:p>
    <w:p w14:paraId="19B6947F" w14:textId="77777777" w:rsidR="00B56EFA" w:rsidRDefault="00B56EFA" w:rsidP="00B56EFA">
      <w:pPr>
        <w:pStyle w:val="Bullet1"/>
      </w:pPr>
      <w:r>
        <w:t>Avoided or incremental costs of providing electric and gas service, including transmission and distribution system costs</w:t>
      </w:r>
    </w:p>
    <w:p w14:paraId="0C6B8A2E" w14:textId="77777777" w:rsidR="00B56EFA" w:rsidRDefault="00B56EFA" w:rsidP="00B56EFA">
      <w:pPr>
        <w:pStyle w:val="Bullet1"/>
      </w:pPr>
      <w:r>
        <w:t>Other relevant avoided or incremental costs</w:t>
      </w:r>
    </w:p>
    <w:p w14:paraId="14A0C97A" w14:textId="0811F33C" w:rsidR="00B56EFA" w:rsidRDefault="00B56EFA" w:rsidP="00B56EFA">
      <w:pPr>
        <w:pStyle w:val="Bullet1"/>
      </w:pPr>
      <w:r>
        <w:t xml:space="preserve">Other relevant costs incurred by customers </w:t>
      </w:r>
    </w:p>
    <w:p w14:paraId="0ED71A6E" w14:textId="77777777" w:rsidR="00777EEF" w:rsidRDefault="00777EEF" w:rsidP="00777EEF">
      <w:pPr>
        <w:pStyle w:val="Bullet1"/>
      </w:pPr>
      <w:r w:rsidRPr="00D62AAB">
        <w:t xml:space="preserve">Long-run marginal avoided electric emission factors in alignment with the Commission’s Integrated Resources Plan and Senate Bill 100, </w:t>
      </w:r>
      <w:r>
        <w:t xml:space="preserve">such as those used </w:t>
      </w:r>
      <w:r w:rsidRPr="00D62AAB">
        <w:t>t</w:t>
      </w:r>
      <w:r>
        <w:t xml:space="preserve"> inform the</w:t>
      </w:r>
      <w:r w:rsidRPr="00D62AAB">
        <w:t xml:space="preserve"> </w:t>
      </w:r>
      <w:r>
        <w:t>electric emissions in the</w:t>
      </w:r>
      <w:r w:rsidRPr="00D62AAB">
        <w:t xml:space="preserve"> </w:t>
      </w:r>
      <w:r>
        <w:t>Commission’s Energy Efficiency</w:t>
      </w:r>
      <w:r w:rsidRPr="00D62AAB">
        <w:t xml:space="preserve"> </w:t>
      </w:r>
      <w:r>
        <w:t>Fuel Substitution Calculator.</w:t>
      </w:r>
    </w:p>
    <w:p w14:paraId="33ACFF9E" w14:textId="2F14A3DD" w:rsidR="00777EEF" w:rsidRPr="00777EEF" w:rsidRDefault="00777EEF" w:rsidP="00777EEF">
      <w:pPr>
        <w:pStyle w:val="Bullet1"/>
      </w:pPr>
      <w:r>
        <w:lastRenderedPageBreak/>
        <w:t>GHGs associated with gas home</w:t>
      </w:r>
      <w:r w:rsidRPr="00D62AAB">
        <w:t xml:space="preserve"> </w:t>
      </w:r>
      <w:r>
        <w:t>appliance methane leakage (“inactive</w:t>
      </w:r>
      <w:r w:rsidRPr="00D62AAB">
        <w:t xml:space="preserve"> </w:t>
      </w:r>
      <w:r>
        <w:t>house emissions” such as pipe-fitting</w:t>
      </w:r>
      <w:r w:rsidRPr="00D62AAB">
        <w:t xml:space="preserve"> </w:t>
      </w:r>
      <w:r>
        <w:t>leaks and combustion appliance pilot</w:t>
      </w:r>
      <w:r w:rsidRPr="00D62AAB">
        <w:t xml:space="preserve"> </w:t>
      </w:r>
      <w:r>
        <w:t>light flames).</w:t>
      </w:r>
    </w:p>
    <w:p w14:paraId="775DFAB9" w14:textId="4D0FC7E4" w:rsidR="00B56EFA" w:rsidRDefault="00DA1A56" w:rsidP="00DA1A56">
      <w:pPr>
        <w:pStyle w:val="ListParagraph"/>
        <w:numPr>
          <w:ilvl w:val="0"/>
          <w:numId w:val="1"/>
        </w:numPr>
        <w:rPr>
          <w:rFonts w:ascii="Arial" w:eastAsiaTheme="majorEastAsia" w:hAnsi="Arial" w:cstheme="majorBidi"/>
          <w:b/>
          <w:szCs w:val="26"/>
        </w:rPr>
      </w:pPr>
      <w:bookmarkStart w:id="100" w:name="_Toc30493610"/>
      <w:bookmarkStart w:id="101" w:name="_Toc32309334"/>
      <w:bookmarkEnd w:id="99"/>
      <w:r>
        <w:rPr>
          <w:rFonts w:ascii="Arial" w:eastAsiaTheme="majorEastAsia" w:hAnsi="Arial" w:cstheme="majorBidi"/>
          <w:b/>
          <w:szCs w:val="26"/>
        </w:rPr>
        <w:t xml:space="preserve"> </w:t>
      </w:r>
      <w:r w:rsidR="00B56EFA" w:rsidRPr="00DA1A56">
        <w:rPr>
          <w:rFonts w:ascii="Arial" w:eastAsiaTheme="majorEastAsia" w:hAnsi="Arial" w:cstheme="majorBidi"/>
          <w:b/>
          <w:szCs w:val="26"/>
        </w:rPr>
        <w:t>BUILD Program Guidelines</w:t>
      </w:r>
      <w:bookmarkEnd w:id="100"/>
      <w:bookmarkEnd w:id="101"/>
    </w:p>
    <w:p w14:paraId="0351F44F" w14:textId="0B6B1FF7" w:rsidR="00597E58" w:rsidRPr="00597E58" w:rsidRDefault="00597E58" w:rsidP="00597E58">
      <w:pPr>
        <w:pStyle w:val="ListParagraph"/>
        <w:numPr>
          <w:ilvl w:val="1"/>
          <w:numId w:val="1"/>
        </w:numPr>
        <w:rPr>
          <w:rFonts w:ascii="Arial" w:eastAsiaTheme="majorEastAsia" w:hAnsi="Arial" w:cstheme="majorBidi"/>
          <w:b/>
          <w:szCs w:val="26"/>
        </w:rPr>
      </w:pPr>
      <w:r>
        <w:rPr>
          <w:rFonts w:ascii="Arial" w:eastAsiaTheme="majorEastAsia" w:hAnsi="Arial" w:cstheme="majorBidi"/>
          <w:b/>
          <w:szCs w:val="26"/>
        </w:rPr>
        <w:t xml:space="preserve"> Complimentary </w:t>
      </w:r>
      <w:r w:rsidR="00617113">
        <w:rPr>
          <w:rFonts w:ascii="Arial" w:eastAsiaTheme="majorEastAsia" w:hAnsi="Arial" w:cstheme="majorBidi"/>
          <w:b/>
          <w:szCs w:val="26"/>
        </w:rPr>
        <w:t>Incentives</w:t>
      </w:r>
    </w:p>
    <w:p w14:paraId="252647FB" w14:textId="77777777" w:rsidR="00B56EFA" w:rsidRPr="007E7197" w:rsidRDefault="00B56EFA" w:rsidP="00B56EFA">
      <w:r w:rsidRPr="007E7197">
        <w:t xml:space="preserve">The </w:t>
      </w:r>
      <w:r>
        <w:t>BUILD Program administrator</w:t>
      </w:r>
      <w:r w:rsidRPr="007E7197">
        <w:t xml:space="preserve">, in consultation with the CPUC, </w:t>
      </w:r>
      <w:r>
        <w:t>sha</w:t>
      </w:r>
      <w:r w:rsidRPr="007E7197">
        <w:t>ll assess the feasibility of using BUILD Program incentives to complement existing programs</w:t>
      </w:r>
      <w:r>
        <w:t xml:space="preserve"> that fund decarbonization and/or GHG reduction efforts,</w:t>
      </w:r>
      <w:r w:rsidRPr="007E7197">
        <w:t xml:space="preserve"> </w:t>
      </w:r>
      <w:r>
        <w:t>including</w:t>
      </w:r>
      <w:r w:rsidRPr="007E7197">
        <w:t xml:space="preserve"> </w:t>
      </w:r>
      <w:r>
        <w:t>programs</w:t>
      </w:r>
      <w:r w:rsidRPr="007E7197">
        <w:t xml:space="preserve"> </w:t>
      </w:r>
      <w:r>
        <w:t>offered by</w:t>
      </w:r>
      <w:r w:rsidRPr="007E7197">
        <w:t xml:space="preserve"> </w:t>
      </w:r>
      <w:r>
        <w:t>Investor-Owned</w:t>
      </w:r>
      <w:r w:rsidRPr="007E7197">
        <w:t xml:space="preserve"> </w:t>
      </w:r>
      <w:r>
        <w:t>U</w:t>
      </w:r>
      <w:r w:rsidRPr="007E7197">
        <w:t>tilities</w:t>
      </w:r>
      <w:r>
        <w:t xml:space="preserve"> (IOUs)</w:t>
      </w:r>
      <w:r w:rsidRPr="007E7197">
        <w:t>, Publicly Owned Utilit</w:t>
      </w:r>
      <w:r>
        <w:t>ies (POUs),</w:t>
      </w:r>
      <w:r w:rsidRPr="007E7197">
        <w:t xml:space="preserve"> and state or local </w:t>
      </w:r>
      <w:r>
        <w:t xml:space="preserve">government </w:t>
      </w:r>
      <w:r w:rsidRPr="007E7197">
        <w:t>agencies, as appropriate.</w:t>
      </w:r>
    </w:p>
    <w:p w14:paraId="48A41F1B" w14:textId="77777777" w:rsidR="00B56EFA" w:rsidRPr="007E7197" w:rsidRDefault="00B56EFA" w:rsidP="00B56EFA">
      <w:r>
        <w:t>The</w:t>
      </w:r>
      <w:r w:rsidRPr="007E7197">
        <w:t xml:space="preserve"> Low</w:t>
      </w:r>
      <w:r>
        <w:t>-</w:t>
      </w:r>
      <w:r w:rsidRPr="007E7197">
        <w:t xml:space="preserve">Income Housing Tax Credit (LIHTC) </w:t>
      </w:r>
      <w:r>
        <w:t>P</w:t>
      </w:r>
      <w:r w:rsidRPr="007E7197">
        <w:t xml:space="preserve">rogram </w:t>
      </w:r>
      <w:r>
        <w:t xml:space="preserve">of the </w:t>
      </w:r>
      <w:r w:rsidRPr="007E7197">
        <w:t xml:space="preserve">Tax Credit Allocation Committee (TCAC) is particularly relevant for outreach and implementation of the BUILD Program. </w:t>
      </w:r>
      <w:r>
        <w:t xml:space="preserve"> </w:t>
      </w:r>
      <w:r w:rsidRPr="007E7197">
        <w:t>The scoring criteria used by TCAC is a significant motivating force for owners and developers</w:t>
      </w:r>
      <w:r>
        <w:t>,</w:t>
      </w:r>
      <w:r w:rsidRPr="007E7197">
        <w:t xml:space="preserve"> and </w:t>
      </w:r>
      <w:r>
        <w:t xml:space="preserve">it </w:t>
      </w:r>
      <w:r w:rsidRPr="007E7197">
        <w:t>directly influences their design decision</w:t>
      </w:r>
      <w:r>
        <w:t>s</w:t>
      </w:r>
      <w:r w:rsidRPr="00255780">
        <w:t xml:space="preserve">.  The BUILD Program administrator </w:t>
      </w:r>
      <w:r>
        <w:t>shall</w:t>
      </w:r>
      <w:r w:rsidRPr="00255780">
        <w:t xml:space="preserve"> collaborate with the TCAC to </w:t>
      </w:r>
      <w:r>
        <w:t xml:space="preserve">ensure </w:t>
      </w:r>
      <w:r w:rsidRPr="00255780">
        <w:t xml:space="preserve">mutual benefit </w:t>
      </w:r>
      <w:r>
        <w:t>between the BUILD Program and the LIHTC Program.</w:t>
      </w:r>
    </w:p>
    <w:p w14:paraId="5B4A2E1E" w14:textId="77777777" w:rsidR="00B56EFA" w:rsidRPr="007E7197" w:rsidRDefault="00B56EFA" w:rsidP="00B56EFA">
      <w:r>
        <w:t>Some</w:t>
      </w:r>
      <w:r w:rsidRPr="007E7197">
        <w:t xml:space="preserve"> </w:t>
      </w:r>
      <w:r>
        <w:t xml:space="preserve">IOU </w:t>
      </w:r>
      <w:r w:rsidRPr="007E7197">
        <w:t>programs are particularly relevant and will require close coordination to develop complement</w:t>
      </w:r>
      <w:r>
        <w:t>ary</w:t>
      </w:r>
      <w:r w:rsidRPr="007E7197">
        <w:t xml:space="preserve"> strategies and avoid duplication. </w:t>
      </w:r>
      <w:r>
        <w:t xml:space="preserve"> These include but are not limited to:</w:t>
      </w:r>
    </w:p>
    <w:p w14:paraId="47D81089" w14:textId="77777777" w:rsidR="00B56EFA" w:rsidRPr="007E7197" w:rsidRDefault="00B56EFA" w:rsidP="00B56EFA">
      <w:pPr>
        <w:pStyle w:val="ListParagraph"/>
        <w:numPr>
          <w:ilvl w:val="0"/>
          <w:numId w:val="33"/>
        </w:numPr>
        <w:spacing w:before="240" w:after="240"/>
        <w:rPr>
          <w:b/>
          <w:bCs/>
        </w:rPr>
      </w:pPr>
      <w:r w:rsidRPr="007E7197">
        <w:rPr>
          <w:b/>
          <w:bCs/>
        </w:rPr>
        <w:t>Single-family New Homes Programs</w:t>
      </w:r>
    </w:p>
    <w:p w14:paraId="46FF373A" w14:textId="77777777" w:rsidR="00B56EFA" w:rsidRPr="007E7197" w:rsidRDefault="00B56EFA" w:rsidP="00B56EFA">
      <w:pPr>
        <w:pStyle w:val="ListParagraph"/>
        <w:numPr>
          <w:ilvl w:val="0"/>
          <w:numId w:val="34"/>
        </w:numPr>
        <w:spacing w:before="240" w:after="240"/>
      </w:pPr>
      <w:r w:rsidRPr="007E7197">
        <w:t>California Advanced Homes Program (PG&amp;E, SCE, SDG&amp;E, SoCalGas)</w:t>
      </w:r>
    </w:p>
    <w:p w14:paraId="47F695A5" w14:textId="77777777" w:rsidR="00B56EFA" w:rsidRPr="007E7197" w:rsidRDefault="00B56EFA" w:rsidP="00B56EFA">
      <w:pPr>
        <w:pStyle w:val="ListParagraph"/>
        <w:numPr>
          <w:ilvl w:val="0"/>
          <w:numId w:val="33"/>
        </w:numPr>
        <w:spacing w:before="240" w:after="240"/>
        <w:rPr>
          <w:b/>
          <w:bCs/>
        </w:rPr>
      </w:pPr>
      <w:r w:rsidRPr="007E7197">
        <w:rPr>
          <w:b/>
          <w:bCs/>
        </w:rPr>
        <w:t>Newly Constructed Multifamily Programs</w:t>
      </w:r>
    </w:p>
    <w:p w14:paraId="59D7B228" w14:textId="45DF2A54" w:rsidR="00B56EFA" w:rsidRDefault="00B56EFA" w:rsidP="00B56EFA">
      <w:pPr>
        <w:pStyle w:val="ListParagraph"/>
        <w:numPr>
          <w:ilvl w:val="0"/>
          <w:numId w:val="35"/>
        </w:numPr>
        <w:spacing w:before="240" w:after="240"/>
      </w:pPr>
      <w:r w:rsidRPr="007E7197">
        <w:t xml:space="preserve">California Multifamily New Homes </w:t>
      </w:r>
      <w:r>
        <w:t>P</w:t>
      </w:r>
      <w:r w:rsidRPr="007E7197">
        <w:t xml:space="preserve">rogram </w:t>
      </w:r>
      <w:r>
        <w:t>(</w:t>
      </w:r>
      <w:r w:rsidRPr="007E7197">
        <w:t>PG&amp;E</w:t>
      </w:r>
      <w:r>
        <w:t>)</w:t>
      </w:r>
      <w:r>
        <w:rPr>
          <w:rStyle w:val="FootnoteReference"/>
        </w:rPr>
        <w:footnoteReference w:id="288"/>
      </w:r>
    </w:p>
    <w:p w14:paraId="1D67B893" w14:textId="4349D035" w:rsidR="00777EEF" w:rsidRDefault="00777EEF" w:rsidP="00777EEF">
      <w:pPr>
        <w:pStyle w:val="ListParagraph"/>
        <w:spacing w:before="240" w:after="240"/>
        <w:ind w:left="1080" w:firstLine="0"/>
      </w:pPr>
    </w:p>
    <w:p w14:paraId="42DA92DB" w14:textId="77777777" w:rsidR="00B56EFA" w:rsidRDefault="00B56EFA" w:rsidP="00B56EFA">
      <w:pPr>
        <w:pStyle w:val="ListParagraph"/>
        <w:numPr>
          <w:ilvl w:val="0"/>
          <w:numId w:val="33"/>
        </w:numPr>
        <w:spacing w:before="240" w:after="240"/>
        <w:rPr>
          <w:b/>
          <w:bCs/>
        </w:rPr>
      </w:pPr>
      <w:r w:rsidRPr="007E7197">
        <w:rPr>
          <w:b/>
          <w:bCs/>
        </w:rPr>
        <w:lastRenderedPageBreak/>
        <w:t xml:space="preserve">Wildfire Rebuild </w:t>
      </w:r>
      <w:r>
        <w:rPr>
          <w:b/>
          <w:bCs/>
        </w:rPr>
        <w:t>P</w:t>
      </w:r>
      <w:r w:rsidRPr="007E7197">
        <w:rPr>
          <w:b/>
          <w:bCs/>
        </w:rPr>
        <w:t>rograms</w:t>
      </w:r>
    </w:p>
    <w:p w14:paraId="5640ABBB" w14:textId="77777777" w:rsidR="00B56EFA" w:rsidRDefault="00B56EFA" w:rsidP="00B56EFA">
      <w:pPr>
        <w:pStyle w:val="ListParagraph"/>
        <w:spacing w:before="240" w:after="240"/>
        <w:ind w:firstLine="0"/>
      </w:pPr>
      <w:r w:rsidRPr="007E7197">
        <w:t>As of 2019, two Wildfire Rebuild programs exist and have been approved for 2020 implementation:</w:t>
      </w:r>
    </w:p>
    <w:p w14:paraId="0A090C6A" w14:textId="65F1BC80" w:rsidR="00B56EFA" w:rsidRDefault="00B56EFA" w:rsidP="00B56EFA">
      <w:pPr>
        <w:pStyle w:val="ListParagraph"/>
        <w:numPr>
          <w:ilvl w:val="0"/>
          <w:numId w:val="35"/>
        </w:numPr>
        <w:spacing w:before="240" w:after="240"/>
      </w:pPr>
      <w:r w:rsidRPr="007E7197">
        <w:t>Advanced Energy Rebuild Program (PG&amp;E</w:t>
      </w:r>
      <w:r>
        <w:t>/</w:t>
      </w:r>
      <w:r w:rsidRPr="007E7197">
        <w:t>Sonoma Clean Power</w:t>
      </w:r>
      <w:r>
        <w:t>/</w:t>
      </w:r>
      <w:r w:rsidR="00777EEF">
        <w:t>MCE</w:t>
      </w:r>
      <w:r w:rsidRPr="007E7197">
        <w:t>)</w:t>
      </w:r>
      <w:r>
        <w:rPr>
          <w:rStyle w:val="FootnoteReference"/>
        </w:rPr>
        <w:footnoteReference w:id="289"/>
      </w:r>
    </w:p>
    <w:p w14:paraId="182DEC11" w14:textId="77777777" w:rsidR="00B56EFA" w:rsidRPr="007E7197" w:rsidRDefault="00B56EFA" w:rsidP="00B56EFA">
      <w:pPr>
        <w:pStyle w:val="ListParagraph"/>
        <w:numPr>
          <w:ilvl w:val="0"/>
          <w:numId w:val="35"/>
        </w:numPr>
        <w:spacing w:before="240" w:after="240"/>
      </w:pPr>
      <w:r w:rsidRPr="007E7197">
        <w:t>Clean Energy and Resiliency</w:t>
      </w:r>
      <w:r w:rsidRPr="007E7197" w:rsidDel="001479D2">
        <w:t xml:space="preserve"> </w:t>
      </w:r>
      <w:r w:rsidRPr="007E7197">
        <w:t>Rebuild Program (SCE)</w:t>
      </w:r>
    </w:p>
    <w:p w14:paraId="34C60C70" w14:textId="5669578F" w:rsidR="00B56EFA" w:rsidRDefault="00B56EFA" w:rsidP="00B56EFA">
      <w:pPr>
        <w:pStyle w:val="ListParagraph"/>
        <w:numPr>
          <w:ilvl w:val="0"/>
          <w:numId w:val="33"/>
        </w:numPr>
        <w:spacing w:before="240" w:after="240"/>
        <w:rPr>
          <w:b/>
          <w:bCs/>
        </w:rPr>
      </w:pPr>
      <w:r>
        <w:rPr>
          <w:b/>
          <w:bCs/>
        </w:rPr>
        <w:t>Statewide Codes &amp; Standards Program</w:t>
      </w:r>
    </w:p>
    <w:p w14:paraId="17328D5D" w14:textId="77777777" w:rsidR="00A11C44" w:rsidRDefault="00A11C44" w:rsidP="00A11C44">
      <w:pPr>
        <w:pStyle w:val="ListParagraph"/>
        <w:numPr>
          <w:ilvl w:val="0"/>
          <w:numId w:val="33"/>
        </w:numPr>
        <w:spacing w:before="240" w:after="240"/>
        <w:rPr>
          <w:b/>
          <w:bCs/>
        </w:rPr>
      </w:pPr>
      <w:r w:rsidRPr="007D6C3D">
        <w:rPr>
          <w:b/>
          <w:bCs/>
        </w:rPr>
        <w:t>Low Income Programs</w:t>
      </w:r>
    </w:p>
    <w:p w14:paraId="0965E94D" w14:textId="77777777" w:rsidR="00A11C44" w:rsidRPr="006E73EF" w:rsidRDefault="00A11C44" w:rsidP="00A11C44">
      <w:pPr>
        <w:pStyle w:val="ListParagraph"/>
        <w:numPr>
          <w:ilvl w:val="1"/>
          <w:numId w:val="33"/>
        </w:numPr>
        <w:spacing w:before="240" w:after="240"/>
        <w:rPr>
          <w:b/>
          <w:bCs/>
        </w:rPr>
      </w:pPr>
      <w:r w:rsidRPr="007D6C3D">
        <w:t>San Joaquin Valley Pilots (AB 2672)</w:t>
      </w:r>
    </w:p>
    <w:p w14:paraId="25B3F183" w14:textId="77777777" w:rsidR="00A11C44" w:rsidRPr="006E73EF" w:rsidRDefault="00A11C44" w:rsidP="00A11C44">
      <w:pPr>
        <w:pStyle w:val="ListParagraph"/>
        <w:numPr>
          <w:ilvl w:val="1"/>
          <w:numId w:val="33"/>
        </w:numPr>
        <w:spacing w:before="240" w:after="240"/>
        <w:rPr>
          <w:b/>
          <w:bCs/>
        </w:rPr>
      </w:pPr>
      <w:r w:rsidRPr="007D6C3D">
        <w:t>Energy Savings Assistance Programs</w:t>
      </w:r>
    </w:p>
    <w:p w14:paraId="2CD7EA5F" w14:textId="27B5F544" w:rsidR="00B56EFA" w:rsidRDefault="00B56EFA" w:rsidP="003A50E6">
      <w:pPr>
        <w:pStyle w:val="ListParagraph"/>
        <w:numPr>
          <w:ilvl w:val="0"/>
          <w:numId w:val="1"/>
        </w:numPr>
        <w:rPr>
          <w:rFonts w:ascii="Arial" w:eastAsiaTheme="majorEastAsia" w:hAnsi="Arial" w:cstheme="majorBidi"/>
          <w:b/>
          <w:szCs w:val="26"/>
        </w:rPr>
      </w:pPr>
      <w:bookmarkStart w:id="102" w:name="_Toc30493612"/>
      <w:bookmarkStart w:id="103" w:name="_Toc32309336"/>
      <w:r w:rsidRPr="003A50E6">
        <w:rPr>
          <w:rFonts w:ascii="Arial" w:eastAsiaTheme="majorEastAsia" w:hAnsi="Arial" w:cstheme="majorBidi"/>
          <w:b/>
          <w:szCs w:val="26"/>
        </w:rPr>
        <w:t>TECH Initiative Guidelines</w:t>
      </w:r>
      <w:bookmarkEnd w:id="102"/>
      <w:bookmarkEnd w:id="103"/>
    </w:p>
    <w:p w14:paraId="0A8EF475" w14:textId="67E9C1D0" w:rsidR="00617113" w:rsidRPr="00617113" w:rsidRDefault="00617113" w:rsidP="00617113">
      <w:pPr>
        <w:pStyle w:val="ListParagraph"/>
        <w:numPr>
          <w:ilvl w:val="1"/>
          <w:numId w:val="1"/>
        </w:numPr>
        <w:rPr>
          <w:rFonts w:ascii="Arial" w:eastAsiaTheme="majorEastAsia" w:hAnsi="Arial" w:cstheme="majorBidi"/>
          <w:b/>
          <w:szCs w:val="26"/>
        </w:rPr>
      </w:pPr>
      <w:r>
        <w:rPr>
          <w:rFonts w:ascii="Arial" w:eastAsiaTheme="majorEastAsia" w:hAnsi="Arial" w:cstheme="majorBidi"/>
          <w:b/>
          <w:szCs w:val="26"/>
        </w:rPr>
        <w:t>Overcoming Market Barriers</w:t>
      </w:r>
    </w:p>
    <w:p w14:paraId="2C10CB48" w14:textId="77777777" w:rsidR="00B56EFA" w:rsidRPr="0093373D" w:rsidRDefault="00B56EFA" w:rsidP="00B56EFA">
      <w:r w:rsidRPr="0093373D">
        <w:t xml:space="preserve">Bidders seeking to become the TECH Initiative Implementer shall clearly state how they intend to address the following market barriers: </w:t>
      </w:r>
    </w:p>
    <w:p w14:paraId="1B5365B2" w14:textId="77777777" w:rsidR="00B56EFA" w:rsidRPr="0093373D" w:rsidRDefault="00B56EFA" w:rsidP="00B56EFA">
      <w:pPr>
        <w:pStyle w:val="Bullet1"/>
      </w:pPr>
      <w:r w:rsidRPr="0093373D">
        <w:t>Lack of incentives encouraging customer adoption</w:t>
      </w:r>
    </w:p>
    <w:p w14:paraId="69711DA7" w14:textId="77777777" w:rsidR="00B56EFA" w:rsidRPr="0093373D" w:rsidRDefault="00B56EFA" w:rsidP="00B56EFA">
      <w:pPr>
        <w:pStyle w:val="Bullet1"/>
      </w:pPr>
      <w:r w:rsidRPr="0093373D">
        <w:t>Lack of financing solutions to help customers manage up-front costs</w:t>
      </w:r>
    </w:p>
    <w:p w14:paraId="338B6E27" w14:textId="77777777" w:rsidR="00B56EFA" w:rsidRPr="0093373D" w:rsidRDefault="00B56EFA" w:rsidP="00B56EFA">
      <w:pPr>
        <w:pStyle w:val="Bullet1"/>
      </w:pPr>
      <w:r w:rsidRPr="0093373D">
        <w:t>Lack of coordination with existing building weatherization support programs</w:t>
      </w:r>
    </w:p>
    <w:p w14:paraId="070DA9E2" w14:textId="77777777" w:rsidR="00B56EFA" w:rsidRPr="0093373D" w:rsidRDefault="00B56EFA" w:rsidP="00B56EFA">
      <w:pPr>
        <w:pStyle w:val="Bullet1"/>
      </w:pPr>
      <w:r w:rsidRPr="0093373D">
        <w:t>Lack of paths to market for electric load shift enabled by heat pumps</w:t>
      </w:r>
    </w:p>
    <w:p w14:paraId="323B032B" w14:textId="77777777" w:rsidR="00B56EFA" w:rsidRPr="0093373D" w:rsidRDefault="00B56EFA" w:rsidP="00B56EFA">
      <w:pPr>
        <w:pStyle w:val="Bullet1"/>
      </w:pPr>
      <w:r w:rsidRPr="0093373D">
        <w:t>Lack of customer bill savings in some utility service territories at current electric and gas rates</w:t>
      </w:r>
    </w:p>
    <w:p w14:paraId="1CF547B7" w14:textId="77777777" w:rsidR="00B56EFA" w:rsidRPr="0093373D" w:rsidRDefault="00B56EFA" w:rsidP="00B56EFA">
      <w:pPr>
        <w:pStyle w:val="Bullet1"/>
      </w:pPr>
      <w:r w:rsidRPr="0093373D">
        <w:t>Lack of markets to monetize grid and climate values</w:t>
      </w:r>
    </w:p>
    <w:p w14:paraId="08CCE8B6" w14:textId="77777777" w:rsidR="00B56EFA" w:rsidRPr="0093373D" w:rsidRDefault="00B56EFA" w:rsidP="00B56EFA">
      <w:pPr>
        <w:pStyle w:val="Bullet1"/>
      </w:pPr>
      <w:r w:rsidRPr="0093373D">
        <w:t>Lack of incentives encouraging builders to construct carbon-free structures</w:t>
      </w:r>
    </w:p>
    <w:p w14:paraId="38084E8E" w14:textId="77777777" w:rsidR="00B56EFA" w:rsidRPr="0093373D" w:rsidRDefault="00B56EFA" w:rsidP="00B56EFA">
      <w:pPr>
        <w:pStyle w:val="Bullet1"/>
      </w:pPr>
      <w:r w:rsidRPr="0093373D">
        <w:t>Lack of training for builders and contractors</w:t>
      </w:r>
    </w:p>
    <w:p w14:paraId="31BA7F85" w14:textId="77777777" w:rsidR="00B56EFA" w:rsidRPr="0093373D" w:rsidRDefault="00B56EFA" w:rsidP="00B56EFA">
      <w:pPr>
        <w:pStyle w:val="Bullet1"/>
      </w:pPr>
      <w:r w:rsidRPr="0093373D">
        <w:t>Lack of recognition for builders and contractors promoting building decarbonization</w:t>
      </w:r>
    </w:p>
    <w:p w14:paraId="5ABAD44D" w14:textId="77777777" w:rsidR="00B56EFA" w:rsidRPr="0093373D" w:rsidRDefault="00B56EFA" w:rsidP="00B56EFA">
      <w:pPr>
        <w:pStyle w:val="Bullet1"/>
      </w:pPr>
      <w:r w:rsidRPr="0093373D">
        <w:lastRenderedPageBreak/>
        <w:t>Lack of coordination and support for local government permitting offices</w:t>
      </w:r>
    </w:p>
    <w:p w14:paraId="4C6F76A6" w14:textId="77777777" w:rsidR="00B56EFA" w:rsidRPr="0026097D" w:rsidRDefault="00B56EFA" w:rsidP="00B56EFA">
      <w:pPr>
        <w:pStyle w:val="Bullet1"/>
      </w:pPr>
      <w:r w:rsidRPr="0093373D">
        <w:t xml:space="preserve">Lack of </w:t>
      </w:r>
      <w:r w:rsidRPr="0026097D">
        <w:t>adequate measurement and valuation of GHG emissions</w:t>
      </w:r>
    </w:p>
    <w:p w14:paraId="6B278EA0" w14:textId="77777777" w:rsidR="00B56EFA" w:rsidRPr="0026097D" w:rsidRDefault="00B56EFA" w:rsidP="00B56EFA">
      <w:pPr>
        <w:pStyle w:val="Bullet1"/>
      </w:pPr>
      <w:r w:rsidRPr="0026097D">
        <w:t>Lack of consumer demand</w:t>
      </w:r>
    </w:p>
    <w:p w14:paraId="0FD3D214" w14:textId="77777777" w:rsidR="00A11C44" w:rsidRDefault="00A11C44" w:rsidP="00A11C44">
      <w:pPr>
        <w:pStyle w:val="Bullet1"/>
        <w:rPr>
          <w:rFonts w:eastAsiaTheme="majorEastAsia"/>
        </w:rPr>
      </w:pPr>
      <w:r>
        <w:rPr>
          <w:rFonts w:eastAsiaTheme="majorEastAsia"/>
        </w:rPr>
        <w:t xml:space="preserve">Incentive Programs for </w:t>
      </w:r>
      <w:r w:rsidRPr="006E73EF">
        <w:rPr>
          <w:rFonts w:eastAsiaTheme="majorEastAsia"/>
        </w:rPr>
        <w:t>Heat Pump Technologies Already Approved or Being Considered</w:t>
      </w:r>
    </w:p>
    <w:p w14:paraId="4C2EF59F" w14:textId="77777777" w:rsidR="00A11C44" w:rsidRPr="006E73EF" w:rsidRDefault="00A11C44" w:rsidP="00A11C44">
      <w:pPr>
        <w:pStyle w:val="BodyText"/>
      </w:pPr>
    </w:p>
    <w:p w14:paraId="4091C2FB" w14:textId="77777777" w:rsidR="00A11C44" w:rsidRDefault="00A11C44" w:rsidP="00A11C44">
      <w:pPr>
        <w:ind w:firstLine="0"/>
        <w:rPr>
          <w:rFonts w:ascii="Arial" w:hAnsi="Arial" w:cs="Arial"/>
          <w:b/>
          <w:bC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16"/>
        <w:gridCol w:w="1556"/>
        <w:gridCol w:w="1665"/>
        <w:gridCol w:w="1194"/>
        <w:gridCol w:w="1811"/>
        <w:gridCol w:w="1740"/>
      </w:tblGrid>
      <w:tr w:rsidR="00A11C44" w:rsidRPr="00AB4C0F" w14:paraId="3139AC49" w14:textId="77777777" w:rsidTr="00BC7E07">
        <w:trPr>
          <w:trHeight w:val="506"/>
        </w:trPr>
        <w:tc>
          <w:tcPr>
            <w:tcW w:w="843" w:type="pct"/>
            <w:shd w:val="clear" w:color="auto" w:fill="2F5496" w:themeFill="accent1" w:themeFillShade="BF"/>
            <w:vAlign w:val="center"/>
          </w:tcPr>
          <w:p w14:paraId="32F1F871" w14:textId="77777777" w:rsidR="00A11C44" w:rsidRPr="00AB4C0F" w:rsidRDefault="00A11C44" w:rsidP="00BC7E07">
            <w:pPr>
              <w:spacing w:line="240" w:lineRule="auto"/>
              <w:ind w:firstLine="0"/>
              <w:rPr>
                <w:rFonts w:cs="Calibri"/>
                <w:b/>
                <w:bCs/>
                <w:sz w:val="20"/>
                <w:szCs w:val="20"/>
              </w:rPr>
            </w:pPr>
            <w:r w:rsidRPr="00AB4C0F">
              <w:rPr>
                <w:rFonts w:cs="Calibri"/>
                <w:b/>
                <w:bCs/>
                <w:sz w:val="20"/>
                <w:szCs w:val="20"/>
              </w:rPr>
              <w:t>Program</w:t>
            </w:r>
          </w:p>
        </w:tc>
        <w:tc>
          <w:tcPr>
            <w:tcW w:w="812" w:type="pct"/>
            <w:shd w:val="clear" w:color="auto" w:fill="2F5496" w:themeFill="accent1" w:themeFillShade="BF"/>
            <w:vAlign w:val="center"/>
          </w:tcPr>
          <w:p w14:paraId="07D4D80D" w14:textId="77777777" w:rsidR="00A11C44" w:rsidRPr="00AB4C0F" w:rsidRDefault="00A11C44" w:rsidP="00BC7E07">
            <w:pPr>
              <w:spacing w:line="240" w:lineRule="auto"/>
              <w:ind w:firstLine="0"/>
              <w:rPr>
                <w:rFonts w:cs="Calibri"/>
                <w:b/>
                <w:bCs/>
                <w:sz w:val="20"/>
                <w:szCs w:val="20"/>
              </w:rPr>
            </w:pPr>
            <w:r w:rsidRPr="00AB4C0F">
              <w:rPr>
                <w:rFonts w:cs="Calibri"/>
                <w:b/>
                <w:bCs/>
                <w:sz w:val="20"/>
                <w:szCs w:val="20"/>
              </w:rPr>
              <w:t>Technology Type</w:t>
            </w:r>
          </w:p>
        </w:tc>
        <w:tc>
          <w:tcPr>
            <w:tcW w:w="869" w:type="pct"/>
            <w:shd w:val="clear" w:color="auto" w:fill="2F5496" w:themeFill="accent1" w:themeFillShade="BF"/>
            <w:vAlign w:val="center"/>
          </w:tcPr>
          <w:p w14:paraId="0B712BC4" w14:textId="77777777" w:rsidR="00A11C44" w:rsidRPr="00AB4C0F" w:rsidRDefault="00A11C44" w:rsidP="00BC7E07">
            <w:pPr>
              <w:spacing w:line="240" w:lineRule="auto"/>
              <w:ind w:firstLine="0"/>
              <w:rPr>
                <w:rFonts w:cs="Calibri"/>
                <w:b/>
                <w:bCs/>
                <w:sz w:val="20"/>
                <w:szCs w:val="20"/>
              </w:rPr>
            </w:pPr>
            <w:r w:rsidRPr="00AB4C0F">
              <w:rPr>
                <w:rFonts w:cs="Calibri"/>
                <w:b/>
                <w:bCs/>
                <w:sz w:val="20"/>
                <w:szCs w:val="20"/>
              </w:rPr>
              <w:t>Sector</w:t>
            </w:r>
          </w:p>
        </w:tc>
        <w:tc>
          <w:tcPr>
            <w:tcW w:w="623" w:type="pct"/>
            <w:shd w:val="clear" w:color="auto" w:fill="2F5496" w:themeFill="accent1" w:themeFillShade="BF"/>
            <w:vAlign w:val="center"/>
          </w:tcPr>
          <w:p w14:paraId="0FA8A4CB" w14:textId="77777777" w:rsidR="00A11C44" w:rsidRPr="00AB4C0F" w:rsidRDefault="00A11C44" w:rsidP="00BC7E07">
            <w:pPr>
              <w:spacing w:line="240" w:lineRule="auto"/>
              <w:ind w:firstLine="0"/>
              <w:rPr>
                <w:rFonts w:cs="Calibri"/>
                <w:b/>
                <w:bCs/>
                <w:sz w:val="20"/>
                <w:szCs w:val="20"/>
              </w:rPr>
            </w:pPr>
            <w:r w:rsidRPr="00AB4C0F">
              <w:rPr>
                <w:rFonts w:cs="Calibri"/>
                <w:b/>
                <w:bCs/>
                <w:sz w:val="20"/>
                <w:szCs w:val="20"/>
              </w:rPr>
              <w:t>Budget Incentive</w:t>
            </w:r>
          </w:p>
          <w:p w14:paraId="53C6C820" w14:textId="77777777" w:rsidR="00A11C44" w:rsidRPr="00AB4C0F" w:rsidRDefault="00A11C44" w:rsidP="00BC7E07">
            <w:pPr>
              <w:spacing w:line="240" w:lineRule="auto"/>
              <w:ind w:firstLine="0"/>
              <w:rPr>
                <w:rFonts w:cs="Calibri"/>
                <w:b/>
                <w:bCs/>
                <w:sz w:val="20"/>
                <w:szCs w:val="20"/>
              </w:rPr>
            </w:pPr>
            <w:r w:rsidRPr="00AB4C0F">
              <w:rPr>
                <w:rFonts w:cs="Calibri"/>
                <w:b/>
                <w:bCs/>
                <w:sz w:val="20"/>
                <w:szCs w:val="20"/>
              </w:rPr>
              <w:t>(milli</w:t>
            </w:r>
            <w:r>
              <w:rPr>
                <w:rFonts w:cs="Calibri"/>
                <w:b/>
                <w:bCs/>
                <w:sz w:val="20"/>
                <w:szCs w:val="20"/>
              </w:rPr>
              <w:t>ons)</w:t>
            </w:r>
          </w:p>
        </w:tc>
        <w:tc>
          <w:tcPr>
            <w:tcW w:w="945" w:type="pct"/>
            <w:shd w:val="clear" w:color="auto" w:fill="2F5496" w:themeFill="accent1" w:themeFillShade="BF"/>
            <w:vAlign w:val="center"/>
          </w:tcPr>
          <w:p w14:paraId="0BF85F4D" w14:textId="77777777" w:rsidR="00A11C44" w:rsidRPr="00AB4C0F" w:rsidRDefault="00A11C44" w:rsidP="00BC7E07">
            <w:pPr>
              <w:spacing w:line="240" w:lineRule="auto"/>
              <w:ind w:firstLine="0"/>
              <w:rPr>
                <w:rFonts w:cs="Calibri"/>
                <w:b/>
                <w:bCs/>
                <w:sz w:val="20"/>
                <w:szCs w:val="20"/>
              </w:rPr>
            </w:pPr>
            <w:r w:rsidRPr="00AB4C0F">
              <w:rPr>
                <w:rFonts w:cs="Calibri"/>
                <w:b/>
                <w:bCs/>
                <w:sz w:val="20"/>
                <w:szCs w:val="20"/>
              </w:rPr>
              <w:t>Description</w:t>
            </w:r>
          </w:p>
        </w:tc>
        <w:tc>
          <w:tcPr>
            <w:tcW w:w="905" w:type="pct"/>
            <w:shd w:val="clear" w:color="auto" w:fill="2F5496" w:themeFill="accent1" w:themeFillShade="BF"/>
            <w:vAlign w:val="center"/>
          </w:tcPr>
          <w:p w14:paraId="526CC11F" w14:textId="77777777" w:rsidR="00A11C44" w:rsidRPr="00AB4C0F" w:rsidRDefault="00A11C44" w:rsidP="00BC7E07">
            <w:pPr>
              <w:spacing w:line="240" w:lineRule="auto"/>
              <w:ind w:firstLine="0"/>
              <w:rPr>
                <w:rFonts w:cs="Calibri"/>
                <w:b/>
                <w:bCs/>
                <w:sz w:val="20"/>
                <w:szCs w:val="20"/>
              </w:rPr>
            </w:pPr>
            <w:r w:rsidRPr="00AB4C0F">
              <w:rPr>
                <w:rFonts w:cs="Calibri"/>
                <w:b/>
                <w:bCs/>
                <w:sz w:val="20"/>
                <w:szCs w:val="20"/>
              </w:rPr>
              <w:t>Implementation Status</w:t>
            </w:r>
          </w:p>
        </w:tc>
      </w:tr>
      <w:tr w:rsidR="00A11C44" w:rsidRPr="00AB4C0F" w14:paraId="7BB41562" w14:textId="77777777" w:rsidTr="00BC7E07">
        <w:trPr>
          <w:trHeight w:val="746"/>
        </w:trPr>
        <w:tc>
          <w:tcPr>
            <w:tcW w:w="843" w:type="pct"/>
            <w:shd w:val="clear" w:color="auto" w:fill="FFFFFF" w:themeFill="background1"/>
          </w:tcPr>
          <w:p w14:paraId="0C934730" w14:textId="77777777" w:rsidR="00A11C44" w:rsidRPr="00AB4C0F" w:rsidRDefault="00A11C44" w:rsidP="00BC7E07">
            <w:pPr>
              <w:spacing w:line="240" w:lineRule="auto"/>
              <w:ind w:firstLine="0"/>
              <w:rPr>
                <w:rFonts w:cs="Calibri"/>
                <w:sz w:val="20"/>
                <w:szCs w:val="20"/>
              </w:rPr>
            </w:pPr>
            <w:r w:rsidRPr="00AB4C0F">
              <w:rPr>
                <w:rFonts w:cs="Calibri"/>
                <w:sz w:val="20"/>
                <w:szCs w:val="20"/>
              </w:rPr>
              <w:t>MCE’s LIFT Program</w:t>
            </w:r>
          </w:p>
        </w:tc>
        <w:tc>
          <w:tcPr>
            <w:tcW w:w="812" w:type="pct"/>
            <w:shd w:val="clear" w:color="auto" w:fill="FFFFFF" w:themeFill="background1"/>
          </w:tcPr>
          <w:p w14:paraId="091EA7AD" w14:textId="77777777" w:rsidR="00A11C44" w:rsidRPr="00AB4C0F" w:rsidRDefault="00A11C44" w:rsidP="00BC7E07">
            <w:pPr>
              <w:spacing w:line="240" w:lineRule="auto"/>
              <w:ind w:firstLine="0"/>
              <w:rPr>
                <w:rFonts w:cs="Calibri"/>
                <w:sz w:val="20"/>
                <w:szCs w:val="20"/>
              </w:rPr>
            </w:pPr>
            <w:r w:rsidRPr="00AB4C0F">
              <w:rPr>
                <w:rFonts w:cs="Calibri"/>
                <w:sz w:val="20"/>
                <w:szCs w:val="20"/>
              </w:rPr>
              <w:t xml:space="preserve">HPWH </w:t>
            </w:r>
          </w:p>
          <w:p w14:paraId="781343E7" w14:textId="77777777" w:rsidR="00A11C44" w:rsidRPr="00AB4C0F" w:rsidRDefault="00A11C44" w:rsidP="00BC7E07">
            <w:pPr>
              <w:spacing w:line="240" w:lineRule="auto"/>
              <w:ind w:firstLine="0"/>
              <w:rPr>
                <w:rFonts w:cs="Calibri"/>
                <w:sz w:val="20"/>
                <w:szCs w:val="20"/>
              </w:rPr>
            </w:pPr>
            <w:r w:rsidRPr="00AB4C0F">
              <w:rPr>
                <w:rFonts w:cs="Calibri"/>
                <w:sz w:val="20"/>
                <w:szCs w:val="20"/>
              </w:rPr>
              <w:t xml:space="preserve">HP HVAC </w:t>
            </w:r>
          </w:p>
        </w:tc>
        <w:tc>
          <w:tcPr>
            <w:tcW w:w="869" w:type="pct"/>
            <w:shd w:val="clear" w:color="auto" w:fill="FFFFFF" w:themeFill="background1"/>
          </w:tcPr>
          <w:p w14:paraId="1620EDA1" w14:textId="77777777" w:rsidR="00A11C44" w:rsidRPr="00AB4C0F" w:rsidRDefault="00A11C44" w:rsidP="00BC7E07">
            <w:pPr>
              <w:spacing w:line="240" w:lineRule="auto"/>
              <w:ind w:firstLine="0"/>
              <w:rPr>
                <w:rFonts w:cs="Calibri"/>
                <w:sz w:val="20"/>
                <w:szCs w:val="20"/>
              </w:rPr>
            </w:pPr>
            <w:r w:rsidRPr="00AB4C0F">
              <w:rPr>
                <w:rFonts w:cs="Calibri"/>
                <w:sz w:val="20"/>
                <w:szCs w:val="20"/>
              </w:rPr>
              <w:t>Residential – Multifamily</w:t>
            </w:r>
          </w:p>
        </w:tc>
        <w:tc>
          <w:tcPr>
            <w:tcW w:w="623" w:type="pct"/>
            <w:shd w:val="clear" w:color="auto" w:fill="FFFFFF" w:themeFill="background1"/>
          </w:tcPr>
          <w:p w14:paraId="084904F2" w14:textId="77777777" w:rsidR="00A11C44" w:rsidRPr="00AB4C0F" w:rsidRDefault="00A11C44" w:rsidP="00BC7E07">
            <w:pPr>
              <w:spacing w:line="240" w:lineRule="auto"/>
              <w:ind w:firstLine="0"/>
              <w:rPr>
                <w:rFonts w:cs="Calibri"/>
                <w:sz w:val="20"/>
                <w:szCs w:val="20"/>
              </w:rPr>
            </w:pPr>
            <w:r w:rsidRPr="00AB4C0F">
              <w:rPr>
                <w:rFonts w:cs="Calibri"/>
                <w:sz w:val="20"/>
                <w:szCs w:val="20"/>
              </w:rPr>
              <w:t>$3.5</w:t>
            </w:r>
          </w:p>
        </w:tc>
        <w:tc>
          <w:tcPr>
            <w:tcW w:w="945" w:type="pct"/>
            <w:shd w:val="clear" w:color="auto" w:fill="FFFFFF" w:themeFill="background1"/>
          </w:tcPr>
          <w:p w14:paraId="744F6804" w14:textId="77777777" w:rsidR="00A11C44" w:rsidRPr="00AB4C0F" w:rsidRDefault="00A11C44" w:rsidP="00BC7E07">
            <w:pPr>
              <w:spacing w:line="240" w:lineRule="auto"/>
              <w:ind w:firstLine="0"/>
              <w:rPr>
                <w:rFonts w:cs="Calibri"/>
                <w:sz w:val="20"/>
                <w:szCs w:val="20"/>
              </w:rPr>
            </w:pPr>
            <w:r w:rsidRPr="00AB4C0F">
              <w:rPr>
                <w:rFonts w:cs="Calibri"/>
                <w:sz w:val="20"/>
                <w:szCs w:val="20"/>
              </w:rPr>
              <w:t>This program is funded through the Energy Savings Assistance Program (ESAP) budget through 12/31/2020.</w:t>
            </w:r>
          </w:p>
        </w:tc>
        <w:tc>
          <w:tcPr>
            <w:tcW w:w="905" w:type="pct"/>
            <w:shd w:val="clear" w:color="auto" w:fill="FFFFFF" w:themeFill="background1"/>
          </w:tcPr>
          <w:p w14:paraId="255652D2" w14:textId="77777777" w:rsidR="00A11C44" w:rsidRPr="00AB4C0F" w:rsidRDefault="00A11C44" w:rsidP="00BC7E07">
            <w:pPr>
              <w:spacing w:line="240" w:lineRule="auto"/>
              <w:ind w:firstLine="0"/>
              <w:rPr>
                <w:rFonts w:cs="Calibri"/>
                <w:sz w:val="20"/>
                <w:szCs w:val="20"/>
              </w:rPr>
            </w:pPr>
            <w:r w:rsidRPr="00AB4C0F">
              <w:rPr>
                <w:rFonts w:cs="Calibri"/>
                <w:sz w:val="20"/>
                <w:szCs w:val="20"/>
              </w:rPr>
              <w:t>Implementation activities are ongoing. Funds expire on 12/31/2020.</w:t>
            </w:r>
          </w:p>
        </w:tc>
      </w:tr>
      <w:tr w:rsidR="00A11C44" w:rsidRPr="00AB4C0F" w14:paraId="4C280111" w14:textId="77777777" w:rsidTr="00BC7E07">
        <w:trPr>
          <w:trHeight w:val="746"/>
        </w:trPr>
        <w:tc>
          <w:tcPr>
            <w:tcW w:w="843" w:type="pct"/>
            <w:shd w:val="clear" w:color="auto" w:fill="FFFFFF" w:themeFill="background1"/>
          </w:tcPr>
          <w:p w14:paraId="46A53B4D" w14:textId="77777777" w:rsidR="00A11C44" w:rsidRPr="00AB4C0F" w:rsidRDefault="00A11C44" w:rsidP="00BC7E07">
            <w:pPr>
              <w:spacing w:line="240" w:lineRule="auto"/>
              <w:ind w:firstLine="0"/>
              <w:rPr>
                <w:rFonts w:cs="Calibri"/>
                <w:sz w:val="20"/>
                <w:szCs w:val="20"/>
              </w:rPr>
            </w:pPr>
            <w:r w:rsidRPr="00AB4C0F">
              <w:rPr>
                <w:rFonts w:cs="Calibri"/>
                <w:sz w:val="20"/>
                <w:szCs w:val="20"/>
              </w:rPr>
              <w:t>San Joaquin Valley (SJV) Clean Energy Pilot</w:t>
            </w:r>
          </w:p>
        </w:tc>
        <w:tc>
          <w:tcPr>
            <w:tcW w:w="812" w:type="pct"/>
            <w:shd w:val="clear" w:color="auto" w:fill="FFFFFF" w:themeFill="background1"/>
          </w:tcPr>
          <w:p w14:paraId="4BE0C5A0" w14:textId="77777777" w:rsidR="00A11C44" w:rsidRPr="00AB4C0F" w:rsidRDefault="00A11C44" w:rsidP="00BC7E07">
            <w:pPr>
              <w:spacing w:line="240" w:lineRule="auto"/>
              <w:ind w:firstLine="0"/>
              <w:rPr>
                <w:rFonts w:cs="Calibri"/>
                <w:sz w:val="20"/>
                <w:szCs w:val="20"/>
              </w:rPr>
            </w:pPr>
            <w:r w:rsidRPr="00AB4C0F">
              <w:rPr>
                <w:rFonts w:cs="Calibri"/>
                <w:sz w:val="20"/>
                <w:szCs w:val="20"/>
              </w:rPr>
              <w:t>HPWH</w:t>
            </w:r>
          </w:p>
          <w:p w14:paraId="090A5E00" w14:textId="77777777" w:rsidR="00A11C44" w:rsidRPr="00AB4C0F" w:rsidRDefault="00A11C44" w:rsidP="00BC7E07">
            <w:pPr>
              <w:spacing w:line="240" w:lineRule="auto"/>
              <w:ind w:firstLine="0"/>
              <w:rPr>
                <w:rFonts w:cs="Calibri"/>
                <w:sz w:val="20"/>
                <w:szCs w:val="20"/>
              </w:rPr>
            </w:pPr>
            <w:r w:rsidRPr="00AB4C0F">
              <w:rPr>
                <w:rFonts w:cs="Calibri"/>
                <w:sz w:val="20"/>
                <w:szCs w:val="20"/>
              </w:rPr>
              <w:t xml:space="preserve">HP HVAC </w:t>
            </w:r>
          </w:p>
          <w:p w14:paraId="6DC4D56D" w14:textId="77777777" w:rsidR="00A11C44" w:rsidRPr="00AB4C0F" w:rsidRDefault="00A11C44" w:rsidP="00BC7E07">
            <w:pPr>
              <w:spacing w:line="240" w:lineRule="auto"/>
              <w:ind w:firstLine="0"/>
              <w:rPr>
                <w:rFonts w:cs="Calibri"/>
                <w:sz w:val="20"/>
                <w:szCs w:val="20"/>
              </w:rPr>
            </w:pPr>
            <w:r w:rsidRPr="00AB4C0F">
              <w:rPr>
                <w:rFonts w:cs="Calibri"/>
                <w:sz w:val="20"/>
                <w:szCs w:val="20"/>
              </w:rPr>
              <w:t>Induction Stoves</w:t>
            </w:r>
          </w:p>
          <w:p w14:paraId="333CB5FA" w14:textId="77777777" w:rsidR="00A11C44" w:rsidRPr="00AB4C0F" w:rsidRDefault="00A11C44" w:rsidP="00BC7E07">
            <w:pPr>
              <w:spacing w:line="240" w:lineRule="auto"/>
              <w:ind w:firstLine="0"/>
              <w:rPr>
                <w:rFonts w:cs="Calibri"/>
                <w:sz w:val="20"/>
                <w:szCs w:val="20"/>
              </w:rPr>
            </w:pPr>
            <w:r w:rsidRPr="00AB4C0F">
              <w:rPr>
                <w:rFonts w:cs="Calibri"/>
                <w:sz w:val="20"/>
                <w:szCs w:val="20"/>
              </w:rPr>
              <w:t>Solar Thermal for 53 households</w:t>
            </w:r>
          </w:p>
          <w:p w14:paraId="3B1E0991" w14:textId="77777777" w:rsidR="00A11C44" w:rsidRPr="00AB4C0F" w:rsidRDefault="00A11C44" w:rsidP="00BC7E07">
            <w:pPr>
              <w:spacing w:line="240" w:lineRule="auto"/>
              <w:ind w:firstLine="0"/>
              <w:rPr>
                <w:rFonts w:cs="Calibri"/>
                <w:sz w:val="20"/>
                <w:szCs w:val="20"/>
              </w:rPr>
            </w:pPr>
            <w:r w:rsidRPr="00AB4C0F">
              <w:rPr>
                <w:rFonts w:cs="Calibri"/>
                <w:sz w:val="20"/>
                <w:szCs w:val="20"/>
              </w:rPr>
              <w:t>Gas Line Extension to 224</w:t>
            </w:r>
            <w:r>
              <w:rPr>
                <w:rFonts w:cs="Calibri"/>
                <w:sz w:val="20"/>
                <w:szCs w:val="20"/>
              </w:rPr>
              <w:t xml:space="preserve"> </w:t>
            </w:r>
            <w:r w:rsidRPr="00AB4C0F">
              <w:rPr>
                <w:rFonts w:cs="Calibri"/>
                <w:sz w:val="20"/>
                <w:szCs w:val="20"/>
              </w:rPr>
              <w:t>Households</w:t>
            </w:r>
          </w:p>
        </w:tc>
        <w:tc>
          <w:tcPr>
            <w:tcW w:w="869" w:type="pct"/>
            <w:shd w:val="clear" w:color="auto" w:fill="FFFFFF" w:themeFill="background1"/>
          </w:tcPr>
          <w:p w14:paraId="0A61E00A" w14:textId="77777777" w:rsidR="00A11C44" w:rsidRPr="00AB4C0F" w:rsidRDefault="00A11C44" w:rsidP="00BC7E07">
            <w:pPr>
              <w:spacing w:line="240" w:lineRule="auto"/>
              <w:ind w:firstLine="0"/>
              <w:rPr>
                <w:rFonts w:cs="Calibri"/>
                <w:sz w:val="20"/>
                <w:szCs w:val="20"/>
              </w:rPr>
            </w:pPr>
            <w:r w:rsidRPr="00AB4C0F">
              <w:rPr>
                <w:rFonts w:cs="Calibri"/>
                <w:sz w:val="20"/>
                <w:szCs w:val="20"/>
              </w:rPr>
              <w:t xml:space="preserve">Residential – </w:t>
            </w:r>
          </w:p>
          <w:p w14:paraId="67DC835F" w14:textId="77777777" w:rsidR="00A11C44" w:rsidRPr="00AB4C0F" w:rsidRDefault="00A11C44" w:rsidP="00BC7E07">
            <w:pPr>
              <w:spacing w:line="240" w:lineRule="auto"/>
              <w:ind w:firstLine="0"/>
              <w:rPr>
                <w:rFonts w:cs="Calibri"/>
                <w:sz w:val="20"/>
                <w:szCs w:val="20"/>
              </w:rPr>
            </w:pPr>
            <w:r w:rsidRPr="00AB4C0F">
              <w:rPr>
                <w:rFonts w:cs="Calibri"/>
                <w:sz w:val="20"/>
                <w:szCs w:val="20"/>
              </w:rPr>
              <w:t>Low-Income</w:t>
            </w:r>
          </w:p>
        </w:tc>
        <w:tc>
          <w:tcPr>
            <w:tcW w:w="623" w:type="pct"/>
            <w:shd w:val="clear" w:color="auto" w:fill="FFFFFF" w:themeFill="background1"/>
          </w:tcPr>
          <w:p w14:paraId="11A8C601" w14:textId="77777777" w:rsidR="00A11C44" w:rsidRPr="00AB4C0F" w:rsidRDefault="00A11C44" w:rsidP="00BC7E07">
            <w:pPr>
              <w:spacing w:line="240" w:lineRule="auto"/>
              <w:ind w:firstLine="0"/>
              <w:rPr>
                <w:rFonts w:cs="Calibri"/>
                <w:sz w:val="20"/>
                <w:szCs w:val="20"/>
              </w:rPr>
            </w:pPr>
            <w:r w:rsidRPr="00AB4C0F">
              <w:rPr>
                <w:rFonts w:cs="Calibri"/>
                <w:sz w:val="20"/>
                <w:szCs w:val="20"/>
              </w:rPr>
              <w:t>$56.4</w:t>
            </w:r>
          </w:p>
        </w:tc>
        <w:tc>
          <w:tcPr>
            <w:tcW w:w="945" w:type="pct"/>
            <w:shd w:val="clear" w:color="auto" w:fill="FFFFFF" w:themeFill="background1"/>
          </w:tcPr>
          <w:p w14:paraId="12C0DCD2" w14:textId="77777777" w:rsidR="00A11C44" w:rsidRPr="00AB4C0F" w:rsidRDefault="00A11C44" w:rsidP="00BC7E07">
            <w:pPr>
              <w:spacing w:line="240" w:lineRule="auto"/>
              <w:ind w:firstLine="0"/>
              <w:rPr>
                <w:rFonts w:cs="Calibri"/>
                <w:sz w:val="20"/>
                <w:szCs w:val="20"/>
              </w:rPr>
            </w:pPr>
            <w:r>
              <w:rPr>
                <w:rFonts w:cs="Calibri"/>
                <w:sz w:val="20"/>
                <w:szCs w:val="20"/>
              </w:rPr>
              <w:t>T</w:t>
            </w:r>
            <w:r w:rsidRPr="00AB4C0F">
              <w:rPr>
                <w:rFonts w:cs="Calibri"/>
                <w:sz w:val="20"/>
                <w:szCs w:val="20"/>
              </w:rPr>
              <w:t>his program will install up to an estimated 1,667 HPWHs at an estimated cost of $4.8 million of the total program budget.</w:t>
            </w:r>
          </w:p>
        </w:tc>
        <w:tc>
          <w:tcPr>
            <w:tcW w:w="905" w:type="pct"/>
            <w:shd w:val="clear" w:color="auto" w:fill="FFFFFF" w:themeFill="background1"/>
          </w:tcPr>
          <w:p w14:paraId="0BE43092" w14:textId="77777777" w:rsidR="00A11C44" w:rsidRPr="00AB4C0F" w:rsidRDefault="00A11C44" w:rsidP="00BC7E07">
            <w:pPr>
              <w:spacing w:line="240" w:lineRule="auto"/>
              <w:ind w:firstLine="0"/>
              <w:rPr>
                <w:rFonts w:cs="Calibri"/>
                <w:sz w:val="20"/>
                <w:szCs w:val="20"/>
              </w:rPr>
            </w:pPr>
            <w:r w:rsidRPr="00AB4C0F">
              <w:rPr>
                <w:rFonts w:cs="Calibri"/>
                <w:sz w:val="20"/>
                <w:szCs w:val="20"/>
              </w:rPr>
              <w:t>Early implementation activities including community outreach, appliance purchasing, and site visits are ongoing.</w:t>
            </w:r>
          </w:p>
        </w:tc>
      </w:tr>
      <w:tr w:rsidR="00A11C44" w:rsidRPr="00AB4C0F" w14:paraId="4437B0BD" w14:textId="77777777" w:rsidTr="00BC7E07">
        <w:trPr>
          <w:trHeight w:val="737"/>
        </w:trPr>
        <w:tc>
          <w:tcPr>
            <w:tcW w:w="843" w:type="pct"/>
            <w:shd w:val="clear" w:color="auto" w:fill="FFFFFF" w:themeFill="background1"/>
          </w:tcPr>
          <w:p w14:paraId="35BDD393" w14:textId="77777777" w:rsidR="00A11C44" w:rsidRPr="00AB4C0F" w:rsidRDefault="00A11C44" w:rsidP="00BC7E07">
            <w:pPr>
              <w:spacing w:line="240" w:lineRule="auto"/>
              <w:ind w:firstLine="0"/>
              <w:rPr>
                <w:rFonts w:cs="Calibri"/>
                <w:sz w:val="20"/>
                <w:szCs w:val="20"/>
              </w:rPr>
            </w:pPr>
            <w:r w:rsidRPr="00AB4C0F">
              <w:rPr>
                <w:rFonts w:cs="Calibri"/>
                <w:sz w:val="20"/>
                <w:szCs w:val="20"/>
              </w:rPr>
              <w:t>Southern California Edison’s (SCE’s) Demand Response Disadvantaged Community Pilot &amp; Grid Responsive HPWH Study</w:t>
            </w:r>
          </w:p>
        </w:tc>
        <w:tc>
          <w:tcPr>
            <w:tcW w:w="812" w:type="pct"/>
            <w:shd w:val="clear" w:color="auto" w:fill="FFFFFF" w:themeFill="background1"/>
          </w:tcPr>
          <w:p w14:paraId="4E6A858B" w14:textId="77777777" w:rsidR="00A11C44" w:rsidRPr="00AB4C0F" w:rsidRDefault="00A11C44" w:rsidP="00BC7E07">
            <w:pPr>
              <w:spacing w:line="240" w:lineRule="auto"/>
              <w:ind w:firstLine="0"/>
              <w:rPr>
                <w:rFonts w:cs="Calibri"/>
                <w:sz w:val="20"/>
                <w:szCs w:val="20"/>
              </w:rPr>
            </w:pPr>
            <w:r w:rsidRPr="00AB4C0F">
              <w:rPr>
                <w:rFonts w:cs="Calibri"/>
                <w:sz w:val="20"/>
                <w:szCs w:val="20"/>
              </w:rPr>
              <w:t xml:space="preserve">Grid-enabled HPWHs </w:t>
            </w:r>
          </w:p>
        </w:tc>
        <w:tc>
          <w:tcPr>
            <w:tcW w:w="869" w:type="pct"/>
            <w:shd w:val="clear" w:color="auto" w:fill="FFFFFF" w:themeFill="background1"/>
          </w:tcPr>
          <w:p w14:paraId="679208D9" w14:textId="77777777" w:rsidR="00A11C44" w:rsidRPr="00AB4C0F" w:rsidRDefault="00A11C44" w:rsidP="00BC7E07">
            <w:pPr>
              <w:spacing w:line="240" w:lineRule="auto"/>
              <w:ind w:firstLine="0"/>
              <w:rPr>
                <w:rFonts w:cs="Calibri"/>
                <w:sz w:val="20"/>
                <w:szCs w:val="20"/>
              </w:rPr>
            </w:pPr>
            <w:r w:rsidRPr="00AB4C0F">
              <w:rPr>
                <w:rFonts w:cs="Calibri"/>
                <w:sz w:val="20"/>
                <w:szCs w:val="20"/>
              </w:rPr>
              <w:t xml:space="preserve">Residential – </w:t>
            </w:r>
          </w:p>
          <w:p w14:paraId="686A677D" w14:textId="77777777" w:rsidR="00A11C44" w:rsidRPr="00AB4C0F" w:rsidRDefault="00A11C44" w:rsidP="00BC7E07">
            <w:pPr>
              <w:spacing w:line="240" w:lineRule="auto"/>
              <w:ind w:firstLine="0"/>
              <w:rPr>
                <w:rFonts w:cs="Calibri"/>
                <w:sz w:val="20"/>
                <w:szCs w:val="20"/>
              </w:rPr>
            </w:pPr>
            <w:r w:rsidRPr="00AB4C0F">
              <w:rPr>
                <w:rFonts w:cs="Calibri"/>
                <w:sz w:val="20"/>
                <w:szCs w:val="20"/>
              </w:rPr>
              <w:t>Low-Income</w:t>
            </w:r>
          </w:p>
        </w:tc>
        <w:tc>
          <w:tcPr>
            <w:tcW w:w="623" w:type="pct"/>
            <w:shd w:val="clear" w:color="auto" w:fill="FFFFFF" w:themeFill="background1"/>
          </w:tcPr>
          <w:p w14:paraId="55110D83" w14:textId="77777777" w:rsidR="00A11C44" w:rsidRPr="00AB4C0F" w:rsidRDefault="00A11C44" w:rsidP="00BC7E07">
            <w:pPr>
              <w:spacing w:line="240" w:lineRule="auto"/>
              <w:ind w:firstLine="0"/>
              <w:rPr>
                <w:rFonts w:cs="Calibri"/>
                <w:sz w:val="20"/>
                <w:szCs w:val="20"/>
              </w:rPr>
            </w:pPr>
            <w:r w:rsidRPr="00AB4C0F">
              <w:rPr>
                <w:rFonts w:cs="Calibri"/>
                <w:sz w:val="20"/>
                <w:szCs w:val="20"/>
              </w:rPr>
              <w:t>$1.3</w:t>
            </w:r>
          </w:p>
        </w:tc>
        <w:tc>
          <w:tcPr>
            <w:tcW w:w="945" w:type="pct"/>
            <w:shd w:val="clear" w:color="auto" w:fill="FFFFFF" w:themeFill="background1"/>
          </w:tcPr>
          <w:p w14:paraId="0A403209" w14:textId="77777777" w:rsidR="00A11C44" w:rsidRPr="00AB4C0F" w:rsidRDefault="00A11C44" w:rsidP="00BC7E07">
            <w:pPr>
              <w:spacing w:line="240" w:lineRule="auto"/>
              <w:ind w:firstLine="0"/>
              <w:rPr>
                <w:rFonts w:cs="Calibri"/>
                <w:sz w:val="20"/>
                <w:szCs w:val="20"/>
              </w:rPr>
            </w:pPr>
            <w:r w:rsidRPr="00AB4C0F">
              <w:rPr>
                <w:rFonts w:cs="Calibri"/>
                <w:sz w:val="20"/>
                <w:szCs w:val="20"/>
              </w:rPr>
              <w:t>This program will cover the costs for the installation of grid-enabled control technologies and required plumbing retrofits on SCE installed SJV pilot HPWHs.</w:t>
            </w:r>
          </w:p>
        </w:tc>
        <w:tc>
          <w:tcPr>
            <w:tcW w:w="905" w:type="pct"/>
            <w:shd w:val="clear" w:color="auto" w:fill="FFFFFF" w:themeFill="background1"/>
          </w:tcPr>
          <w:p w14:paraId="5BCC35C5" w14:textId="77777777" w:rsidR="00A11C44" w:rsidRPr="00AB4C0F" w:rsidRDefault="00A11C44" w:rsidP="00BC7E07">
            <w:pPr>
              <w:spacing w:line="240" w:lineRule="auto"/>
              <w:ind w:firstLine="0"/>
              <w:rPr>
                <w:rFonts w:cs="Calibri"/>
                <w:sz w:val="20"/>
                <w:szCs w:val="20"/>
              </w:rPr>
            </w:pPr>
            <w:r w:rsidRPr="00AB4C0F">
              <w:rPr>
                <w:rFonts w:cs="Calibri"/>
                <w:sz w:val="20"/>
                <w:szCs w:val="20"/>
              </w:rPr>
              <w:t>The program Advice Letter was approved in August 2019. Early control designs and strategies work ongoing.</w:t>
            </w:r>
          </w:p>
        </w:tc>
      </w:tr>
      <w:tr w:rsidR="00A11C44" w:rsidRPr="00AB4C0F" w14:paraId="5FA4F5A0" w14:textId="77777777" w:rsidTr="00BC7E07">
        <w:trPr>
          <w:trHeight w:val="253"/>
        </w:trPr>
        <w:tc>
          <w:tcPr>
            <w:tcW w:w="843" w:type="pct"/>
            <w:shd w:val="clear" w:color="auto" w:fill="FFFFFF" w:themeFill="background1"/>
          </w:tcPr>
          <w:p w14:paraId="27842B43" w14:textId="77777777" w:rsidR="00A11C44" w:rsidRPr="00AB4C0F" w:rsidRDefault="00A11C44" w:rsidP="00BC7E07">
            <w:pPr>
              <w:spacing w:line="240" w:lineRule="auto"/>
              <w:ind w:firstLine="0"/>
              <w:rPr>
                <w:rFonts w:cs="Calibri"/>
                <w:sz w:val="20"/>
                <w:szCs w:val="20"/>
              </w:rPr>
            </w:pPr>
            <w:r w:rsidRPr="00AB4C0F">
              <w:rPr>
                <w:rFonts w:cs="Calibri"/>
                <w:sz w:val="20"/>
                <w:szCs w:val="20"/>
              </w:rPr>
              <w:t>Pacific Gas &amp; Electric (PG&amp;E) - Watter Saver Pilot program</w:t>
            </w:r>
          </w:p>
          <w:p w14:paraId="147C72B3" w14:textId="77777777" w:rsidR="00A11C44" w:rsidRPr="00AB4C0F" w:rsidRDefault="00A11C44" w:rsidP="00BC7E07">
            <w:pPr>
              <w:spacing w:line="240" w:lineRule="auto"/>
              <w:rPr>
                <w:rFonts w:cs="Calibri"/>
                <w:sz w:val="20"/>
                <w:szCs w:val="20"/>
              </w:rPr>
            </w:pPr>
          </w:p>
        </w:tc>
        <w:tc>
          <w:tcPr>
            <w:tcW w:w="812" w:type="pct"/>
            <w:shd w:val="clear" w:color="auto" w:fill="FFFFFF" w:themeFill="background1"/>
          </w:tcPr>
          <w:p w14:paraId="0548E9D7" w14:textId="77777777" w:rsidR="00A11C44" w:rsidRPr="00AB4C0F" w:rsidRDefault="00A11C44" w:rsidP="00BC7E07">
            <w:pPr>
              <w:spacing w:line="240" w:lineRule="auto"/>
              <w:ind w:firstLine="0"/>
              <w:rPr>
                <w:rFonts w:cs="Calibri"/>
                <w:sz w:val="20"/>
                <w:szCs w:val="20"/>
              </w:rPr>
            </w:pPr>
            <w:r w:rsidRPr="00AB4C0F">
              <w:rPr>
                <w:rFonts w:cs="Calibri"/>
                <w:sz w:val="20"/>
                <w:szCs w:val="20"/>
              </w:rPr>
              <w:t>Grid-enabled HPWHs</w:t>
            </w:r>
          </w:p>
        </w:tc>
        <w:tc>
          <w:tcPr>
            <w:tcW w:w="869" w:type="pct"/>
            <w:shd w:val="clear" w:color="auto" w:fill="FFFFFF" w:themeFill="background1"/>
          </w:tcPr>
          <w:p w14:paraId="593F820B" w14:textId="77777777" w:rsidR="00A11C44" w:rsidRPr="00AB4C0F" w:rsidRDefault="00A11C44" w:rsidP="00BC7E07">
            <w:pPr>
              <w:spacing w:line="240" w:lineRule="auto"/>
              <w:ind w:firstLine="0"/>
              <w:rPr>
                <w:rFonts w:cs="Calibri"/>
                <w:sz w:val="20"/>
                <w:szCs w:val="20"/>
              </w:rPr>
            </w:pPr>
            <w:r w:rsidRPr="00AB4C0F">
              <w:rPr>
                <w:rFonts w:cs="Calibri"/>
                <w:sz w:val="20"/>
                <w:szCs w:val="20"/>
              </w:rPr>
              <w:t>Residential</w:t>
            </w:r>
          </w:p>
        </w:tc>
        <w:tc>
          <w:tcPr>
            <w:tcW w:w="623" w:type="pct"/>
            <w:shd w:val="clear" w:color="auto" w:fill="FFFFFF" w:themeFill="background1"/>
          </w:tcPr>
          <w:p w14:paraId="746CCEE3" w14:textId="77777777" w:rsidR="00A11C44" w:rsidRPr="00AB4C0F" w:rsidRDefault="00A11C44" w:rsidP="00BC7E07">
            <w:pPr>
              <w:spacing w:line="240" w:lineRule="auto"/>
              <w:ind w:firstLine="0"/>
              <w:rPr>
                <w:rFonts w:cs="Calibri"/>
                <w:sz w:val="20"/>
                <w:szCs w:val="20"/>
              </w:rPr>
            </w:pPr>
            <w:r w:rsidRPr="00AB4C0F">
              <w:rPr>
                <w:rFonts w:cs="Calibri"/>
                <w:sz w:val="20"/>
                <w:szCs w:val="20"/>
              </w:rPr>
              <w:t>$6.4</w:t>
            </w:r>
          </w:p>
        </w:tc>
        <w:tc>
          <w:tcPr>
            <w:tcW w:w="945" w:type="pct"/>
            <w:shd w:val="clear" w:color="auto" w:fill="FFFFFF" w:themeFill="background1"/>
          </w:tcPr>
          <w:p w14:paraId="0D49D414" w14:textId="77777777" w:rsidR="00A11C44" w:rsidRPr="00AB4C0F" w:rsidRDefault="00A11C44" w:rsidP="00BC7E07">
            <w:pPr>
              <w:spacing w:line="240" w:lineRule="auto"/>
              <w:ind w:firstLine="0"/>
              <w:rPr>
                <w:rFonts w:cs="Calibri"/>
                <w:sz w:val="20"/>
                <w:szCs w:val="20"/>
              </w:rPr>
            </w:pPr>
            <w:r w:rsidRPr="00AB4C0F">
              <w:rPr>
                <w:rFonts w:cs="Calibri"/>
                <w:sz w:val="20"/>
                <w:szCs w:val="20"/>
              </w:rPr>
              <w:t xml:space="preserve">This program will cover the costs for the installation of grid-enabled </w:t>
            </w:r>
            <w:r w:rsidRPr="00AB4C0F">
              <w:rPr>
                <w:rFonts w:cs="Calibri"/>
                <w:sz w:val="20"/>
                <w:szCs w:val="20"/>
              </w:rPr>
              <w:lastRenderedPageBreak/>
              <w:t>control technologies and required plumbing retrofits on PG&amp;E installed SJV pilot, existing HPWHs, and electric resistance water heaters.</w:t>
            </w:r>
          </w:p>
        </w:tc>
        <w:tc>
          <w:tcPr>
            <w:tcW w:w="905" w:type="pct"/>
            <w:shd w:val="clear" w:color="auto" w:fill="FFFFFF" w:themeFill="background1"/>
          </w:tcPr>
          <w:p w14:paraId="6459AF3F" w14:textId="77777777" w:rsidR="00A11C44" w:rsidRPr="00AB4C0F" w:rsidRDefault="00A11C44" w:rsidP="00BC7E07">
            <w:pPr>
              <w:spacing w:line="240" w:lineRule="auto"/>
              <w:ind w:firstLine="0"/>
              <w:rPr>
                <w:rFonts w:cs="Calibri"/>
                <w:sz w:val="20"/>
                <w:szCs w:val="20"/>
              </w:rPr>
            </w:pPr>
            <w:r w:rsidRPr="00AB4C0F">
              <w:rPr>
                <w:rFonts w:cs="Calibri"/>
                <w:sz w:val="20"/>
                <w:szCs w:val="20"/>
              </w:rPr>
              <w:lastRenderedPageBreak/>
              <w:t xml:space="preserve">Program Advice Letter was submitted on 12/31/2019, suspended on </w:t>
            </w:r>
            <w:r w:rsidRPr="00AB4C0F">
              <w:rPr>
                <w:rFonts w:cs="Calibri"/>
                <w:sz w:val="20"/>
                <w:szCs w:val="20"/>
              </w:rPr>
              <w:lastRenderedPageBreak/>
              <w:t>01/31/2020, and is currently under review by the CPUC.</w:t>
            </w:r>
          </w:p>
        </w:tc>
      </w:tr>
      <w:tr w:rsidR="00A11C44" w:rsidRPr="00AB4C0F" w14:paraId="426B3E22" w14:textId="77777777" w:rsidTr="00BC7E07">
        <w:trPr>
          <w:trHeight w:val="253"/>
        </w:trPr>
        <w:tc>
          <w:tcPr>
            <w:tcW w:w="843" w:type="pct"/>
            <w:shd w:val="clear" w:color="auto" w:fill="FFFFFF" w:themeFill="background1"/>
          </w:tcPr>
          <w:p w14:paraId="566FF0FC" w14:textId="77777777" w:rsidR="00A11C44" w:rsidRPr="00AB4C0F" w:rsidRDefault="00A11C44" w:rsidP="00BC7E07">
            <w:pPr>
              <w:spacing w:line="240" w:lineRule="auto"/>
              <w:ind w:firstLine="0"/>
              <w:rPr>
                <w:rFonts w:cs="Calibri"/>
                <w:sz w:val="20"/>
                <w:szCs w:val="20"/>
              </w:rPr>
            </w:pPr>
            <w:r w:rsidRPr="00AB4C0F">
              <w:rPr>
                <w:rFonts w:cs="Calibri"/>
                <w:sz w:val="20"/>
                <w:szCs w:val="20"/>
              </w:rPr>
              <w:lastRenderedPageBreak/>
              <w:t>Self-Generation Incentive Program (SGIP)</w:t>
            </w:r>
          </w:p>
        </w:tc>
        <w:tc>
          <w:tcPr>
            <w:tcW w:w="812" w:type="pct"/>
            <w:shd w:val="clear" w:color="auto" w:fill="FFFFFF" w:themeFill="background1"/>
          </w:tcPr>
          <w:p w14:paraId="1F7CE909" w14:textId="77777777" w:rsidR="00A11C44" w:rsidRPr="00AB4C0F" w:rsidRDefault="00A11C44" w:rsidP="00BC7E07">
            <w:pPr>
              <w:spacing w:line="240" w:lineRule="auto"/>
              <w:ind w:firstLine="0"/>
              <w:rPr>
                <w:rFonts w:cs="Calibri"/>
                <w:sz w:val="20"/>
                <w:szCs w:val="20"/>
              </w:rPr>
            </w:pPr>
            <w:r w:rsidRPr="00AB4C0F">
              <w:rPr>
                <w:rFonts w:cs="Calibri"/>
                <w:sz w:val="20"/>
                <w:szCs w:val="20"/>
              </w:rPr>
              <w:t xml:space="preserve">HPWH </w:t>
            </w:r>
          </w:p>
        </w:tc>
        <w:tc>
          <w:tcPr>
            <w:tcW w:w="869" w:type="pct"/>
            <w:shd w:val="clear" w:color="auto" w:fill="FFFFFF" w:themeFill="background1"/>
          </w:tcPr>
          <w:p w14:paraId="1604D0EB" w14:textId="77777777" w:rsidR="00A11C44" w:rsidRPr="00AB4C0F" w:rsidRDefault="00A11C44" w:rsidP="00BC7E07">
            <w:pPr>
              <w:spacing w:line="240" w:lineRule="auto"/>
              <w:ind w:firstLine="0"/>
              <w:rPr>
                <w:rFonts w:cs="Calibri"/>
                <w:sz w:val="20"/>
                <w:szCs w:val="20"/>
              </w:rPr>
            </w:pPr>
            <w:r w:rsidRPr="00AB4C0F">
              <w:rPr>
                <w:rFonts w:cs="Calibri"/>
                <w:sz w:val="20"/>
                <w:szCs w:val="20"/>
              </w:rPr>
              <w:t>Residential &amp; Commercial</w:t>
            </w:r>
          </w:p>
        </w:tc>
        <w:tc>
          <w:tcPr>
            <w:tcW w:w="623" w:type="pct"/>
            <w:shd w:val="clear" w:color="auto" w:fill="FFFFFF" w:themeFill="background1"/>
          </w:tcPr>
          <w:p w14:paraId="51CF8842" w14:textId="77777777" w:rsidR="00A11C44" w:rsidRPr="00AB4C0F" w:rsidRDefault="00A11C44" w:rsidP="00BC7E07">
            <w:pPr>
              <w:spacing w:line="240" w:lineRule="auto"/>
              <w:ind w:firstLine="0"/>
              <w:rPr>
                <w:rFonts w:cs="Calibri"/>
                <w:sz w:val="20"/>
                <w:szCs w:val="20"/>
              </w:rPr>
            </w:pPr>
            <w:r w:rsidRPr="00AB4C0F">
              <w:rPr>
                <w:rFonts w:cs="Calibri"/>
                <w:sz w:val="20"/>
                <w:szCs w:val="20"/>
              </w:rPr>
              <w:t>$44.6</w:t>
            </w:r>
          </w:p>
        </w:tc>
        <w:tc>
          <w:tcPr>
            <w:tcW w:w="945" w:type="pct"/>
            <w:shd w:val="clear" w:color="auto" w:fill="FFFFFF" w:themeFill="background1"/>
          </w:tcPr>
          <w:p w14:paraId="21AB315B" w14:textId="77777777" w:rsidR="00A11C44" w:rsidRPr="00AB4C0F" w:rsidRDefault="00A11C44" w:rsidP="00BC7E07">
            <w:pPr>
              <w:spacing w:line="240" w:lineRule="auto"/>
              <w:ind w:firstLine="0"/>
              <w:rPr>
                <w:rFonts w:cs="Calibri"/>
                <w:sz w:val="20"/>
                <w:szCs w:val="20"/>
              </w:rPr>
            </w:pPr>
            <w:r w:rsidRPr="00AB4C0F">
              <w:rPr>
                <w:rFonts w:cs="Calibri"/>
                <w:sz w:val="20"/>
                <w:szCs w:val="20"/>
              </w:rPr>
              <w:t>This program will provide incentives for HPWHs, and eligibility requirements of (grid-enabled or not) are forthcoming.</w:t>
            </w:r>
          </w:p>
        </w:tc>
        <w:tc>
          <w:tcPr>
            <w:tcW w:w="905" w:type="pct"/>
            <w:shd w:val="clear" w:color="auto" w:fill="FFFFFF" w:themeFill="background1"/>
          </w:tcPr>
          <w:p w14:paraId="3F9140AF" w14:textId="77777777" w:rsidR="00A11C44" w:rsidRPr="00AB4C0F" w:rsidRDefault="00A11C44" w:rsidP="00BC7E07">
            <w:pPr>
              <w:spacing w:line="240" w:lineRule="auto"/>
              <w:ind w:firstLine="0"/>
              <w:rPr>
                <w:rFonts w:cs="Calibri"/>
                <w:sz w:val="20"/>
                <w:szCs w:val="20"/>
              </w:rPr>
            </w:pPr>
            <w:r w:rsidRPr="00AB4C0F">
              <w:rPr>
                <w:rFonts w:cs="Calibri"/>
                <w:sz w:val="20"/>
                <w:szCs w:val="20"/>
              </w:rPr>
              <w:t>The CPU</w:t>
            </w:r>
            <w:r>
              <w:rPr>
                <w:rFonts w:cs="Calibri"/>
                <w:sz w:val="20"/>
                <w:szCs w:val="20"/>
              </w:rPr>
              <w:t xml:space="preserve">C held </w:t>
            </w:r>
            <w:r w:rsidRPr="00AB4C0F">
              <w:rPr>
                <w:rFonts w:cs="Calibri"/>
                <w:sz w:val="20"/>
                <w:szCs w:val="20"/>
              </w:rPr>
              <w:t>an all-day HPWH SGIP workshop on 3/19/2020.</w:t>
            </w:r>
          </w:p>
        </w:tc>
      </w:tr>
      <w:tr w:rsidR="00A11C44" w:rsidRPr="00AB4C0F" w14:paraId="177FC0F0" w14:textId="77777777" w:rsidTr="00BC7E07">
        <w:trPr>
          <w:trHeight w:val="253"/>
        </w:trPr>
        <w:tc>
          <w:tcPr>
            <w:tcW w:w="843" w:type="pct"/>
            <w:shd w:val="clear" w:color="auto" w:fill="FFFFFF" w:themeFill="background1"/>
          </w:tcPr>
          <w:p w14:paraId="273B7FE9" w14:textId="77777777" w:rsidR="00A11C44" w:rsidRPr="00AB4C0F" w:rsidRDefault="00A11C44" w:rsidP="00BC7E07">
            <w:pPr>
              <w:autoSpaceDE w:val="0"/>
              <w:autoSpaceDN w:val="0"/>
              <w:adjustRightInd w:val="0"/>
              <w:spacing w:line="240" w:lineRule="auto"/>
              <w:ind w:firstLine="0"/>
              <w:rPr>
                <w:rFonts w:ascii="CIDFont+F1" w:hAnsi="CIDFont+F1" w:cs="CIDFont+F1"/>
                <w:sz w:val="20"/>
                <w:szCs w:val="20"/>
              </w:rPr>
            </w:pPr>
            <w:r w:rsidRPr="00AB4C0F">
              <w:rPr>
                <w:rFonts w:ascii="CIDFont+F1" w:hAnsi="CIDFont+F1" w:cs="CIDFont+F1"/>
                <w:sz w:val="20"/>
                <w:szCs w:val="20"/>
              </w:rPr>
              <w:t>Building Initiative for Low Emissions</w:t>
            </w:r>
          </w:p>
          <w:p w14:paraId="30A6D427" w14:textId="77777777" w:rsidR="00A11C44" w:rsidRPr="00AB4C0F" w:rsidRDefault="00A11C44" w:rsidP="00BC7E07">
            <w:pPr>
              <w:spacing w:line="240" w:lineRule="auto"/>
              <w:ind w:firstLine="0"/>
              <w:rPr>
                <w:rFonts w:cs="Calibri"/>
                <w:sz w:val="20"/>
                <w:szCs w:val="20"/>
              </w:rPr>
            </w:pPr>
            <w:r w:rsidRPr="00AB4C0F">
              <w:rPr>
                <w:rFonts w:ascii="CIDFont+F1" w:hAnsi="CIDFont+F1" w:cs="CIDFont+F1"/>
                <w:sz w:val="20"/>
                <w:szCs w:val="20"/>
              </w:rPr>
              <w:t>Development (</w:t>
            </w:r>
            <w:r w:rsidRPr="00AB4C0F">
              <w:rPr>
                <w:rFonts w:cs="Calibri"/>
                <w:sz w:val="20"/>
                <w:szCs w:val="20"/>
              </w:rPr>
              <w:t xml:space="preserve">BUILD) </w:t>
            </w:r>
          </w:p>
        </w:tc>
        <w:tc>
          <w:tcPr>
            <w:tcW w:w="812" w:type="pct"/>
            <w:shd w:val="clear" w:color="auto" w:fill="FFFFFF" w:themeFill="background1"/>
          </w:tcPr>
          <w:p w14:paraId="0B25B317" w14:textId="77777777" w:rsidR="00A11C44" w:rsidRPr="00AB4C0F" w:rsidRDefault="00A11C44" w:rsidP="00BC7E07">
            <w:pPr>
              <w:spacing w:line="240" w:lineRule="auto"/>
              <w:ind w:firstLine="0"/>
              <w:rPr>
                <w:rFonts w:cs="Calibri"/>
                <w:sz w:val="20"/>
                <w:szCs w:val="20"/>
              </w:rPr>
            </w:pPr>
            <w:r w:rsidRPr="00AB4C0F">
              <w:rPr>
                <w:rFonts w:cs="Calibri"/>
                <w:sz w:val="20"/>
                <w:szCs w:val="20"/>
              </w:rPr>
              <w:t>HPWH</w:t>
            </w:r>
          </w:p>
          <w:p w14:paraId="40542171" w14:textId="77777777" w:rsidR="00A11C44" w:rsidRPr="00AB4C0F" w:rsidRDefault="00A11C44" w:rsidP="00BC7E07">
            <w:pPr>
              <w:spacing w:line="240" w:lineRule="auto"/>
              <w:ind w:firstLine="0"/>
              <w:rPr>
                <w:rFonts w:cs="Calibri"/>
                <w:sz w:val="20"/>
                <w:szCs w:val="20"/>
              </w:rPr>
            </w:pPr>
            <w:r w:rsidRPr="00AB4C0F">
              <w:rPr>
                <w:rFonts w:cs="Calibri"/>
                <w:sz w:val="20"/>
                <w:szCs w:val="20"/>
              </w:rPr>
              <w:t>HP HVAC</w:t>
            </w:r>
          </w:p>
          <w:p w14:paraId="7693CCB5" w14:textId="77777777" w:rsidR="00A11C44" w:rsidRPr="00AB4C0F" w:rsidRDefault="00A11C44" w:rsidP="00BC7E07">
            <w:pPr>
              <w:spacing w:line="240" w:lineRule="auto"/>
              <w:ind w:firstLine="0"/>
              <w:rPr>
                <w:rFonts w:cs="Calibri"/>
                <w:sz w:val="20"/>
                <w:szCs w:val="20"/>
              </w:rPr>
            </w:pPr>
            <w:r w:rsidRPr="00AB4C0F">
              <w:rPr>
                <w:rFonts w:cs="Calibri"/>
                <w:sz w:val="20"/>
                <w:szCs w:val="20"/>
              </w:rPr>
              <w:t>HP Dryer</w:t>
            </w:r>
          </w:p>
          <w:p w14:paraId="1F2121BC" w14:textId="77777777" w:rsidR="00A11C44" w:rsidRPr="00AB4C0F" w:rsidRDefault="00A11C44" w:rsidP="00BC7E07">
            <w:pPr>
              <w:spacing w:line="240" w:lineRule="auto"/>
              <w:ind w:firstLine="0"/>
              <w:rPr>
                <w:rFonts w:cs="Calibri"/>
                <w:sz w:val="20"/>
                <w:szCs w:val="20"/>
              </w:rPr>
            </w:pPr>
            <w:r w:rsidRPr="00AB4C0F">
              <w:rPr>
                <w:rFonts w:cs="Calibri"/>
                <w:sz w:val="20"/>
                <w:szCs w:val="20"/>
              </w:rPr>
              <w:t>Induction Stove</w:t>
            </w:r>
          </w:p>
        </w:tc>
        <w:tc>
          <w:tcPr>
            <w:tcW w:w="869" w:type="pct"/>
            <w:shd w:val="clear" w:color="auto" w:fill="FFFFFF" w:themeFill="background1"/>
          </w:tcPr>
          <w:p w14:paraId="5517E504" w14:textId="77777777" w:rsidR="00A11C44" w:rsidRPr="00AB4C0F" w:rsidRDefault="00A11C44" w:rsidP="00BC7E07">
            <w:pPr>
              <w:spacing w:line="240" w:lineRule="auto"/>
              <w:ind w:firstLine="0"/>
              <w:rPr>
                <w:rFonts w:cs="Calibri"/>
                <w:sz w:val="20"/>
                <w:szCs w:val="20"/>
              </w:rPr>
            </w:pPr>
            <w:r w:rsidRPr="00AB4C0F">
              <w:rPr>
                <w:rFonts w:cs="Calibri"/>
                <w:sz w:val="20"/>
                <w:szCs w:val="20"/>
              </w:rPr>
              <w:t>Residential</w:t>
            </w:r>
          </w:p>
        </w:tc>
        <w:tc>
          <w:tcPr>
            <w:tcW w:w="623" w:type="pct"/>
            <w:shd w:val="clear" w:color="auto" w:fill="FFFFFF" w:themeFill="background1"/>
          </w:tcPr>
          <w:p w14:paraId="10B99B61" w14:textId="77777777" w:rsidR="00A11C44" w:rsidRPr="00AB4C0F" w:rsidRDefault="00A11C44" w:rsidP="00BC7E07">
            <w:pPr>
              <w:spacing w:line="240" w:lineRule="auto"/>
              <w:ind w:firstLine="0"/>
              <w:rPr>
                <w:rFonts w:cs="Calibri"/>
                <w:sz w:val="20"/>
                <w:szCs w:val="20"/>
              </w:rPr>
            </w:pPr>
            <w:r w:rsidRPr="00AB4C0F">
              <w:rPr>
                <w:rFonts w:cs="Calibri"/>
                <w:sz w:val="20"/>
                <w:szCs w:val="20"/>
              </w:rPr>
              <w:t>$80</w:t>
            </w:r>
          </w:p>
        </w:tc>
        <w:tc>
          <w:tcPr>
            <w:tcW w:w="945" w:type="pct"/>
            <w:shd w:val="clear" w:color="auto" w:fill="FFFFFF" w:themeFill="background1"/>
          </w:tcPr>
          <w:p w14:paraId="3B8A924F" w14:textId="77777777" w:rsidR="00A11C44" w:rsidRPr="00AB4C0F" w:rsidRDefault="00A11C44" w:rsidP="00BC7E07">
            <w:pPr>
              <w:spacing w:line="240" w:lineRule="auto"/>
              <w:ind w:firstLine="0"/>
              <w:rPr>
                <w:rFonts w:cs="Calibri"/>
                <w:sz w:val="20"/>
                <w:szCs w:val="20"/>
              </w:rPr>
            </w:pPr>
            <w:r w:rsidRPr="00AB4C0F">
              <w:rPr>
                <w:rFonts w:cs="Calibri"/>
                <w:sz w:val="20"/>
                <w:szCs w:val="20"/>
              </w:rPr>
              <w:t>This program will provide incentives to builders to construct all-electric homes. Program funding is pending CPUC adoption.</w:t>
            </w:r>
          </w:p>
        </w:tc>
        <w:tc>
          <w:tcPr>
            <w:tcW w:w="905" w:type="pct"/>
            <w:shd w:val="clear" w:color="auto" w:fill="FFFFFF" w:themeFill="background1"/>
          </w:tcPr>
          <w:p w14:paraId="4E1BB1C5" w14:textId="77777777" w:rsidR="00A11C44" w:rsidRPr="00AB4C0F" w:rsidRDefault="00A11C44" w:rsidP="00BC7E07">
            <w:pPr>
              <w:spacing w:line="240" w:lineRule="auto"/>
              <w:ind w:firstLine="0"/>
              <w:rPr>
                <w:rFonts w:cs="Calibri"/>
                <w:sz w:val="20"/>
                <w:szCs w:val="20"/>
              </w:rPr>
            </w:pPr>
            <w:r>
              <w:rPr>
                <w:rFonts w:cs="Calibri"/>
                <w:sz w:val="20"/>
                <w:szCs w:val="20"/>
              </w:rPr>
              <w:t>Final decision expected March 26, 2020</w:t>
            </w:r>
          </w:p>
        </w:tc>
      </w:tr>
      <w:tr w:rsidR="00A11C44" w:rsidRPr="00AB4C0F" w14:paraId="0A66C64F" w14:textId="77777777" w:rsidTr="00BC7E07">
        <w:trPr>
          <w:trHeight w:val="253"/>
        </w:trPr>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Pr>
          <w:p w14:paraId="1B198005" w14:textId="77777777" w:rsidR="00A11C44" w:rsidRPr="00AB4C0F" w:rsidRDefault="00A11C44" w:rsidP="00BC7E07">
            <w:pPr>
              <w:autoSpaceDE w:val="0"/>
              <w:autoSpaceDN w:val="0"/>
              <w:adjustRightInd w:val="0"/>
              <w:spacing w:line="240" w:lineRule="auto"/>
              <w:ind w:firstLine="0"/>
              <w:rPr>
                <w:rFonts w:ascii="CIDFont+F1" w:hAnsi="CIDFont+F1" w:cs="CIDFont+F1"/>
                <w:sz w:val="20"/>
                <w:szCs w:val="20"/>
              </w:rPr>
            </w:pPr>
            <w:r w:rsidRPr="00AB4C0F">
              <w:rPr>
                <w:rFonts w:ascii="CIDFont+F1" w:hAnsi="CIDFont+F1" w:cs="CIDFont+F1"/>
                <w:sz w:val="20"/>
                <w:szCs w:val="20"/>
              </w:rPr>
              <w:t xml:space="preserve">Technology and Equipment for Clean Heating (TECH)  </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14:paraId="3C510893" w14:textId="77777777" w:rsidR="00A11C44" w:rsidRPr="00AB4C0F" w:rsidRDefault="00A11C44" w:rsidP="00BC7E07">
            <w:pPr>
              <w:spacing w:line="240" w:lineRule="auto"/>
              <w:ind w:firstLine="0"/>
              <w:rPr>
                <w:rFonts w:cs="Calibri"/>
                <w:sz w:val="20"/>
                <w:szCs w:val="20"/>
              </w:rPr>
            </w:pPr>
            <w:r w:rsidRPr="00AB4C0F">
              <w:rPr>
                <w:rFonts w:cs="Calibri"/>
                <w:sz w:val="20"/>
                <w:szCs w:val="20"/>
              </w:rPr>
              <w:t>HPWH</w:t>
            </w:r>
          </w:p>
          <w:p w14:paraId="0BC2B131" w14:textId="77777777" w:rsidR="00A11C44" w:rsidRPr="00AB4C0F" w:rsidRDefault="00A11C44" w:rsidP="00BC7E07">
            <w:pPr>
              <w:spacing w:line="240" w:lineRule="auto"/>
              <w:ind w:firstLine="0"/>
              <w:rPr>
                <w:rFonts w:cs="Calibri"/>
                <w:sz w:val="20"/>
                <w:szCs w:val="20"/>
              </w:rPr>
            </w:pPr>
            <w:r w:rsidRPr="00AB4C0F">
              <w:rPr>
                <w:rFonts w:cs="Calibri"/>
                <w:sz w:val="20"/>
                <w:szCs w:val="20"/>
              </w:rPr>
              <w:t>HP HVAC</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7146AB5" w14:textId="77777777" w:rsidR="00A11C44" w:rsidRPr="00AB4C0F" w:rsidRDefault="00A11C44" w:rsidP="00BC7E07">
            <w:pPr>
              <w:spacing w:line="240" w:lineRule="auto"/>
              <w:ind w:firstLine="0"/>
              <w:rPr>
                <w:rFonts w:cs="Calibri"/>
                <w:sz w:val="20"/>
                <w:szCs w:val="20"/>
              </w:rPr>
            </w:pPr>
            <w:r w:rsidRPr="00AB4C0F">
              <w:rPr>
                <w:rFonts w:cs="Calibri"/>
                <w:sz w:val="20"/>
                <w:szCs w:val="20"/>
              </w:rPr>
              <w:t>Residential</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14:paraId="754E8DA6" w14:textId="77777777" w:rsidR="00A11C44" w:rsidRPr="00AB4C0F" w:rsidRDefault="00A11C44" w:rsidP="00BC7E07">
            <w:pPr>
              <w:spacing w:line="240" w:lineRule="auto"/>
              <w:ind w:firstLine="0"/>
              <w:rPr>
                <w:rFonts w:cs="Calibri"/>
                <w:sz w:val="20"/>
                <w:szCs w:val="20"/>
              </w:rPr>
            </w:pPr>
            <w:r w:rsidRPr="00AB4C0F">
              <w:rPr>
                <w:rFonts w:cs="Calibri"/>
                <w:sz w:val="20"/>
                <w:szCs w:val="20"/>
              </w:rPr>
              <w:t>$120</w:t>
            </w:r>
          </w:p>
        </w:tc>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tcPr>
          <w:p w14:paraId="619D08B9" w14:textId="77777777" w:rsidR="00A11C44" w:rsidRPr="00AB4C0F" w:rsidRDefault="00A11C44" w:rsidP="00BC7E07">
            <w:pPr>
              <w:spacing w:line="240" w:lineRule="auto"/>
              <w:ind w:firstLine="0"/>
              <w:rPr>
                <w:rFonts w:cs="Calibri"/>
                <w:sz w:val="20"/>
                <w:szCs w:val="20"/>
              </w:rPr>
            </w:pPr>
            <w:r w:rsidRPr="00AB4C0F">
              <w:rPr>
                <w:rFonts w:cs="Calibri"/>
                <w:sz w:val="20"/>
                <w:szCs w:val="20"/>
              </w:rPr>
              <w:t>This program will provide incentives to HP technology to encourages sales and adoption. Funding is pending CPUC adoption.</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14:paraId="60647EF1" w14:textId="77777777" w:rsidR="00A11C44" w:rsidRPr="00AB4C0F" w:rsidRDefault="00A11C44" w:rsidP="00BC7E07">
            <w:pPr>
              <w:spacing w:line="240" w:lineRule="auto"/>
              <w:ind w:firstLine="0"/>
              <w:rPr>
                <w:rFonts w:cs="Calibri"/>
                <w:sz w:val="20"/>
                <w:szCs w:val="20"/>
              </w:rPr>
            </w:pPr>
            <w:r>
              <w:rPr>
                <w:rFonts w:cs="Calibri"/>
                <w:sz w:val="20"/>
                <w:szCs w:val="20"/>
              </w:rPr>
              <w:t>Final decision expected March 26, 2020</w:t>
            </w:r>
          </w:p>
        </w:tc>
      </w:tr>
      <w:tr w:rsidR="00A11C44" w:rsidRPr="00AB4C0F" w14:paraId="6DD493ED" w14:textId="77777777" w:rsidTr="00BC7E07">
        <w:trPr>
          <w:trHeight w:val="253"/>
        </w:trPr>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Pr>
          <w:p w14:paraId="23D2879D" w14:textId="77777777" w:rsidR="00A11C44" w:rsidRPr="00AB4C0F" w:rsidRDefault="00A11C44" w:rsidP="00BC7E07">
            <w:pPr>
              <w:autoSpaceDE w:val="0"/>
              <w:autoSpaceDN w:val="0"/>
              <w:adjustRightInd w:val="0"/>
              <w:spacing w:line="240" w:lineRule="auto"/>
              <w:ind w:firstLine="0"/>
              <w:rPr>
                <w:rFonts w:ascii="CIDFont+F1" w:hAnsi="CIDFont+F1" w:cs="CIDFont+F1"/>
                <w:sz w:val="20"/>
                <w:szCs w:val="20"/>
              </w:rPr>
            </w:pPr>
            <w:r w:rsidRPr="00AB4C0F">
              <w:rPr>
                <w:rFonts w:ascii="CIDFont+F1" w:hAnsi="CIDFont+F1" w:cs="CIDFont+F1"/>
                <w:sz w:val="20"/>
                <w:szCs w:val="20"/>
              </w:rPr>
              <w:t>SCE’s ESA Building Electrification Pilot</w:t>
            </w:r>
          </w:p>
          <w:p w14:paraId="5EA94D60" w14:textId="77777777" w:rsidR="00A11C44" w:rsidRPr="00AB4C0F" w:rsidRDefault="00A11C44" w:rsidP="00BC7E07">
            <w:pPr>
              <w:autoSpaceDE w:val="0"/>
              <w:autoSpaceDN w:val="0"/>
              <w:adjustRightInd w:val="0"/>
              <w:spacing w:line="240" w:lineRule="auto"/>
              <w:ind w:firstLine="0"/>
              <w:rPr>
                <w:rFonts w:ascii="CIDFont+F1" w:hAnsi="CIDFont+F1" w:cs="CIDFont+F1"/>
                <w:sz w:val="20"/>
                <w:szCs w:val="20"/>
              </w:rPr>
            </w:pPr>
            <w:r w:rsidRPr="00AB4C0F">
              <w:rPr>
                <w:rFonts w:ascii="CIDFont+F1" w:hAnsi="CIDFont+F1" w:cs="CIDFont+F1"/>
                <w:sz w:val="20"/>
                <w:szCs w:val="20"/>
              </w:rPr>
              <w:t>(2021 – 2026)</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14:paraId="200A56AF" w14:textId="77777777" w:rsidR="00A11C44" w:rsidRPr="00AB4C0F" w:rsidRDefault="00A11C44" w:rsidP="00BC7E07">
            <w:pPr>
              <w:spacing w:line="240" w:lineRule="auto"/>
              <w:ind w:firstLine="0"/>
              <w:rPr>
                <w:rFonts w:cs="Calibri"/>
                <w:sz w:val="20"/>
                <w:szCs w:val="20"/>
              </w:rPr>
            </w:pPr>
            <w:r w:rsidRPr="00AB4C0F">
              <w:rPr>
                <w:rFonts w:cs="Calibri"/>
                <w:sz w:val="20"/>
                <w:szCs w:val="20"/>
              </w:rPr>
              <w:t>HPWH</w:t>
            </w:r>
          </w:p>
          <w:p w14:paraId="47AC4640" w14:textId="77777777" w:rsidR="00A11C44" w:rsidRPr="00AB4C0F" w:rsidRDefault="00A11C44" w:rsidP="00BC7E07">
            <w:pPr>
              <w:spacing w:line="240" w:lineRule="auto"/>
              <w:ind w:firstLine="0"/>
              <w:rPr>
                <w:rFonts w:cs="Calibri"/>
                <w:sz w:val="20"/>
                <w:szCs w:val="20"/>
              </w:rPr>
            </w:pPr>
            <w:r w:rsidRPr="00AB4C0F">
              <w:rPr>
                <w:rFonts w:cs="Calibri"/>
                <w:sz w:val="20"/>
                <w:szCs w:val="20"/>
              </w:rPr>
              <w:t>HP HVAC</w:t>
            </w:r>
          </w:p>
          <w:p w14:paraId="370FD473" w14:textId="77777777" w:rsidR="00A11C44" w:rsidRPr="00AB4C0F" w:rsidRDefault="00A11C44" w:rsidP="00BC7E07">
            <w:pPr>
              <w:spacing w:line="240" w:lineRule="auto"/>
              <w:ind w:firstLine="0"/>
              <w:rPr>
                <w:rFonts w:cs="Calibri"/>
                <w:sz w:val="20"/>
                <w:szCs w:val="20"/>
              </w:rPr>
            </w:pPr>
            <w:r w:rsidRPr="00AB4C0F">
              <w:rPr>
                <w:rFonts w:cs="Calibri"/>
                <w:sz w:val="20"/>
                <w:szCs w:val="20"/>
              </w:rPr>
              <w:t>HP Dryer</w:t>
            </w:r>
          </w:p>
          <w:p w14:paraId="75561963" w14:textId="77777777" w:rsidR="00A11C44" w:rsidRPr="00AB4C0F" w:rsidRDefault="00A11C44" w:rsidP="00BC7E07">
            <w:pPr>
              <w:spacing w:line="240" w:lineRule="auto"/>
              <w:ind w:firstLine="0"/>
              <w:rPr>
                <w:rFonts w:cs="Calibri"/>
                <w:sz w:val="20"/>
                <w:szCs w:val="20"/>
              </w:rPr>
            </w:pPr>
            <w:r w:rsidRPr="00AB4C0F">
              <w:rPr>
                <w:rFonts w:cs="Calibri"/>
                <w:sz w:val="20"/>
                <w:szCs w:val="20"/>
              </w:rPr>
              <w:t>Induction Stove</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318F476" w14:textId="77777777" w:rsidR="00A11C44" w:rsidRPr="00AB4C0F" w:rsidRDefault="00A11C44" w:rsidP="00BC7E07">
            <w:pPr>
              <w:spacing w:line="240" w:lineRule="auto"/>
              <w:ind w:firstLine="0"/>
              <w:rPr>
                <w:rFonts w:cs="Calibri"/>
                <w:sz w:val="20"/>
                <w:szCs w:val="20"/>
              </w:rPr>
            </w:pPr>
            <w:r w:rsidRPr="00AB4C0F">
              <w:rPr>
                <w:rFonts w:cs="Calibri"/>
                <w:sz w:val="20"/>
                <w:szCs w:val="20"/>
              </w:rPr>
              <w:t>Residential</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14:paraId="6F671254" w14:textId="77777777" w:rsidR="00A11C44" w:rsidRPr="00AB4C0F" w:rsidRDefault="00A11C44" w:rsidP="00BC7E07">
            <w:pPr>
              <w:spacing w:line="240" w:lineRule="auto"/>
              <w:ind w:firstLine="0"/>
              <w:rPr>
                <w:rFonts w:cs="Calibri"/>
                <w:sz w:val="20"/>
                <w:szCs w:val="20"/>
              </w:rPr>
            </w:pPr>
            <w:r w:rsidRPr="00AB4C0F">
              <w:rPr>
                <w:rFonts w:cs="Calibri"/>
                <w:sz w:val="20"/>
                <w:szCs w:val="20"/>
              </w:rPr>
              <w:t>$47.4</w:t>
            </w:r>
          </w:p>
        </w:tc>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tcPr>
          <w:p w14:paraId="60371AF3" w14:textId="77777777" w:rsidR="00A11C44" w:rsidRPr="00AB4C0F" w:rsidRDefault="00A11C44" w:rsidP="00BC7E07">
            <w:pPr>
              <w:spacing w:line="240" w:lineRule="auto"/>
              <w:ind w:firstLine="0"/>
              <w:rPr>
                <w:rFonts w:cs="Calibri"/>
                <w:sz w:val="20"/>
                <w:szCs w:val="20"/>
              </w:rPr>
            </w:pPr>
            <w:r w:rsidRPr="00AB4C0F">
              <w:rPr>
                <w:rFonts w:cs="Calibri"/>
                <w:sz w:val="20"/>
                <w:szCs w:val="20"/>
              </w:rPr>
              <w:t xml:space="preserve">This program focuses on electrifying existing ESAP eligible buildings is pending CPUC approval. </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14:paraId="3D11C58D" w14:textId="77777777" w:rsidR="00A11C44" w:rsidRPr="00AB4C0F" w:rsidRDefault="00A11C44" w:rsidP="00BC7E07">
            <w:pPr>
              <w:spacing w:line="240" w:lineRule="auto"/>
              <w:ind w:firstLine="0"/>
              <w:rPr>
                <w:rFonts w:cs="Calibri"/>
                <w:sz w:val="20"/>
                <w:szCs w:val="20"/>
              </w:rPr>
            </w:pPr>
            <w:r w:rsidRPr="00AB4C0F">
              <w:rPr>
                <w:rFonts w:cs="Calibri"/>
                <w:sz w:val="20"/>
                <w:szCs w:val="20"/>
              </w:rPr>
              <w:t xml:space="preserve">Application 19-11-004. A Proposed Decision is scheduled for issuance in September 2020. </w:t>
            </w:r>
          </w:p>
        </w:tc>
      </w:tr>
      <w:tr w:rsidR="00A11C44" w:rsidRPr="00AB4C0F" w14:paraId="6FB054D7" w14:textId="77777777" w:rsidTr="00BC7E07">
        <w:trPr>
          <w:trHeight w:val="253"/>
        </w:trPr>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Pr>
          <w:p w14:paraId="0F3BE5E9" w14:textId="77777777" w:rsidR="00A11C44" w:rsidRPr="00AB4C0F" w:rsidRDefault="00A11C44" w:rsidP="00BC7E07">
            <w:pPr>
              <w:autoSpaceDE w:val="0"/>
              <w:autoSpaceDN w:val="0"/>
              <w:adjustRightInd w:val="0"/>
              <w:spacing w:line="240" w:lineRule="auto"/>
              <w:ind w:firstLine="0"/>
              <w:rPr>
                <w:rFonts w:ascii="CIDFont+F1" w:hAnsi="CIDFont+F1" w:cs="CIDFont+F1"/>
                <w:sz w:val="20"/>
                <w:szCs w:val="20"/>
              </w:rPr>
            </w:pPr>
            <w:r w:rsidRPr="00AB4C0F">
              <w:rPr>
                <w:rFonts w:ascii="CIDFont+F1" w:hAnsi="CIDFont+F1" w:cs="CIDFont+F1"/>
                <w:sz w:val="20"/>
                <w:szCs w:val="20"/>
              </w:rPr>
              <w:t>SCE’s ESA Building Electrification New Construction Pilot</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14:paraId="07EFC409" w14:textId="77777777" w:rsidR="00A11C44" w:rsidRPr="00AB4C0F" w:rsidRDefault="00A11C44" w:rsidP="00BC7E07">
            <w:pPr>
              <w:spacing w:line="240" w:lineRule="auto"/>
              <w:ind w:firstLine="0"/>
              <w:rPr>
                <w:rFonts w:cs="Calibri"/>
                <w:sz w:val="20"/>
                <w:szCs w:val="20"/>
              </w:rPr>
            </w:pPr>
            <w:r w:rsidRPr="00AB4C0F">
              <w:rPr>
                <w:rFonts w:cs="Calibri"/>
                <w:sz w:val="20"/>
                <w:szCs w:val="20"/>
              </w:rPr>
              <w:t>HPWH</w:t>
            </w:r>
          </w:p>
          <w:p w14:paraId="14403D14" w14:textId="77777777" w:rsidR="00A11C44" w:rsidRPr="00AB4C0F" w:rsidRDefault="00A11C44" w:rsidP="00BC7E07">
            <w:pPr>
              <w:spacing w:line="240" w:lineRule="auto"/>
              <w:ind w:firstLine="0"/>
              <w:rPr>
                <w:rFonts w:cs="Calibri"/>
                <w:sz w:val="20"/>
                <w:szCs w:val="20"/>
              </w:rPr>
            </w:pPr>
            <w:r w:rsidRPr="00AB4C0F">
              <w:rPr>
                <w:rFonts w:cs="Calibri"/>
                <w:sz w:val="20"/>
                <w:szCs w:val="20"/>
              </w:rPr>
              <w:t>HP HVAC</w:t>
            </w:r>
          </w:p>
          <w:p w14:paraId="7F73D764" w14:textId="77777777" w:rsidR="00A11C44" w:rsidRPr="00AB4C0F" w:rsidRDefault="00A11C44" w:rsidP="00BC7E07">
            <w:pPr>
              <w:spacing w:line="240" w:lineRule="auto"/>
              <w:ind w:firstLine="0"/>
              <w:rPr>
                <w:rFonts w:cs="Calibri"/>
                <w:sz w:val="20"/>
                <w:szCs w:val="20"/>
              </w:rPr>
            </w:pPr>
            <w:r w:rsidRPr="00AB4C0F">
              <w:rPr>
                <w:rFonts w:cs="Calibri"/>
                <w:sz w:val="20"/>
                <w:szCs w:val="20"/>
              </w:rPr>
              <w:t>HP Dryer</w:t>
            </w:r>
          </w:p>
          <w:p w14:paraId="1A1B2133" w14:textId="77777777" w:rsidR="00A11C44" w:rsidRPr="00AB4C0F" w:rsidRDefault="00A11C44" w:rsidP="00BC7E07">
            <w:pPr>
              <w:spacing w:line="240" w:lineRule="auto"/>
              <w:ind w:firstLine="0"/>
              <w:rPr>
                <w:rFonts w:cs="Calibri"/>
                <w:sz w:val="20"/>
                <w:szCs w:val="20"/>
              </w:rPr>
            </w:pPr>
            <w:r w:rsidRPr="00AB4C0F">
              <w:rPr>
                <w:rFonts w:cs="Calibri"/>
                <w:sz w:val="20"/>
                <w:szCs w:val="20"/>
              </w:rPr>
              <w:t>Induction Stove</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DD55D66" w14:textId="77777777" w:rsidR="00A11C44" w:rsidRPr="00AB4C0F" w:rsidRDefault="00A11C44" w:rsidP="00BC7E07">
            <w:pPr>
              <w:spacing w:line="240" w:lineRule="auto"/>
              <w:ind w:firstLine="0"/>
              <w:rPr>
                <w:rFonts w:cs="Calibri"/>
                <w:sz w:val="20"/>
                <w:szCs w:val="20"/>
              </w:rPr>
            </w:pPr>
            <w:r w:rsidRPr="00AB4C0F">
              <w:rPr>
                <w:rFonts w:cs="Calibri"/>
                <w:sz w:val="20"/>
                <w:szCs w:val="20"/>
              </w:rPr>
              <w:t>Residential</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14:paraId="1D6CCA8E" w14:textId="77777777" w:rsidR="00A11C44" w:rsidRPr="00AB4C0F" w:rsidRDefault="00A11C44" w:rsidP="00BC7E07">
            <w:pPr>
              <w:spacing w:line="240" w:lineRule="auto"/>
              <w:ind w:firstLine="0"/>
              <w:rPr>
                <w:rFonts w:cs="Calibri"/>
                <w:sz w:val="20"/>
                <w:szCs w:val="20"/>
              </w:rPr>
            </w:pPr>
            <w:r w:rsidRPr="00AB4C0F">
              <w:rPr>
                <w:rFonts w:cs="Calibri"/>
                <w:sz w:val="20"/>
                <w:szCs w:val="20"/>
              </w:rPr>
              <w:t>$21</w:t>
            </w:r>
          </w:p>
        </w:tc>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tcPr>
          <w:p w14:paraId="71A35B69" w14:textId="77777777" w:rsidR="00A11C44" w:rsidRPr="00AB4C0F" w:rsidRDefault="00A11C44" w:rsidP="00BC7E07">
            <w:pPr>
              <w:spacing w:line="240" w:lineRule="auto"/>
              <w:ind w:firstLine="0"/>
              <w:rPr>
                <w:rFonts w:cs="Calibri"/>
                <w:sz w:val="20"/>
                <w:szCs w:val="20"/>
              </w:rPr>
            </w:pPr>
            <w:r w:rsidRPr="00AB4C0F">
              <w:rPr>
                <w:rFonts w:cs="Calibri"/>
                <w:sz w:val="20"/>
                <w:szCs w:val="20"/>
              </w:rPr>
              <w:t xml:space="preserve">This program focuses on encouraging the electrification of new low-income buildings. </w:t>
            </w:r>
            <w:r w:rsidRPr="00AB4C0F">
              <w:rPr>
                <w:rFonts w:cs="Calibri"/>
                <w:sz w:val="20"/>
                <w:szCs w:val="20"/>
              </w:rPr>
              <w:lastRenderedPageBreak/>
              <w:t>Funding is pending CPUC approval.</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14:paraId="22F6C355" w14:textId="77777777" w:rsidR="00A11C44" w:rsidRPr="00AB4C0F" w:rsidRDefault="00A11C44" w:rsidP="00BC7E07">
            <w:pPr>
              <w:spacing w:line="240" w:lineRule="auto"/>
              <w:ind w:firstLine="0"/>
              <w:rPr>
                <w:rFonts w:cs="Calibri"/>
                <w:sz w:val="20"/>
                <w:szCs w:val="20"/>
              </w:rPr>
            </w:pPr>
            <w:r w:rsidRPr="00AB4C0F">
              <w:rPr>
                <w:rFonts w:cs="Calibri"/>
                <w:sz w:val="20"/>
                <w:szCs w:val="20"/>
              </w:rPr>
              <w:lastRenderedPageBreak/>
              <w:t xml:space="preserve">Application 19-11-004. A Proposed Decision is scheduled for issuance in </w:t>
            </w:r>
            <w:r w:rsidRPr="00AB4C0F">
              <w:rPr>
                <w:rFonts w:cs="Calibri"/>
                <w:sz w:val="20"/>
                <w:szCs w:val="20"/>
              </w:rPr>
              <w:lastRenderedPageBreak/>
              <w:t>September 2020.</w:t>
            </w:r>
          </w:p>
        </w:tc>
      </w:tr>
      <w:tr w:rsidR="00A11C44" w:rsidRPr="00AB4C0F" w14:paraId="08153BA6" w14:textId="77777777" w:rsidTr="00BC7E07">
        <w:trPr>
          <w:trHeight w:val="253"/>
        </w:trPr>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Pr>
          <w:p w14:paraId="5AB3A873" w14:textId="77777777" w:rsidR="00A11C44" w:rsidRPr="00AB4C0F" w:rsidRDefault="00A11C44" w:rsidP="00BC7E07">
            <w:pPr>
              <w:autoSpaceDE w:val="0"/>
              <w:autoSpaceDN w:val="0"/>
              <w:adjustRightInd w:val="0"/>
              <w:spacing w:line="240" w:lineRule="auto"/>
              <w:ind w:firstLine="0"/>
              <w:rPr>
                <w:rFonts w:ascii="CIDFont+F1" w:hAnsi="CIDFont+F1" w:cs="CIDFont+F1"/>
                <w:sz w:val="20"/>
                <w:szCs w:val="20"/>
              </w:rPr>
            </w:pPr>
            <w:r w:rsidRPr="00AB4C0F">
              <w:rPr>
                <w:rFonts w:ascii="CIDFont+F1" w:hAnsi="CIDFont+F1" w:cs="CIDFont+F1"/>
                <w:sz w:val="20"/>
                <w:szCs w:val="20"/>
              </w:rPr>
              <w:lastRenderedPageBreak/>
              <w:t>PG&amp;E’s &amp; SCE’s Wildfire Rebuild Programs</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14:paraId="395236CB" w14:textId="77777777" w:rsidR="00A11C44" w:rsidRPr="00AB4C0F" w:rsidRDefault="00A11C44" w:rsidP="00BC7E07">
            <w:pPr>
              <w:spacing w:line="240" w:lineRule="auto"/>
              <w:ind w:firstLine="0"/>
              <w:rPr>
                <w:rFonts w:cs="Calibri"/>
                <w:sz w:val="20"/>
                <w:szCs w:val="20"/>
              </w:rPr>
            </w:pPr>
            <w:r w:rsidRPr="00AB4C0F">
              <w:rPr>
                <w:rFonts w:cs="Calibri"/>
                <w:sz w:val="20"/>
                <w:szCs w:val="20"/>
              </w:rPr>
              <w:t>HPWH</w:t>
            </w:r>
          </w:p>
          <w:p w14:paraId="220CDC9E" w14:textId="77777777" w:rsidR="00A11C44" w:rsidRPr="00AB4C0F" w:rsidRDefault="00A11C44" w:rsidP="00BC7E07">
            <w:pPr>
              <w:spacing w:line="240" w:lineRule="auto"/>
              <w:ind w:firstLine="0"/>
              <w:rPr>
                <w:rFonts w:cs="Calibri"/>
                <w:sz w:val="20"/>
                <w:szCs w:val="20"/>
              </w:rPr>
            </w:pPr>
            <w:r w:rsidRPr="00AB4C0F">
              <w:rPr>
                <w:rFonts w:cs="Calibri"/>
                <w:sz w:val="20"/>
                <w:szCs w:val="20"/>
              </w:rPr>
              <w:t>HP HVAC</w:t>
            </w:r>
          </w:p>
          <w:p w14:paraId="62786F31" w14:textId="77777777" w:rsidR="00A11C44" w:rsidRPr="00AB4C0F" w:rsidRDefault="00A11C44" w:rsidP="00BC7E07">
            <w:pPr>
              <w:spacing w:line="240" w:lineRule="auto"/>
              <w:ind w:firstLine="0"/>
              <w:rPr>
                <w:rFonts w:cs="Calibri"/>
                <w:sz w:val="20"/>
                <w:szCs w:val="20"/>
              </w:rPr>
            </w:pPr>
            <w:r w:rsidRPr="00AB4C0F">
              <w:rPr>
                <w:rFonts w:cs="Calibri"/>
                <w:sz w:val="20"/>
                <w:szCs w:val="20"/>
              </w:rPr>
              <w:t>HP Dryer</w:t>
            </w:r>
          </w:p>
          <w:p w14:paraId="414E83D1" w14:textId="77777777" w:rsidR="00A11C44" w:rsidRPr="00AB4C0F" w:rsidRDefault="00A11C44" w:rsidP="00BC7E07">
            <w:pPr>
              <w:spacing w:line="240" w:lineRule="auto"/>
              <w:ind w:firstLine="0"/>
              <w:rPr>
                <w:rFonts w:cs="Calibri"/>
                <w:sz w:val="20"/>
                <w:szCs w:val="20"/>
              </w:rPr>
            </w:pPr>
            <w:r w:rsidRPr="00AB4C0F">
              <w:rPr>
                <w:rFonts w:cs="Calibri"/>
                <w:sz w:val="20"/>
                <w:szCs w:val="20"/>
              </w:rPr>
              <w:t>Induction Stove</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C23BAAB" w14:textId="77777777" w:rsidR="00A11C44" w:rsidRPr="00AB4C0F" w:rsidRDefault="00A11C44" w:rsidP="00BC7E07">
            <w:pPr>
              <w:spacing w:line="240" w:lineRule="auto"/>
              <w:ind w:firstLine="0"/>
              <w:rPr>
                <w:rFonts w:cs="Calibri"/>
                <w:sz w:val="20"/>
                <w:szCs w:val="20"/>
              </w:rPr>
            </w:pPr>
            <w:r w:rsidRPr="00AB4C0F">
              <w:rPr>
                <w:rFonts w:cs="Calibri"/>
                <w:sz w:val="20"/>
                <w:szCs w:val="20"/>
              </w:rPr>
              <w:t>Residential &amp; Commercial</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14:paraId="01BD38D9" w14:textId="77777777" w:rsidR="00A11C44" w:rsidRPr="00AB4C0F" w:rsidRDefault="00A11C44" w:rsidP="00BC7E07">
            <w:pPr>
              <w:spacing w:line="240" w:lineRule="auto"/>
              <w:ind w:firstLine="0"/>
              <w:rPr>
                <w:rFonts w:cs="Calibri"/>
                <w:sz w:val="20"/>
                <w:szCs w:val="20"/>
              </w:rPr>
            </w:pPr>
            <w:r w:rsidRPr="00AB4C0F">
              <w:rPr>
                <w:rFonts w:cs="Calibri"/>
                <w:sz w:val="20"/>
                <w:szCs w:val="20"/>
              </w:rPr>
              <w:t>$6.4</w:t>
            </w:r>
          </w:p>
        </w:tc>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tcPr>
          <w:p w14:paraId="533A80B9" w14:textId="77777777" w:rsidR="00A11C44" w:rsidRPr="00AB4C0F" w:rsidRDefault="00A11C44" w:rsidP="00BC7E07">
            <w:pPr>
              <w:spacing w:line="240" w:lineRule="auto"/>
              <w:ind w:firstLine="0"/>
              <w:rPr>
                <w:rFonts w:cs="Calibri"/>
                <w:sz w:val="20"/>
                <w:szCs w:val="20"/>
              </w:rPr>
            </w:pPr>
            <w:r w:rsidRPr="00AB4C0F">
              <w:rPr>
                <w:rFonts w:cs="Calibri"/>
                <w:sz w:val="20"/>
                <w:szCs w:val="20"/>
              </w:rPr>
              <w:t>These programs provide incentives for “above” code and all-electric reconstruction structures destroyed by wildfires.</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14:paraId="06691347" w14:textId="77777777" w:rsidR="00A11C44" w:rsidRPr="00AB4C0F" w:rsidRDefault="00A11C44" w:rsidP="00BC7E07">
            <w:pPr>
              <w:spacing w:line="240" w:lineRule="auto"/>
              <w:ind w:firstLine="0"/>
              <w:rPr>
                <w:rFonts w:cs="Calibri"/>
                <w:sz w:val="20"/>
                <w:szCs w:val="20"/>
              </w:rPr>
            </w:pPr>
            <w:r w:rsidRPr="00AB4C0F">
              <w:rPr>
                <w:rFonts w:cs="Calibri"/>
                <w:sz w:val="20"/>
                <w:szCs w:val="20"/>
              </w:rPr>
              <w:t xml:space="preserve">PG&amp;E’s wildfire rebuild program implementation is ongoing. SCE recently began program outreach. </w:t>
            </w:r>
          </w:p>
        </w:tc>
      </w:tr>
      <w:tr w:rsidR="00A11C44" w:rsidRPr="00AB4C0F" w14:paraId="476828EC" w14:textId="77777777" w:rsidTr="00BC7E07">
        <w:trPr>
          <w:trHeight w:val="253"/>
        </w:trPr>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Pr>
          <w:p w14:paraId="319E1344" w14:textId="77777777" w:rsidR="00A11C44" w:rsidRPr="00AB4C0F" w:rsidRDefault="00A11C44" w:rsidP="00BC7E07">
            <w:pPr>
              <w:autoSpaceDE w:val="0"/>
              <w:autoSpaceDN w:val="0"/>
              <w:adjustRightInd w:val="0"/>
              <w:spacing w:line="240" w:lineRule="auto"/>
              <w:ind w:firstLine="0"/>
              <w:rPr>
                <w:rFonts w:ascii="CIDFont+F1" w:hAnsi="CIDFont+F1" w:cs="CIDFont+F1"/>
                <w:sz w:val="20"/>
                <w:szCs w:val="20"/>
              </w:rPr>
            </w:pPr>
            <w:r w:rsidRPr="00AB4C0F">
              <w:rPr>
                <w:rFonts w:ascii="CIDFont+F1" w:hAnsi="CIDFont+F1" w:cs="CIDFont+F1"/>
                <w:sz w:val="20"/>
                <w:szCs w:val="20"/>
              </w:rPr>
              <w:t>Energy Efficiency &amp; Fuel Substitution Measures</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14:paraId="1855E7E1" w14:textId="77777777" w:rsidR="00A11C44" w:rsidRPr="00AB4C0F" w:rsidRDefault="00A11C44" w:rsidP="00BC7E07">
            <w:pPr>
              <w:spacing w:line="240" w:lineRule="auto"/>
              <w:ind w:firstLine="0"/>
              <w:rPr>
                <w:rFonts w:cs="Calibri"/>
                <w:sz w:val="20"/>
                <w:szCs w:val="20"/>
              </w:rPr>
            </w:pPr>
            <w:r w:rsidRPr="00AB4C0F">
              <w:rPr>
                <w:rFonts w:cs="Calibri"/>
                <w:sz w:val="20"/>
                <w:szCs w:val="20"/>
              </w:rPr>
              <w:t>HPWH</w:t>
            </w:r>
          </w:p>
          <w:p w14:paraId="32AD63DA" w14:textId="77777777" w:rsidR="00A11C44" w:rsidRPr="00AB4C0F" w:rsidRDefault="00A11C44" w:rsidP="00BC7E07">
            <w:pPr>
              <w:spacing w:line="240" w:lineRule="auto"/>
              <w:ind w:firstLine="0"/>
              <w:rPr>
                <w:rFonts w:cs="Calibri"/>
                <w:sz w:val="20"/>
                <w:szCs w:val="20"/>
              </w:rPr>
            </w:pPr>
            <w:r w:rsidRPr="00AB4C0F">
              <w:rPr>
                <w:rFonts w:cs="Calibri"/>
                <w:sz w:val="20"/>
                <w:szCs w:val="20"/>
              </w:rPr>
              <w:t>HP HVAC</w:t>
            </w:r>
          </w:p>
          <w:p w14:paraId="40DC761E" w14:textId="77777777" w:rsidR="00A11C44" w:rsidRPr="00AB4C0F" w:rsidRDefault="00A11C44" w:rsidP="00BC7E07">
            <w:pPr>
              <w:spacing w:line="240" w:lineRule="auto"/>
              <w:ind w:firstLine="0"/>
              <w:rPr>
                <w:rFonts w:cs="Calibri"/>
                <w:sz w:val="20"/>
                <w:szCs w:val="20"/>
              </w:rPr>
            </w:pPr>
            <w:r w:rsidRPr="00AB4C0F">
              <w:rPr>
                <w:rFonts w:cs="Calibri"/>
                <w:sz w:val="20"/>
                <w:szCs w:val="20"/>
              </w:rPr>
              <w:t>HP Dryer</w:t>
            </w:r>
          </w:p>
          <w:p w14:paraId="64AC2128" w14:textId="77777777" w:rsidR="00A11C44" w:rsidRPr="00AB4C0F" w:rsidRDefault="00A11C44" w:rsidP="00BC7E07">
            <w:pPr>
              <w:spacing w:line="240" w:lineRule="auto"/>
              <w:ind w:firstLine="0"/>
              <w:rPr>
                <w:rFonts w:cs="Calibri"/>
                <w:sz w:val="20"/>
                <w:szCs w:val="20"/>
              </w:rPr>
            </w:pPr>
            <w:r w:rsidRPr="00AB4C0F">
              <w:rPr>
                <w:rFonts w:cs="Calibri"/>
                <w:sz w:val="20"/>
                <w:szCs w:val="20"/>
              </w:rPr>
              <w:t>Induction Stove</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tcPr>
          <w:p w14:paraId="3A80E794" w14:textId="77777777" w:rsidR="00A11C44" w:rsidRPr="00AB4C0F" w:rsidRDefault="00A11C44" w:rsidP="00BC7E07">
            <w:pPr>
              <w:spacing w:line="240" w:lineRule="auto"/>
              <w:ind w:firstLine="0"/>
              <w:rPr>
                <w:rFonts w:cs="Calibri"/>
                <w:sz w:val="20"/>
                <w:szCs w:val="20"/>
              </w:rPr>
            </w:pPr>
            <w:r w:rsidRPr="00AB4C0F">
              <w:rPr>
                <w:rFonts w:cs="Calibri"/>
                <w:sz w:val="20"/>
                <w:szCs w:val="20"/>
              </w:rPr>
              <w:t>Residential &amp; Commercial</w:t>
            </w:r>
          </w:p>
        </w:tc>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tcPr>
          <w:p w14:paraId="7E40EFC1" w14:textId="77777777" w:rsidR="00A11C44" w:rsidRPr="00AB4C0F" w:rsidRDefault="00A11C44" w:rsidP="00BC7E07">
            <w:pPr>
              <w:spacing w:line="240" w:lineRule="auto"/>
              <w:ind w:firstLine="0"/>
              <w:rPr>
                <w:rFonts w:cs="Calibri"/>
                <w:sz w:val="20"/>
                <w:szCs w:val="20"/>
              </w:rPr>
            </w:pPr>
            <w:r w:rsidRPr="00AB4C0F">
              <w:rPr>
                <w:rFonts w:cs="Calibri"/>
                <w:sz w:val="20"/>
                <w:szCs w:val="20"/>
              </w:rPr>
              <w:t>TBD</w:t>
            </w:r>
          </w:p>
        </w:tc>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tcPr>
          <w:p w14:paraId="1C3ABAE6" w14:textId="77777777" w:rsidR="00A11C44" w:rsidRPr="00AB4C0F" w:rsidRDefault="00A11C44" w:rsidP="00BC7E07">
            <w:pPr>
              <w:spacing w:line="240" w:lineRule="auto"/>
              <w:ind w:firstLine="0"/>
              <w:rPr>
                <w:rFonts w:cs="Calibri"/>
                <w:sz w:val="20"/>
                <w:szCs w:val="20"/>
              </w:rPr>
            </w:pPr>
            <w:r w:rsidRPr="00AB4C0F">
              <w:rPr>
                <w:rFonts w:cs="Calibri"/>
                <w:sz w:val="20"/>
                <w:szCs w:val="20"/>
              </w:rPr>
              <w:t>A variety of future programs will incentivize electric device/appliance retrofits as well as potentially all-electric new building construction. Existing energy efficiency programs currently provide incentives to retrofit electric resistance hot water heaters with HPWHs.</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14:paraId="1420BFBB" w14:textId="77777777" w:rsidR="00A11C44" w:rsidRPr="00AB4C0F" w:rsidRDefault="00A11C44" w:rsidP="00BC7E07">
            <w:pPr>
              <w:spacing w:line="240" w:lineRule="auto"/>
              <w:ind w:firstLine="0"/>
              <w:rPr>
                <w:rFonts w:cs="Calibri"/>
                <w:sz w:val="20"/>
                <w:szCs w:val="20"/>
              </w:rPr>
            </w:pPr>
            <w:r w:rsidRPr="00AB4C0F">
              <w:rPr>
                <w:rFonts w:cs="Calibri"/>
                <w:sz w:val="20"/>
                <w:szCs w:val="20"/>
              </w:rPr>
              <w:t>The CPUC is reviewing 11 Fuel Substitution work papers including residential and commercial HPWH measures.</w:t>
            </w:r>
          </w:p>
        </w:tc>
      </w:tr>
      <w:tr w:rsidR="00A11C44" w:rsidRPr="00AB4C0F" w14:paraId="72D2740E" w14:textId="77777777" w:rsidTr="00BC7E07">
        <w:trPr>
          <w:trHeight w:val="404"/>
        </w:trPr>
        <w:tc>
          <w:tcPr>
            <w:tcW w:w="5000" w:type="pct"/>
            <w:gridSpan w:val="6"/>
            <w:shd w:val="clear" w:color="auto" w:fill="FFFFFF" w:themeFill="background1"/>
            <w:vAlign w:val="center"/>
          </w:tcPr>
          <w:p w14:paraId="01F6C439" w14:textId="77777777" w:rsidR="00A11C44" w:rsidRPr="00AB4C0F" w:rsidRDefault="00A11C44" w:rsidP="00BC7E07">
            <w:pPr>
              <w:spacing w:line="240" w:lineRule="auto"/>
              <w:rPr>
                <w:rFonts w:cs="Calibri"/>
                <w:b/>
                <w:bCs/>
                <w:color w:val="000000" w:themeColor="text1"/>
                <w:sz w:val="20"/>
                <w:szCs w:val="20"/>
              </w:rPr>
            </w:pPr>
            <w:r w:rsidRPr="00AB4C0F">
              <w:rPr>
                <w:rFonts w:cs="Calibri"/>
                <w:b/>
                <w:bCs/>
                <w:color w:val="000000" w:themeColor="text1"/>
                <w:sz w:val="20"/>
                <w:szCs w:val="20"/>
              </w:rPr>
              <w:t xml:space="preserve">Total CPUC Potential Program Incentive Funding </w:t>
            </w:r>
            <w:r>
              <w:rPr>
                <w:rFonts w:cs="Calibri"/>
                <w:b/>
                <w:bCs/>
                <w:color w:val="000000" w:themeColor="text1"/>
                <w:sz w:val="20"/>
                <w:szCs w:val="20"/>
              </w:rPr>
              <w:t>T</w:t>
            </w:r>
            <w:r w:rsidRPr="00AB4C0F">
              <w:rPr>
                <w:rFonts w:cs="Calibri"/>
                <w:b/>
                <w:bCs/>
                <w:color w:val="000000" w:themeColor="text1"/>
                <w:sz w:val="20"/>
                <w:szCs w:val="20"/>
              </w:rPr>
              <w:t>hrough 2024</w:t>
            </w:r>
            <w:r>
              <w:rPr>
                <w:rFonts w:cs="Calibri"/>
                <w:b/>
                <w:bCs/>
                <w:color w:val="000000" w:themeColor="text1"/>
                <w:sz w:val="20"/>
                <w:szCs w:val="20"/>
              </w:rPr>
              <w:t>:</w:t>
            </w:r>
            <w:r w:rsidRPr="00AB4C0F">
              <w:rPr>
                <w:rFonts w:cs="Calibri"/>
                <w:b/>
                <w:bCs/>
                <w:color w:val="000000" w:themeColor="text1"/>
                <w:sz w:val="20"/>
                <w:szCs w:val="20"/>
              </w:rPr>
              <w:t xml:space="preserve"> $381.5</w:t>
            </w:r>
          </w:p>
        </w:tc>
      </w:tr>
    </w:tbl>
    <w:p w14:paraId="0EBB2385" w14:textId="77777777" w:rsidR="00A11C44" w:rsidRPr="00AE1806" w:rsidRDefault="00A11C44" w:rsidP="00A11C44">
      <w:pPr>
        <w:ind w:firstLine="0"/>
        <w:rPr>
          <w:rFonts w:ascii="Arial" w:hAnsi="Arial" w:cs="Arial"/>
          <w:b/>
          <w:bCs/>
        </w:rPr>
      </w:pPr>
    </w:p>
    <w:p w14:paraId="3C4E550C" w14:textId="77777777" w:rsidR="00A11C44" w:rsidRDefault="00A11C44" w:rsidP="00A11C44">
      <w:pPr>
        <w:ind w:firstLine="0"/>
      </w:pPr>
    </w:p>
    <w:p w14:paraId="24217BE3" w14:textId="77777777" w:rsidR="00A11C44" w:rsidRPr="00A42547" w:rsidRDefault="00A11C44" w:rsidP="00A11C44">
      <w:pPr>
        <w:jc w:val="center"/>
        <w:rPr>
          <w:rFonts w:ascii="Arial" w:hAnsi="Arial" w:cs="Arial"/>
          <w:b/>
          <w:bCs/>
          <w:szCs w:val="26"/>
        </w:rPr>
      </w:pPr>
      <w:r w:rsidRPr="00A42547">
        <w:rPr>
          <w:rFonts w:ascii="Arial" w:hAnsi="Arial" w:cs="Arial"/>
          <w:b/>
          <w:bCs/>
          <w:szCs w:val="26"/>
        </w:rPr>
        <w:t xml:space="preserve">(End of Appendix </w:t>
      </w:r>
      <w:r>
        <w:rPr>
          <w:rFonts w:ascii="Arial" w:hAnsi="Arial" w:cs="Arial"/>
          <w:b/>
          <w:bCs/>
          <w:szCs w:val="26"/>
        </w:rPr>
        <w:t>A</w:t>
      </w:r>
      <w:r w:rsidRPr="00A42547">
        <w:rPr>
          <w:rFonts w:ascii="Arial" w:hAnsi="Arial" w:cs="Arial"/>
          <w:b/>
          <w:bCs/>
          <w:szCs w:val="26"/>
        </w:rPr>
        <w:t>)</w:t>
      </w:r>
    </w:p>
    <w:p w14:paraId="1E01674F" w14:textId="09CE1465" w:rsidR="00714CF2" w:rsidRPr="00A42547" w:rsidRDefault="00714CF2" w:rsidP="00A11C44">
      <w:pPr>
        <w:pStyle w:val="Bullet1"/>
        <w:rPr>
          <w:rFonts w:ascii="Arial" w:hAnsi="Arial" w:cs="Arial"/>
          <w:b/>
          <w:bCs/>
          <w:szCs w:val="26"/>
        </w:rPr>
      </w:pPr>
    </w:p>
    <w:sectPr w:rsidR="00714CF2" w:rsidRPr="00A42547" w:rsidSect="00D44DB6">
      <w:headerReference w:type="default" r:id="rId19"/>
      <w:footerReference w:type="default" r:id="rId20"/>
      <w:pgSz w:w="12240" w:h="15840"/>
      <w:pgMar w:top="172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62FE5" w14:textId="77777777" w:rsidR="004371EB" w:rsidRDefault="004371EB" w:rsidP="0098138E">
      <w:pPr>
        <w:spacing w:line="240" w:lineRule="auto"/>
      </w:pPr>
      <w:r>
        <w:separator/>
      </w:r>
    </w:p>
  </w:endnote>
  <w:endnote w:type="continuationSeparator" w:id="0">
    <w:p w14:paraId="1ED6B1E5" w14:textId="77777777" w:rsidR="004371EB" w:rsidRDefault="004371EB" w:rsidP="0098138E">
      <w:pPr>
        <w:spacing w:line="240" w:lineRule="auto"/>
      </w:pPr>
      <w:r>
        <w:continuationSeparator/>
      </w:r>
    </w:p>
  </w:endnote>
  <w:endnote w:type="continuationNotice" w:id="1">
    <w:p w14:paraId="3FC5741E" w14:textId="77777777" w:rsidR="004371EB" w:rsidRDefault="004371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2">
    <w:altName w:val="Calibr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C6B8" w14:textId="27BCB261" w:rsidR="00440A15" w:rsidRPr="00356C2A" w:rsidRDefault="0045654B" w:rsidP="00FC0322">
    <w:pPr>
      <w:pStyle w:val="Footer"/>
      <w:tabs>
        <w:tab w:val="left" w:pos="2630"/>
      </w:tabs>
      <w:ind w:firstLine="0"/>
      <w:rPr>
        <w:szCs w:val="26"/>
      </w:rPr>
    </w:pPr>
    <w:r>
      <w:rPr>
        <w:rFonts w:ascii="Tahoma" w:hAnsi="Tahoma" w:cs="Tahoma"/>
        <w:sz w:val="17"/>
        <w:szCs w:val="17"/>
      </w:rPr>
      <w:t>331772660</w:t>
    </w:r>
    <w:r w:rsidR="00440A15">
      <w:rPr>
        <w:rFonts w:ascii="Tahoma" w:hAnsi="Tahoma" w:cs="Tahoma"/>
        <w:sz w:val="17"/>
        <w:szCs w:val="17"/>
      </w:rPr>
      <w:tab/>
    </w:r>
    <w:r w:rsidR="00FC0322">
      <w:rPr>
        <w:rFonts w:ascii="Tahoma" w:hAnsi="Tahoma" w:cs="Tahoma"/>
        <w:sz w:val="17"/>
        <w:szCs w:val="17"/>
      </w:rPr>
      <w:tab/>
    </w:r>
    <w:r w:rsidR="00440A15" w:rsidRPr="00356C2A">
      <w:rPr>
        <w:rFonts w:ascii="Tahoma" w:hAnsi="Tahoma" w:cs="Tahoma"/>
        <w:noProof/>
        <w:szCs w:val="26"/>
      </w:rPr>
      <w:t xml:space="preserve">- </w:t>
    </w:r>
    <w:r w:rsidR="00440A15" w:rsidRPr="00356C2A">
      <w:rPr>
        <w:rFonts w:ascii="Tahoma" w:hAnsi="Tahoma" w:cs="Tahoma"/>
        <w:szCs w:val="26"/>
      </w:rPr>
      <w:fldChar w:fldCharType="begin"/>
    </w:r>
    <w:r w:rsidR="00440A15" w:rsidRPr="00356C2A">
      <w:rPr>
        <w:rFonts w:ascii="Tahoma" w:hAnsi="Tahoma" w:cs="Tahoma"/>
        <w:szCs w:val="26"/>
      </w:rPr>
      <w:instrText xml:space="preserve"> PAGE   \* MERGEFORMAT </w:instrText>
    </w:r>
    <w:r w:rsidR="00440A15" w:rsidRPr="00356C2A">
      <w:rPr>
        <w:rFonts w:ascii="Tahoma" w:hAnsi="Tahoma" w:cs="Tahoma"/>
        <w:szCs w:val="26"/>
      </w:rPr>
      <w:fldChar w:fldCharType="separate"/>
    </w:r>
    <w:r w:rsidR="00081764">
      <w:rPr>
        <w:rFonts w:ascii="Tahoma" w:hAnsi="Tahoma" w:cs="Tahoma"/>
        <w:noProof/>
        <w:szCs w:val="26"/>
      </w:rPr>
      <w:t>1</w:t>
    </w:r>
    <w:r w:rsidR="00440A15" w:rsidRPr="00356C2A">
      <w:rPr>
        <w:rFonts w:ascii="Tahoma" w:hAnsi="Tahoma" w:cs="Tahoma"/>
        <w:noProof/>
        <w:szCs w:val="26"/>
      </w:rPr>
      <w:fldChar w:fldCharType="end"/>
    </w:r>
    <w:r w:rsidR="00440A15">
      <w:rPr>
        <w:rFonts w:ascii="Tahoma" w:hAnsi="Tahoma" w:cs="Tahoma"/>
        <w:noProof/>
        <w:szCs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CF6D5" w14:textId="77777777" w:rsidR="00440A15" w:rsidRDefault="00440A15"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1764">
          <w:rPr>
            <w:noProof/>
          </w:rPr>
          <w:t>iii</w:t>
        </w:r>
        <w:r>
          <w:rPr>
            <w:noProof/>
          </w:rPr>
          <w:fldChar w:fldCharType="end"/>
        </w:r>
        <w:r>
          <w:rPr>
            <w:noProof/>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A356" w14:textId="77777777" w:rsidR="00440A15" w:rsidRDefault="00440A15" w:rsidP="007E0FEE">
    <w:pPr>
      <w:ind w:firstLine="0"/>
      <w:jc w:val="center"/>
    </w:pPr>
    <w:r>
      <w:t>-</w:t>
    </w:r>
    <w:sdt>
      <w:sdtPr>
        <w:id w:val="-103404340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081764">
          <w:rPr>
            <w:noProof/>
          </w:rPr>
          <w:t>116</w:t>
        </w:r>
        <w:r>
          <w:rPr>
            <w:noProof/>
          </w:rPr>
          <w:fldChar w:fldCharType="end"/>
        </w:r>
        <w:r>
          <w:rPr>
            <w:noProof/>
          </w:rPr>
          <w:t xml:space="preserve"> -</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68EF" w14:textId="465A5815" w:rsidR="00440A15" w:rsidRPr="007C670B" w:rsidRDefault="00440A15" w:rsidP="007C67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2DE85" w14:textId="13638F95" w:rsidR="00440A15" w:rsidRDefault="00440A15" w:rsidP="007E0FEE">
    <w:pPr>
      <w:ind w:firstLine="0"/>
      <w:jc w:val="center"/>
    </w:pPr>
    <w:r>
      <w:t>- A</w:t>
    </w:r>
    <w:sdt>
      <w:sdtPr>
        <w:id w:val="-4633538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1764">
          <w:rPr>
            <w:noProof/>
          </w:rPr>
          <w:t>6</w:t>
        </w:r>
        <w:r>
          <w:rPr>
            <w:noProof/>
          </w:rPr>
          <w:fldChar w:fldCharType="end"/>
        </w:r>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EDFCE" w14:textId="77777777" w:rsidR="004371EB" w:rsidRDefault="004371EB" w:rsidP="00DF58E7">
      <w:pPr>
        <w:spacing w:line="240" w:lineRule="auto"/>
        <w:ind w:firstLine="0"/>
      </w:pPr>
      <w:r>
        <w:separator/>
      </w:r>
    </w:p>
  </w:footnote>
  <w:footnote w:type="continuationSeparator" w:id="0">
    <w:p w14:paraId="0446A734" w14:textId="77777777" w:rsidR="004371EB" w:rsidRDefault="004371EB" w:rsidP="00DF58E7">
      <w:pPr>
        <w:spacing w:line="240" w:lineRule="auto"/>
        <w:ind w:firstLine="0"/>
      </w:pPr>
      <w:r>
        <w:continuationSeparator/>
      </w:r>
    </w:p>
  </w:footnote>
  <w:footnote w:type="continuationNotice" w:id="1">
    <w:p w14:paraId="196F538C" w14:textId="77777777" w:rsidR="004371EB" w:rsidRPr="00DF58E7" w:rsidRDefault="004371EB" w:rsidP="00DF58E7">
      <w:pPr>
        <w:spacing w:line="240" w:lineRule="auto"/>
        <w:ind w:firstLine="0"/>
        <w:jc w:val="right"/>
        <w:rPr>
          <w:i/>
          <w:sz w:val="22"/>
        </w:rPr>
      </w:pPr>
    </w:p>
  </w:footnote>
  <w:footnote w:id="2">
    <w:p w14:paraId="68EF4E2B" w14:textId="2910C46D" w:rsidR="00440A15" w:rsidRPr="000C4DB5" w:rsidRDefault="00440A15" w:rsidP="00304706">
      <w:pPr>
        <w:pStyle w:val="FootnoteText"/>
        <w:rPr>
          <w:szCs w:val="22"/>
        </w:rPr>
      </w:pPr>
      <w:r w:rsidRPr="000C4DB5">
        <w:rPr>
          <w:rStyle w:val="FootnoteReference"/>
          <w:szCs w:val="22"/>
        </w:rPr>
        <w:footnoteRef/>
      </w:r>
      <w:r w:rsidRPr="000C4DB5">
        <w:rPr>
          <w:szCs w:val="22"/>
        </w:rPr>
        <w:t xml:space="preserve"> Fiscal Year</w:t>
      </w:r>
      <w:r>
        <w:rPr>
          <w:szCs w:val="22"/>
        </w:rPr>
        <w:t xml:space="preserve"> (FY)</w:t>
      </w:r>
      <w:r w:rsidRPr="000C4DB5">
        <w:rPr>
          <w:szCs w:val="22"/>
        </w:rPr>
        <w:t xml:space="preserve"> 2019-2020 to </w:t>
      </w:r>
      <w:r>
        <w:rPr>
          <w:szCs w:val="22"/>
        </w:rPr>
        <w:t>FY</w:t>
      </w:r>
      <w:r w:rsidRPr="000C4DB5">
        <w:rPr>
          <w:szCs w:val="22"/>
        </w:rPr>
        <w:t xml:space="preserve"> 2022-23. </w:t>
      </w:r>
    </w:p>
  </w:footnote>
  <w:footnote w:id="3">
    <w:p w14:paraId="119014DF" w14:textId="6533071E" w:rsidR="00440A15" w:rsidRDefault="00440A15">
      <w:pPr>
        <w:pStyle w:val="FootnoteText"/>
      </w:pPr>
      <w:r>
        <w:rPr>
          <w:rStyle w:val="FootnoteReference"/>
        </w:rPr>
        <w:footnoteRef/>
      </w:r>
      <w:r>
        <w:t xml:space="preserve"> Four gas corporations currently participate in California’s Cap-and-Trade program:  Southern California Gas Company, Pacific Gas &amp; Electric Company, San Diego Gas &amp; Electric Company, and Southwest Gas Corporation.</w:t>
      </w:r>
    </w:p>
  </w:footnote>
  <w:footnote w:id="4">
    <w:p w14:paraId="3F96A6EF" w14:textId="1B5F6B77" w:rsidR="00440A15" w:rsidRPr="000C4DB5" w:rsidRDefault="00440A15" w:rsidP="00304706">
      <w:pPr>
        <w:pStyle w:val="FootnoteText"/>
        <w:rPr>
          <w:szCs w:val="22"/>
        </w:rPr>
      </w:pPr>
      <w:r w:rsidRPr="000C4DB5">
        <w:rPr>
          <w:rStyle w:val="FootnoteReference"/>
          <w:szCs w:val="22"/>
        </w:rPr>
        <w:footnoteRef/>
      </w:r>
      <w:r w:rsidRPr="000C4DB5">
        <w:rPr>
          <w:szCs w:val="22"/>
        </w:rPr>
        <w:t xml:space="preserve"> </w:t>
      </w:r>
      <w:r w:rsidRPr="000972EA">
        <w:rPr>
          <w:i/>
          <w:iCs/>
          <w:szCs w:val="22"/>
        </w:rPr>
        <w:t>See</w:t>
      </w:r>
      <w:r w:rsidRPr="000C4DB5">
        <w:rPr>
          <w:szCs w:val="22"/>
        </w:rPr>
        <w:t xml:space="preserve"> Title 17 of the California Code of Regulations Section 95893(d)(3):</w:t>
      </w:r>
      <w:r>
        <w:rPr>
          <w:szCs w:val="22"/>
        </w:rPr>
        <w:t xml:space="preserve"> </w:t>
      </w:r>
      <w:r w:rsidRPr="000C4DB5">
        <w:rPr>
          <w:szCs w:val="22"/>
        </w:rPr>
        <w:t xml:space="preserve"> “Allowance value, including any allocated allowance auction proceeds, obtained by a natural gas supplier must be used for the primary benefit of retail natural gas ratepayers of each natural gas supplier, consistent with the goals of A</w:t>
      </w:r>
      <w:r>
        <w:rPr>
          <w:szCs w:val="22"/>
        </w:rPr>
        <w:t xml:space="preserve">ssembly </w:t>
      </w:r>
      <w:r w:rsidRPr="000C4DB5">
        <w:rPr>
          <w:szCs w:val="22"/>
        </w:rPr>
        <w:t>B</w:t>
      </w:r>
      <w:r>
        <w:rPr>
          <w:szCs w:val="22"/>
        </w:rPr>
        <w:t>ill</w:t>
      </w:r>
      <w:r w:rsidRPr="000C4DB5">
        <w:rPr>
          <w:szCs w:val="22"/>
        </w:rPr>
        <w:t xml:space="preserve"> 32, and may not be used for the benefit of entities or persons other than such ratepayers.”</w:t>
      </w:r>
    </w:p>
  </w:footnote>
  <w:footnote w:id="5">
    <w:p w14:paraId="070EBA66" w14:textId="50E4FAF2" w:rsidR="00440A15" w:rsidRDefault="00440A15">
      <w:pPr>
        <w:pStyle w:val="FootnoteText"/>
      </w:pPr>
      <w:r>
        <w:rPr>
          <w:rStyle w:val="FootnoteReference"/>
        </w:rPr>
        <w:footnoteRef/>
      </w:r>
      <w:r>
        <w:t xml:space="preserve"> </w:t>
      </w:r>
      <w:r>
        <w:rPr>
          <w:szCs w:val="22"/>
        </w:rPr>
        <w:t xml:space="preserve">“Commission oversight,” is defined as activities typically performed by the CPUC where ratepayer funds are expended for public interest purposes. For example, the CPUC retains ultimate policy oversight in the areas of energy efficiency, demand response, renewables, and general procurement of electricity.  </w:t>
      </w:r>
      <w:r w:rsidRPr="000C4DB5">
        <w:rPr>
          <w:szCs w:val="22"/>
        </w:rPr>
        <w:t>Staff Proposal</w:t>
      </w:r>
      <w:r>
        <w:rPr>
          <w:szCs w:val="22"/>
        </w:rPr>
        <w:t>, Section 4.2</w:t>
      </w:r>
      <w:r w:rsidRPr="000C4DB5">
        <w:rPr>
          <w:szCs w:val="22"/>
        </w:rPr>
        <w:t>.</w:t>
      </w:r>
    </w:p>
  </w:footnote>
  <w:footnote w:id="6">
    <w:p w14:paraId="6CD89D67" w14:textId="42B7D935" w:rsidR="00440A15" w:rsidRDefault="00440A15">
      <w:pPr>
        <w:pStyle w:val="FootnoteText"/>
      </w:pPr>
      <w:r>
        <w:rPr>
          <w:rStyle w:val="FootnoteReference"/>
        </w:rPr>
        <w:footnoteRef/>
      </w:r>
      <w:r>
        <w:t xml:space="preserve"> </w:t>
      </w:r>
      <w:r w:rsidRPr="00F14BCE">
        <w:rPr>
          <w:i/>
          <w:iCs/>
        </w:rPr>
        <w:t xml:space="preserve">See </w:t>
      </w:r>
      <w:r>
        <w:t>Section 100.1 of Part 6 of Title 24 of the California Code of Regulations (California Energy Code).</w:t>
      </w:r>
    </w:p>
  </w:footnote>
  <w:footnote w:id="7">
    <w:p w14:paraId="327E1360" w14:textId="322E10CF" w:rsidR="00440A15" w:rsidRDefault="00440A15">
      <w:pPr>
        <w:pStyle w:val="FootnoteText"/>
      </w:pPr>
      <w:r>
        <w:rPr>
          <w:rStyle w:val="FootnoteReference"/>
        </w:rPr>
        <w:footnoteRef/>
      </w:r>
      <w:r>
        <w:t xml:space="preserve"> </w:t>
      </w:r>
      <w:r w:rsidRPr="00F14BCE">
        <w:rPr>
          <w:i/>
          <w:iCs/>
        </w:rPr>
        <w:t>See</w:t>
      </w:r>
      <w:r>
        <w:t xml:space="preserve"> Chapter 15.06.030 Section R202 of the California Residential Building Code.</w:t>
      </w:r>
    </w:p>
  </w:footnote>
  <w:footnote w:id="8">
    <w:p w14:paraId="0DB86E25" w14:textId="77777777" w:rsidR="00440A15" w:rsidRPr="000C4DB5" w:rsidRDefault="00440A15" w:rsidP="000007B4">
      <w:pPr>
        <w:pStyle w:val="FootnoteText"/>
        <w:rPr>
          <w:szCs w:val="22"/>
        </w:rPr>
      </w:pPr>
      <w:r w:rsidRPr="000C4DB5">
        <w:rPr>
          <w:rStyle w:val="FootnoteReference"/>
          <w:szCs w:val="22"/>
        </w:rPr>
        <w:footnoteRef/>
      </w:r>
      <w:r w:rsidRPr="000C4DB5">
        <w:rPr>
          <w:szCs w:val="22"/>
        </w:rPr>
        <w:t xml:space="preserve"> All subsequent references are to the Public Utilities Code unless otherwise specified. </w:t>
      </w:r>
    </w:p>
  </w:footnote>
  <w:footnote w:id="9">
    <w:p w14:paraId="5ADE30B2" w14:textId="77777777" w:rsidR="00440A15" w:rsidRDefault="00440A15" w:rsidP="00297A1F">
      <w:pPr>
        <w:pStyle w:val="FootnoteText"/>
      </w:pPr>
      <w:r>
        <w:rPr>
          <w:rStyle w:val="FootnoteReference"/>
        </w:rPr>
        <w:footnoteRef/>
      </w:r>
      <w:r>
        <w:t xml:space="preserve"> The California Energy Code is updated every three years.  References to the California Energy Code used in this decision mean the iteration of the code that the building project applying for the incentive will be built to.</w:t>
      </w:r>
    </w:p>
  </w:footnote>
  <w:footnote w:id="10">
    <w:p w14:paraId="6BD46BE9" w14:textId="13A031B6" w:rsidR="00440A15" w:rsidRDefault="00440A15">
      <w:pPr>
        <w:pStyle w:val="FootnoteText"/>
      </w:pPr>
      <w:r>
        <w:rPr>
          <w:rStyle w:val="FootnoteReference"/>
        </w:rPr>
        <w:footnoteRef/>
      </w:r>
      <w:r>
        <w:t xml:space="preserve"> </w:t>
      </w:r>
      <w:r w:rsidRPr="000C4DB5">
        <w:rPr>
          <w:szCs w:val="22"/>
        </w:rPr>
        <w:t xml:space="preserve">Pub. Util. Code § 921.1(c)(1).  </w:t>
      </w:r>
    </w:p>
  </w:footnote>
  <w:footnote w:id="11">
    <w:p w14:paraId="18545FE1" w14:textId="1FFAA1B8" w:rsidR="00440A15" w:rsidRPr="00F8739D" w:rsidRDefault="00440A15">
      <w:pPr>
        <w:pStyle w:val="FootnoteText"/>
        <w:rPr>
          <w:i/>
          <w:iCs/>
        </w:rPr>
      </w:pPr>
      <w:r>
        <w:rPr>
          <w:rStyle w:val="FootnoteReference"/>
        </w:rPr>
        <w:footnoteRef/>
      </w:r>
      <w:r>
        <w:t xml:space="preserve"> </w:t>
      </w:r>
      <w:r>
        <w:rPr>
          <w:i/>
          <w:iCs/>
        </w:rPr>
        <w:t>Id.</w:t>
      </w:r>
    </w:p>
  </w:footnote>
  <w:footnote w:id="12">
    <w:p w14:paraId="1EB41BD4" w14:textId="77777777" w:rsidR="00440A15" w:rsidRPr="000C4DB5" w:rsidRDefault="00440A15" w:rsidP="00297A1F">
      <w:pPr>
        <w:pStyle w:val="FootnoteText"/>
        <w:rPr>
          <w:szCs w:val="22"/>
        </w:rPr>
      </w:pPr>
      <w:r w:rsidRPr="000C4DB5">
        <w:rPr>
          <w:rStyle w:val="FootnoteReference"/>
          <w:szCs w:val="22"/>
        </w:rPr>
        <w:footnoteRef/>
      </w:r>
      <w:r w:rsidRPr="000C4DB5">
        <w:rPr>
          <w:szCs w:val="22"/>
        </w:rPr>
        <w:t xml:space="preserve"> Pub. Util. Code § 921.1(b) and § 921.1(d)(2).</w:t>
      </w:r>
    </w:p>
  </w:footnote>
  <w:footnote w:id="13">
    <w:p w14:paraId="1A93B479" w14:textId="77777777" w:rsidR="00440A15" w:rsidRPr="000C4DB5" w:rsidRDefault="00440A15" w:rsidP="000007B4">
      <w:pPr>
        <w:pStyle w:val="FootnoteText"/>
        <w:rPr>
          <w:szCs w:val="22"/>
        </w:rPr>
      </w:pPr>
      <w:r w:rsidRPr="000C4DB5">
        <w:rPr>
          <w:rStyle w:val="FootnoteReference"/>
          <w:szCs w:val="22"/>
        </w:rPr>
        <w:footnoteRef/>
      </w:r>
      <w:r w:rsidRPr="000C4DB5">
        <w:rPr>
          <w:szCs w:val="22"/>
        </w:rPr>
        <w:t xml:space="preserve"> Pub. Util. Code § 921.1(d)(3).</w:t>
      </w:r>
    </w:p>
  </w:footnote>
  <w:footnote w:id="14">
    <w:p w14:paraId="2F7F54A2" w14:textId="77777777" w:rsidR="00440A15" w:rsidRPr="000C4DB5" w:rsidRDefault="00440A15" w:rsidP="000007B4">
      <w:pPr>
        <w:pStyle w:val="FootnoteText"/>
        <w:rPr>
          <w:szCs w:val="22"/>
        </w:rPr>
      </w:pPr>
      <w:r w:rsidRPr="000C4DB5">
        <w:rPr>
          <w:rStyle w:val="FootnoteReference"/>
          <w:szCs w:val="22"/>
        </w:rPr>
        <w:footnoteRef/>
      </w:r>
      <w:r w:rsidRPr="000C4DB5">
        <w:rPr>
          <w:szCs w:val="22"/>
        </w:rPr>
        <w:t xml:space="preserve"> Pub. Util. Code § 921.1(d)(5).</w:t>
      </w:r>
    </w:p>
  </w:footnote>
  <w:footnote w:id="15">
    <w:p w14:paraId="42DE9A0D" w14:textId="21100FDD" w:rsidR="00440A15" w:rsidRPr="000C4DB5" w:rsidRDefault="00440A15" w:rsidP="000007B4">
      <w:pPr>
        <w:pStyle w:val="FootnoteText"/>
        <w:rPr>
          <w:szCs w:val="22"/>
        </w:rPr>
      </w:pPr>
      <w:r w:rsidRPr="000C4DB5">
        <w:rPr>
          <w:rStyle w:val="FootnoteReference"/>
          <w:szCs w:val="22"/>
        </w:rPr>
        <w:footnoteRef/>
      </w:r>
      <w:r w:rsidRPr="000C4DB5">
        <w:rPr>
          <w:szCs w:val="22"/>
        </w:rPr>
        <w:t xml:space="preserve"> Pub. </w:t>
      </w:r>
      <w:r w:rsidRPr="003427A9">
        <w:rPr>
          <w:szCs w:val="22"/>
        </w:rPr>
        <w:t>Util. Code § 921.1(</w:t>
      </w:r>
      <w:r>
        <w:rPr>
          <w:szCs w:val="22"/>
        </w:rPr>
        <w:t>a</w:t>
      </w:r>
      <w:r w:rsidRPr="003427A9">
        <w:rPr>
          <w:szCs w:val="22"/>
        </w:rPr>
        <w:t xml:space="preserve">) </w:t>
      </w:r>
      <w:r>
        <w:rPr>
          <w:szCs w:val="22"/>
        </w:rPr>
        <w:t>requires that incentives be provided to significantly reduce</w:t>
      </w:r>
      <w:r w:rsidRPr="003427A9">
        <w:rPr>
          <w:szCs w:val="22"/>
        </w:rPr>
        <w:t xml:space="preserve"> </w:t>
      </w:r>
      <w:r>
        <w:rPr>
          <w:szCs w:val="22"/>
        </w:rPr>
        <w:t>emissions of GHGs that would otherwise be expected to result from compliance with the prescriptive building energy standards established under Section 150.1 of Subchapter 8 of Part 6 of Title 24 of the California Code of Regulations (California Energy Code).</w:t>
      </w:r>
      <w:r w:rsidRPr="003427A9">
        <w:rPr>
          <w:szCs w:val="22"/>
        </w:rPr>
        <w:t xml:space="preserve"> </w:t>
      </w:r>
      <w:r>
        <w:rPr>
          <w:szCs w:val="22"/>
        </w:rPr>
        <w:t xml:space="preserve"> </w:t>
      </w:r>
      <w:r w:rsidRPr="000C4DB5">
        <w:rPr>
          <w:szCs w:val="22"/>
        </w:rPr>
        <w:t>Pub. Util. Code §</w:t>
      </w:r>
      <w:r>
        <w:rPr>
          <w:szCs w:val="22"/>
        </w:rPr>
        <w:t xml:space="preserve">  </w:t>
      </w:r>
      <w:r w:rsidRPr="000C4DB5">
        <w:rPr>
          <w:szCs w:val="22"/>
        </w:rPr>
        <w:t xml:space="preserve">921.1(b) states that the amount of the incentive must be set in consideration of </w:t>
      </w:r>
      <w:r>
        <w:rPr>
          <w:szCs w:val="22"/>
        </w:rPr>
        <w:t xml:space="preserve">other </w:t>
      </w:r>
      <w:r w:rsidRPr="000C4DB5">
        <w:rPr>
          <w:szCs w:val="22"/>
        </w:rPr>
        <w:t xml:space="preserve">existing available incentives and </w:t>
      </w:r>
      <w:r>
        <w:rPr>
          <w:szCs w:val="22"/>
        </w:rPr>
        <w:t xml:space="preserve">the </w:t>
      </w:r>
      <w:r w:rsidRPr="000C4DB5">
        <w:rPr>
          <w:szCs w:val="22"/>
        </w:rPr>
        <w:t>amount of expected GHG emission reductions.</w:t>
      </w:r>
    </w:p>
  </w:footnote>
  <w:footnote w:id="16">
    <w:p w14:paraId="70C8BE56" w14:textId="3916DEF1" w:rsidR="00440A15" w:rsidRPr="000C4DB5" w:rsidRDefault="00440A15" w:rsidP="000007B4">
      <w:pPr>
        <w:pStyle w:val="FootnoteText"/>
        <w:rPr>
          <w:szCs w:val="22"/>
        </w:rPr>
      </w:pPr>
      <w:r w:rsidRPr="000C4DB5">
        <w:rPr>
          <w:rStyle w:val="FootnoteReference"/>
          <w:szCs w:val="22"/>
        </w:rPr>
        <w:footnoteRef/>
      </w:r>
      <w:r w:rsidRPr="000C4DB5">
        <w:rPr>
          <w:szCs w:val="22"/>
        </w:rPr>
        <w:t xml:space="preserve"> Pub. Util. Code § 921.1(d)(4)(A) states that the BUILD </w:t>
      </w:r>
      <w:r>
        <w:rPr>
          <w:szCs w:val="22"/>
        </w:rPr>
        <w:t>P</w:t>
      </w:r>
      <w:r w:rsidRPr="000C4DB5">
        <w:rPr>
          <w:szCs w:val="22"/>
        </w:rPr>
        <w:t xml:space="preserve">rogram guidelines must include, at a minimum: </w:t>
      </w:r>
      <w:r>
        <w:rPr>
          <w:szCs w:val="22"/>
        </w:rPr>
        <w:t xml:space="preserve"> </w:t>
      </w:r>
      <w:r w:rsidRPr="000C4DB5">
        <w:rPr>
          <w:szCs w:val="22"/>
        </w:rPr>
        <w:t xml:space="preserve">(1) </w:t>
      </w:r>
      <w:r>
        <w:rPr>
          <w:szCs w:val="22"/>
        </w:rPr>
        <w:t xml:space="preserve">a </w:t>
      </w:r>
      <w:r w:rsidRPr="000C4DB5">
        <w:rPr>
          <w:szCs w:val="22"/>
        </w:rPr>
        <w:t xml:space="preserve">list of eligible technologies; (2) </w:t>
      </w:r>
      <w:r>
        <w:rPr>
          <w:szCs w:val="22"/>
        </w:rPr>
        <w:t xml:space="preserve">a </w:t>
      </w:r>
      <w:r w:rsidRPr="000C4DB5">
        <w:rPr>
          <w:szCs w:val="22"/>
        </w:rPr>
        <w:t xml:space="preserve">process for </w:t>
      </w:r>
      <w:r>
        <w:rPr>
          <w:szCs w:val="22"/>
        </w:rPr>
        <w:t>evaluating</w:t>
      </w:r>
      <w:r w:rsidRPr="000C4DB5">
        <w:rPr>
          <w:szCs w:val="22"/>
        </w:rPr>
        <w:t xml:space="preserve"> new technologies; (3)</w:t>
      </w:r>
      <w:r>
        <w:rPr>
          <w:szCs w:val="22"/>
        </w:rPr>
        <w:t> </w:t>
      </w:r>
      <w:r w:rsidRPr="000C4DB5">
        <w:rPr>
          <w:szCs w:val="22"/>
        </w:rPr>
        <w:t xml:space="preserve">criteria for scoring and selecting projects; and (4) </w:t>
      </w:r>
      <w:r>
        <w:rPr>
          <w:szCs w:val="22"/>
        </w:rPr>
        <w:t xml:space="preserve">a </w:t>
      </w:r>
      <w:r w:rsidRPr="000C4DB5">
        <w:rPr>
          <w:szCs w:val="22"/>
        </w:rPr>
        <w:t>process and set of metrics by which to evaluate and track</w:t>
      </w:r>
      <w:r>
        <w:rPr>
          <w:szCs w:val="22"/>
        </w:rPr>
        <w:t xml:space="preserve"> the BUILD Program’s</w:t>
      </w:r>
      <w:r w:rsidRPr="000C4DB5">
        <w:rPr>
          <w:szCs w:val="22"/>
        </w:rPr>
        <w:t xml:space="preserve"> results pursuant to § 921.1(d)(4)(B). </w:t>
      </w:r>
    </w:p>
  </w:footnote>
  <w:footnote w:id="17">
    <w:p w14:paraId="603ACC5F" w14:textId="2FA2D04E" w:rsidR="00440A15" w:rsidRPr="000C4DB5" w:rsidRDefault="00440A15" w:rsidP="000007B4">
      <w:pPr>
        <w:pStyle w:val="FootnoteText"/>
        <w:rPr>
          <w:szCs w:val="22"/>
        </w:rPr>
      </w:pPr>
      <w:r w:rsidRPr="000C4DB5">
        <w:rPr>
          <w:rStyle w:val="FootnoteReference"/>
          <w:szCs w:val="22"/>
        </w:rPr>
        <w:footnoteRef/>
      </w:r>
      <w:r>
        <w:rPr>
          <w:szCs w:val="22"/>
        </w:rPr>
        <w:t xml:space="preserve"> Pub. Util. Code §§ </w:t>
      </w:r>
      <w:r w:rsidRPr="000C4DB5">
        <w:rPr>
          <w:szCs w:val="22"/>
        </w:rPr>
        <w:t>748.6 and 922(d).</w:t>
      </w:r>
    </w:p>
  </w:footnote>
  <w:footnote w:id="18">
    <w:p w14:paraId="25C763AD" w14:textId="77777777" w:rsidR="00440A15" w:rsidRPr="000C4DB5" w:rsidRDefault="00440A15" w:rsidP="000007B4">
      <w:pPr>
        <w:pStyle w:val="FootnoteText"/>
        <w:rPr>
          <w:szCs w:val="22"/>
        </w:rPr>
      </w:pPr>
      <w:r w:rsidRPr="000C4DB5">
        <w:rPr>
          <w:rStyle w:val="FootnoteReference"/>
          <w:szCs w:val="22"/>
        </w:rPr>
        <w:footnoteRef/>
      </w:r>
      <w:r w:rsidRPr="000C4DB5">
        <w:rPr>
          <w:szCs w:val="22"/>
        </w:rPr>
        <w:t xml:space="preserve"> Pub. Util. Code § 922(c)(1).</w:t>
      </w:r>
    </w:p>
  </w:footnote>
  <w:footnote w:id="19">
    <w:p w14:paraId="6D47B60B" w14:textId="1489F81C" w:rsidR="00440A15" w:rsidRPr="000C4DB5" w:rsidRDefault="00440A15" w:rsidP="000007B4">
      <w:pPr>
        <w:pStyle w:val="FootnoteText"/>
        <w:rPr>
          <w:szCs w:val="22"/>
        </w:rPr>
      </w:pPr>
      <w:r w:rsidRPr="000C4DB5">
        <w:rPr>
          <w:rStyle w:val="FootnoteReference"/>
          <w:szCs w:val="22"/>
        </w:rPr>
        <w:footnoteRef/>
      </w:r>
      <w:r w:rsidRPr="000C4DB5">
        <w:rPr>
          <w:szCs w:val="22"/>
        </w:rPr>
        <w:t xml:space="preserve"> Pub. Util. Code § 922</w:t>
      </w:r>
      <w:r w:rsidRPr="000C4DB5" w:rsidDel="004E5FEA">
        <w:rPr>
          <w:szCs w:val="22"/>
        </w:rPr>
        <w:t xml:space="preserve"> </w:t>
      </w:r>
      <w:r w:rsidRPr="000C4DB5">
        <w:rPr>
          <w:szCs w:val="22"/>
        </w:rPr>
        <w:t xml:space="preserve">(c)(2)(A) states that the TECH Initiative guidelines must include, at a minimum: </w:t>
      </w:r>
      <w:r>
        <w:rPr>
          <w:szCs w:val="22"/>
        </w:rPr>
        <w:t xml:space="preserve"> </w:t>
      </w:r>
      <w:r w:rsidRPr="000C4DB5">
        <w:rPr>
          <w:szCs w:val="22"/>
        </w:rPr>
        <w:t xml:space="preserve">(1) a list of eligible technologies; (2) a process for </w:t>
      </w:r>
      <w:r>
        <w:rPr>
          <w:szCs w:val="22"/>
        </w:rPr>
        <w:t>evaluating</w:t>
      </w:r>
      <w:r w:rsidRPr="000C4DB5">
        <w:rPr>
          <w:szCs w:val="22"/>
        </w:rPr>
        <w:t xml:space="preserve"> new technologies; and (3) a process and set of metrics by which to evaluate and track </w:t>
      </w:r>
      <w:r>
        <w:rPr>
          <w:szCs w:val="22"/>
        </w:rPr>
        <w:t xml:space="preserve">the TECH Initiatives </w:t>
      </w:r>
      <w:r w:rsidRPr="000C4DB5">
        <w:rPr>
          <w:szCs w:val="22"/>
        </w:rPr>
        <w:t>results pursuant to §</w:t>
      </w:r>
      <w:r>
        <w:rPr>
          <w:szCs w:val="22"/>
        </w:rPr>
        <w:t> </w:t>
      </w:r>
      <w:r w:rsidRPr="000C4DB5">
        <w:rPr>
          <w:szCs w:val="22"/>
        </w:rPr>
        <w:t xml:space="preserve">922(c)(2)(B). </w:t>
      </w:r>
    </w:p>
  </w:footnote>
  <w:footnote w:id="20">
    <w:p w14:paraId="731FA7CC" w14:textId="37016BBC" w:rsidR="00440A15" w:rsidRPr="000C4DB5" w:rsidRDefault="00440A15" w:rsidP="000007B4">
      <w:pPr>
        <w:pStyle w:val="FootnoteText"/>
        <w:rPr>
          <w:szCs w:val="22"/>
        </w:rPr>
      </w:pPr>
      <w:r w:rsidRPr="000C4DB5">
        <w:rPr>
          <w:rStyle w:val="FootnoteReference"/>
          <w:szCs w:val="22"/>
        </w:rPr>
        <w:footnoteRef/>
      </w:r>
      <w:r w:rsidRPr="000C4DB5">
        <w:rPr>
          <w:szCs w:val="22"/>
        </w:rPr>
        <w:t xml:space="preserve"> Pub. Util. Code § 922(c)(2)(B) states that </w:t>
      </w:r>
      <w:r>
        <w:rPr>
          <w:szCs w:val="22"/>
        </w:rPr>
        <w:t>evaluation</w:t>
      </w:r>
      <w:r w:rsidRPr="000C4DB5">
        <w:rPr>
          <w:szCs w:val="22"/>
        </w:rPr>
        <w:t xml:space="preserve"> metrics must include:</w:t>
      </w:r>
      <w:r>
        <w:rPr>
          <w:szCs w:val="22"/>
        </w:rPr>
        <w:t xml:space="preserve">  </w:t>
      </w:r>
      <w:r w:rsidRPr="000C4DB5">
        <w:rPr>
          <w:szCs w:val="22"/>
        </w:rPr>
        <w:t>(1) market share for eligible technologies; (2) projected utility bill savings; and (3) cost per metric ton of avoided GHG emissions.</w:t>
      </w:r>
    </w:p>
  </w:footnote>
  <w:footnote w:id="21">
    <w:p w14:paraId="2E39A891" w14:textId="33BBAA5B" w:rsidR="00440A15" w:rsidRDefault="00440A15">
      <w:pPr>
        <w:pStyle w:val="FootnoteText"/>
      </w:pPr>
      <w:r>
        <w:rPr>
          <w:rStyle w:val="FootnoteReference"/>
        </w:rPr>
        <w:footnoteRef/>
      </w:r>
      <w:r>
        <w:t xml:space="preserve"> </w:t>
      </w:r>
      <w:r w:rsidRPr="00A0722C">
        <w:rPr>
          <w:i/>
          <w:iCs/>
        </w:rPr>
        <w:t>See</w:t>
      </w:r>
      <w:r>
        <w:t xml:space="preserve">: </w:t>
      </w:r>
      <w:hyperlink r:id="rId1" w:history="1">
        <w:r w:rsidRPr="00C751A0">
          <w:rPr>
            <w:rStyle w:val="Hyperlink"/>
          </w:rPr>
          <w:t>https://www.cpuc.ca.gov/WorkArea/DownloadAsset.aspx?id=6442462255</w:t>
        </w:r>
      </w:hyperlink>
    </w:p>
  </w:footnote>
  <w:footnote w:id="22">
    <w:p w14:paraId="5E965C65" w14:textId="77777777" w:rsidR="00440A15" w:rsidRDefault="00440A15" w:rsidP="00594C1E">
      <w:pPr>
        <w:pStyle w:val="FootnoteText"/>
      </w:pPr>
      <w:r>
        <w:rPr>
          <w:rStyle w:val="FootnoteReference"/>
        </w:rPr>
        <w:footnoteRef/>
      </w:r>
      <w:r>
        <w:t xml:space="preserve"> </w:t>
      </w:r>
      <w:r w:rsidRPr="00FC5F9C">
        <w:rPr>
          <w:i/>
          <w:iCs/>
        </w:rPr>
        <w:t>See</w:t>
      </w:r>
      <w:r>
        <w:t xml:space="preserve">: </w:t>
      </w:r>
      <w:hyperlink r:id="rId2" w:history="1">
        <w:r w:rsidRPr="000D0747">
          <w:rPr>
            <w:rStyle w:val="Hyperlink"/>
          </w:rPr>
          <w:t>http://docs.cpuc.ca.gov/PublishedDocs/Efile/G000/M290/K324/290324466.PDF</w:t>
        </w:r>
      </w:hyperlink>
    </w:p>
  </w:footnote>
  <w:footnote w:id="23">
    <w:p w14:paraId="20753B37"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50040D">
        <w:rPr>
          <w:i/>
          <w:iCs/>
          <w:szCs w:val="22"/>
        </w:rPr>
        <w:t>See</w:t>
      </w:r>
      <w:r w:rsidRPr="000C4DB5">
        <w:rPr>
          <w:szCs w:val="22"/>
        </w:rPr>
        <w:t>: http://leginfo.legislature.ca.gov/faces/billTextClient.xhtml?bill_id=201720180SB1477</w:t>
      </w:r>
    </w:p>
  </w:footnote>
  <w:footnote w:id="24">
    <w:p w14:paraId="4C6D7B6E"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25">
    <w:p w14:paraId="1F250B9F"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26">
    <w:p w14:paraId="6B3B9260"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27">
    <w:p w14:paraId="676B4EE1"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28">
    <w:p w14:paraId="1ABDFE0F" w14:textId="6C31CDDF"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Neither the statute nor the Staff Proposal define</w:t>
      </w:r>
      <w:r>
        <w:rPr>
          <w:szCs w:val="22"/>
        </w:rPr>
        <w:t>s</w:t>
      </w:r>
      <w:r w:rsidRPr="000C4DB5">
        <w:rPr>
          <w:szCs w:val="22"/>
        </w:rPr>
        <w:t xml:space="preserve"> when interest starts accruing. </w:t>
      </w:r>
    </w:p>
  </w:footnote>
  <w:footnote w:id="29">
    <w:p w14:paraId="05C843A5"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May 17, 2019 Assigned Commissioner’s Scoping Memo and Ruling.</w:t>
      </w:r>
    </w:p>
  </w:footnote>
  <w:footnote w:id="30">
    <w:p w14:paraId="6ED7BB46"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July 16, 2019 Assigned Administrative Law Judge’s Ruling.</w:t>
      </w:r>
    </w:p>
  </w:footnote>
  <w:footnote w:id="31">
    <w:p w14:paraId="65385E52" w14:textId="256EC845"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Staff Proposal</w:t>
      </w:r>
      <w:r>
        <w:rPr>
          <w:szCs w:val="22"/>
        </w:rPr>
        <w:t>, Section 1.2</w:t>
      </w:r>
      <w:r w:rsidRPr="000C4DB5">
        <w:rPr>
          <w:szCs w:val="22"/>
        </w:rPr>
        <w:t xml:space="preserve">. </w:t>
      </w:r>
    </w:p>
  </w:footnote>
  <w:footnote w:id="32">
    <w:p w14:paraId="7CEE94EE" w14:textId="77777777" w:rsidR="00440A15" w:rsidRDefault="00440A15" w:rsidP="00594C1E">
      <w:pPr>
        <w:pStyle w:val="FootnoteText"/>
      </w:pPr>
      <w:r>
        <w:rPr>
          <w:rStyle w:val="FootnoteReference"/>
        </w:rPr>
        <w:footnoteRef/>
      </w:r>
      <w:r>
        <w:t xml:space="preserve"> Staff Proposal, Section 3.1.</w:t>
      </w:r>
    </w:p>
  </w:footnote>
  <w:footnote w:id="33">
    <w:p w14:paraId="3E874D3A"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Joint Environmentals Opening Comments on Staff Proposal at 5. </w:t>
      </w:r>
    </w:p>
  </w:footnote>
  <w:footnote w:id="34">
    <w:p w14:paraId="67AA70F3"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35">
    <w:p w14:paraId="10BC140A"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
          <w:iCs/>
          <w:szCs w:val="22"/>
        </w:rPr>
        <w:t>Id.</w:t>
      </w:r>
      <w:r w:rsidRPr="000C4DB5">
        <w:rPr>
          <w:szCs w:val="22"/>
        </w:rPr>
        <w:t xml:space="preserve"> at 7.</w:t>
      </w:r>
    </w:p>
  </w:footnote>
  <w:footnote w:id="36">
    <w:p w14:paraId="1A597D7B" w14:textId="4FFF3443"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Pr>
          <w:szCs w:val="22"/>
        </w:rPr>
        <w:t>Cal</w:t>
      </w:r>
      <w:r w:rsidRPr="000C4DB5">
        <w:rPr>
          <w:szCs w:val="22"/>
        </w:rPr>
        <w:t xml:space="preserve"> </w:t>
      </w:r>
      <w:r>
        <w:rPr>
          <w:szCs w:val="22"/>
        </w:rPr>
        <w:t xml:space="preserve">Advocates </w:t>
      </w:r>
      <w:r w:rsidRPr="000C4DB5">
        <w:rPr>
          <w:szCs w:val="22"/>
        </w:rPr>
        <w:t xml:space="preserve">Opening Comments on Staff Proposal at </w:t>
      </w:r>
      <w:r>
        <w:rPr>
          <w:szCs w:val="22"/>
        </w:rPr>
        <w:t>2</w:t>
      </w:r>
      <w:r w:rsidRPr="000C4DB5">
        <w:rPr>
          <w:i/>
          <w:iCs/>
          <w:szCs w:val="22"/>
        </w:rPr>
        <w:t>.</w:t>
      </w:r>
    </w:p>
  </w:footnote>
  <w:footnote w:id="37">
    <w:p w14:paraId="762F93D9"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38">
    <w:p w14:paraId="1A47E691" w14:textId="7C355F6A"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Pr>
          <w:i/>
          <w:iCs/>
          <w:szCs w:val="22"/>
        </w:rPr>
        <w:t>Id.</w:t>
      </w:r>
      <w:r w:rsidRPr="000C4DB5">
        <w:rPr>
          <w:szCs w:val="22"/>
        </w:rPr>
        <w:t xml:space="preserve"> at 5.</w:t>
      </w:r>
    </w:p>
  </w:footnote>
  <w:footnote w:id="39">
    <w:p w14:paraId="53651088" w14:textId="5234CB20"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Pr>
          <w:szCs w:val="22"/>
        </w:rPr>
        <w:t>BAC</w:t>
      </w:r>
      <w:r w:rsidRPr="000C4DB5">
        <w:rPr>
          <w:szCs w:val="22"/>
        </w:rPr>
        <w:t xml:space="preserve"> Opening Comments on Staff Proposal at </w:t>
      </w:r>
      <w:r>
        <w:rPr>
          <w:szCs w:val="22"/>
        </w:rPr>
        <w:t>10</w:t>
      </w:r>
      <w:r w:rsidRPr="000C4DB5">
        <w:rPr>
          <w:i/>
          <w:iCs/>
          <w:szCs w:val="22"/>
        </w:rPr>
        <w:t>.</w:t>
      </w:r>
    </w:p>
  </w:footnote>
  <w:footnote w:id="40">
    <w:p w14:paraId="673812A9"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CHBC Opening Comments on Staff Proposal at 3.</w:t>
      </w:r>
    </w:p>
  </w:footnote>
  <w:footnote w:id="41">
    <w:p w14:paraId="6D30D4C1"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BayREN Opening Comments on Staff Proposal at 3. </w:t>
      </w:r>
    </w:p>
  </w:footnote>
  <w:footnote w:id="42">
    <w:p w14:paraId="055ED785"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Wild Tree Foundation Opening Comments on Staff Proposal at 5. </w:t>
      </w:r>
    </w:p>
  </w:footnote>
  <w:footnote w:id="43">
    <w:p w14:paraId="227EAFE8"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CALSSA Opening Comments on Staff Proposal at 2.</w:t>
      </w:r>
    </w:p>
  </w:footnote>
  <w:footnote w:id="44">
    <w:p w14:paraId="712F1FA9"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45">
    <w:p w14:paraId="37DE8211"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EDF Opening Comments on Staff Proposal at 5.</w:t>
      </w:r>
    </w:p>
  </w:footnote>
  <w:footnote w:id="46">
    <w:p w14:paraId="6E30A0C3" w14:textId="1577FC1D"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Pr>
          <w:szCs w:val="22"/>
        </w:rPr>
        <w:t>SCE</w:t>
      </w:r>
      <w:r w:rsidRPr="000C4DB5">
        <w:rPr>
          <w:szCs w:val="22"/>
        </w:rPr>
        <w:t xml:space="preserve"> Opening Comments on Staff Proposal at </w:t>
      </w:r>
      <w:r>
        <w:rPr>
          <w:szCs w:val="22"/>
        </w:rPr>
        <w:t>3</w:t>
      </w:r>
      <w:r w:rsidRPr="000C4DB5">
        <w:rPr>
          <w:szCs w:val="22"/>
        </w:rPr>
        <w:t>.at 4-5.</w:t>
      </w:r>
    </w:p>
  </w:footnote>
  <w:footnote w:id="47">
    <w:p w14:paraId="5A9449D5" w14:textId="49B329E5"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Pr>
          <w:szCs w:val="22"/>
        </w:rPr>
        <w:t xml:space="preserve">The </w:t>
      </w:r>
      <w:r w:rsidRPr="000C4DB5">
        <w:rPr>
          <w:szCs w:val="22"/>
        </w:rPr>
        <w:t>Council Opening Comments on Staff Proposal at 3.</w:t>
      </w:r>
    </w:p>
  </w:footnote>
  <w:footnote w:id="48">
    <w:p w14:paraId="05E146ED" w14:textId="7013110C"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Pr>
          <w:szCs w:val="22"/>
        </w:rPr>
        <w:t>VEIC</w:t>
      </w:r>
      <w:r w:rsidRPr="000C4DB5">
        <w:rPr>
          <w:szCs w:val="22"/>
        </w:rPr>
        <w:t xml:space="preserve"> Opening Comments on Staff Proposal at </w:t>
      </w:r>
      <w:r>
        <w:rPr>
          <w:szCs w:val="22"/>
        </w:rPr>
        <w:t>4</w:t>
      </w:r>
      <w:r w:rsidRPr="000C4DB5">
        <w:rPr>
          <w:szCs w:val="22"/>
        </w:rPr>
        <w:t>.at 4.</w:t>
      </w:r>
    </w:p>
  </w:footnote>
  <w:footnote w:id="49">
    <w:p w14:paraId="2E6A9DB5"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50">
    <w:p w14:paraId="4B30F7A7"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
          <w:szCs w:val="22"/>
        </w:rPr>
        <w:t>Id.</w:t>
      </w:r>
      <w:r w:rsidRPr="000C4DB5">
        <w:rPr>
          <w:szCs w:val="22"/>
        </w:rPr>
        <w:t xml:space="preserve"> at 5.</w:t>
      </w:r>
    </w:p>
  </w:footnote>
  <w:footnote w:id="51">
    <w:p w14:paraId="3099A5C6"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CSE Opening Comments on Staff Proposal at 3.</w:t>
      </w:r>
    </w:p>
  </w:footnote>
  <w:footnote w:id="52">
    <w:p w14:paraId="11796A2F"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CHBC Opening Comments on Staff Proposal at 3.</w:t>
      </w:r>
    </w:p>
  </w:footnote>
  <w:footnote w:id="53">
    <w:p w14:paraId="52A7C0EB"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PG&amp;E Opening Comments on Staff Proposal at 2-3.</w:t>
      </w:r>
    </w:p>
  </w:footnote>
  <w:footnote w:id="54">
    <w:p w14:paraId="08A0D376"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55">
    <w:p w14:paraId="1CDD1269"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SBUA Opening Comments on Staff Proposal at 4-6.</w:t>
      </w:r>
    </w:p>
  </w:footnote>
  <w:footnote w:id="56">
    <w:p w14:paraId="377C8F4F" w14:textId="77777777" w:rsidR="00440A15" w:rsidRPr="00104E4B" w:rsidRDefault="00440A15" w:rsidP="007073B4">
      <w:pPr>
        <w:pStyle w:val="FootnoteText"/>
        <w:rPr>
          <w:szCs w:val="22"/>
        </w:rPr>
      </w:pPr>
      <w:r w:rsidRPr="00104E4B">
        <w:rPr>
          <w:rStyle w:val="FootnoteReference"/>
          <w:szCs w:val="22"/>
        </w:rPr>
        <w:footnoteRef/>
      </w:r>
      <w:r w:rsidRPr="00104E4B">
        <w:rPr>
          <w:szCs w:val="22"/>
        </w:rPr>
        <w:t xml:space="preserve"> </w:t>
      </w:r>
      <w:r w:rsidRPr="00104E4B">
        <w:rPr>
          <w:i/>
          <w:iCs/>
          <w:szCs w:val="22"/>
        </w:rPr>
        <w:t>Id.</w:t>
      </w:r>
    </w:p>
  </w:footnote>
  <w:footnote w:id="57">
    <w:p w14:paraId="681816FD"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
          <w:iCs/>
          <w:szCs w:val="22"/>
        </w:rPr>
        <w:t>Id.</w:t>
      </w:r>
      <w:r w:rsidRPr="000C4DB5">
        <w:rPr>
          <w:szCs w:val="22"/>
        </w:rPr>
        <w:t xml:space="preserve"> at 4-5.</w:t>
      </w:r>
    </w:p>
  </w:footnote>
  <w:footnote w:id="58">
    <w:p w14:paraId="7F36E7BC" w14:textId="2681ED46"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Pr>
          <w:i/>
          <w:iCs/>
          <w:szCs w:val="22"/>
        </w:rPr>
        <w:t xml:space="preserve">Id. </w:t>
      </w:r>
      <w:r w:rsidRPr="000C4DB5">
        <w:rPr>
          <w:szCs w:val="22"/>
        </w:rPr>
        <w:t>at 6.</w:t>
      </w:r>
    </w:p>
  </w:footnote>
  <w:footnote w:id="59">
    <w:p w14:paraId="786512DA"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SoCalGas Opening Comments on Staff Proposal at 10.</w:t>
      </w:r>
    </w:p>
  </w:footnote>
  <w:footnote w:id="60">
    <w:p w14:paraId="58912344"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SWG Opening Comments on Staff Proposal at 4.</w:t>
      </w:r>
    </w:p>
  </w:footnote>
  <w:footnote w:id="61">
    <w:p w14:paraId="5302BB19"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Joint CCAs Opening Comments on Staff Proposal at 4.</w:t>
      </w:r>
    </w:p>
  </w:footnote>
  <w:footnote w:id="62">
    <w:p w14:paraId="535928B4" w14:textId="77777777" w:rsidR="00440A15" w:rsidRPr="000C4DB5" w:rsidRDefault="00440A15" w:rsidP="007073B4">
      <w:pPr>
        <w:pStyle w:val="FootnoteText"/>
        <w:rPr>
          <w:szCs w:val="22"/>
        </w:rPr>
      </w:pPr>
      <w:r w:rsidRPr="000C4DB5">
        <w:rPr>
          <w:rStyle w:val="FootnoteReference"/>
          <w:szCs w:val="22"/>
        </w:rPr>
        <w:footnoteRef/>
      </w:r>
      <w:r w:rsidRPr="000C4DB5">
        <w:rPr>
          <w:szCs w:val="22"/>
        </w:rPr>
        <w:t xml:space="preserve"> The Partnership Opening Comments on Staff Proposal at 7.</w:t>
      </w:r>
    </w:p>
  </w:footnote>
  <w:footnote w:id="63">
    <w:p w14:paraId="2AD08E4B" w14:textId="6477D8BD"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Pr>
          <w:i/>
          <w:iCs/>
          <w:szCs w:val="22"/>
        </w:rPr>
        <w:t>Id</w:t>
      </w:r>
      <w:r w:rsidRPr="000C4DB5">
        <w:rPr>
          <w:szCs w:val="22"/>
        </w:rPr>
        <w:t xml:space="preserve"> at </w:t>
      </w:r>
      <w:r>
        <w:rPr>
          <w:szCs w:val="22"/>
        </w:rPr>
        <w:t>8</w:t>
      </w:r>
      <w:r w:rsidRPr="000C4DB5">
        <w:rPr>
          <w:szCs w:val="22"/>
        </w:rPr>
        <w:t>.</w:t>
      </w:r>
    </w:p>
  </w:footnote>
  <w:footnote w:id="64">
    <w:p w14:paraId="1DEF8F6A" w14:textId="0320027E"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Cs/>
          <w:szCs w:val="22"/>
        </w:rPr>
        <w:t>SBUA Opening Comments</w:t>
      </w:r>
      <w:r>
        <w:rPr>
          <w:iCs/>
          <w:szCs w:val="22"/>
        </w:rPr>
        <w:t xml:space="preserve"> on Staff Proposal</w:t>
      </w:r>
      <w:r w:rsidRPr="000C4DB5">
        <w:rPr>
          <w:szCs w:val="22"/>
        </w:rPr>
        <w:t xml:space="preserve"> at 4-5.</w:t>
      </w:r>
    </w:p>
  </w:footnote>
  <w:footnote w:id="65">
    <w:p w14:paraId="0A5DA9E1" w14:textId="603490E2"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VEIC Opening Comments on Staff Proposal at 13</w:t>
      </w:r>
    </w:p>
  </w:footnote>
  <w:footnote w:id="66">
    <w:p w14:paraId="464AE472"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CSE Opening Comments on Staff Proposal at 8.</w:t>
      </w:r>
    </w:p>
  </w:footnote>
  <w:footnote w:id="67">
    <w:p w14:paraId="7C975188"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Joint Environmentals Opening Comments on Staff Proposal at 6.</w:t>
      </w:r>
    </w:p>
  </w:footnote>
  <w:footnote w:id="68">
    <w:p w14:paraId="541FDB6C"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69">
    <w:p w14:paraId="65319260" w14:textId="5BA70EFC"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EDF Opening Comments on Staff Proposal at 5.</w:t>
      </w:r>
    </w:p>
  </w:footnote>
  <w:footnote w:id="70">
    <w:p w14:paraId="39C96C67" w14:textId="32F6AE11"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EDF Opening Comments on Staff Proposal at 11.</w:t>
      </w:r>
    </w:p>
  </w:footnote>
  <w:footnote w:id="71">
    <w:p w14:paraId="7F508B19" w14:textId="77777777" w:rsidR="00440A15" w:rsidRPr="000C4DB5" w:rsidRDefault="00440A15" w:rsidP="001C0DF2">
      <w:pPr>
        <w:pStyle w:val="FootnoteText"/>
        <w:rPr>
          <w:szCs w:val="22"/>
        </w:rPr>
      </w:pPr>
      <w:r w:rsidRPr="000C4DB5">
        <w:rPr>
          <w:rStyle w:val="FootnoteReference"/>
          <w:szCs w:val="22"/>
        </w:rPr>
        <w:footnoteRef/>
      </w:r>
      <w:r w:rsidRPr="000C4DB5">
        <w:rPr>
          <w:szCs w:val="22"/>
        </w:rPr>
        <w:t xml:space="preserve"> CARB holds quarterly auctions in February, May, August, and November.  Each gas corporation must put up for auction its consigned allowances within the designated calendar year.  The percentage of consigned allowances for gas corporations started at 25 percent in 2015 and increases five percent each year until hitting 100 percent in 2030.  Within a given year, the gas corporation can decide at its discretion how to distribute those allowances among the four auctions.</w:t>
      </w:r>
    </w:p>
  </w:footnote>
  <w:footnote w:id="72">
    <w:p w14:paraId="4921D0F9" w14:textId="1FF0E176" w:rsidR="00440A15" w:rsidRDefault="00440A15">
      <w:pPr>
        <w:pStyle w:val="FootnoteText"/>
      </w:pPr>
      <w:r>
        <w:rPr>
          <w:rStyle w:val="FootnoteReference"/>
        </w:rPr>
        <w:footnoteRef/>
      </w:r>
      <w:r>
        <w:t xml:space="preserve"> Resolution G-3565 pertains to the 2019 filings of annual natural gas true-up advice letters that set natural gas transportation rates and determine California Climate Credit amounts for 2020.  </w:t>
      </w:r>
      <w:r w:rsidRPr="00EB07B1">
        <w:t>We expect that the 2023</w:t>
      </w:r>
      <w:r>
        <w:t xml:space="preserve"> </w:t>
      </w:r>
      <w:r w:rsidRPr="00EB07B1">
        <w:t xml:space="preserve">filings of annual natural gas true-up advice letters that set </w:t>
      </w:r>
      <w:r>
        <w:t xml:space="preserve">natural gas </w:t>
      </w:r>
      <w:r w:rsidRPr="00EB07B1">
        <w:t xml:space="preserve">transportation rates </w:t>
      </w:r>
      <w:r>
        <w:t xml:space="preserve">and determine California Climate Credit amounts for 2024 </w:t>
      </w:r>
      <w:r w:rsidRPr="00EB07B1">
        <w:t>will no longer include an allocation for the BUILD Program or TECH Initiative unless directed otherwise by a subsequent decision of the Commission.</w:t>
      </w:r>
    </w:p>
  </w:footnote>
  <w:footnote w:id="73">
    <w:p w14:paraId="0E212B2B" w14:textId="003D662F"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No more than </w:t>
      </w:r>
      <w:r>
        <w:rPr>
          <w:szCs w:val="22"/>
        </w:rPr>
        <w:t>2.5</w:t>
      </w:r>
      <w:r w:rsidRPr="000C4DB5">
        <w:rPr>
          <w:szCs w:val="22"/>
        </w:rPr>
        <w:t xml:space="preserve"> percent of each pilot program’s budget allocation will be dedicated for a single, independent program evaluator who will evaluate both pilot programs with the precise budgetary allocation ultimately depending on the winning bid. </w:t>
      </w:r>
    </w:p>
  </w:footnote>
  <w:footnote w:id="74">
    <w:p w14:paraId="081AD018" w14:textId="4E85C4D5" w:rsidR="00440A15" w:rsidRDefault="00440A15">
      <w:pPr>
        <w:pStyle w:val="FootnoteText"/>
      </w:pPr>
      <w:r>
        <w:rPr>
          <w:rStyle w:val="FootnoteReference"/>
        </w:rPr>
        <w:footnoteRef/>
      </w:r>
      <w:r>
        <w:t xml:space="preserve"> This percentage of the BUILD Program’s total cost was determined by the CEC to ensure adequate funding necessary to administer the BUILD Program. </w:t>
      </w:r>
    </w:p>
  </w:footnote>
  <w:footnote w:id="75">
    <w:p w14:paraId="2981D5B5" w14:textId="185652CA" w:rsidR="00440A15" w:rsidRPr="000C4DB5" w:rsidRDefault="00440A15">
      <w:pPr>
        <w:pStyle w:val="FootnoteText"/>
        <w:rPr>
          <w:szCs w:val="22"/>
        </w:rPr>
      </w:pPr>
      <w:r w:rsidRPr="000C4DB5">
        <w:rPr>
          <w:rStyle w:val="FootnoteReference"/>
          <w:szCs w:val="22"/>
        </w:rPr>
        <w:footnoteRef/>
      </w:r>
      <w:r w:rsidRPr="000C4DB5">
        <w:rPr>
          <w:szCs w:val="22"/>
        </w:rPr>
        <w:t xml:space="preserve"> This is contingent upon Legislative authorization, as discussed in detail in Section 4.1</w:t>
      </w:r>
      <w:r>
        <w:rPr>
          <w:szCs w:val="22"/>
        </w:rPr>
        <w:t>.3</w:t>
      </w:r>
      <w:r w:rsidRPr="000C4DB5">
        <w:rPr>
          <w:szCs w:val="22"/>
        </w:rPr>
        <w:t xml:space="preserve"> of this decision. </w:t>
      </w:r>
    </w:p>
  </w:footnote>
  <w:footnote w:id="76">
    <w:p w14:paraId="32D38830" w14:textId="3078AD8F" w:rsidR="00440A15" w:rsidRDefault="00440A15">
      <w:pPr>
        <w:pStyle w:val="FootnoteText"/>
      </w:pPr>
      <w:r>
        <w:rPr>
          <w:rStyle w:val="FootnoteReference"/>
        </w:rPr>
        <w:footnoteRef/>
      </w:r>
      <w:r>
        <w:t xml:space="preserve"> Administrative costs are defined as:  (1) overhead costs, such as general and administrative labor and materials; (2) labor costs (management and clerical); (3) human resources support and development; and (4) travel/conference fees.  Administrative costs do not include market, education and outreach, nor do administrative costs include developer, contractor, or distributor training and education. </w:t>
      </w:r>
    </w:p>
  </w:footnote>
  <w:footnote w:id="77">
    <w:p w14:paraId="60C18195" w14:textId="77777777" w:rsidR="00440A15" w:rsidRPr="00732132" w:rsidRDefault="00440A15" w:rsidP="00777EEF">
      <w:pPr>
        <w:pStyle w:val="FootnoteText"/>
      </w:pPr>
    </w:p>
  </w:footnote>
  <w:footnote w:id="78">
    <w:p w14:paraId="6B194D4E" w14:textId="3D9A8822" w:rsidR="00440A15" w:rsidRDefault="00440A15">
      <w:pPr>
        <w:pStyle w:val="FootnoteText"/>
      </w:pPr>
      <w:r>
        <w:rPr>
          <w:rStyle w:val="FootnoteReference"/>
        </w:rPr>
        <w:footnoteRef/>
      </w:r>
      <w:r>
        <w:t xml:space="preserve"> Direct incentives only</w:t>
      </w:r>
    </w:p>
  </w:footnote>
  <w:footnote w:id="79">
    <w:p w14:paraId="7A9512C2" w14:textId="77777777" w:rsidR="00440A15" w:rsidRDefault="00440A15" w:rsidP="00777EEF">
      <w:pPr>
        <w:pStyle w:val="FootnoteText"/>
      </w:pPr>
      <w:r>
        <w:rPr>
          <w:rStyle w:val="FootnoteReference"/>
        </w:rPr>
        <w:footnoteRef/>
      </w:r>
      <w:r>
        <w:t xml:space="preserve"> Includes technical assistance budget.</w:t>
      </w:r>
    </w:p>
  </w:footnote>
  <w:footnote w:id="80">
    <w:p w14:paraId="74F0465C"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Staff Proposal, Section 3.5.</w:t>
      </w:r>
    </w:p>
  </w:footnote>
  <w:footnote w:id="81">
    <w:p w14:paraId="40C82DCF"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82">
    <w:p w14:paraId="5A9237BD"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83">
    <w:p w14:paraId="367129D3"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w:t>
      </w:r>
      <w:r w:rsidRPr="000C4DB5">
        <w:rPr>
          <w:i/>
          <w:szCs w:val="22"/>
        </w:rPr>
        <w:t>Id</w:t>
      </w:r>
      <w:r w:rsidRPr="000C4DB5">
        <w:rPr>
          <w:szCs w:val="22"/>
        </w:rPr>
        <w:t>.</w:t>
      </w:r>
    </w:p>
  </w:footnote>
  <w:footnote w:id="84">
    <w:p w14:paraId="2E5E472A"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85">
    <w:p w14:paraId="71DCE2FB"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Staff Proposal, Section 3.12.</w:t>
      </w:r>
    </w:p>
  </w:footnote>
  <w:footnote w:id="86">
    <w:p w14:paraId="7413B757" w14:textId="2FC2F85C" w:rsidR="00440A15" w:rsidRDefault="00440A15">
      <w:pPr>
        <w:pStyle w:val="FootnoteText"/>
      </w:pPr>
      <w:r>
        <w:rPr>
          <w:rStyle w:val="FootnoteReference"/>
        </w:rPr>
        <w:footnoteRef/>
      </w:r>
      <w:r>
        <w:t xml:space="preserve"> </w:t>
      </w:r>
      <w:r w:rsidRPr="000C4DB5">
        <w:rPr>
          <w:szCs w:val="22"/>
        </w:rPr>
        <w:t>Joint Environmentals Opening Comments on Staff Proposal at 20.</w:t>
      </w:r>
    </w:p>
  </w:footnote>
  <w:footnote w:id="87">
    <w:p w14:paraId="171422B7"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Cal Advocates Opening Comments on Staff Proposal at 24. </w:t>
      </w:r>
    </w:p>
  </w:footnote>
  <w:footnote w:id="88">
    <w:p w14:paraId="7A848079"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89">
    <w:p w14:paraId="4841926D"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Wild Tree Foundation Opening Comments on Staff Proposal at 21. </w:t>
      </w:r>
    </w:p>
  </w:footnote>
  <w:footnote w:id="90">
    <w:p w14:paraId="169B2BCD"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91">
    <w:p w14:paraId="59EC26E5"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VEIC Opening Comments on Staff Proposal at 13. </w:t>
      </w:r>
    </w:p>
  </w:footnote>
  <w:footnote w:id="92">
    <w:p w14:paraId="539D0DB6"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w:t>
      </w:r>
      <w:r w:rsidRPr="000C4DB5">
        <w:rPr>
          <w:i/>
          <w:iCs/>
          <w:szCs w:val="22"/>
        </w:rPr>
        <w:t>Id.</w:t>
      </w:r>
      <w:r w:rsidRPr="000C4DB5">
        <w:rPr>
          <w:szCs w:val="22"/>
        </w:rPr>
        <w:t xml:space="preserve"> at 14.</w:t>
      </w:r>
    </w:p>
  </w:footnote>
  <w:footnote w:id="93">
    <w:p w14:paraId="4B23D5E2"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SBUA Opening Comments on Staff Proposal at 6.</w:t>
      </w:r>
    </w:p>
  </w:footnote>
  <w:footnote w:id="94">
    <w:p w14:paraId="38D125FB"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95">
    <w:p w14:paraId="4AAAD0B8"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SWG Opening Comments on Staff Proposal at 5.</w:t>
      </w:r>
    </w:p>
  </w:footnote>
  <w:footnote w:id="96">
    <w:p w14:paraId="16160813" w14:textId="06E5CD8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CHBC Opening Comments</w:t>
      </w:r>
      <w:r>
        <w:rPr>
          <w:szCs w:val="22"/>
        </w:rPr>
        <w:t xml:space="preserve"> on Staff Proposal</w:t>
      </w:r>
      <w:r w:rsidRPr="000C4DB5">
        <w:rPr>
          <w:szCs w:val="22"/>
        </w:rPr>
        <w:t xml:space="preserve"> at 8.</w:t>
      </w:r>
    </w:p>
  </w:footnote>
  <w:footnote w:id="97">
    <w:p w14:paraId="66408396"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SoCalGas Opening Comments on Staff Proposal at 7.</w:t>
      </w:r>
    </w:p>
  </w:footnote>
  <w:footnote w:id="98">
    <w:p w14:paraId="540504A8" w14:textId="222B90E0"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Joint CCAs </w:t>
      </w:r>
      <w:r>
        <w:rPr>
          <w:szCs w:val="22"/>
        </w:rPr>
        <w:t xml:space="preserve">Opening Comments on Staff Proposal </w:t>
      </w:r>
      <w:r w:rsidRPr="000C4DB5">
        <w:rPr>
          <w:szCs w:val="22"/>
        </w:rPr>
        <w:t>at 8.</w:t>
      </w:r>
    </w:p>
  </w:footnote>
  <w:footnote w:id="99">
    <w:p w14:paraId="5F9081D6"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100">
    <w:p w14:paraId="45D1E2A8"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SDG&amp;E Opening Comments on Staff Proposal at 2.</w:t>
      </w:r>
    </w:p>
  </w:footnote>
  <w:footnote w:id="101">
    <w:p w14:paraId="1FF120CC"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SCE Opening Comments on Staff Proposal at 9.</w:t>
      </w:r>
    </w:p>
  </w:footnote>
  <w:footnote w:id="102">
    <w:p w14:paraId="0083FCD1" w14:textId="77777777" w:rsidR="00440A15" w:rsidRPr="000C4DB5" w:rsidRDefault="00440A15" w:rsidP="003E6FAB">
      <w:pPr>
        <w:pStyle w:val="FootnoteText"/>
        <w:rPr>
          <w:szCs w:val="22"/>
        </w:rPr>
      </w:pPr>
      <w:r w:rsidRPr="000C4DB5">
        <w:rPr>
          <w:rStyle w:val="FootnoteReference"/>
          <w:szCs w:val="22"/>
        </w:rPr>
        <w:footnoteRef/>
      </w:r>
      <w:r w:rsidRPr="000C4DB5">
        <w:rPr>
          <w:i/>
          <w:szCs w:val="22"/>
        </w:rPr>
        <w:t>Id.</w:t>
      </w:r>
      <w:r w:rsidRPr="000C4DB5">
        <w:rPr>
          <w:szCs w:val="22"/>
        </w:rPr>
        <w:t xml:space="preserve"> at 14-15.</w:t>
      </w:r>
    </w:p>
  </w:footnote>
  <w:footnote w:id="103">
    <w:p w14:paraId="62869512"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104">
    <w:p w14:paraId="6011C7C1" w14:textId="77777777"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EDF Reply Comments on Staff Proposal at 5.</w:t>
      </w:r>
    </w:p>
  </w:footnote>
  <w:footnote w:id="105">
    <w:p w14:paraId="252911DA" w14:textId="0A0B35CE"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CSE Opening Comments </w:t>
      </w:r>
      <w:r>
        <w:rPr>
          <w:szCs w:val="22"/>
        </w:rPr>
        <w:t xml:space="preserve">on Staff Proposal </w:t>
      </w:r>
      <w:r w:rsidRPr="000C4DB5">
        <w:rPr>
          <w:szCs w:val="22"/>
        </w:rPr>
        <w:t>at 8.</w:t>
      </w:r>
    </w:p>
  </w:footnote>
  <w:footnote w:id="106">
    <w:p w14:paraId="339EB0C3" w14:textId="7F1D686A"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CBIA Opening Comments </w:t>
      </w:r>
      <w:r>
        <w:rPr>
          <w:szCs w:val="22"/>
        </w:rPr>
        <w:t xml:space="preserve">on Staff Proposal </w:t>
      </w:r>
      <w:r w:rsidRPr="000C4DB5">
        <w:rPr>
          <w:szCs w:val="22"/>
        </w:rPr>
        <w:t>at 5.</w:t>
      </w:r>
    </w:p>
  </w:footnote>
  <w:footnote w:id="107">
    <w:p w14:paraId="69EFF723" w14:textId="2ECD38CB"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CSE </w:t>
      </w:r>
      <w:r>
        <w:rPr>
          <w:szCs w:val="22"/>
        </w:rPr>
        <w:t xml:space="preserve">Opening Comments on Staff Proposal </w:t>
      </w:r>
      <w:r w:rsidRPr="000C4DB5">
        <w:rPr>
          <w:szCs w:val="22"/>
        </w:rPr>
        <w:t>at 8.</w:t>
      </w:r>
    </w:p>
  </w:footnote>
  <w:footnote w:id="108">
    <w:p w14:paraId="35E8F2CD" w14:textId="3651586A" w:rsidR="00440A15" w:rsidRPr="000C4DB5" w:rsidRDefault="00440A15" w:rsidP="003E6FAB">
      <w:pPr>
        <w:pStyle w:val="FootnoteText"/>
        <w:rPr>
          <w:szCs w:val="22"/>
        </w:rPr>
      </w:pPr>
      <w:r w:rsidRPr="000C4DB5">
        <w:rPr>
          <w:rStyle w:val="FootnoteReference"/>
          <w:szCs w:val="22"/>
        </w:rPr>
        <w:footnoteRef/>
      </w:r>
      <w:r w:rsidRPr="000C4DB5">
        <w:rPr>
          <w:szCs w:val="22"/>
        </w:rPr>
        <w:t xml:space="preserve"> The Partnership Opening Comments </w:t>
      </w:r>
      <w:r>
        <w:rPr>
          <w:szCs w:val="22"/>
        </w:rPr>
        <w:t xml:space="preserve">on Staff Proposal </w:t>
      </w:r>
      <w:r w:rsidRPr="000C4DB5">
        <w:rPr>
          <w:szCs w:val="22"/>
        </w:rPr>
        <w:t>at 5.</w:t>
      </w:r>
    </w:p>
  </w:footnote>
  <w:footnote w:id="109">
    <w:p w14:paraId="44B76A54"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110">
    <w:p w14:paraId="2E58F1EE" w14:textId="77777777" w:rsidR="00440A15" w:rsidRPr="000C4DB5" w:rsidRDefault="00440A15">
      <w:pPr>
        <w:pStyle w:val="FootnoteText"/>
        <w:rPr>
          <w:szCs w:val="22"/>
        </w:rPr>
      </w:pPr>
      <w:r w:rsidRPr="000C4DB5">
        <w:rPr>
          <w:rStyle w:val="FootnoteReference"/>
          <w:szCs w:val="22"/>
        </w:rPr>
        <w:footnoteRef/>
      </w:r>
      <w:r w:rsidRPr="000C4DB5">
        <w:rPr>
          <w:szCs w:val="22"/>
        </w:rPr>
        <w:t xml:space="preserve"> 17 CCR Section 95893(e).</w:t>
      </w:r>
    </w:p>
  </w:footnote>
  <w:footnote w:id="111">
    <w:p w14:paraId="2545F880"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July 16, 2019 Assigned Administrative Law Judge’s Ruling.</w:t>
      </w:r>
    </w:p>
  </w:footnote>
  <w:footnote w:id="112">
    <w:p w14:paraId="085B1375"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Staff Proposal, Section 4.4.9.</w:t>
      </w:r>
    </w:p>
  </w:footnote>
  <w:footnote w:id="113">
    <w:p w14:paraId="29061186"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Staff Proposal, Section 5.2.2.</w:t>
      </w:r>
    </w:p>
  </w:footnote>
  <w:footnote w:id="114">
    <w:p w14:paraId="68DB06FC"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The Partnership Opening Comments on Staff Proposal at 11.</w:t>
      </w:r>
    </w:p>
  </w:footnote>
  <w:footnote w:id="115">
    <w:p w14:paraId="35A7F26D" w14:textId="3C8097D2"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Joint Environmentals Opening Comments on Staff Proposal at 9.</w:t>
      </w:r>
    </w:p>
  </w:footnote>
  <w:footnote w:id="116">
    <w:p w14:paraId="070C0343"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SBUA Opening Comments on Staff Proposal at 17.</w:t>
      </w:r>
    </w:p>
  </w:footnote>
  <w:footnote w:id="117">
    <w:p w14:paraId="72E5D5A3"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Cal Advocates Opening Comments on Staff Proposal at 10.</w:t>
      </w:r>
    </w:p>
  </w:footnote>
  <w:footnote w:id="118">
    <w:p w14:paraId="5FEF4B99" w14:textId="66BF7693" w:rsidR="00440A15" w:rsidRDefault="00440A15">
      <w:pPr>
        <w:pStyle w:val="FootnoteText"/>
      </w:pPr>
      <w:r>
        <w:rPr>
          <w:rStyle w:val="FootnoteReference"/>
        </w:rPr>
        <w:footnoteRef/>
      </w:r>
      <w:r>
        <w:t xml:space="preserve"> </w:t>
      </w:r>
      <w:r w:rsidRPr="000C4DB5">
        <w:rPr>
          <w:szCs w:val="22"/>
        </w:rPr>
        <w:t>Staff Proposal, Section 5.</w:t>
      </w:r>
      <w:r>
        <w:rPr>
          <w:szCs w:val="22"/>
        </w:rPr>
        <w:t>10.</w:t>
      </w:r>
    </w:p>
  </w:footnote>
  <w:footnote w:id="119">
    <w:p w14:paraId="7641C62C"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Proportional funding for these efforts must be allocated in the gas corporation service territories as detailed above.</w:t>
      </w:r>
    </w:p>
  </w:footnote>
  <w:footnote w:id="120">
    <w:p w14:paraId="545C7ED8"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Pub. Util. Code § 921.1(b).</w:t>
      </w:r>
    </w:p>
  </w:footnote>
  <w:footnote w:id="121">
    <w:p w14:paraId="7B7AFDDB"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Pub. Util. Code § 922(b).</w:t>
      </w:r>
    </w:p>
  </w:footnote>
  <w:footnote w:id="122">
    <w:p w14:paraId="3869AF26"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w:t>
      </w:r>
      <w:r w:rsidRPr="00DE2B98">
        <w:rPr>
          <w:i/>
          <w:iCs/>
          <w:szCs w:val="22"/>
        </w:rPr>
        <w:t>See</w:t>
      </w:r>
      <w:r w:rsidRPr="000C4DB5">
        <w:rPr>
          <w:szCs w:val="22"/>
        </w:rPr>
        <w:t xml:space="preserve">: </w:t>
      </w:r>
      <w:hyperlink r:id="rId3" w:history="1">
        <w:r w:rsidRPr="000C4DB5">
          <w:rPr>
            <w:rStyle w:val="Hyperlink"/>
            <w:szCs w:val="22"/>
          </w:rPr>
          <w:t>http://leginfo.legislature.ca.gov/faces/billNavClient.xhtml?bill_id=201720180SB1013</w:t>
        </w:r>
      </w:hyperlink>
      <w:r w:rsidRPr="000C4DB5">
        <w:rPr>
          <w:szCs w:val="22"/>
        </w:rPr>
        <w:t>.</w:t>
      </w:r>
    </w:p>
  </w:footnote>
  <w:footnote w:id="123">
    <w:p w14:paraId="4971108F"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w:t>
      </w:r>
      <w:r w:rsidRPr="00DE2B98">
        <w:rPr>
          <w:i/>
          <w:iCs/>
          <w:szCs w:val="22"/>
        </w:rPr>
        <w:t>See</w:t>
      </w:r>
      <w:r w:rsidRPr="000C4DB5">
        <w:rPr>
          <w:szCs w:val="22"/>
        </w:rPr>
        <w:t xml:space="preserve">: </w:t>
      </w:r>
      <w:hyperlink r:id="rId4" w:history="1">
        <w:r w:rsidRPr="000C4DB5">
          <w:rPr>
            <w:rStyle w:val="Hyperlink"/>
            <w:szCs w:val="22"/>
          </w:rPr>
          <w:t>http://leginfo.legislature.ca.gov/faces/billNavClient.xhtml?bill_id=201520160SB1383</w:t>
        </w:r>
      </w:hyperlink>
      <w:r w:rsidRPr="000C4DB5">
        <w:rPr>
          <w:szCs w:val="22"/>
        </w:rPr>
        <w:t>.</w:t>
      </w:r>
    </w:p>
  </w:footnote>
  <w:footnote w:id="124">
    <w:p w14:paraId="119509EE"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“Refrigerants” are chemical substances used in refrigerators, air conditioners, and heat pumps.  These appliances leak small amounts of refrigerants during their lifetimes and large amounts during the disposal process.  Most refrigerants, including certain hydrofluorocarbons and the chlorofluorocarbons they replaced as a result of the Montreal Protocol, are high- GWP fluorinated gases.</w:t>
      </w:r>
    </w:p>
  </w:footnote>
  <w:footnote w:id="125">
    <w:p w14:paraId="1DAAA9FB" w14:textId="03CA50BC"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GWP measures the strength of a GHG as compared to CO2.  One of the most commonly used refrigerants, R-410a, has a GWP of 2,088 over the course of 100 years, which means that it has 2,088 times the impact of an equivalent amount of CO2 over the same time period.</w:t>
      </w:r>
    </w:p>
  </w:footnote>
  <w:footnote w:id="126">
    <w:p w14:paraId="3747D6B4"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Staff Proposal, Section 4.4.6.</w:t>
      </w:r>
    </w:p>
  </w:footnote>
  <w:footnote w:id="127">
    <w:p w14:paraId="5A048D08"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Wild Tree Foundation Opening Comments on Staff Proposal at 1.</w:t>
      </w:r>
    </w:p>
  </w:footnote>
  <w:footnote w:id="128">
    <w:p w14:paraId="7BA35D58"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Wild Tree Foundation Reply Comments on Staff Proposal at 3.</w:t>
      </w:r>
    </w:p>
  </w:footnote>
  <w:footnote w:id="129">
    <w:p w14:paraId="4540F952" w14:textId="2C4D1E5E"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w:t>
      </w:r>
      <w:r>
        <w:rPr>
          <w:szCs w:val="22"/>
        </w:rPr>
        <w:t>CALSSA</w:t>
      </w:r>
      <w:r w:rsidRPr="000C4DB5">
        <w:rPr>
          <w:szCs w:val="22"/>
        </w:rPr>
        <w:t xml:space="preserve"> Reply Comments on Staff Proposal at 3.</w:t>
      </w:r>
    </w:p>
  </w:footnote>
  <w:footnote w:id="130">
    <w:p w14:paraId="4E316012"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w:t>
      </w:r>
      <w:r w:rsidRPr="00C62F78">
        <w:rPr>
          <w:i/>
          <w:iCs/>
          <w:szCs w:val="22"/>
        </w:rPr>
        <w:t>See</w:t>
      </w:r>
      <w:r w:rsidRPr="000C4DB5">
        <w:rPr>
          <w:szCs w:val="22"/>
        </w:rPr>
        <w:t xml:space="preserve">: </w:t>
      </w:r>
      <w:hyperlink r:id="rId5" w:history="1">
        <w:r w:rsidRPr="000C4DB5">
          <w:rPr>
            <w:rStyle w:val="Hyperlink"/>
            <w:szCs w:val="22"/>
          </w:rPr>
          <w:t>https://ww2.arb.ca.gov/sites/default/files/2019-08/AC%20Hand-Out%20%28Final%2008-01-19%29_2.pdf</w:t>
        </w:r>
      </w:hyperlink>
      <w:r w:rsidRPr="000C4DB5">
        <w:rPr>
          <w:szCs w:val="22"/>
        </w:rPr>
        <w:t>.</w:t>
      </w:r>
    </w:p>
  </w:footnote>
  <w:footnote w:id="131">
    <w:p w14:paraId="3AAE6E90" w14:textId="2592D624"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w:t>
      </w:r>
      <w:r>
        <w:rPr>
          <w:iCs/>
          <w:szCs w:val="22"/>
        </w:rPr>
        <w:t xml:space="preserve">SB 1477 Legislative History, August 30, 2018 Senate Floor Analysis, at: </w:t>
      </w:r>
      <w:hyperlink r:id="rId6" w:history="1">
        <w:r w:rsidRPr="000C4DB5">
          <w:rPr>
            <w:rStyle w:val="Hyperlink"/>
            <w:szCs w:val="22"/>
          </w:rPr>
          <w:t>http://leginfo.legislature.ca.gov/faces/billAnalysisClient.xhtml?bill_id=201720180SB1477</w:t>
        </w:r>
      </w:hyperlink>
      <w:r w:rsidRPr="000C4DB5">
        <w:rPr>
          <w:szCs w:val="22"/>
        </w:rPr>
        <w:t xml:space="preserve"> </w:t>
      </w:r>
    </w:p>
  </w:footnote>
  <w:footnote w:id="132">
    <w:p w14:paraId="50D44FEC"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Pub. Util. Code § 921.1(a). </w:t>
      </w:r>
    </w:p>
  </w:footnote>
  <w:footnote w:id="133">
    <w:p w14:paraId="7C0AE0C1"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May 17, 2019 Assigned Commissioner’s Scoping Memo and Ruling.</w:t>
      </w:r>
    </w:p>
  </w:footnote>
  <w:footnote w:id="134">
    <w:p w14:paraId="485D4C04"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July 16, 2019 Assigned Administrative Law Judge’s Ruling.</w:t>
      </w:r>
    </w:p>
  </w:footnote>
  <w:footnote w:id="135">
    <w:p w14:paraId="3E3A11B1" w14:textId="0F12D2E9"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Staff Proposal</w:t>
      </w:r>
      <w:r>
        <w:rPr>
          <w:szCs w:val="22"/>
        </w:rPr>
        <w:t>, Section 4.2</w:t>
      </w:r>
      <w:r w:rsidRPr="000C4DB5">
        <w:rPr>
          <w:szCs w:val="22"/>
        </w:rPr>
        <w:t>.</w:t>
      </w:r>
    </w:p>
  </w:footnote>
  <w:footnote w:id="136">
    <w:p w14:paraId="54C57DC7"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137">
    <w:p w14:paraId="37772A43"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SCE Opening Comments on Staff Proposal at 5.</w:t>
      </w:r>
    </w:p>
  </w:footnote>
  <w:footnote w:id="138">
    <w:p w14:paraId="719D268D" w14:textId="336A2D4D"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w:t>
      </w:r>
      <w:r>
        <w:rPr>
          <w:szCs w:val="22"/>
        </w:rPr>
        <w:t>Cal</w:t>
      </w:r>
      <w:r w:rsidRPr="000C4DB5">
        <w:rPr>
          <w:szCs w:val="22"/>
        </w:rPr>
        <w:t xml:space="preserve"> Advocates Opening Comments on Staff Proposal at 7.</w:t>
      </w:r>
    </w:p>
  </w:footnote>
  <w:footnote w:id="139">
    <w:p w14:paraId="34DCE3BD"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CALSSA Opening Comments on Staff Proposal at 2.</w:t>
      </w:r>
    </w:p>
  </w:footnote>
  <w:footnote w:id="140">
    <w:p w14:paraId="19198E86"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SDG&amp;E Opening Comments on Staff Proposal at 4.</w:t>
      </w:r>
    </w:p>
  </w:footnote>
  <w:footnote w:id="141">
    <w:p w14:paraId="047D5B63"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PG&amp;E Opening Comments on Staff Proposal at 3.</w:t>
      </w:r>
    </w:p>
  </w:footnote>
  <w:footnote w:id="142">
    <w:p w14:paraId="58279AFD"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VEIC Opening Comments on Staff Proposal at 5.</w:t>
      </w:r>
    </w:p>
  </w:footnote>
  <w:footnote w:id="143">
    <w:p w14:paraId="0271B454"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CSE Opening Comments on Staff Proposal at 4.</w:t>
      </w:r>
    </w:p>
  </w:footnote>
  <w:footnote w:id="144">
    <w:p w14:paraId="5F1FBAE1" w14:textId="77777777" w:rsidR="00440A15" w:rsidRPr="000C4DB5" w:rsidRDefault="00440A15" w:rsidP="00E50745">
      <w:pPr>
        <w:pStyle w:val="FootnoteText"/>
        <w:rPr>
          <w:szCs w:val="22"/>
        </w:rPr>
      </w:pPr>
      <w:r w:rsidRPr="000C4DB5">
        <w:rPr>
          <w:rStyle w:val="FootnoteReference"/>
          <w:szCs w:val="22"/>
        </w:rPr>
        <w:footnoteRef/>
      </w:r>
      <w:r w:rsidRPr="000C4DB5">
        <w:rPr>
          <w:szCs w:val="22"/>
        </w:rPr>
        <w:t xml:space="preserve"> Joint Environmentals Opening Comments on Staff Proposal at 7.</w:t>
      </w:r>
    </w:p>
  </w:footnote>
  <w:footnote w:id="145">
    <w:p w14:paraId="0B53B377"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Pub. Util. Code § 921.1(d).</w:t>
      </w:r>
    </w:p>
  </w:footnote>
  <w:footnote w:id="146">
    <w:p w14:paraId="251886A4"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w:t>
      </w:r>
      <w:bookmarkStart w:id="49" w:name="_Hlk20817527"/>
      <w:r w:rsidRPr="000C4DB5">
        <w:rPr>
          <w:szCs w:val="22"/>
        </w:rPr>
        <w:t>Pub. Util. Code § 921.1(d)(1).</w:t>
      </w:r>
    </w:p>
    <w:bookmarkEnd w:id="49"/>
  </w:footnote>
  <w:footnote w:id="147">
    <w:p w14:paraId="38F21413"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Pub. Util. Code § 921.1(c)(2)</w:t>
      </w:r>
    </w:p>
  </w:footnote>
  <w:footnote w:id="148">
    <w:p w14:paraId="39F8F638"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May 17, 2019 Assigned Commissioner’s Scoping Memo and Ruling.</w:t>
      </w:r>
    </w:p>
  </w:footnote>
  <w:footnote w:id="149">
    <w:p w14:paraId="1F0A899A"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July 16, 2019 Assigned Administrative Law Judge’s Ruling.</w:t>
      </w:r>
    </w:p>
  </w:footnote>
  <w:footnote w:id="150">
    <w:p w14:paraId="28524BE5"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CBIA Opening Comments on Staff Proposal at 4.</w:t>
      </w:r>
    </w:p>
  </w:footnote>
  <w:footnote w:id="151">
    <w:p w14:paraId="78364E4E"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PG&amp;E Opening Comments on Staff Proposal at 8.</w:t>
      </w:r>
    </w:p>
  </w:footnote>
  <w:footnote w:id="152">
    <w:p w14:paraId="5666F66D"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Joint Environmentals Opening Comments on Staff Proposal at 10.</w:t>
      </w:r>
    </w:p>
  </w:footnote>
  <w:footnote w:id="153">
    <w:p w14:paraId="4708A99C"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154">
    <w:p w14:paraId="325FA2BC"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155">
    <w:p w14:paraId="19F2D0B4"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Cal Advocates Opening Comments on Staff Proposal at 13.</w:t>
      </w:r>
    </w:p>
  </w:footnote>
  <w:footnote w:id="156">
    <w:p w14:paraId="133D4B08"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157">
    <w:p w14:paraId="317429E1"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VEIC Opening Comments on Staff Proposal at 7.</w:t>
      </w:r>
    </w:p>
  </w:footnote>
  <w:footnote w:id="158">
    <w:p w14:paraId="50776A83"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SBUA Opening Comments on Staff Proposal at 10.</w:t>
      </w:r>
    </w:p>
  </w:footnote>
  <w:footnote w:id="159">
    <w:p w14:paraId="103E1243"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VEIC Opening Comments on Staff Proposal at 7</w:t>
      </w:r>
      <w:r w:rsidRPr="000C4DB5">
        <w:rPr>
          <w:i/>
          <w:iCs/>
          <w:szCs w:val="22"/>
        </w:rPr>
        <w:t>.</w:t>
      </w:r>
    </w:p>
  </w:footnote>
  <w:footnote w:id="160">
    <w:p w14:paraId="384F52AE"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BayREN Opening Comments on Staff Proposal at 3. </w:t>
      </w:r>
    </w:p>
  </w:footnote>
  <w:footnote w:id="161">
    <w:p w14:paraId="5623BBD8"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CHBC Opening Comments on Staff Proposal at 4.</w:t>
      </w:r>
    </w:p>
  </w:footnote>
  <w:footnote w:id="162">
    <w:p w14:paraId="19DEADAE" w14:textId="77777777" w:rsidR="00440A15" w:rsidRPr="000C4DB5" w:rsidRDefault="00440A15" w:rsidP="00921F3B">
      <w:pPr>
        <w:pStyle w:val="FootnoteText"/>
        <w:rPr>
          <w:szCs w:val="22"/>
        </w:rPr>
      </w:pPr>
      <w:r w:rsidRPr="000C4DB5">
        <w:rPr>
          <w:rStyle w:val="FootnoteReference"/>
          <w:szCs w:val="22"/>
        </w:rPr>
        <w:footnoteRef/>
      </w:r>
      <w:r w:rsidRPr="000C4DB5">
        <w:rPr>
          <w:szCs w:val="22"/>
        </w:rPr>
        <w:t xml:space="preserve"> EDF Opening Comments on Staff Proposal at 8.</w:t>
      </w:r>
    </w:p>
  </w:footnote>
  <w:footnote w:id="163">
    <w:p w14:paraId="3B515815"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w:t>
      </w:r>
      <w:r w:rsidRPr="000C4DB5">
        <w:rPr>
          <w:i/>
          <w:iCs/>
          <w:szCs w:val="22"/>
        </w:rPr>
        <w:t>Id.</w:t>
      </w:r>
      <w:r w:rsidRPr="000C4DB5">
        <w:rPr>
          <w:szCs w:val="22"/>
        </w:rPr>
        <w:t xml:space="preserve"> at 7.</w:t>
      </w:r>
    </w:p>
  </w:footnote>
  <w:footnote w:id="164">
    <w:p w14:paraId="3AAD03D5"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CSE Opening Comments on Staff Proposal at 5.</w:t>
      </w:r>
    </w:p>
  </w:footnote>
  <w:footnote w:id="165">
    <w:p w14:paraId="1A78D2EE"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The Partnership Opening Comments on Staff Proposal at 14.</w:t>
      </w:r>
    </w:p>
  </w:footnote>
  <w:footnote w:id="166">
    <w:p w14:paraId="2840B20E"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w:t>
      </w:r>
      <w:r w:rsidRPr="000C4DB5">
        <w:rPr>
          <w:i/>
          <w:iCs/>
          <w:szCs w:val="22"/>
        </w:rPr>
        <w:t>Id.</w:t>
      </w:r>
      <w:r w:rsidRPr="000C4DB5">
        <w:rPr>
          <w:szCs w:val="22"/>
        </w:rPr>
        <w:t xml:space="preserve"> at 5.</w:t>
      </w:r>
    </w:p>
  </w:footnote>
  <w:footnote w:id="167">
    <w:p w14:paraId="54FB8266" w14:textId="77777777" w:rsidR="00440A15" w:rsidRPr="000C4DB5" w:rsidRDefault="00440A15" w:rsidP="00126BA7">
      <w:pPr>
        <w:pStyle w:val="FootnoteText"/>
        <w:rPr>
          <w:szCs w:val="22"/>
        </w:rPr>
      </w:pPr>
      <w:r w:rsidRPr="000C4DB5">
        <w:rPr>
          <w:rStyle w:val="FootnoteReference"/>
          <w:szCs w:val="22"/>
        </w:rPr>
        <w:footnoteRef/>
      </w:r>
      <w:r w:rsidRPr="000C4DB5">
        <w:rPr>
          <w:szCs w:val="22"/>
        </w:rPr>
        <w:t xml:space="preserve"> CSE Opening Comments on Staff Proposal at 5.</w:t>
      </w:r>
    </w:p>
  </w:footnote>
  <w:footnote w:id="168">
    <w:p w14:paraId="48EAFFA2" w14:textId="5987E5C2" w:rsidR="00440A15" w:rsidRDefault="00440A15">
      <w:pPr>
        <w:pStyle w:val="FootnoteText"/>
      </w:pPr>
      <w:r>
        <w:rPr>
          <w:rStyle w:val="FootnoteReference"/>
        </w:rPr>
        <w:footnoteRef/>
      </w:r>
      <w:r>
        <w:t xml:space="preserve"> California Housing Partnership (2019) available at: </w:t>
      </w:r>
      <w:r w:rsidRPr="00EA7806">
        <w:t>https://chpc.net/resources/2019-statewide-housing-need-report/</w:t>
      </w:r>
    </w:p>
  </w:footnote>
  <w:footnote w:id="169">
    <w:p w14:paraId="0A37C39D"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May 17, 2019 Assigned Commissioner’s Scoping Memo and Ruling.</w:t>
      </w:r>
    </w:p>
  </w:footnote>
  <w:footnote w:id="170">
    <w:p w14:paraId="18581496"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July 16, 2019 Assigned Administrative Law Judge’s Ruling.</w:t>
      </w:r>
    </w:p>
  </w:footnote>
  <w:footnote w:id="171">
    <w:p w14:paraId="061A7AF7" w14:textId="7CD99AB9"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Staff Proposal</w:t>
      </w:r>
      <w:r>
        <w:rPr>
          <w:szCs w:val="22"/>
        </w:rPr>
        <w:t>,</w:t>
      </w:r>
      <w:r w:rsidRPr="000C4DB5">
        <w:rPr>
          <w:szCs w:val="22"/>
        </w:rPr>
        <w:t xml:space="preserve"> </w:t>
      </w:r>
      <w:r>
        <w:rPr>
          <w:szCs w:val="22"/>
        </w:rPr>
        <w:t>Section 4.4.7.</w:t>
      </w:r>
    </w:p>
  </w:footnote>
  <w:footnote w:id="172">
    <w:p w14:paraId="40EBF93F" w14:textId="64AF7BFC"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Staff Proposal, Section </w:t>
      </w:r>
      <w:r>
        <w:rPr>
          <w:szCs w:val="22"/>
        </w:rPr>
        <w:t>4.1</w:t>
      </w:r>
      <w:r w:rsidRPr="000C4DB5">
        <w:rPr>
          <w:szCs w:val="22"/>
        </w:rPr>
        <w:t xml:space="preserve">.  </w:t>
      </w:r>
    </w:p>
  </w:footnote>
  <w:footnote w:id="173">
    <w:p w14:paraId="37C5C379" w14:textId="3B34620A"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w:t>
      </w:r>
      <w:r w:rsidRPr="000C4DB5">
        <w:rPr>
          <w:i/>
          <w:iCs/>
          <w:szCs w:val="22"/>
        </w:rPr>
        <w:t>Id.</w:t>
      </w:r>
      <w:r w:rsidRPr="000C4DB5">
        <w:rPr>
          <w:szCs w:val="22"/>
        </w:rPr>
        <w:t xml:space="preserve"> </w:t>
      </w:r>
    </w:p>
  </w:footnote>
  <w:footnote w:id="174">
    <w:p w14:paraId="38E8CDC7" w14:textId="683BC348"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w:t>
      </w:r>
      <w:r w:rsidRPr="00C20741">
        <w:rPr>
          <w:i/>
          <w:iCs/>
          <w:szCs w:val="22"/>
        </w:rPr>
        <w:t>Staff Proposal</w:t>
      </w:r>
      <w:r w:rsidRPr="000C4DB5">
        <w:rPr>
          <w:szCs w:val="22"/>
        </w:rPr>
        <w:t xml:space="preserve">, Section 6.4.  </w:t>
      </w:r>
    </w:p>
  </w:footnote>
  <w:footnote w:id="175">
    <w:p w14:paraId="562B1672"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Staff Proposal, Section 4.4.6.</w:t>
      </w:r>
    </w:p>
  </w:footnote>
  <w:footnote w:id="176">
    <w:p w14:paraId="4E08F45F" w14:textId="77777777" w:rsidR="00440A15" w:rsidRPr="000C4DB5" w:rsidRDefault="00440A15" w:rsidP="00937081">
      <w:pPr>
        <w:pStyle w:val="FootnoteText"/>
        <w:rPr>
          <w:i/>
          <w:iCs/>
          <w:szCs w:val="22"/>
        </w:rPr>
      </w:pPr>
      <w:r w:rsidRPr="000C4DB5">
        <w:rPr>
          <w:rStyle w:val="FootnoteReference"/>
          <w:szCs w:val="22"/>
        </w:rPr>
        <w:footnoteRef/>
      </w:r>
      <w:r w:rsidRPr="000C4DB5">
        <w:rPr>
          <w:szCs w:val="22"/>
        </w:rPr>
        <w:t xml:space="preserve"> </w:t>
      </w:r>
      <w:r w:rsidRPr="000C4DB5">
        <w:rPr>
          <w:i/>
          <w:iCs/>
          <w:szCs w:val="22"/>
        </w:rPr>
        <w:t>Id.</w:t>
      </w:r>
    </w:p>
  </w:footnote>
  <w:footnote w:id="177">
    <w:p w14:paraId="4893BC00"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Staff Proposal, Section 2.2.</w:t>
      </w:r>
    </w:p>
  </w:footnote>
  <w:footnote w:id="178">
    <w:p w14:paraId="66A01D85"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Staff Proposal, Section 4.4.8.</w:t>
      </w:r>
    </w:p>
  </w:footnote>
  <w:footnote w:id="179">
    <w:p w14:paraId="27996922"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BAC and ABC Opening Comments on Staff Proposal at 7.</w:t>
      </w:r>
    </w:p>
  </w:footnote>
  <w:footnote w:id="180">
    <w:p w14:paraId="436313D2"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w:t>
      </w:r>
      <w:r w:rsidRPr="000C4DB5">
        <w:rPr>
          <w:i/>
          <w:iCs/>
          <w:szCs w:val="22"/>
        </w:rPr>
        <w:t>Id.</w:t>
      </w:r>
      <w:r w:rsidRPr="000C4DB5">
        <w:rPr>
          <w:szCs w:val="22"/>
        </w:rPr>
        <w:t xml:space="preserve"> at 9-11.</w:t>
      </w:r>
    </w:p>
  </w:footnote>
  <w:footnote w:id="181">
    <w:p w14:paraId="4AFC2A4B"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w:t>
      </w:r>
      <w:r w:rsidRPr="000C4DB5">
        <w:rPr>
          <w:i/>
          <w:iCs/>
          <w:szCs w:val="22"/>
        </w:rPr>
        <w:t>Id.</w:t>
      </w:r>
      <w:r w:rsidRPr="000C4DB5">
        <w:rPr>
          <w:szCs w:val="22"/>
        </w:rPr>
        <w:t xml:space="preserve"> at 9-11.</w:t>
      </w:r>
    </w:p>
  </w:footnote>
  <w:footnote w:id="182">
    <w:p w14:paraId="46EF5244" w14:textId="77777777" w:rsidR="00440A15" w:rsidRPr="002A7737" w:rsidRDefault="00440A15" w:rsidP="00937081">
      <w:pPr>
        <w:pStyle w:val="FootnoteText"/>
        <w:spacing w:after="0"/>
        <w:rPr>
          <w:sz w:val="2"/>
          <w:szCs w:val="2"/>
        </w:rPr>
      </w:pPr>
    </w:p>
  </w:footnote>
  <w:footnote w:id="183">
    <w:p w14:paraId="6633DE6E"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PG&amp;E Opening Comments on Staff Proposal at 1.</w:t>
      </w:r>
    </w:p>
  </w:footnote>
  <w:footnote w:id="184">
    <w:p w14:paraId="6EE91918" w14:textId="6D3E4A4C"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PG&amp;E Opening Comments </w:t>
      </w:r>
      <w:r>
        <w:rPr>
          <w:szCs w:val="22"/>
        </w:rPr>
        <w:t xml:space="preserve">on Staff Proposal </w:t>
      </w:r>
      <w:r w:rsidRPr="000C4DB5">
        <w:rPr>
          <w:szCs w:val="22"/>
        </w:rPr>
        <w:t>at 1-2 and 5-6.</w:t>
      </w:r>
    </w:p>
  </w:footnote>
  <w:footnote w:id="185">
    <w:p w14:paraId="7F74A693"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Joint Environmentals Opening Comments on Staff Proposal at 4.</w:t>
      </w:r>
    </w:p>
  </w:footnote>
  <w:footnote w:id="186">
    <w:p w14:paraId="39275528" w14:textId="626E7268" w:rsidR="00440A15" w:rsidRPr="00CA5FCD" w:rsidRDefault="00440A15" w:rsidP="00937081">
      <w:pPr>
        <w:pStyle w:val="FootnoteText"/>
        <w:rPr>
          <w:szCs w:val="22"/>
        </w:rPr>
      </w:pPr>
      <w:r w:rsidRPr="000C4DB5">
        <w:rPr>
          <w:rStyle w:val="FootnoteReference"/>
          <w:szCs w:val="22"/>
        </w:rPr>
        <w:footnoteRef/>
      </w:r>
      <w:r w:rsidRPr="000C4DB5">
        <w:rPr>
          <w:szCs w:val="22"/>
        </w:rPr>
        <w:t xml:space="preserve"> </w:t>
      </w:r>
      <w:r w:rsidRPr="000C4DB5">
        <w:rPr>
          <w:i/>
          <w:iCs/>
          <w:szCs w:val="22"/>
        </w:rPr>
        <w:t>Id.</w:t>
      </w:r>
      <w:r>
        <w:rPr>
          <w:szCs w:val="22"/>
        </w:rPr>
        <w:t xml:space="preserve"> at 6.</w:t>
      </w:r>
    </w:p>
  </w:footnote>
  <w:footnote w:id="187">
    <w:p w14:paraId="34FAADD5" w14:textId="63A1FE42"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Cal Advocates Reply </w:t>
      </w:r>
      <w:r>
        <w:rPr>
          <w:szCs w:val="22"/>
        </w:rPr>
        <w:t xml:space="preserve">Comments on Staff Proposal </w:t>
      </w:r>
      <w:r w:rsidRPr="000C4DB5">
        <w:rPr>
          <w:szCs w:val="22"/>
        </w:rPr>
        <w:t>at 7-8.</w:t>
      </w:r>
    </w:p>
  </w:footnote>
  <w:footnote w:id="188">
    <w:p w14:paraId="0FEB971A"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189">
    <w:p w14:paraId="5C10884D" w14:textId="58A42801"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w:t>
      </w:r>
      <w:r w:rsidRPr="00A30580">
        <w:rPr>
          <w:szCs w:val="22"/>
        </w:rPr>
        <w:t xml:space="preserve">The Partnership Opening Comments </w:t>
      </w:r>
      <w:r>
        <w:rPr>
          <w:szCs w:val="22"/>
        </w:rPr>
        <w:t>o</w:t>
      </w:r>
      <w:r w:rsidRPr="00A30580">
        <w:rPr>
          <w:szCs w:val="22"/>
        </w:rPr>
        <w:t>n Staff Proposal</w:t>
      </w:r>
      <w:r w:rsidRPr="000C4DB5">
        <w:rPr>
          <w:szCs w:val="22"/>
        </w:rPr>
        <w:t xml:space="preserve"> at 7.</w:t>
      </w:r>
    </w:p>
  </w:footnote>
  <w:footnote w:id="190">
    <w:p w14:paraId="0149D33C"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w:t>
      </w:r>
      <w:r w:rsidRPr="000C4DB5">
        <w:rPr>
          <w:i/>
          <w:iCs/>
          <w:szCs w:val="22"/>
        </w:rPr>
        <w:t>Id</w:t>
      </w:r>
      <w:r w:rsidRPr="000C4DB5">
        <w:rPr>
          <w:szCs w:val="22"/>
        </w:rPr>
        <w:t xml:space="preserve"> at 12.</w:t>
      </w:r>
    </w:p>
  </w:footnote>
  <w:footnote w:id="191">
    <w:p w14:paraId="08394F6F"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192">
    <w:p w14:paraId="19A9165E" w14:textId="0235A22A"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w:t>
      </w:r>
      <w:r w:rsidRPr="00A30580">
        <w:rPr>
          <w:szCs w:val="22"/>
        </w:rPr>
        <w:t xml:space="preserve">Wild Tree Foundation Opening Comments on Staff Proposal </w:t>
      </w:r>
      <w:r w:rsidRPr="000C4DB5">
        <w:rPr>
          <w:szCs w:val="22"/>
        </w:rPr>
        <w:t>at 19.</w:t>
      </w:r>
    </w:p>
  </w:footnote>
  <w:footnote w:id="193">
    <w:p w14:paraId="3D6B0901" w14:textId="77777777" w:rsidR="00440A15" w:rsidRDefault="00440A15" w:rsidP="00DB7BD9">
      <w:pPr>
        <w:pStyle w:val="FootnoteText"/>
      </w:pPr>
      <w:r>
        <w:rPr>
          <w:rStyle w:val="FootnoteReference"/>
        </w:rPr>
        <w:footnoteRef/>
      </w:r>
      <w:r>
        <w:t xml:space="preserve"> EDF Opening Comments at Comments on Staff Proposal at 2.</w:t>
      </w:r>
    </w:p>
  </w:footnote>
  <w:footnote w:id="194">
    <w:p w14:paraId="4E454534" w14:textId="77777777" w:rsidR="00440A15" w:rsidRDefault="00440A15" w:rsidP="00DB7BD9">
      <w:pPr>
        <w:pStyle w:val="FootnoteText"/>
      </w:pPr>
      <w:r>
        <w:rPr>
          <w:rStyle w:val="FootnoteReference"/>
        </w:rPr>
        <w:footnoteRef/>
      </w:r>
      <w:r>
        <w:t xml:space="preserve"> The Joint Environmentals Opening Comments on Staff proposal at 11.</w:t>
      </w:r>
    </w:p>
  </w:footnote>
  <w:footnote w:id="195">
    <w:p w14:paraId="06CBC63E"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CALSSA Opening Comments on Staff Proposal at 3.</w:t>
      </w:r>
    </w:p>
  </w:footnote>
  <w:footnote w:id="196">
    <w:p w14:paraId="5280E930"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197">
    <w:p w14:paraId="367EC286"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CSE Opening Comments on Staff Proposal at 4.</w:t>
      </w:r>
    </w:p>
  </w:footnote>
  <w:footnote w:id="198">
    <w:p w14:paraId="37F95603"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199">
    <w:p w14:paraId="736587EE"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CBIA Opening Comments on Staff Proposal at 3.</w:t>
      </w:r>
    </w:p>
  </w:footnote>
  <w:footnote w:id="200">
    <w:p w14:paraId="191CA34F"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201">
    <w:p w14:paraId="7AB1CC43" w14:textId="77777777" w:rsidR="00440A15" w:rsidRPr="000C4DB5" w:rsidRDefault="00440A15" w:rsidP="00937081">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202">
    <w:p w14:paraId="41BD2A11" w14:textId="7474AAB0" w:rsidR="00440A15" w:rsidRDefault="00440A15">
      <w:pPr>
        <w:pStyle w:val="FootnoteText"/>
      </w:pPr>
      <w:r>
        <w:rPr>
          <w:rStyle w:val="FootnoteReference"/>
        </w:rPr>
        <w:footnoteRef/>
      </w:r>
      <w:r>
        <w:t xml:space="preserve"> If a non-disclosure agreement exists or is executed, the confidential data can be shared.</w:t>
      </w:r>
    </w:p>
  </w:footnote>
  <w:footnote w:id="203">
    <w:p w14:paraId="0309F266" w14:textId="26D1FDC5" w:rsidR="00440A15" w:rsidRDefault="00440A15" w:rsidP="00D235F2">
      <w:pPr>
        <w:pStyle w:val="FootnoteText"/>
      </w:pPr>
      <w:r>
        <w:rPr>
          <w:rStyle w:val="FootnoteReference"/>
        </w:rPr>
        <w:footnoteRef/>
      </w:r>
      <w:r>
        <w:t xml:space="preserve"> The California Energy Code provides two options for a building to achieve code compliance, prescriptive and performance option.  The prescriptive option allows builders to comply with the code by using a pre-determined set of methods and measures that the CEC ‘prescribes’ as efficient.  The performance option allows builders complete freedom in their designs provided that the building achieves the same overall efficiency as a hypothetical reference equivalent building that uses the prescriptive option.  Section 921.1(a) requires that incentives be provided for GHG reductions beyond the prescriptive standards of the California Energy Code.  Therefore, any building projects seeking BUILD Program incentives will be required to use the performance option.</w:t>
      </w:r>
    </w:p>
  </w:footnote>
  <w:footnote w:id="204">
    <w:p w14:paraId="32A62461" w14:textId="77777777" w:rsidR="00440A15" w:rsidRDefault="00440A15" w:rsidP="00CA5FCD">
      <w:pPr>
        <w:pStyle w:val="FootnoteText"/>
      </w:pPr>
      <w:r>
        <w:rPr>
          <w:rStyle w:val="FootnoteReference"/>
        </w:rPr>
        <w:footnoteRef/>
      </w:r>
      <w:r>
        <w:t xml:space="preserve"> </w:t>
      </w:r>
      <w:r w:rsidRPr="00F146FD">
        <w:rPr>
          <w:i/>
          <w:iCs/>
        </w:rPr>
        <w:t>See</w:t>
      </w:r>
      <w:r>
        <w:t xml:space="preserve"> Section 2.1 of the appendix to this decision for further guidance.</w:t>
      </w:r>
    </w:p>
  </w:footnote>
  <w:footnote w:id="205">
    <w:p w14:paraId="11F619E2" w14:textId="77777777" w:rsidR="00440A15" w:rsidRPr="000C4DB5" w:rsidRDefault="00440A15" w:rsidP="00B64ED9">
      <w:pPr>
        <w:pStyle w:val="FootnoteText"/>
        <w:rPr>
          <w:szCs w:val="22"/>
        </w:rPr>
      </w:pPr>
      <w:r w:rsidRPr="000C4DB5">
        <w:rPr>
          <w:rStyle w:val="FootnoteReference"/>
          <w:szCs w:val="22"/>
        </w:rPr>
        <w:footnoteRef/>
      </w:r>
      <w:r w:rsidRPr="000C4DB5">
        <w:rPr>
          <w:szCs w:val="22"/>
        </w:rPr>
        <w:t xml:space="preserve"> SB 1477 Legislative History, August 30, 2018 Senate Floor Analysis, at: </w:t>
      </w:r>
      <w:hyperlink r:id="rId7" w:history="1">
        <w:r w:rsidRPr="000C4DB5">
          <w:rPr>
            <w:rStyle w:val="Hyperlink"/>
            <w:szCs w:val="22"/>
          </w:rPr>
          <w:t>http://leginfo.legislature.ca.gov/faces/billAnalysisClient.xhtml?bill_id=201720180SB1477</w:t>
        </w:r>
      </w:hyperlink>
      <w:r w:rsidRPr="000C4DB5">
        <w:rPr>
          <w:szCs w:val="22"/>
        </w:rPr>
        <w:t xml:space="preserve"> </w:t>
      </w:r>
    </w:p>
  </w:footnote>
  <w:footnote w:id="206">
    <w:p w14:paraId="56CC473B" w14:textId="77DADA8D" w:rsidR="00440A15" w:rsidRPr="000C4DB5" w:rsidRDefault="00440A15" w:rsidP="00B64ED9">
      <w:pPr>
        <w:pStyle w:val="FootnoteText"/>
        <w:rPr>
          <w:szCs w:val="22"/>
        </w:rPr>
      </w:pPr>
      <w:r w:rsidRPr="000C4DB5">
        <w:rPr>
          <w:rStyle w:val="FootnoteReference"/>
          <w:szCs w:val="22"/>
        </w:rPr>
        <w:footnoteRef/>
      </w:r>
      <w:r w:rsidRPr="000C4DB5">
        <w:rPr>
          <w:szCs w:val="22"/>
        </w:rPr>
        <w:t xml:space="preserve"> Pub. Util. Code § 922(a)(1) </w:t>
      </w:r>
    </w:p>
  </w:footnote>
  <w:footnote w:id="207">
    <w:p w14:paraId="75D575D3" w14:textId="21FF4C4F" w:rsidR="00440A15" w:rsidRPr="000C4DB5" w:rsidRDefault="00440A15" w:rsidP="00B64ED9">
      <w:pPr>
        <w:pStyle w:val="FootnoteText"/>
        <w:rPr>
          <w:szCs w:val="22"/>
        </w:rPr>
      </w:pPr>
      <w:r w:rsidRPr="000C4DB5">
        <w:rPr>
          <w:rStyle w:val="FootnoteReference"/>
          <w:szCs w:val="22"/>
        </w:rPr>
        <w:footnoteRef/>
      </w:r>
      <w:r w:rsidRPr="000C4DB5">
        <w:rPr>
          <w:szCs w:val="22"/>
        </w:rPr>
        <w:t xml:space="preserve"> Pub. Util. Code § 922(</w:t>
      </w:r>
      <w:r>
        <w:rPr>
          <w:szCs w:val="22"/>
        </w:rPr>
        <w:t>b</w:t>
      </w:r>
      <w:r w:rsidRPr="000C4DB5">
        <w:rPr>
          <w:szCs w:val="22"/>
        </w:rPr>
        <w:t>)</w:t>
      </w:r>
      <w:r w:rsidRPr="000C4DB5">
        <w:rPr>
          <w:i/>
          <w:szCs w:val="22"/>
        </w:rPr>
        <w:t>.</w:t>
      </w:r>
    </w:p>
  </w:footnote>
  <w:footnote w:id="208">
    <w:p w14:paraId="1916263A" w14:textId="5A1F3A8E" w:rsidR="00440A15" w:rsidRPr="000C4DB5" w:rsidRDefault="00440A15" w:rsidP="00B64ED9">
      <w:pPr>
        <w:pStyle w:val="FootnoteText"/>
        <w:rPr>
          <w:szCs w:val="22"/>
        </w:rPr>
      </w:pPr>
      <w:r w:rsidRPr="000C4DB5">
        <w:rPr>
          <w:rStyle w:val="FootnoteReference"/>
          <w:szCs w:val="22"/>
        </w:rPr>
        <w:footnoteRef/>
      </w:r>
      <w:r w:rsidRPr="000C4DB5">
        <w:rPr>
          <w:szCs w:val="22"/>
        </w:rPr>
        <w:t xml:space="preserve"> Pub. Util. Code § 922(</w:t>
      </w:r>
      <w:r>
        <w:rPr>
          <w:szCs w:val="22"/>
        </w:rPr>
        <w:t>c</w:t>
      </w:r>
      <w:r w:rsidRPr="000C4DB5">
        <w:rPr>
          <w:szCs w:val="22"/>
        </w:rPr>
        <w:t>)</w:t>
      </w:r>
      <w:r>
        <w:rPr>
          <w:szCs w:val="22"/>
        </w:rPr>
        <w:t>(1)</w:t>
      </w:r>
      <w:r w:rsidRPr="000C4DB5">
        <w:rPr>
          <w:i/>
          <w:szCs w:val="22"/>
        </w:rPr>
        <w:t>.</w:t>
      </w:r>
    </w:p>
  </w:footnote>
  <w:footnote w:id="209">
    <w:p w14:paraId="01C53B3E" w14:textId="77777777" w:rsidR="00440A15" w:rsidRPr="000C4DB5" w:rsidRDefault="00440A15" w:rsidP="00B64ED9">
      <w:pPr>
        <w:pStyle w:val="FootnoteText"/>
        <w:rPr>
          <w:szCs w:val="22"/>
        </w:rPr>
      </w:pPr>
      <w:r w:rsidRPr="000C4DB5">
        <w:rPr>
          <w:rStyle w:val="FootnoteReference"/>
          <w:szCs w:val="22"/>
        </w:rPr>
        <w:footnoteRef/>
      </w:r>
      <w:r w:rsidRPr="000C4DB5">
        <w:rPr>
          <w:szCs w:val="22"/>
        </w:rPr>
        <w:t xml:space="preserve"> May 17, 2019 Assigned Commissioner’s Scoping Memo and Ruling.</w:t>
      </w:r>
    </w:p>
  </w:footnote>
  <w:footnote w:id="210">
    <w:p w14:paraId="067E6789" w14:textId="77777777" w:rsidR="00440A15" w:rsidRPr="000C4DB5" w:rsidRDefault="00440A15" w:rsidP="00B64ED9">
      <w:pPr>
        <w:pStyle w:val="FootnoteText"/>
        <w:rPr>
          <w:szCs w:val="22"/>
        </w:rPr>
      </w:pPr>
      <w:r w:rsidRPr="000C4DB5">
        <w:rPr>
          <w:rStyle w:val="FootnoteReference"/>
          <w:szCs w:val="22"/>
        </w:rPr>
        <w:footnoteRef/>
      </w:r>
      <w:r w:rsidRPr="000C4DB5">
        <w:rPr>
          <w:szCs w:val="22"/>
        </w:rPr>
        <w:t xml:space="preserve"> July 16, 2019 Assigned Administrative Law Judge’s Ruling.</w:t>
      </w:r>
    </w:p>
  </w:footnote>
  <w:footnote w:id="211">
    <w:p w14:paraId="3A56941E" w14:textId="47612E3C" w:rsidR="00440A15" w:rsidRPr="000C4DB5" w:rsidRDefault="00440A15" w:rsidP="00B64ED9">
      <w:pPr>
        <w:pStyle w:val="FootnoteText"/>
        <w:rPr>
          <w:szCs w:val="22"/>
        </w:rPr>
      </w:pPr>
      <w:r w:rsidRPr="000C4DB5">
        <w:rPr>
          <w:rStyle w:val="FootnoteReference"/>
          <w:szCs w:val="22"/>
        </w:rPr>
        <w:footnoteRef/>
      </w:r>
      <w:r w:rsidRPr="000C4DB5">
        <w:rPr>
          <w:szCs w:val="22"/>
        </w:rPr>
        <w:t xml:space="preserve"> Staff Proposal</w:t>
      </w:r>
      <w:r>
        <w:rPr>
          <w:szCs w:val="22"/>
        </w:rPr>
        <w:t>, Section 5.9</w:t>
      </w:r>
      <w:r w:rsidRPr="000C4DB5">
        <w:rPr>
          <w:szCs w:val="22"/>
        </w:rPr>
        <w:t>.</w:t>
      </w:r>
    </w:p>
  </w:footnote>
  <w:footnote w:id="212">
    <w:p w14:paraId="267D06DA" w14:textId="77777777" w:rsidR="00440A15" w:rsidRPr="000C4DB5" w:rsidRDefault="00440A15" w:rsidP="00B64ED9">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213">
    <w:p w14:paraId="257C9A16" w14:textId="77777777" w:rsidR="00440A15" w:rsidRPr="000C4DB5" w:rsidRDefault="00440A15" w:rsidP="00B64ED9">
      <w:pPr>
        <w:pStyle w:val="FootnoteText"/>
        <w:rPr>
          <w:szCs w:val="22"/>
        </w:rPr>
      </w:pPr>
      <w:r w:rsidRPr="000C4DB5">
        <w:rPr>
          <w:rStyle w:val="FootnoteReference"/>
          <w:szCs w:val="22"/>
        </w:rPr>
        <w:footnoteRef/>
      </w:r>
      <w:r w:rsidRPr="000C4DB5">
        <w:rPr>
          <w:szCs w:val="22"/>
        </w:rPr>
        <w:t xml:space="preserve"> VEIC Opening Comments on Staff Proposal at 8.</w:t>
      </w:r>
    </w:p>
  </w:footnote>
  <w:footnote w:id="214">
    <w:p w14:paraId="382FFD02" w14:textId="77777777" w:rsidR="00440A15" w:rsidRPr="000C4DB5" w:rsidRDefault="00440A15" w:rsidP="00B64ED9">
      <w:pPr>
        <w:pStyle w:val="FootnoteText"/>
        <w:rPr>
          <w:szCs w:val="22"/>
        </w:rPr>
      </w:pPr>
      <w:r w:rsidRPr="000C4DB5">
        <w:rPr>
          <w:rStyle w:val="FootnoteReference"/>
          <w:szCs w:val="22"/>
        </w:rPr>
        <w:footnoteRef/>
      </w:r>
      <w:r w:rsidRPr="000C4DB5">
        <w:rPr>
          <w:szCs w:val="22"/>
        </w:rPr>
        <w:t xml:space="preserve"> Joint Environmentals Opening Comments on Staff Proposal at 13.</w:t>
      </w:r>
    </w:p>
  </w:footnote>
  <w:footnote w:id="215">
    <w:p w14:paraId="240A065A" w14:textId="77777777" w:rsidR="00440A15" w:rsidRPr="000C4DB5" w:rsidRDefault="00440A15" w:rsidP="00B64ED9">
      <w:pPr>
        <w:pStyle w:val="FootnoteText"/>
        <w:rPr>
          <w:szCs w:val="22"/>
        </w:rPr>
      </w:pPr>
      <w:r w:rsidRPr="000C4DB5">
        <w:rPr>
          <w:rStyle w:val="FootnoteReference"/>
          <w:szCs w:val="22"/>
        </w:rPr>
        <w:footnoteRef/>
      </w:r>
      <w:r w:rsidRPr="000C4DB5">
        <w:rPr>
          <w:szCs w:val="22"/>
        </w:rPr>
        <w:t xml:space="preserve"> Cal Advocates Opening Comments on Staff Proposal at 13.</w:t>
      </w:r>
    </w:p>
  </w:footnote>
  <w:footnote w:id="216">
    <w:p w14:paraId="3B4BDF09" w14:textId="4E9C4FB4" w:rsidR="00440A15" w:rsidRDefault="00440A15">
      <w:pPr>
        <w:pStyle w:val="FootnoteText"/>
      </w:pPr>
      <w:r>
        <w:rPr>
          <w:rStyle w:val="FootnoteReference"/>
        </w:rPr>
        <w:footnoteRef/>
      </w:r>
      <w:r>
        <w:t xml:space="preserve"> </w:t>
      </w:r>
      <w:r w:rsidRPr="00735ED1">
        <w:rPr>
          <w:i/>
          <w:iCs/>
        </w:rPr>
        <w:t>See</w:t>
      </w:r>
      <w:r>
        <w:t xml:space="preserve"> Section 5.2.3 below for a list of mandatory and optional market development strategies to address.</w:t>
      </w:r>
    </w:p>
  </w:footnote>
  <w:footnote w:id="217">
    <w:p w14:paraId="61F8414C" w14:textId="77777777" w:rsidR="00440A15" w:rsidRDefault="00440A15" w:rsidP="00950166">
      <w:pPr>
        <w:pStyle w:val="FootnoteText"/>
      </w:pPr>
      <w:r>
        <w:rPr>
          <w:rStyle w:val="FootnoteReference"/>
        </w:rPr>
        <w:footnoteRef/>
      </w:r>
      <w:r>
        <w:t xml:space="preserve"> </w:t>
      </w:r>
      <w:r w:rsidRPr="00735ED1">
        <w:rPr>
          <w:i/>
          <w:iCs/>
        </w:rPr>
        <w:t>See</w:t>
      </w:r>
      <w:r>
        <w:t xml:space="preserve"> Section 3.1 of the appendix to this decision for a list of specific market barriers to address.</w:t>
      </w:r>
    </w:p>
  </w:footnote>
  <w:footnote w:id="218">
    <w:p w14:paraId="5F851EF6" w14:textId="77777777" w:rsidR="00440A15" w:rsidRPr="000C4DB5" w:rsidRDefault="00440A15" w:rsidP="00941D6D">
      <w:pPr>
        <w:pStyle w:val="FootnoteText"/>
        <w:rPr>
          <w:szCs w:val="22"/>
        </w:rPr>
      </w:pPr>
      <w:r w:rsidRPr="000C4DB5">
        <w:rPr>
          <w:rStyle w:val="FootnoteReference"/>
          <w:szCs w:val="22"/>
        </w:rPr>
        <w:footnoteRef/>
      </w:r>
      <w:r w:rsidRPr="000C4DB5">
        <w:rPr>
          <w:szCs w:val="22"/>
        </w:rPr>
        <w:t xml:space="preserve"> SCE uses Ariba for their solicitations.</w:t>
      </w:r>
    </w:p>
  </w:footnote>
  <w:footnote w:id="219">
    <w:p w14:paraId="39D84CE7" w14:textId="31BE0ADC" w:rsidR="00440A15" w:rsidRPr="000C4DB5" w:rsidRDefault="00440A15" w:rsidP="00941D6D">
      <w:pPr>
        <w:pStyle w:val="FootnoteText"/>
        <w:rPr>
          <w:szCs w:val="22"/>
        </w:rPr>
      </w:pPr>
      <w:r w:rsidRPr="000C4DB5">
        <w:rPr>
          <w:rStyle w:val="FootnoteReference"/>
          <w:szCs w:val="22"/>
        </w:rPr>
        <w:footnoteRef/>
      </w:r>
      <w:r w:rsidRPr="000C4DB5">
        <w:rPr>
          <w:szCs w:val="22"/>
        </w:rPr>
        <w:t xml:space="preserve"> </w:t>
      </w:r>
      <w:r w:rsidRPr="009557DD">
        <w:rPr>
          <w:i/>
          <w:iCs/>
          <w:szCs w:val="22"/>
        </w:rPr>
        <w:t>See</w:t>
      </w:r>
      <w:r>
        <w:rPr>
          <w:szCs w:val="22"/>
        </w:rPr>
        <w:t xml:space="preserve"> </w:t>
      </w:r>
      <w:r w:rsidRPr="000C4DB5">
        <w:rPr>
          <w:rFonts w:eastAsiaTheme="minorEastAsia" w:cs="TimesNewRomanPSMT"/>
          <w:szCs w:val="22"/>
          <w:lang w:eastAsia="ja-JP"/>
        </w:rPr>
        <w:t xml:space="preserve">D.06-06-066, </w:t>
      </w:r>
      <w:r>
        <w:rPr>
          <w:rFonts w:eastAsiaTheme="minorEastAsia" w:cs="TimesNewRomanPSMT"/>
          <w:szCs w:val="22"/>
          <w:lang w:eastAsia="ja-JP"/>
        </w:rPr>
        <w:t xml:space="preserve">at </w:t>
      </w:r>
      <w:r w:rsidRPr="000C4DB5">
        <w:rPr>
          <w:rFonts w:eastAsiaTheme="minorEastAsia" w:cs="TimesNewRomanPSMT"/>
          <w:szCs w:val="22"/>
          <w:lang w:eastAsia="ja-JP"/>
        </w:rPr>
        <w:t>41-43.</w:t>
      </w:r>
    </w:p>
  </w:footnote>
  <w:footnote w:id="220">
    <w:p w14:paraId="7B4E7DCF" w14:textId="77777777" w:rsidR="00440A15" w:rsidRPr="000C4DB5" w:rsidRDefault="00440A15" w:rsidP="00C27643">
      <w:pPr>
        <w:pStyle w:val="FootnoteText"/>
        <w:rPr>
          <w:szCs w:val="22"/>
        </w:rPr>
      </w:pPr>
      <w:r w:rsidRPr="000C4DB5">
        <w:rPr>
          <w:rStyle w:val="FootnoteReference"/>
          <w:szCs w:val="22"/>
        </w:rPr>
        <w:footnoteRef/>
      </w:r>
      <w:r w:rsidRPr="000C4DB5">
        <w:rPr>
          <w:szCs w:val="22"/>
        </w:rPr>
        <w:t xml:space="preserve"> “Financially disinterested,” for the purposes of this decision, means </w:t>
      </w:r>
      <w:r w:rsidRPr="000C4DB5">
        <w:rPr>
          <w:rFonts w:cs="Calibri2"/>
          <w:szCs w:val="22"/>
        </w:rPr>
        <w:t>scoring panel should not have a financial interest in any potential program implementer or any specific company who may receive incentives from the program.</w:t>
      </w:r>
    </w:p>
  </w:footnote>
  <w:footnote w:id="221">
    <w:p w14:paraId="29A8FF6E" w14:textId="02C859B6" w:rsidR="00440A15" w:rsidRPr="000C4DB5" w:rsidRDefault="00440A15">
      <w:pPr>
        <w:pStyle w:val="FootnoteText"/>
        <w:rPr>
          <w:szCs w:val="22"/>
        </w:rPr>
      </w:pPr>
      <w:r w:rsidRPr="000C4DB5">
        <w:rPr>
          <w:rStyle w:val="FootnoteReference"/>
          <w:szCs w:val="22"/>
        </w:rPr>
        <w:footnoteRef/>
      </w:r>
      <w:r w:rsidRPr="000C4DB5">
        <w:rPr>
          <w:szCs w:val="22"/>
        </w:rPr>
        <w:t xml:space="preserve"> </w:t>
      </w:r>
      <w:r>
        <w:rPr>
          <w:szCs w:val="22"/>
        </w:rPr>
        <w:t>Ten</w:t>
      </w:r>
      <w:r w:rsidRPr="000C4DB5">
        <w:rPr>
          <w:szCs w:val="22"/>
        </w:rPr>
        <w:t xml:space="preserve"> percent of the invoiced amounts from the </w:t>
      </w:r>
      <w:r>
        <w:rPr>
          <w:szCs w:val="22"/>
        </w:rPr>
        <w:t>TECH Initiative i</w:t>
      </w:r>
      <w:r w:rsidRPr="000C4DB5">
        <w:rPr>
          <w:szCs w:val="22"/>
        </w:rPr>
        <w:t xml:space="preserve">mplementer will be held back, payable at the end of each program year, contingent on the </w:t>
      </w:r>
      <w:r>
        <w:rPr>
          <w:szCs w:val="22"/>
        </w:rPr>
        <w:t>i</w:t>
      </w:r>
      <w:r w:rsidRPr="000C4DB5">
        <w:rPr>
          <w:szCs w:val="22"/>
        </w:rPr>
        <w:t>mplementer meeting program targets set out in the RFP and agreed upon in the contracting process.  Energy Division will authorize the payment of the 10 percent holdback.</w:t>
      </w:r>
    </w:p>
  </w:footnote>
  <w:footnote w:id="222">
    <w:p w14:paraId="2FA26F42"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Pub. Util. Code § 922(a)(1).</w:t>
      </w:r>
    </w:p>
  </w:footnote>
  <w:footnote w:id="223">
    <w:p w14:paraId="0592F22C"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224">
    <w:p w14:paraId="7161487D"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May 17, 2019 Assigned Commissioner’s Scoping Memo and Ruling.</w:t>
      </w:r>
    </w:p>
  </w:footnote>
  <w:footnote w:id="225">
    <w:p w14:paraId="3C26E0B1"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July 16, 2019 Assigned Administrative Law Judge’s Ruling.</w:t>
      </w:r>
    </w:p>
  </w:footnote>
  <w:footnote w:id="226">
    <w:p w14:paraId="3A86B4C0"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Upstream is defined as a “Program element aimed at encouraging manufacturers to make the most efficient equipment available at competitive prices, as well as program elements that provide incentives to distributors. This also includes manufacturer buydowns to targeted channels such as retailers that are not in a position to collect data from the purchaser or end-user.” </w:t>
      </w:r>
    </w:p>
  </w:footnote>
  <w:footnote w:id="227">
    <w:p w14:paraId="5CD10A68" w14:textId="77777777" w:rsidR="00440A15" w:rsidRPr="000C4DB5" w:rsidRDefault="00440A15" w:rsidP="00AF013D">
      <w:pPr>
        <w:spacing w:line="240" w:lineRule="auto"/>
        <w:ind w:firstLine="0"/>
        <w:rPr>
          <w:sz w:val="22"/>
        </w:rPr>
      </w:pPr>
      <w:r w:rsidRPr="000C4DB5">
        <w:rPr>
          <w:rStyle w:val="FootnoteReference"/>
          <w:sz w:val="22"/>
        </w:rPr>
        <w:footnoteRef/>
      </w:r>
      <w:r w:rsidRPr="000C4DB5">
        <w:rPr>
          <w:sz w:val="22"/>
        </w:rPr>
        <w:t xml:space="preserve"> Midstream is defined as a “P</w:t>
      </w:r>
      <w:r w:rsidRPr="000C4DB5">
        <w:rPr>
          <w:rFonts w:cstheme="minorHAnsi"/>
          <w:color w:val="000000"/>
          <w:sz w:val="22"/>
        </w:rPr>
        <w:t xml:space="preserve">rogram element that provides incentives to wholesale distributors, retailers, e-commerce companies and/or contractors to stock and/or sell more efficient products,” and which includes the collection of data from the market actor’s purchaser. The definition includes program elements that require a percent pass-through of the incentive to the distributor’s purchaser or customer and could also include a spiff/management fee paid to the applicant for participating with the program and the program’s requirements such as collecting data. It could also include </w:t>
      </w:r>
      <w:r w:rsidRPr="000C4DB5">
        <w:rPr>
          <w:sz w:val="22"/>
        </w:rPr>
        <w:t>interventions that will affect contractors, builders, plumbers, electricians, and retail sales outlets.</w:t>
      </w:r>
    </w:p>
    <w:p w14:paraId="5A891DC2" w14:textId="77777777" w:rsidR="00440A15" w:rsidRPr="00B74900" w:rsidRDefault="00440A15" w:rsidP="00AF013D">
      <w:pPr>
        <w:pStyle w:val="FootnoteText"/>
        <w:rPr>
          <w:sz w:val="4"/>
          <w:szCs w:val="4"/>
        </w:rPr>
      </w:pPr>
    </w:p>
  </w:footnote>
  <w:footnote w:id="228">
    <w:p w14:paraId="59477D7B" w14:textId="392275DB"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Staff Proposal</w:t>
      </w:r>
      <w:r>
        <w:rPr>
          <w:szCs w:val="22"/>
        </w:rPr>
        <w:t>, Section 5.2.1</w:t>
      </w:r>
    </w:p>
  </w:footnote>
  <w:footnote w:id="229">
    <w:p w14:paraId="26A5C801"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230">
    <w:p w14:paraId="40F68C8E"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231">
    <w:p w14:paraId="4D7AF449" w14:textId="40270BF0"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Staff Proposal</w:t>
      </w:r>
      <w:r>
        <w:rPr>
          <w:szCs w:val="22"/>
        </w:rPr>
        <w:t>, Section 5.2.2</w:t>
      </w:r>
      <w:r w:rsidRPr="000C4DB5">
        <w:rPr>
          <w:szCs w:val="22"/>
        </w:rPr>
        <w:t>.</w:t>
      </w:r>
    </w:p>
  </w:footnote>
  <w:footnote w:id="232">
    <w:p w14:paraId="00FA600D" w14:textId="71813CD8"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233">
    <w:p w14:paraId="204389CC"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234">
    <w:p w14:paraId="5A0A1DFE" w14:textId="01CFE071"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Staff Proposal</w:t>
      </w:r>
      <w:r>
        <w:rPr>
          <w:szCs w:val="22"/>
        </w:rPr>
        <w:t>, Section 5.2.3</w:t>
      </w:r>
      <w:r w:rsidRPr="000C4DB5">
        <w:rPr>
          <w:szCs w:val="22"/>
        </w:rPr>
        <w:t>.</w:t>
      </w:r>
    </w:p>
  </w:footnote>
  <w:footnote w:id="235">
    <w:p w14:paraId="512D782B"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236">
    <w:p w14:paraId="5867F884"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r w:rsidRPr="000C4DB5">
        <w:rPr>
          <w:szCs w:val="22"/>
        </w:rPr>
        <w:t xml:space="preserve"> at 42-43.</w:t>
      </w:r>
    </w:p>
  </w:footnote>
  <w:footnote w:id="237">
    <w:p w14:paraId="27B5B333"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r w:rsidRPr="000C4DB5">
        <w:rPr>
          <w:szCs w:val="22"/>
        </w:rPr>
        <w:t xml:space="preserve"> at 43.</w:t>
      </w:r>
    </w:p>
  </w:footnote>
  <w:footnote w:id="238">
    <w:p w14:paraId="00A87DCE"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 xml:space="preserve">Id. </w:t>
      </w:r>
    </w:p>
  </w:footnote>
  <w:footnote w:id="239">
    <w:p w14:paraId="5AEEE5E2"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240">
    <w:p w14:paraId="19F5E2BA"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SBUA Opening Comments at 13.</w:t>
      </w:r>
    </w:p>
  </w:footnote>
  <w:footnote w:id="241">
    <w:p w14:paraId="0907AD6D"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242">
    <w:p w14:paraId="0694D663" w14:textId="7CDCFC3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Pr>
          <w:szCs w:val="22"/>
        </w:rPr>
        <w:t>Wild Tree Foundation</w:t>
      </w:r>
      <w:r w:rsidRPr="000C4DB5">
        <w:rPr>
          <w:szCs w:val="22"/>
        </w:rPr>
        <w:t xml:space="preserve"> Opening Comments on Staff Proposal at 2 and 21.</w:t>
      </w:r>
    </w:p>
  </w:footnote>
  <w:footnote w:id="243">
    <w:p w14:paraId="16F158C0"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CALSAA Opening Comments on Staff Proposal at 8. </w:t>
      </w:r>
    </w:p>
  </w:footnote>
  <w:footnote w:id="244">
    <w:p w14:paraId="43E68DD9"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EDF Opening Comments on Staff Proposal at 10. </w:t>
      </w:r>
    </w:p>
  </w:footnote>
  <w:footnote w:id="245">
    <w:p w14:paraId="7EDC9E56"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SWG Opening Comments on Staff Proposal at 6. </w:t>
      </w:r>
    </w:p>
  </w:footnote>
  <w:footnote w:id="246">
    <w:p w14:paraId="70B347A5"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VEIC Opening Comments on Staff Proposal at 11-12.</w:t>
      </w:r>
    </w:p>
  </w:footnote>
  <w:footnote w:id="247">
    <w:p w14:paraId="28D06F44"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r w:rsidRPr="000C4DB5">
        <w:rPr>
          <w:szCs w:val="22"/>
        </w:rPr>
        <w:t xml:space="preserve"> </w:t>
      </w:r>
    </w:p>
  </w:footnote>
  <w:footnote w:id="248">
    <w:p w14:paraId="5F4953F3"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PG&amp;E Opening Comments on Staff Proposal at 10. </w:t>
      </w:r>
    </w:p>
  </w:footnote>
  <w:footnote w:id="249">
    <w:p w14:paraId="1B267FB9"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The Partnership Opening Comments on Staff Proposal at 16.</w:t>
      </w:r>
    </w:p>
  </w:footnote>
  <w:footnote w:id="250">
    <w:p w14:paraId="2EFEAC02"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Join Environmentals Opening Comments on Staff Proposal at 18. </w:t>
      </w:r>
    </w:p>
  </w:footnote>
  <w:footnote w:id="251">
    <w:p w14:paraId="7B198D5C"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Cal Advocates Opening Comments on Staff Proposal at 26. </w:t>
      </w:r>
    </w:p>
  </w:footnote>
  <w:footnote w:id="252">
    <w:p w14:paraId="1E50EAF3"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253">
    <w:p w14:paraId="4FECBE94" w14:textId="60E5041D" w:rsidR="00440A15" w:rsidRDefault="00440A15">
      <w:pPr>
        <w:pStyle w:val="FootnoteText"/>
      </w:pPr>
      <w:r>
        <w:rPr>
          <w:rStyle w:val="FootnoteReference"/>
        </w:rPr>
        <w:footnoteRef/>
      </w:r>
      <w:r>
        <w:t xml:space="preserve"> Staff Proposal at Section 5.2.1.</w:t>
      </w:r>
    </w:p>
  </w:footnote>
  <w:footnote w:id="254">
    <w:p w14:paraId="1BA0C79C" w14:textId="3A10E069" w:rsidR="00440A15" w:rsidRDefault="00440A15">
      <w:pPr>
        <w:pStyle w:val="FootnoteText"/>
      </w:pPr>
      <w:r>
        <w:rPr>
          <w:rStyle w:val="FootnoteReference"/>
        </w:rPr>
        <w:footnoteRef/>
      </w:r>
      <w:r>
        <w:t xml:space="preserve"> Staff Proposal at Section 5.2.2.</w:t>
      </w:r>
    </w:p>
  </w:footnote>
  <w:footnote w:id="255">
    <w:p w14:paraId="53517AEC" w14:textId="77777777" w:rsidR="00440A15" w:rsidRDefault="00440A15" w:rsidP="001367B4">
      <w:pPr>
        <w:pStyle w:val="FootnoteText"/>
      </w:pPr>
      <w:r>
        <w:rPr>
          <w:rStyle w:val="FootnoteReference"/>
        </w:rPr>
        <w:footnoteRef/>
      </w:r>
      <w:r>
        <w:t xml:space="preserve"> </w:t>
      </w:r>
      <w:r w:rsidRPr="000C4DB5">
        <w:rPr>
          <w:szCs w:val="22"/>
        </w:rPr>
        <w:t>Pub. Util. Code § 922(</w:t>
      </w:r>
      <w:r>
        <w:rPr>
          <w:szCs w:val="22"/>
        </w:rPr>
        <w:t>c</w:t>
      </w:r>
      <w:r w:rsidRPr="000C4DB5">
        <w:rPr>
          <w:szCs w:val="22"/>
        </w:rPr>
        <w:t>)</w:t>
      </w:r>
      <w:r>
        <w:rPr>
          <w:szCs w:val="22"/>
        </w:rPr>
        <w:t>(1)</w:t>
      </w:r>
      <w:r w:rsidRPr="000C4DB5">
        <w:rPr>
          <w:szCs w:val="22"/>
        </w:rPr>
        <w:t>.</w:t>
      </w:r>
    </w:p>
  </w:footnote>
  <w:footnote w:id="256">
    <w:p w14:paraId="26CFE31C" w14:textId="0384A71B" w:rsidR="00440A15" w:rsidRDefault="00440A15">
      <w:pPr>
        <w:pStyle w:val="FootnoteText"/>
      </w:pPr>
      <w:r>
        <w:rPr>
          <w:rStyle w:val="FootnoteReference"/>
        </w:rPr>
        <w:footnoteRef/>
      </w:r>
      <w:r>
        <w:t xml:space="preserve"> These are itemized in Appendix A, Part 4 below.  This could include leveraging and supplementing existing marketing, education and outreach campaigns that are already in the market.  </w:t>
      </w:r>
    </w:p>
  </w:footnote>
  <w:footnote w:id="257">
    <w:p w14:paraId="68D7E6EB"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May 17, 2019 Assigned Commissioner’s Scoping Memo and Ruling.</w:t>
      </w:r>
    </w:p>
  </w:footnote>
  <w:footnote w:id="258">
    <w:p w14:paraId="3DC2B28B"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July 16, 2019 Assigned Administrative Law Judge’s Ruling.</w:t>
      </w:r>
    </w:p>
  </w:footnote>
  <w:footnote w:id="259">
    <w:p w14:paraId="71484AEC" w14:textId="1EE20F0B"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Staff Proposal</w:t>
      </w:r>
      <w:r>
        <w:rPr>
          <w:szCs w:val="22"/>
        </w:rPr>
        <w:t>,</w:t>
      </w:r>
      <w:r w:rsidRPr="000C4DB5">
        <w:rPr>
          <w:szCs w:val="22"/>
        </w:rPr>
        <w:t xml:space="preserve"> </w:t>
      </w:r>
      <w:r w:rsidRPr="00782F4E">
        <w:rPr>
          <w:szCs w:val="22"/>
        </w:rPr>
        <w:t>Section 5.5</w:t>
      </w:r>
      <w:r w:rsidRPr="000C4DB5">
        <w:rPr>
          <w:szCs w:val="22"/>
        </w:rPr>
        <w:t>.</w:t>
      </w:r>
    </w:p>
  </w:footnote>
  <w:footnote w:id="260">
    <w:p w14:paraId="7D6F240F"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r w:rsidRPr="000C4DB5">
        <w:rPr>
          <w:szCs w:val="22"/>
        </w:rPr>
        <w:t xml:space="preserve"> </w:t>
      </w:r>
    </w:p>
  </w:footnote>
  <w:footnote w:id="261">
    <w:p w14:paraId="2BC75C0C" w14:textId="6167D11E"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r w:rsidRPr="000C4DB5">
        <w:rPr>
          <w:szCs w:val="22"/>
        </w:rPr>
        <w:t xml:space="preserve"> </w:t>
      </w:r>
    </w:p>
  </w:footnote>
  <w:footnote w:id="262">
    <w:p w14:paraId="1A22F0EF"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Id.</w:t>
      </w:r>
    </w:p>
  </w:footnote>
  <w:footnote w:id="263">
    <w:p w14:paraId="6059ECDF" w14:textId="77777777" w:rsidR="00440A15" w:rsidRPr="00671626" w:rsidRDefault="00440A15" w:rsidP="00E943A5">
      <w:pPr>
        <w:pStyle w:val="FootnoteText"/>
        <w:rPr>
          <w:szCs w:val="22"/>
        </w:rPr>
      </w:pPr>
      <w:r w:rsidRPr="00671626">
        <w:rPr>
          <w:rStyle w:val="FootnoteReference"/>
          <w:szCs w:val="22"/>
        </w:rPr>
        <w:footnoteRef/>
      </w:r>
      <w:r w:rsidRPr="00671626">
        <w:rPr>
          <w:szCs w:val="22"/>
        </w:rPr>
        <w:t xml:space="preserve"> Staff Proposal, Section 5.5.1.</w:t>
      </w:r>
    </w:p>
  </w:footnote>
  <w:footnote w:id="264">
    <w:p w14:paraId="23E2E706" w14:textId="77777777" w:rsidR="00440A15" w:rsidRPr="00671626" w:rsidRDefault="00440A15" w:rsidP="00E943A5">
      <w:pPr>
        <w:pStyle w:val="FootnoteText"/>
        <w:rPr>
          <w:szCs w:val="22"/>
        </w:rPr>
      </w:pPr>
      <w:r w:rsidRPr="00671626">
        <w:rPr>
          <w:rStyle w:val="FootnoteReference"/>
          <w:szCs w:val="22"/>
        </w:rPr>
        <w:footnoteRef/>
      </w:r>
      <w:r w:rsidRPr="00671626">
        <w:rPr>
          <w:szCs w:val="22"/>
        </w:rPr>
        <w:t xml:space="preserve"> Staff Proposal, Section 5.5.2.</w:t>
      </w:r>
    </w:p>
  </w:footnote>
  <w:footnote w:id="265">
    <w:p w14:paraId="4981B99F"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szCs w:val="22"/>
        </w:rPr>
        <w:t xml:space="preserve">Id. </w:t>
      </w:r>
      <w:r w:rsidRPr="000C4DB5">
        <w:rPr>
          <w:szCs w:val="22"/>
        </w:rPr>
        <w:t>46-47.</w:t>
      </w:r>
    </w:p>
  </w:footnote>
  <w:footnote w:id="266">
    <w:p w14:paraId="10BAD677" w14:textId="16108A66"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671626">
        <w:rPr>
          <w:szCs w:val="22"/>
        </w:rPr>
        <w:t xml:space="preserve">Staff Proposal, Section </w:t>
      </w:r>
      <w:r>
        <w:rPr>
          <w:szCs w:val="22"/>
        </w:rPr>
        <w:t>5</w:t>
      </w:r>
      <w:r w:rsidRPr="00671626">
        <w:rPr>
          <w:szCs w:val="22"/>
        </w:rPr>
        <w:t>.</w:t>
      </w:r>
      <w:r>
        <w:rPr>
          <w:szCs w:val="22"/>
        </w:rPr>
        <w:t>5.4</w:t>
      </w:r>
      <w:r w:rsidRPr="00671626">
        <w:rPr>
          <w:szCs w:val="22"/>
        </w:rPr>
        <w:t>.</w:t>
      </w:r>
      <w:r w:rsidRPr="000C4DB5">
        <w:rPr>
          <w:szCs w:val="22"/>
        </w:rPr>
        <w:t>26-27.</w:t>
      </w:r>
    </w:p>
  </w:footnote>
  <w:footnote w:id="267">
    <w:p w14:paraId="6AC25491" w14:textId="02698AB9"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Joint Environmentals Opening Comments</w:t>
      </w:r>
      <w:r w:rsidRPr="00E943A5">
        <w:rPr>
          <w:szCs w:val="22"/>
        </w:rPr>
        <w:t xml:space="preserve"> </w:t>
      </w:r>
      <w:r>
        <w:rPr>
          <w:szCs w:val="22"/>
        </w:rPr>
        <w:t>on Staff Proposal</w:t>
      </w:r>
      <w:r w:rsidRPr="000C4DB5">
        <w:rPr>
          <w:szCs w:val="22"/>
        </w:rPr>
        <w:t xml:space="preserve"> at 19.</w:t>
      </w:r>
    </w:p>
  </w:footnote>
  <w:footnote w:id="268">
    <w:p w14:paraId="3C332780" w14:textId="3600D8B2"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Cal Advocates Opening Comments </w:t>
      </w:r>
      <w:r>
        <w:rPr>
          <w:szCs w:val="22"/>
        </w:rPr>
        <w:t>on Staff Proposal</w:t>
      </w:r>
      <w:r w:rsidRPr="000C4DB5">
        <w:rPr>
          <w:szCs w:val="22"/>
        </w:rPr>
        <w:t xml:space="preserve"> at 23.</w:t>
      </w:r>
    </w:p>
  </w:footnote>
  <w:footnote w:id="269">
    <w:p w14:paraId="117F37C3" w14:textId="139A2AF9"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CHBC Opening Comments </w:t>
      </w:r>
      <w:r>
        <w:rPr>
          <w:szCs w:val="22"/>
        </w:rPr>
        <w:t>on Staff Proposal</w:t>
      </w:r>
      <w:r w:rsidRPr="000C4DB5">
        <w:rPr>
          <w:szCs w:val="22"/>
        </w:rPr>
        <w:t xml:space="preserve"> at 8.</w:t>
      </w:r>
    </w:p>
  </w:footnote>
  <w:footnote w:id="270">
    <w:p w14:paraId="588AFAA5" w14:textId="75C366EA"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EDF Opening Comments </w:t>
      </w:r>
      <w:r>
        <w:rPr>
          <w:szCs w:val="22"/>
        </w:rPr>
        <w:t>on Staff Proposal</w:t>
      </w:r>
      <w:r w:rsidRPr="000C4DB5">
        <w:rPr>
          <w:szCs w:val="22"/>
        </w:rPr>
        <w:t xml:space="preserve"> at 12.</w:t>
      </w:r>
    </w:p>
  </w:footnote>
  <w:footnote w:id="271">
    <w:p w14:paraId="66BE7EBB" w14:textId="4AD52325"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SWG Opening Comments </w:t>
      </w:r>
      <w:r>
        <w:rPr>
          <w:szCs w:val="22"/>
        </w:rPr>
        <w:t>on Staff Proposal</w:t>
      </w:r>
      <w:r w:rsidRPr="000C4DB5">
        <w:rPr>
          <w:szCs w:val="22"/>
        </w:rPr>
        <w:t xml:space="preserve"> at 5.</w:t>
      </w:r>
    </w:p>
  </w:footnote>
  <w:footnote w:id="272">
    <w:p w14:paraId="3510B043" w14:textId="18AC486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VEIC Opening Comments</w:t>
      </w:r>
      <w:r w:rsidRPr="00745293">
        <w:rPr>
          <w:szCs w:val="22"/>
        </w:rPr>
        <w:t xml:space="preserve"> </w:t>
      </w:r>
      <w:r>
        <w:rPr>
          <w:szCs w:val="22"/>
        </w:rPr>
        <w:t>on Staff Proposal</w:t>
      </w:r>
      <w:r w:rsidRPr="000C4DB5">
        <w:rPr>
          <w:szCs w:val="22"/>
        </w:rPr>
        <w:t xml:space="preserve"> at 12.</w:t>
      </w:r>
    </w:p>
  </w:footnote>
  <w:footnote w:id="273">
    <w:p w14:paraId="5C46DC7F"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0C4DB5">
        <w:rPr>
          <w:i/>
          <w:iCs/>
          <w:szCs w:val="22"/>
        </w:rPr>
        <w:t>Id.</w:t>
      </w:r>
    </w:p>
  </w:footnote>
  <w:footnote w:id="274">
    <w:p w14:paraId="2585CC08" w14:textId="7F5FC9AF"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CBIA Opening Comments</w:t>
      </w:r>
      <w:r>
        <w:rPr>
          <w:szCs w:val="22"/>
        </w:rPr>
        <w:t xml:space="preserve"> on Staff Proposal</w:t>
      </w:r>
      <w:r w:rsidRPr="000C4DB5">
        <w:rPr>
          <w:szCs w:val="22"/>
        </w:rPr>
        <w:t xml:space="preserve"> at 4.</w:t>
      </w:r>
    </w:p>
  </w:footnote>
  <w:footnote w:id="275">
    <w:p w14:paraId="18F104DB" w14:textId="350462E8"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The Partnership Opening Comments </w:t>
      </w:r>
      <w:r>
        <w:rPr>
          <w:szCs w:val="22"/>
        </w:rPr>
        <w:t>on Staff Proposal</w:t>
      </w:r>
      <w:r w:rsidRPr="000C4DB5">
        <w:rPr>
          <w:szCs w:val="22"/>
        </w:rPr>
        <w:t xml:space="preserve"> at 17.</w:t>
      </w:r>
    </w:p>
  </w:footnote>
  <w:footnote w:id="276">
    <w:p w14:paraId="71541701" w14:textId="1C6F439D"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w:t>
      </w:r>
      <w:r>
        <w:rPr>
          <w:szCs w:val="22"/>
        </w:rPr>
        <w:t xml:space="preserve">ild </w:t>
      </w:r>
      <w:r w:rsidRPr="000C4DB5">
        <w:rPr>
          <w:szCs w:val="22"/>
        </w:rPr>
        <w:t>T</w:t>
      </w:r>
      <w:r>
        <w:rPr>
          <w:szCs w:val="22"/>
        </w:rPr>
        <w:t>ree Foundation</w:t>
      </w:r>
      <w:r w:rsidRPr="000C4DB5">
        <w:rPr>
          <w:szCs w:val="22"/>
        </w:rPr>
        <w:t xml:space="preserve"> Opening Comments at 19.</w:t>
      </w:r>
    </w:p>
  </w:footnote>
  <w:footnote w:id="277">
    <w:p w14:paraId="42036C36" w14:textId="5CF12F51"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PG&amp;E Opening Comments </w:t>
      </w:r>
      <w:r>
        <w:rPr>
          <w:szCs w:val="22"/>
        </w:rPr>
        <w:t>on Staff Proposal</w:t>
      </w:r>
      <w:r w:rsidRPr="000C4DB5">
        <w:rPr>
          <w:szCs w:val="22"/>
        </w:rPr>
        <w:t xml:space="preserve"> at 11.</w:t>
      </w:r>
    </w:p>
  </w:footnote>
  <w:footnote w:id="278">
    <w:p w14:paraId="3649EAA8" w14:textId="77777777" w:rsidR="00440A15" w:rsidRDefault="00440A15" w:rsidP="00721804">
      <w:pPr>
        <w:pStyle w:val="FootnoteText"/>
      </w:pPr>
      <w:r>
        <w:rPr>
          <w:rStyle w:val="FootnoteReference"/>
        </w:rPr>
        <w:footnoteRef/>
      </w:r>
      <w:r>
        <w:t xml:space="preserve"> We note that </w:t>
      </w:r>
      <w:r>
        <w:rPr>
          <w:iCs/>
        </w:rPr>
        <w:t xml:space="preserve">low-GWP use refrigerants have the highest potential to reduce GHG emissions. </w:t>
      </w:r>
    </w:p>
  </w:footnote>
  <w:footnote w:id="279">
    <w:p w14:paraId="185B2E5C" w14:textId="77777777"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Pub. Util. Code § 922(a)(1).</w:t>
      </w:r>
    </w:p>
  </w:footnote>
  <w:footnote w:id="280">
    <w:p w14:paraId="2492956D" w14:textId="73819781" w:rsidR="00440A15" w:rsidRPr="000C4DB5" w:rsidRDefault="00440A15" w:rsidP="00AF013D">
      <w:pPr>
        <w:pStyle w:val="FootnoteText"/>
        <w:rPr>
          <w:szCs w:val="22"/>
        </w:rPr>
      </w:pPr>
      <w:r w:rsidRPr="000C4DB5">
        <w:rPr>
          <w:rStyle w:val="FootnoteReference"/>
          <w:szCs w:val="22"/>
        </w:rPr>
        <w:footnoteRef/>
      </w:r>
      <w:r w:rsidRPr="000C4DB5">
        <w:rPr>
          <w:szCs w:val="22"/>
        </w:rPr>
        <w:t xml:space="preserve"> </w:t>
      </w:r>
      <w:r w:rsidRPr="00883244">
        <w:rPr>
          <w:i/>
          <w:iCs/>
          <w:szCs w:val="22"/>
        </w:rPr>
        <w:t>See</w:t>
      </w:r>
      <w:r w:rsidRPr="000C4DB5">
        <w:rPr>
          <w:szCs w:val="22"/>
        </w:rPr>
        <w:t xml:space="preserve"> </w:t>
      </w:r>
      <w:r>
        <w:rPr>
          <w:szCs w:val="22"/>
        </w:rPr>
        <w:t>17 CCR</w:t>
      </w:r>
      <w:r w:rsidRPr="000C4DB5">
        <w:rPr>
          <w:szCs w:val="22"/>
        </w:rPr>
        <w:t xml:space="preserve"> Section 95893(d)(3): </w:t>
      </w:r>
      <w:r>
        <w:rPr>
          <w:szCs w:val="22"/>
        </w:rPr>
        <w:t xml:space="preserve"> </w:t>
      </w:r>
      <w:r w:rsidRPr="000C4DB5">
        <w:rPr>
          <w:szCs w:val="22"/>
        </w:rPr>
        <w:t>“Allowance value, including any allocated allowance auction proceeds, obtained by a natural gas supplier must be used for the primary benefit of retail natural gas ratepayers of each natural gas supplier, consistent with the goals of AB 32, and may not be used for the benefit of entities or persons other than such ratepayers.”</w:t>
      </w:r>
    </w:p>
  </w:footnote>
  <w:footnote w:id="281">
    <w:p w14:paraId="55F0B05B" w14:textId="77777777" w:rsidR="00440A15" w:rsidRDefault="00440A15" w:rsidP="00DD0B03">
      <w:pPr>
        <w:pStyle w:val="FootnoteText"/>
      </w:pPr>
      <w:r>
        <w:rPr>
          <w:rStyle w:val="FootnoteReference"/>
        </w:rPr>
        <w:footnoteRef/>
      </w:r>
      <w:r>
        <w:t xml:space="preserve"> See Section 100.1 of Part 6 of Title 24 of the California Code of Regulations (Energy Code).</w:t>
      </w:r>
    </w:p>
  </w:footnote>
  <w:footnote w:id="282">
    <w:p w14:paraId="0DAA69D4" w14:textId="77777777" w:rsidR="00440A15" w:rsidRDefault="00440A15" w:rsidP="00DD0B03">
      <w:pPr>
        <w:pStyle w:val="FootnoteText"/>
      </w:pPr>
      <w:r>
        <w:rPr>
          <w:rStyle w:val="FootnoteReference"/>
        </w:rPr>
        <w:footnoteRef/>
      </w:r>
      <w:r>
        <w:t xml:space="preserve"> See 15.06.030 Section R202 of the California Residential Building Code.</w:t>
      </w:r>
    </w:p>
  </w:footnote>
  <w:footnote w:id="283">
    <w:p w14:paraId="6925AC90" w14:textId="70D81E5D" w:rsidR="00440A15" w:rsidRPr="002D71F4" w:rsidRDefault="00440A15" w:rsidP="002753B7">
      <w:pPr>
        <w:pStyle w:val="FootnoteText"/>
        <w:rPr>
          <w:szCs w:val="22"/>
        </w:rPr>
      </w:pPr>
      <w:r w:rsidRPr="002D71F4">
        <w:rPr>
          <w:rStyle w:val="FootnoteReference"/>
          <w:szCs w:val="22"/>
        </w:rPr>
        <w:footnoteRef/>
      </w:r>
      <w:r w:rsidRPr="002D71F4">
        <w:rPr>
          <w:szCs w:val="22"/>
        </w:rPr>
        <w:t xml:space="preserve"> </w:t>
      </w:r>
      <w:r w:rsidRPr="00407210">
        <w:rPr>
          <w:i/>
          <w:iCs/>
          <w:szCs w:val="22"/>
        </w:rPr>
        <w:t>See</w:t>
      </w:r>
      <w:r w:rsidRPr="002D71F4">
        <w:rPr>
          <w:szCs w:val="22"/>
        </w:rPr>
        <w:t xml:space="preserve"> Title 17 of the California Code of Regulations Section 95893(d)(3):</w:t>
      </w:r>
      <w:r>
        <w:rPr>
          <w:szCs w:val="22"/>
        </w:rPr>
        <w:t xml:space="preserve"> </w:t>
      </w:r>
      <w:r w:rsidRPr="002D71F4">
        <w:rPr>
          <w:szCs w:val="22"/>
        </w:rPr>
        <w:t xml:space="preserve"> “Allowance value, including any allocated allowance auction proceeds, obtained by a natural gas supplier must be used for the primary benefit of retail natural gas ratepayers of each natural gas supplier, consistent with the goals of A</w:t>
      </w:r>
      <w:r>
        <w:rPr>
          <w:szCs w:val="22"/>
        </w:rPr>
        <w:t xml:space="preserve">ssembly </w:t>
      </w:r>
      <w:r w:rsidRPr="002D71F4">
        <w:rPr>
          <w:szCs w:val="22"/>
        </w:rPr>
        <w:t>B</w:t>
      </w:r>
      <w:r>
        <w:rPr>
          <w:szCs w:val="22"/>
        </w:rPr>
        <w:t>ill</w:t>
      </w:r>
      <w:r w:rsidRPr="002D71F4">
        <w:rPr>
          <w:szCs w:val="22"/>
        </w:rPr>
        <w:t xml:space="preserve"> 32, and may not be used for the benefit of entities or persons other than such ratepayers.”</w:t>
      </w:r>
    </w:p>
  </w:footnote>
  <w:footnote w:id="284">
    <w:p w14:paraId="42BBB2D5" w14:textId="1A0ECC3C" w:rsidR="00440A15" w:rsidRDefault="00440A15">
      <w:pPr>
        <w:pStyle w:val="FootnoteText"/>
      </w:pPr>
      <w:r>
        <w:rPr>
          <w:rStyle w:val="FootnoteReference"/>
        </w:rPr>
        <w:footnoteRef/>
      </w:r>
      <w:r>
        <w:t xml:space="preserve"> Staff may conduct future workshops to revise the requirements, provided the new requirements are published by staff no later than July 1 of each year. In the absence of any new requirements, the investor-owned utilities shall annually update the datasets based on prior year requirements. In the event of a disagreement between parties, </w:t>
      </w:r>
      <w:r>
        <w:rPr>
          <w:rFonts w:cs="Calibri"/>
          <w:szCs w:val="26"/>
        </w:rPr>
        <w:t>Energy Division staff and attorneys shall be the final authority in determining confidentiality status of any required data, as governed by existing laws and regulations.</w:t>
      </w:r>
      <w:r>
        <w:t xml:space="preserve"> Where necessary data is not readily available, the CPUC staff shall consult with all relevant stakeholders to determine how this data can best be collected and by whom. CPUC staff may require investor-owned utilities to initiate data collection through their existing processes so that it can be made available to the public in subsequent years</w:t>
      </w:r>
    </w:p>
  </w:footnote>
  <w:footnote w:id="285">
    <w:p w14:paraId="6559F46A" w14:textId="77777777" w:rsidR="00440A15" w:rsidRPr="002D71F4" w:rsidRDefault="00440A15" w:rsidP="002753B7">
      <w:pPr>
        <w:pStyle w:val="FootnoteText"/>
        <w:rPr>
          <w:szCs w:val="22"/>
        </w:rPr>
      </w:pPr>
      <w:r w:rsidRPr="002D71F4">
        <w:rPr>
          <w:rStyle w:val="FootnoteReference"/>
          <w:szCs w:val="22"/>
        </w:rPr>
        <w:footnoteRef/>
      </w:r>
      <w:r w:rsidRPr="002D71F4">
        <w:rPr>
          <w:szCs w:val="22"/>
        </w:rPr>
        <w:t xml:space="preserve"> “Financially disinterested,” for the purposes of this decision, means </w:t>
      </w:r>
      <w:r w:rsidRPr="002D71F4">
        <w:rPr>
          <w:rFonts w:cs="Calibri2"/>
          <w:szCs w:val="22"/>
        </w:rPr>
        <w:t>scoring panel should not have a financial interest in any potential program implementer or any specific company who may receive incentives from the program.</w:t>
      </w:r>
    </w:p>
    <w:p w14:paraId="47027A1F" w14:textId="77777777" w:rsidR="00440A15" w:rsidRPr="00D41F61" w:rsidRDefault="00440A15" w:rsidP="002753B7">
      <w:pPr>
        <w:pStyle w:val="FootnoteText"/>
        <w:rPr>
          <w:sz w:val="4"/>
          <w:szCs w:val="4"/>
        </w:rPr>
      </w:pPr>
    </w:p>
  </w:footnote>
  <w:footnote w:id="286">
    <w:p w14:paraId="6FC500F9" w14:textId="0B321002" w:rsidR="00440A15" w:rsidRDefault="00440A15">
      <w:pPr>
        <w:pStyle w:val="FootnoteText"/>
      </w:pPr>
      <w:r>
        <w:rPr>
          <w:rStyle w:val="FootnoteReference"/>
        </w:rPr>
        <w:footnoteRef/>
      </w:r>
      <w:r>
        <w:t xml:space="preserve"> Southern California Edison Company shall solely evaluate these sections of the bids to the TECH Initiatives: (1) SCE’s terms and conditions; (2) </w:t>
      </w:r>
      <w:r w:rsidRPr="00980403">
        <w:rPr>
          <w:rFonts w:cs="TimesNewRomanPSMT"/>
          <w:szCs w:val="26"/>
        </w:rPr>
        <w:t>redlines (if applicable)</w:t>
      </w:r>
      <w:r>
        <w:rPr>
          <w:rFonts w:cs="TimesNewRomanPSMT"/>
          <w:szCs w:val="26"/>
        </w:rPr>
        <w:t xml:space="preserve"> (3) </w:t>
      </w:r>
      <w:r w:rsidRPr="00980403">
        <w:rPr>
          <w:rFonts w:cs="TimesNewRomanPSMT"/>
          <w:szCs w:val="26"/>
        </w:rPr>
        <w:t>Cybersecurity</w:t>
      </w:r>
      <w:r>
        <w:rPr>
          <w:rFonts w:cs="TimesNewRomanPSMT"/>
          <w:szCs w:val="26"/>
        </w:rPr>
        <w:t xml:space="preserve">; (4) </w:t>
      </w:r>
      <w:r w:rsidRPr="00980403">
        <w:rPr>
          <w:rFonts w:cs="TimesNewRomanPSMT"/>
          <w:szCs w:val="26"/>
        </w:rPr>
        <w:t>Supplier</w:t>
      </w:r>
      <w:r>
        <w:rPr>
          <w:rFonts w:cs="TimesNewRomanPSMT"/>
          <w:szCs w:val="26"/>
        </w:rPr>
        <w:t xml:space="preserve"> </w:t>
      </w:r>
      <w:r w:rsidRPr="00980403">
        <w:rPr>
          <w:rFonts w:cs="TimesNewRomanPSMT"/>
          <w:szCs w:val="26"/>
        </w:rPr>
        <w:t xml:space="preserve">Responsibility Forms, </w:t>
      </w:r>
      <w:r>
        <w:rPr>
          <w:rFonts w:cs="TimesNewRomanPSMT"/>
          <w:szCs w:val="26"/>
        </w:rPr>
        <w:t>and</w:t>
      </w:r>
      <w:r w:rsidRPr="00980403">
        <w:rPr>
          <w:rFonts w:cs="TimesNewRomanPSMT"/>
          <w:szCs w:val="26"/>
        </w:rPr>
        <w:t xml:space="preserve"> </w:t>
      </w:r>
      <w:r>
        <w:rPr>
          <w:rFonts w:cs="TimesNewRomanPSMT"/>
          <w:szCs w:val="26"/>
        </w:rPr>
        <w:t xml:space="preserve">(5) </w:t>
      </w:r>
      <w:r w:rsidRPr="00980403">
        <w:rPr>
          <w:rFonts w:cs="TimesNewRomanPSMT"/>
          <w:szCs w:val="26"/>
        </w:rPr>
        <w:t>Diverse Business Enterprise (DBE) Certifications</w:t>
      </w:r>
      <w:r>
        <w:rPr>
          <w:rFonts w:cs="TimesNewRomanPSMT"/>
          <w:szCs w:val="26"/>
        </w:rPr>
        <w:t xml:space="preserve">.  General </w:t>
      </w:r>
      <w:r w:rsidRPr="00F06FEC">
        <w:rPr>
          <w:rFonts w:cs="TimesNewRomanPSMT"/>
          <w:szCs w:val="26"/>
        </w:rPr>
        <w:t>Terms and Conditions shall be finalized by SCE in consultation with CPUC attorneys</w:t>
      </w:r>
      <w:r>
        <w:rPr>
          <w:rFonts w:cs="TimesNewRomanPSMT"/>
          <w:szCs w:val="26"/>
        </w:rPr>
        <w:t xml:space="preserve">.  </w:t>
      </w:r>
    </w:p>
  </w:footnote>
  <w:footnote w:id="287">
    <w:p w14:paraId="3AEACAE3" w14:textId="77777777" w:rsidR="00440A15" w:rsidRDefault="00440A15" w:rsidP="00B56EFA">
      <w:pPr>
        <w:pStyle w:val="FootnoteText"/>
      </w:pPr>
      <w:r>
        <w:rPr>
          <w:rStyle w:val="FootnoteReference"/>
        </w:rPr>
        <w:footnoteRef/>
      </w:r>
      <w:r>
        <w:t xml:space="preserve"> For example, costs of</w:t>
      </w:r>
      <w:r w:rsidRPr="007E0614">
        <w:t xml:space="preserve"> extending gas lines to homes with gas end uses and piping gas lines within those homes (a cost savings for all</w:t>
      </w:r>
      <w:r>
        <w:t>-</w:t>
      </w:r>
      <w:r w:rsidRPr="007E0614">
        <w:t xml:space="preserve">electric homes).  For </w:t>
      </w:r>
      <w:r>
        <w:t xml:space="preserve">all-electric </w:t>
      </w:r>
      <w:r w:rsidRPr="007E0614">
        <w:t>homes</w:t>
      </w:r>
      <w:r>
        <w:t>,</w:t>
      </w:r>
      <w:r w:rsidRPr="007E0614">
        <w:t xml:space="preserve"> this would include increased panel capacity</w:t>
      </w:r>
      <w:r>
        <w:t>, where needed</w:t>
      </w:r>
      <w:r w:rsidRPr="007E0614">
        <w:t>.</w:t>
      </w:r>
    </w:p>
  </w:footnote>
  <w:footnote w:id="288">
    <w:p w14:paraId="5C763271" w14:textId="77777777" w:rsidR="00440A15" w:rsidRDefault="00440A15" w:rsidP="00B56EFA">
      <w:pPr>
        <w:pStyle w:val="FootnoteText"/>
      </w:pPr>
      <w:r>
        <w:rPr>
          <w:rStyle w:val="FootnoteReference"/>
        </w:rPr>
        <w:footnoteRef/>
      </w:r>
      <w:r>
        <w:t xml:space="preserve"> </w:t>
      </w:r>
      <w:r w:rsidRPr="00731F7E">
        <w:t>This program is also often sought by low-income multifamily owners applying for tax credits through the state treasurer’s office.</w:t>
      </w:r>
    </w:p>
  </w:footnote>
  <w:footnote w:id="289">
    <w:p w14:paraId="3D79F9EF" w14:textId="77777777" w:rsidR="00440A15" w:rsidRDefault="00440A15" w:rsidP="00B56EFA">
      <w:pPr>
        <w:pStyle w:val="FootnoteText"/>
      </w:pPr>
      <w:r>
        <w:rPr>
          <w:rStyle w:val="FootnoteReference"/>
        </w:rPr>
        <w:footnoteRef/>
      </w:r>
      <w:r>
        <w:t xml:space="preserve"> </w:t>
      </w:r>
      <w:r w:rsidRPr="00731F7E">
        <w:t>This program also leverages Bay Area Air Quality Management District funds to pursue electrification strategies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9EABE" w14:textId="0E8275B0" w:rsidR="00440A15" w:rsidRDefault="00440A15" w:rsidP="00EE4315">
    <w:pPr>
      <w:pStyle w:val="Header"/>
      <w:tabs>
        <w:tab w:val="clear" w:pos="4680"/>
      </w:tabs>
      <w:ind w:firstLine="0"/>
      <w:rPr>
        <w:b/>
      </w:rPr>
    </w:pPr>
    <w:r>
      <w:t>R.19-01-011  COM/LR1/avs</w:t>
    </w:r>
    <w:r>
      <w:tab/>
    </w:r>
  </w:p>
  <w:p w14:paraId="71EB73D7" w14:textId="70C80586" w:rsidR="00440A15" w:rsidRDefault="00440A15" w:rsidP="00B3087D">
    <w:pPr>
      <w:pStyle w:val="Header"/>
      <w:tabs>
        <w:tab w:val="clear" w:pos="4680"/>
      </w:tabs>
      <w:ind w:firstLine="0"/>
      <w:rPr>
        <w:iCs/>
        <w:color w:val="FF0000"/>
      </w:rPr>
    </w:pPr>
  </w:p>
  <w:p w14:paraId="4488E0C9" w14:textId="77777777" w:rsidR="00440A15" w:rsidRPr="00E82270" w:rsidRDefault="00440A15" w:rsidP="00B3087D">
    <w:pPr>
      <w:pStyle w:val="Header"/>
      <w:tabs>
        <w:tab w:val="clear" w:pos="4680"/>
      </w:tabs>
      <w:ind w:firstLine="0"/>
      <w:rPr>
        <w:iCs/>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538" w14:textId="3DE99829" w:rsidR="00440A15" w:rsidRDefault="00440A15" w:rsidP="006275D4">
    <w:pPr>
      <w:pStyle w:val="Header"/>
      <w:tabs>
        <w:tab w:val="clear" w:pos="4680"/>
      </w:tabs>
      <w:ind w:firstLine="0"/>
      <w:rPr>
        <w:b/>
      </w:rPr>
    </w:pPr>
    <w:r>
      <w:t>R.19-01-011  COM/LR1/avs</w:t>
    </w:r>
    <w:r>
      <w:tab/>
    </w:r>
  </w:p>
  <w:p w14:paraId="305B2C50" w14:textId="77777777" w:rsidR="00440A15" w:rsidRDefault="00440A15" w:rsidP="00B3087D">
    <w:pPr>
      <w:pStyle w:val="Header"/>
      <w:tabs>
        <w:tab w:val="clear" w:pos="4680"/>
      </w:tabs>
      <w:ind w:firstLine="0"/>
      <w:rPr>
        <w:iCs/>
        <w:color w:val="FF0000"/>
      </w:rPr>
    </w:pPr>
  </w:p>
  <w:p w14:paraId="34BFD6A6" w14:textId="77777777" w:rsidR="00440A15" w:rsidRPr="00E82270" w:rsidRDefault="00440A15" w:rsidP="00B3087D">
    <w:pPr>
      <w:pStyle w:val="Header"/>
      <w:tabs>
        <w:tab w:val="clear" w:pos="4680"/>
      </w:tabs>
      <w:ind w:firstLine="0"/>
      <w:rPr>
        <w:iCs/>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7F03C" w14:textId="50CBFD83" w:rsidR="00440A15" w:rsidRDefault="00440A15" w:rsidP="006275D4">
    <w:pPr>
      <w:pStyle w:val="Header"/>
      <w:tabs>
        <w:tab w:val="clear" w:pos="4680"/>
      </w:tabs>
      <w:ind w:firstLine="0"/>
      <w:rPr>
        <w:b/>
      </w:rPr>
    </w:pPr>
    <w:r>
      <w:t>R.19-01-011  COM/LR1/avs</w:t>
    </w:r>
    <w:r>
      <w:tab/>
    </w:r>
  </w:p>
  <w:p w14:paraId="73F9C11F" w14:textId="4F72B99F" w:rsidR="00440A15" w:rsidRPr="006275D4" w:rsidRDefault="00440A15" w:rsidP="006275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9095" w14:textId="77777777" w:rsidR="00440A15" w:rsidRDefault="00440A15" w:rsidP="006275D4">
    <w:pPr>
      <w:pStyle w:val="Header"/>
      <w:tabs>
        <w:tab w:val="clear" w:pos="4680"/>
      </w:tabs>
      <w:ind w:firstLine="0"/>
      <w:rPr>
        <w:b/>
      </w:rPr>
    </w:pPr>
    <w:r>
      <w:t>R.19-01-011  COM/LR1/avs</w:t>
    </w:r>
    <w:r>
      <w:tab/>
    </w:r>
  </w:p>
  <w:p w14:paraId="47490159" w14:textId="32D8E87A" w:rsidR="00440A15" w:rsidRDefault="00440A15" w:rsidP="006275D4">
    <w:pPr>
      <w:pStyle w:val="Header"/>
    </w:pPr>
  </w:p>
  <w:p w14:paraId="465B6BCF" w14:textId="77777777" w:rsidR="00440A15" w:rsidRPr="006275D4" w:rsidRDefault="00440A15" w:rsidP="00627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40FC2"/>
    <w:multiLevelType w:val="multilevel"/>
    <w:tmpl w:val="18F4A5AC"/>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nsid w:val="042D5531"/>
    <w:multiLevelType w:val="hybridMultilevel"/>
    <w:tmpl w:val="AAD63F76"/>
    <w:lvl w:ilvl="0" w:tplc="67767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7445D"/>
    <w:multiLevelType w:val="hybridMultilevel"/>
    <w:tmpl w:val="DB5AB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10562"/>
    <w:multiLevelType w:val="hybridMultilevel"/>
    <w:tmpl w:val="E312D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20FAA"/>
    <w:multiLevelType w:val="hybridMultilevel"/>
    <w:tmpl w:val="827E9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D806A0"/>
    <w:multiLevelType w:val="hybridMultilevel"/>
    <w:tmpl w:val="AAD63F76"/>
    <w:lvl w:ilvl="0" w:tplc="67767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8">
    <w:nsid w:val="15F056CB"/>
    <w:multiLevelType w:val="multilevel"/>
    <w:tmpl w:val="18F4A5AC"/>
    <w:numStyleLink w:val="FoFCoLOP"/>
  </w:abstractNum>
  <w:abstractNum w:abstractNumId="9">
    <w:nsid w:val="165915ED"/>
    <w:multiLevelType w:val="multilevel"/>
    <w:tmpl w:val="75F80716"/>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472C4"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10">
    <w:nsid w:val="1ADD3BFB"/>
    <w:multiLevelType w:val="hybridMultilevel"/>
    <w:tmpl w:val="89948D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1C632C2B"/>
    <w:multiLevelType w:val="hybridMultilevel"/>
    <w:tmpl w:val="0686A96A"/>
    <w:lvl w:ilvl="0" w:tplc="721C3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21C313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242C9"/>
    <w:multiLevelType w:val="multilevel"/>
    <w:tmpl w:val="81169AF6"/>
    <w:numStyleLink w:val="Headings"/>
  </w:abstractNum>
  <w:abstractNum w:abstractNumId="13">
    <w:nsid w:val="1EB404E7"/>
    <w:multiLevelType w:val="hybridMultilevel"/>
    <w:tmpl w:val="26501ECA"/>
    <w:lvl w:ilvl="0" w:tplc="FA1C98C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145FA7"/>
    <w:multiLevelType w:val="hybridMultilevel"/>
    <w:tmpl w:val="968E7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C92E47"/>
    <w:multiLevelType w:val="hybridMultilevel"/>
    <w:tmpl w:val="3CCE289A"/>
    <w:lvl w:ilvl="0" w:tplc="1CE8563C">
      <w:start w:val="1"/>
      <w:numFmt w:val="decimal"/>
      <w:lvlText w:val="%1."/>
      <w:lvlJc w:val="left"/>
      <w:pPr>
        <w:ind w:left="1080" w:hanging="360"/>
      </w:pPr>
      <w:rPr>
        <w:rFonts w:ascii="Book Antiqua" w:eastAsiaTheme="minorHAnsi" w:hAnsi="Book Antiqu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75610"/>
    <w:multiLevelType w:val="hybridMultilevel"/>
    <w:tmpl w:val="B8AE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807E0"/>
    <w:multiLevelType w:val="hybridMultilevel"/>
    <w:tmpl w:val="BAF85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8A3B19"/>
    <w:multiLevelType w:val="hybridMultilevel"/>
    <w:tmpl w:val="B2109554"/>
    <w:lvl w:ilvl="0" w:tplc="0E58ADFE">
      <w:start w:val="1"/>
      <w:numFmt w:val="upperRoman"/>
      <w:lvlText w:val="%1."/>
      <w:lvlJc w:val="left"/>
      <w:pPr>
        <w:ind w:left="1080" w:hanging="720"/>
      </w:pPr>
      <w:rPr>
        <w:rFonts w:hint="default"/>
      </w:rPr>
    </w:lvl>
    <w:lvl w:ilvl="1" w:tplc="FB50E10E">
      <w:start w:val="1"/>
      <w:numFmt w:val="lowerLetter"/>
      <w:lvlText w:val="%2."/>
      <w:lvlJc w:val="left"/>
      <w:pPr>
        <w:ind w:left="1440" w:hanging="360"/>
      </w:pPr>
      <w:rPr>
        <w:b w:val="0"/>
      </w:rPr>
    </w:lvl>
    <w:lvl w:ilvl="2" w:tplc="5840F7AA">
      <w:start w:val="1"/>
      <w:numFmt w:val="lowerRoman"/>
      <w:lvlText w:val="%3."/>
      <w:lvlJc w:val="right"/>
      <w:pPr>
        <w:ind w:left="2160" w:hanging="180"/>
      </w:pPr>
      <w:rPr>
        <w:b w:val="0"/>
        <w:i w:val="0"/>
      </w:rPr>
    </w:lvl>
    <w:lvl w:ilvl="3" w:tplc="2362E6DA">
      <w:start w:val="1"/>
      <w:numFmt w:val="decimal"/>
      <w:lvlText w:val="%4."/>
      <w:lvlJc w:val="left"/>
      <w:pPr>
        <w:ind w:left="2880" w:hanging="360"/>
      </w:pPr>
      <w:rPr>
        <w:b w:val="0"/>
        <w:i w:val="0"/>
      </w:rPr>
    </w:lvl>
    <w:lvl w:ilvl="4" w:tplc="BAF28A94">
      <w:start w:val="1"/>
      <w:numFmt w:val="lowerLetter"/>
      <w:lvlText w:val="%5."/>
      <w:lvlJc w:val="left"/>
      <w:pPr>
        <w:ind w:left="3600" w:hanging="360"/>
      </w:pPr>
      <w:rPr>
        <w:b w:val="0"/>
        <w:i w:val="0"/>
      </w:rPr>
    </w:lvl>
    <w:lvl w:ilvl="5" w:tplc="4AE82DF0">
      <w:start w:val="1"/>
      <w:numFmt w:val="lowerRoman"/>
      <w:lvlText w:val="%6."/>
      <w:lvlJc w:val="right"/>
      <w:pPr>
        <w:ind w:left="4320" w:hanging="180"/>
      </w:pPr>
      <w:rPr>
        <w:b w:val="0"/>
      </w:rPr>
    </w:lvl>
    <w:lvl w:ilvl="6" w:tplc="0409000F">
      <w:start w:val="1"/>
      <w:numFmt w:val="decimal"/>
      <w:lvlText w:val="%7."/>
      <w:lvlJc w:val="left"/>
      <w:pPr>
        <w:ind w:left="5040" w:hanging="360"/>
      </w:pPr>
    </w:lvl>
    <w:lvl w:ilvl="7" w:tplc="C6B2478C">
      <w:start w:val="2"/>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9">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0">
    <w:nsid w:val="39C33CF1"/>
    <w:multiLevelType w:val="hybridMultilevel"/>
    <w:tmpl w:val="45CAB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8F0AA7"/>
    <w:multiLevelType w:val="hybridMultilevel"/>
    <w:tmpl w:val="9DDA3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8B370B"/>
    <w:multiLevelType w:val="hybridMultilevel"/>
    <w:tmpl w:val="B8622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52162C"/>
    <w:multiLevelType w:val="multilevel"/>
    <w:tmpl w:val="18F4A5AC"/>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4">
    <w:nsid w:val="516A0B76"/>
    <w:multiLevelType w:val="hybridMultilevel"/>
    <w:tmpl w:val="C08AD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C16433"/>
    <w:multiLevelType w:val="hybridMultilevel"/>
    <w:tmpl w:val="68FE69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9D042D7"/>
    <w:multiLevelType w:val="multilevel"/>
    <w:tmpl w:val="18F4A5AC"/>
    <w:numStyleLink w:val="FoFCoLOP"/>
  </w:abstractNum>
  <w:abstractNum w:abstractNumId="27">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D60DC9"/>
    <w:multiLevelType w:val="hybridMultilevel"/>
    <w:tmpl w:val="36B8B98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2C3D86"/>
    <w:multiLevelType w:val="multilevel"/>
    <w:tmpl w:val="5C768E68"/>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E0F0481"/>
    <w:multiLevelType w:val="hybridMultilevel"/>
    <w:tmpl w:val="0F604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6C283C"/>
    <w:multiLevelType w:val="hybridMultilevel"/>
    <w:tmpl w:val="6DE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BC3379"/>
    <w:multiLevelType w:val="hybridMultilevel"/>
    <w:tmpl w:val="B9322B2C"/>
    <w:lvl w:ilvl="0" w:tplc="04090001">
      <w:start w:val="1"/>
      <w:numFmt w:val="bullet"/>
      <w:lvlText w:val=""/>
      <w:lvlJc w:val="left"/>
      <w:pPr>
        <w:ind w:left="1440" w:hanging="360"/>
      </w:pPr>
      <w:rPr>
        <w:rFonts w:ascii="Symbol" w:hAnsi="Symbol" w:hint="default"/>
      </w:rPr>
    </w:lvl>
    <w:lvl w:ilvl="1" w:tplc="721C3134">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5B2289"/>
    <w:multiLevelType w:val="hybridMultilevel"/>
    <w:tmpl w:val="F1F0372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9A0AFE"/>
    <w:multiLevelType w:val="multilevel"/>
    <w:tmpl w:val="18F4A5AC"/>
    <w:numStyleLink w:val="FoFCoLOP"/>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6"/>
  </w:num>
  <w:num w:numId="4">
    <w:abstractNumId w:val="8"/>
  </w:num>
  <w:num w:numId="5">
    <w:abstractNumId w:val="35"/>
  </w:num>
  <w:num w:numId="6">
    <w:abstractNumId w:val="19"/>
  </w:num>
  <w:num w:numId="7">
    <w:abstractNumId w:val="12"/>
  </w:num>
  <w:num w:numId="8">
    <w:abstractNumId w:val="31"/>
  </w:num>
  <w:num w:numId="9">
    <w:abstractNumId w:val="0"/>
  </w:num>
  <w:num w:numId="10">
    <w:abstractNumId w:val="16"/>
  </w:num>
  <w:num w:numId="11">
    <w:abstractNumId w:val="33"/>
  </w:num>
  <w:num w:numId="12">
    <w:abstractNumId w:val="18"/>
  </w:num>
  <w:num w:numId="13">
    <w:abstractNumId w:val="30"/>
  </w:num>
  <w:num w:numId="14">
    <w:abstractNumId w:val="9"/>
  </w:num>
  <w:num w:numId="15">
    <w:abstractNumId w:val="21"/>
  </w:num>
  <w:num w:numId="16">
    <w:abstractNumId w:val="24"/>
  </w:num>
  <w:num w:numId="17">
    <w:abstractNumId w:val="3"/>
  </w:num>
  <w:num w:numId="18">
    <w:abstractNumId w:val="5"/>
  </w:num>
  <w:num w:numId="19">
    <w:abstractNumId w:val="20"/>
  </w:num>
  <w:num w:numId="20">
    <w:abstractNumId w:val="34"/>
  </w:num>
  <w:num w:numId="21">
    <w:abstractNumId w:val="25"/>
  </w:num>
  <w:num w:numId="22">
    <w:abstractNumId w:val="10"/>
  </w:num>
  <w:num w:numId="23">
    <w:abstractNumId w:val="3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1"/>
  </w:num>
  <w:num w:numId="28">
    <w:abstractNumId w:val="15"/>
  </w:num>
  <w:num w:numId="29">
    <w:abstractNumId w:val="17"/>
  </w:num>
  <w:num w:numId="30">
    <w:abstractNumId w:val="13"/>
  </w:num>
  <w:num w:numId="31">
    <w:abstractNumId w:val="9"/>
  </w:num>
  <w:num w:numId="32">
    <w:abstractNumId w:val="29"/>
  </w:num>
  <w:num w:numId="33">
    <w:abstractNumId w:val="4"/>
  </w:num>
  <w:num w:numId="34">
    <w:abstractNumId w:val="14"/>
  </w:num>
  <w:num w:numId="35">
    <w:abstractNumId w:val="22"/>
  </w:num>
  <w:num w:numId="36">
    <w:abstractNumId w:val="2"/>
  </w:num>
  <w:num w:numId="37">
    <w:abstractNumId w:val="1"/>
  </w:num>
  <w:num w:numId="38">
    <w:abstractNumId w:val="23"/>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8"/>
  </w:num>
  <w:num w:numId="42">
    <w:abstractNumId w:val="8"/>
  </w:num>
  <w:num w:numId="43">
    <w:abstractNumId w:val="8"/>
  </w:num>
  <w:num w:numId="44">
    <w:abstractNumId w:val="8"/>
  </w:num>
  <w:num w:numId="4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6F"/>
    <w:rsid w:val="000007B4"/>
    <w:rsid w:val="00000F6A"/>
    <w:rsid w:val="000045FA"/>
    <w:rsid w:val="00005269"/>
    <w:rsid w:val="00006196"/>
    <w:rsid w:val="00006F78"/>
    <w:rsid w:val="000204DD"/>
    <w:rsid w:val="00021516"/>
    <w:rsid w:val="00023816"/>
    <w:rsid w:val="00024D6F"/>
    <w:rsid w:val="00044EED"/>
    <w:rsid w:val="00045F55"/>
    <w:rsid w:val="0004658A"/>
    <w:rsid w:val="000469A3"/>
    <w:rsid w:val="00047B9C"/>
    <w:rsid w:val="000506A8"/>
    <w:rsid w:val="00060ACE"/>
    <w:rsid w:val="00061E0B"/>
    <w:rsid w:val="00063BD5"/>
    <w:rsid w:val="000652AE"/>
    <w:rsid w:val="0007115A"/>
    <w:rsid w:val="00071834"/>
    <w:rsid w:val="00071ECE"/>
    <w:rsid w:val="00074036"/>
    <w:rsid w:val="000757ED"/>
    <w:rsid w:val="00075B2A"/>
    <w:rsid w:val="000800F7"/>
    <w:rsid w:val="00081764"/>
    <w:rsid w:val="00083403"/>
    <w:rsid w:val="00084E9A"/>
    <w:rsid w:val="000869AC"/>
    <w:rsid w:val="000900F1"/>
    <w:rsid w:val="000908F8"/>
    <w:rsid w:val="00093E6B"/>
    <w:rsid w:val="000943EA"/>
    <w:rsid w:val="000960C2"/>
    <w:rsid w:val="000972EA"/>
    <w:rsid w:val="000973C8"/>
    <w:rsid w:val="00097B34"/>
    <w:rsid w:val="000A1C02"/>
    <w:rsid w:val="000A2AA9"/>
    <w:rsid w:val="000A56F2"/>
    <w:rsid w:val="000A627D"/>
    <w:rsid w:val="000A6E05"/>
    <w:rsid w:val="000B12FA"/>
    <w:rsid w:val="000B39AD"/>
    <w:rsid w:val="000C08BF"/>
    <w:rsid w:val="000C0B4C"/>
    <w:rsid w:val="000C1E72"/>
    <w:rsid w:val="000C3375"/>
    <w:rsid w:val="000C3B9A"/>
    <w:rsid w:val="000C4BD0"/>
    <w:rsid w:val="000C4DB5"/>
    <w:rsid w:val="000D1BF0"/>
    <w:rsid w:val="000D25A8"/>
    <w:rsid w:val="000D2B1F"/>
    <w:rsid w:val="000D5963"/>
    <w:rsid w:val="000D66B0"/>
    <w:rsid w:val="000D6C0E"/>
    <w:rsid w:val="000D75F5"/>
    <w:rsid w:val="000D7C6B"/>
    <w:rsid w:val="000D7CFA"/>
    <w:rsid w:val="000E00DB"/>
    <w:rsid w:val="000E228F"/>
    <w:rsid w:val="000E38E6"/>
    <w:rsid w:val="000E4569"/>
    <w:rsid w:val="000E4C53"/>
    <w:rsid w:val="000E50EF"/>
    <w:rsid w:val="000E684E"/>
    <w:rsid w:val="000E6858"/>
    <w:rsid w:val="000E7BB0"/>
    <w:rsid w:val="000F18C5"/>
    <w:rsid w:val="000F7A8B"/>
    <w:rsid w:val="00100237"/>
    <w:rsid w:val="00105558"/>
    <w:rsid w:val="00120EE0"/>
    <w:rsid w:val="00121089"/>
    <w:rsid w:val="00121498"/>
    <w:rsid w:val="00121E72"/>
    <w:rsid w:val="001235B4"/>
    <w:rsid w:val="00126BA7"/>
    <w:rsid w:val="001307C7"/>
    <w:rsid w:val="00133617"/>
    <w:rsid w:val="00133B9F"/>
    <w:rsid w:val="00134E1E"/>
    <w:rsid w:val="001350E6"/>
    <w:rsid w:val="001367B4"/>
    <w:rsid w:val="001379E5"/>
    <w:rsid w:val="0014207E"/>
    <w:rsid w:val="00143055"/>
    <w:rsid w:val="001435F5"/>
    <w:rsid w:val="001438F7"/>
    <w:rsid w:val="00145673"/>
    <w:rsid w:val="00147C2F"/>
    <w:rsid w:val="0015196D"/>
    <w:rsid w:val="00160E92"/>
    <w:rsid w:val="0017133B"/>
    <w:rsid w:val="00173363"/>
    <w:rsid w:val="001743F9"/>
    <w:rsid w:val="00175C42"/>
    <w:rsid w:val="00182E85"/>
    <w:rsid w:val="00187432"/>
    <w:rsid w:val="00187B72"/>
    <w:rsid w:val="001916DD"/>
    <w:rsid w:val="00191F6F"/>
    <w:rsid w:val="00194A6E"/>
    <w:rsid w:val="00197108"/>
    <w:rsid w:val="001A32C6"/>
    <w:rsid w:val="001A40BE"/>
    <w:rsid w:val="001A442E"/>
    <w:rsid w:val="001A4DC0"/>
    <w:rsid w:val="001A64FA"/>
    <w:rsid w:val="001B0E40"/>
    <w:rsid w:val="001B3837"/>
    <w:rsid w:val="001C0346"/>
    <w:rsid w:val="001C0DF2"/>
    <w:rsid w:val="001C26FD"/>
    <w:rsid w:val="001C32BA"/>
    <w:rsid w:val="001C363F"/>
    <w:rsid w:val="001C5214"/>
    <w:rsid w:val="001D0CFD"/>
    <w:rsid w:val="001D221E"/>
    <w:rsid w:val="001D287A"/>
    <w:rsid w:val="001D415E"/>
    <w:rsid w:val="001D4AE3"/>
    <w:rsid w:val="001E26BB"/>
    <w:rsid w:val="001E2A62"/>
    <w:rsid w:val="001E567A"/>
    <w:rsid w:val="001E6ACB"/>
    <w:rsid w:val="001F01EF"/>
    <w:rsid w:val="001F0817"/>
    <w:rsid w:val="001F1030"/>
    <w:rsid w:val="001F2819"/>
    <w:rsid w:val="001F54B5"/>
    <w:rsid w:val="001F6972"/>
    <w:rsid w:val="002008AF"/>
    <w:rsid w:val="002018E9"/>
    <w:rsid w:val="002043EC"/>
    <w:rsid w:val="0021119B"/>
    <w:rsid w:val="002117DB"/>
    <w:rsid w:val="00221C74"/>
    <w:rsid w:val="00233DC3"/>
    <w:rsid w:val="002344FF"/>
    <w:rsid w:val="00241E15"/>
    <w:rsid w:val="00242037"/>
    <w:rsid w:val="00242D49"/>
    <w:rsid w:val="002433C1"/>
    <w:rsid w:val="00243DC0"/>
    <w:rsid w:val="00245000"/>
    <w:rsid w:val="00245295"/>
    <w:rsid w:val="002462F2"/>
    <w:rsid w:val="002468EC"/>
    <w:rsid w:val="00247477"/>
    <w:rsid w:val="002565A4"/>
    <w:rsid w:val="00266BEF"/>
    <w:rsid w:val="00267CBF"/>
    <w:rsid w:val="00270440"/>
    <w:rsid w:val="00272ED0"/>
    <w:rsid w:val="00275240"/>
    <w:rsid w:val="002753B7"/>
    <w:rsid w:val="00281D3E"/>
    <w:rsid w:val="0028204A"/>
    <w:rsid w:val="00286EC1"/>
    <w:rsid w:val="00287783"/>
    <w:rsid w:val="00293DEE"/>
    <w:rsid w:val="00295D3A"/>
    <w:rsid w:val="00296551"/>
    <w:rsid w:val="00296C90"/>
    <w:rsid w:val="00297A1F"/>
    <w:rsid w:val="002A0763"/>
    <w:rsid w:val="002A0B5D"/>
    <w:rsid w:val="002A2043"/>
    <w:rsid w:val="002A4FAE"/>
    <w:rsid w:val="002A5B09"/>
    <w:rsid w:val="002A7737"/>
    <w:rsid w:val="002C59BC"/>
    <w:rsid w:val="002C7FE9"/>
    <w:rsid w:val="002D0995"/>
    <w:rsid w:val="002D4EFD"/>
    <w:rsid w:val="002D680F"/>
    <w:rsid w:val="002E7628"/>
    <w:rsid w:val="002F33B6"/>
    <w:rsid w:val="002F4A11"/>
    <w:rsid w:val="00302ED9"/>
    <w:rsid w:val="00302F2D"/>
    <w:rsid w:val="00304706"/>
    <w:rsid w:val="00306645"/>
    <w:rsid w:val="00310079"/>
    <w:rsid w:val="00310E5F"/>
    <w:rsid w:val="00314F2D"/>
    <w:rsid w:val="00316071"/>
    <w:rsid w:val="003160C2"/>
    <w:rsid w:val="003201AE"/>
    <w:rsid w:val="003248EE"/>
    <w:rsid w:val="00325FD0"/>
    <w:rsid w:val="00331BF4"/>
    <w:rsid w:val="00333563"/>
    <w:rsid w:val="00333B16"/>
    <w:rsid w:val="00333C69"/>
    <w:rsid w:val="00343BE1"/>
    <w:rsid w:val="00343E5C"/>
    <w:rsid w:val="00346482"/>
    <w:rsid w:val="00350A75"/>
    <w:rsid w:val="00355FE6"/>
    <w:rsid w:val="00356714"/>
    <w:rsid w:val="00356C2A"/>
    <w:rsid w:val="0036017B"/>
    <w:rsid w:val="00360BAC"/>
    <w:rsid w:val="00362755"/>
    <w:rsid w:val="00366EBA"/>
    <w:rsid w:val="003677FF"/>
    <w:rsid w:val="00370F9B"/>
    <w:rsid w:val="00373B93"/>
    <w:rsid w:val="00373DF4"/>
    <w:rsid w:val="00375D4C"/>
    <w:rsid w:val="003777F0"/>
    <w:rsid w:val="00381475"/>
    <w:rsid w:val="003865D3"/>
    <w:rsid w:val="00396232"/>
    <w:rsid w:val="00396BB8"/>
    <w:rsid w:val="003A04CE"/>
    <w:rsid w:val="003A2260"/>
    <w:rsid w:val="003A38F0"/>
    <w:rsid w:val="003A50E6"/>
    <w:rsid w:val="003A6366"/>
    <w:rsid w:val="003A6576"/>
    <w:rsid w:val="003A7207"/>
    <w:rsid w:val="003A76B3"/>
    <w:rsid w:val="003B12A8"/>
    <w:rsid w:val="003B15E6"/>
    <w:rsid w:val="003B2948"/>
    <w:rsid w:val="003C31AF"/>
    <w:rsid w:val="003D025A"/>
    <w:rsid w:val="003D359F"/>
    <w:rsid w:val="003D5673"/>
    <w:rsid w:val="003D5A2F"/>
    <w:rsid w:val="003D753F"/>
    <w:rsid w:val="003E3C55"/>
    <w:rsid w:val="003E5101"/>
    <w:rsid w:val="003E6FAB"/>
    <w:rsid w:val="003E7C04"/>
    <w:rsid w:val="003F12CB"/>
    <w:rsid w:val="003F1807"/>
    <w:rsid w:val="003F251A"/>
    <w:rsid w:val="003F3C30"/>
    <w:rsid w:val="003F3CB9"/>
    <w:rsid w:val="003F4329"/>
    <w:rsid w:val="003F5501"/>
    <w:rsid w:val="003F565B"/>
    <w:rsid w:val="00402E03"/>
    <w:rsid w:val="0040411F"/>
    <w:rsid w:val="00405D8E"/>
    <w:rsid w:val="00406E8D"/>
    <w:rsid w:val="00407210"/>
    <w:rsid w:val="00410D4B"/>
    <w:rsid w:val="00412534"/>
    <w:rsid w:val="00412C83"/>
    <w:rsid w:val="004157A4"/>
    <w:rsid w:val="00416D1A"/>
    <w:rsid w:val="00417226"/>
    <w:rsid w:val="004207A2"/>
    <w:rsid w:val="00420827"/>
    <w:rsid w:val="00421D44"/>
    <w:rsid w:val="004230D1"/>
    <w:rsid w:val="004235F4"/>
    <w:rsid w:val="00423C8B"/>
    <w:rsid w:val="00425D89"/>
    <w:rsid w:val="00426014"/>
    <w:rsid w:val="00426162"/>
    <w:rsid w:val="004273F2"/>
    <w:rsid w:val="00432684"/>
    <w:rsid w:val="004356A5"/>
    <w:rsid w:val="004371EB"/>
    <w:rsid w:val="00440A15"/>
    <w:rsid w:val="00447AD6"/>
    <w:rsid w:val="00447CE7"/>
    <w:rsid w:val="00451261"/>
    <w:rsid w:val="00453DAA"/>
    <w:rsid w:val="00453EBA"/>
    <w:rsid w:val="0045654B"/>
    <w:rsid w:val="00460B7D"/>
    <w:rsid w:val="00460EF5"/>
    <w:rsid w:val="0046112D"/>
    <w:rsid w:val="0046513F"/>
    <w:rsid w:val="0047174B"/>
    <w:rsid w:val="00473911"/>
    <w:rsid w:val="00480CB0"/>
    <w:rsid w:val="00483507"/>
    <w:rsid w:val="00483A5D"/>
    <w:rsid w:val="00484813"/>
    <w:rsid w:val="00490609"/>
    <w:rsid w:val="00491E93"/>
    <w:rsid w:val="00492ED9"/>
    <w:rsid w:val="00494B3C"/>
    <w:rsid w:val="00494D60"/>
    <w:rsid w:val="00496C34"/>
    <w:rsid w:val="0049719D"/>
    <w:rsid w:val="004972F8"/>
    <w:rsid w:val="004A207C"/>
    <w:rsid w:val="004A2ED7"/>
    <w:rsid w:val="004A341E"/>
    <w:rsid w:val="004A46C5"/>
    <w:rsid w:val="004B34EA"/>
    <w:rsid w:val="004B459B"/>
    <w:rsid w:val="004B5494"/>
    <w:rsid w:val="004B6FFF"/>
    <w:rsid w:val="004B7131"/>
    <w:rsid w:val="004B7859"/>
    <w:rsid w:val="004C3896"/>
    <w:rsid w:val="004C3B92"/>
    <w:rsid w:val="004C5B23"/>
    <w:rsid w:val="004C6BE0"/>
    <w:rsid w:val="004C7D3A"/>
    <w:rsid w:val="004D067F"/>
    <w:rsid w:val="004D4146"/>
    <w:rsid w:val="004D4616"/>
    <w:rsid w:val="004D708F"/>
    <w:rsid w:val="004D7DE0"/>
    <w:rsid w:val="004E5967"/>
    <w:rsid w:val="004E5FEA"/>
    <w:rsid w:val="004E658F"/>
    <w:rsid w:val="004F17F8"/>
    <w:rsid w:val="004F3FA8"/>
    <w:rsid w:val="004F516F"/>
    <w:rsid w:val="004F73E0"/>
    <w:rsid w:val="0050040D"/>
    <w:rsid w:val="00500439"/>
    <w:rsid w:val="00501657"/>
    <w:rsid w:val="005018A8"/>
    <w:rsid w:val="00501F1B"/>
    <w:rsid w:val="005028AB"/>
    <w:rsid w:val="00505A39"/>
    <w:rsid w:val="005072C6"/>
    <w:rsid w:val="0051232E"/>
    <w:rsid w:val="00516799"/>
    <w:rsid w:val="00520024"/>
    <w:rsid w:val="005206DE"/>
    <w:rsid w:val="0052282F"/>
    <w:rsid w:val="005234C7"/>
    <w:rsid w:val="005240BF"/>
    <w:rsid w:val="00524F53"/>
    <w:rsid w:val="005253A1"/>
    <w:rsid w:val="0053147B"/>
    <w:rsid w:val="00537473"/>
    <w:rsid w:val="0054038A"/>
    <w:rsid w:val="005411BC"/>
    <w:rsid w:val="00542FE7"/>
    <w:rsid w:val="005443FB"/>
    <w:rsid w:val="005470A6"/>
    <w:rsid w:val="00550ADA"/>
    <w:rsid w:val="00561086"/>
    <w:rsid w:val="00561A4B"/>
    <w:rsid w:val="00561E8B"/>
    <w:rsid w:val="0056462F"/>
    <w:rsid w:val="0056518D"/>
    <w:rsid w:val="0056647D"/>
    <w:rsid w:val="0056764B"/>
    <w:rsid w:val="00572E91"/>
    <w:rsid w:val="005765B0"/>
    <w:rsid w:val="0058331A"/>
    <w:rsid w:val="0058515B"/>
    <w:rsid w:val="00585390"/>
    <w:rsid w:val="00587949"/>
    <w:rsid w:val="00590FB2"/>
    <w:rsid w:val="00592842"/>
    <w:rsid w:val="005939A5"/>
    <w:rsid w:val="00594C1E"/>
    <w:rsid w:val="00595E9B"/>
    <w:rsid w:val="00597E58"/>
    <w:rsid w:val="005A148C"/>
    <w:rsid w:val="005A7281"/>
    <w:rsid w:val="005B1090"/>
    <w:rsid w:val="005B4840"/>
    <w:rsid w:val="005B6862"/>
    <w:rsid w:val="005B6966"/>
    <w:rsid w:val="005B6B7B"/>
    <w:rsid w:val="005C1BC4"/>
    <w:rsid w:val="005C70EE"/>
    <w:rsid w:val="005C75F7"/>
    <w:rsid w:val="005C7E7D"/>
    <w:rsid w:val="005D1EE8"/>
    <w:rsid w:val="005D42B2"/>
    <w:rsid w:val="005D4DB9"/>
    <w:rsid w:val="005D4FD0"/>
    <w:rsid w:val="005D7E88"/>
    <w:rsid w:val="005E2B1C"/>
    <w:rsid w:val="005E5532"/>
    <w:rsid w:val="005E669D"/>
    <w:rsid w:val="005F0A71"/>
    <w:rsid w:val="005F3A73"/>
    <w:rsid w:val="006010E4"/>
    <w:rsid w:val="00607438"/>
    <w:rsid w:val="00613750"/>
    <w:rsid w:val="00617113"/>
    <w:rsid w:val="006275D4"/>
    <w:rsid w:val="00627B98"/>
    <w:rsid w:val="00630FEC"/>
    <w:rsid w:val="00632207"/>
    <w:rsid w:val="0063491C"/>
    <w:rsid w:val="006350DD"/>
    <w:rsid w:val="0063583F"/>
    <w:rsid w:val="00636858"/>
    <w:rsid w:val="006377A3"/>
    <w:rsid w:val="00637ACF"/>
    <w:rsid w:val="006402F9"/>
    <w:rsid w:val="006459C9"/>
    <w:rsid w:val="00645DEB"/>
    <w:rsid w:val="00646644"/>
    <w:rsid w:val="00657944"/>
    <w:rsid w:val="006630B1"/>
    <w:rsid w:val="00664C06"/>
    <w:rsid w:val="00666472"/>
    <w:rsid w:val="00673451"/>
    <w:rsid w:val="00674392"/>
    <w:rsid w:val="006758F5"/>
    <w:rsid w:val="00680569"/>
    <w:rsid w:val="00681AE4"/>
    <w:rsid w:val="006823F1"/>
    <w:rsid w:val="006851D3"/>
    <w:rsid w:val="006870C6"/>
    <w:rsid w:val="006873E0"/>
    <w:rsid w:val="0069181C"/>
    <w:rsid w:val="00691DDB"/>
    <w:rsid w:val="00692835"/>
    <w:rsid w:val="00693811"/>
    <w:rsid w:val="0069438E"/>
    <w:rsid w:val="0069482F"/>
    <w:rsid w:val="0069552A"/>
    <w:rsid w:val="006A2479"/>
    <w:rsid w:val="006A4B84"/>
    <w:rsid w:val="006A57E4"/>
    <w:rsid w:val="006A5B3F"/>
    <w:rsid w:val="006B1E98"/>
    <w:rsid w:val="006B45F2"/>
    <w:rsid w:val="006B5174"/>
    <w:rsid w:val="006B5A8E"/>
    <w:rsid w:val="006B79FB"/>
    <w:rsid w:val="006C092C"/>
    <w:rsid w:val="006C0B13"/>
    <w:rsid w:val="006C3B4E"/>
    <w:rsid w:val="006C4E7A"/>
    <w:rsid w:val="006C5E96"/>
    <w:rsid w:val="006C790B"/>
    <w:rsid w:val="006D4517"/>
    <w:rsid w:val="006E436D"/>
    <w:rsid w:val="006E5E28"/>
    <w:rsid w:val="006E6574"/>
    <w:rsid w:val="006E72A4"/>
    <w:rsid w:val="006F31BA"/>
    <w:rsid w:val="006F3CC9"/>
    <w:rsid w:val="006F5170"/>
    <w:rsid w:val="0070480B"/>
    <w:rsid w:val="00704B93"/>
    <w:rsid w:val="00705387"/>
    <w:rsid w:val="007073B4"/>
    <w:rsid w:val="0071169A"/>
    <w:rsid w:val="00714CF2"/>
    <w:rsid w:val="007156B9"/>
    <w:rsid w:val="0071603B"/>
    <w:rsid w:val="00720817"/>
    <w:rsid w:val="00721093"/>
    <w:rsid w:val="00721804"/>
    <w:rsid w:val="00722309"/>
    <w:rsid w:val="00722850"/>
    <w:rsid w:val="00724511"/>
    <w:rsid w:val="00724D84"/>
    <w:rsid w:val="007257A4"/>
    <w:rsid w:val="00727611"/>
    <w:rsid w:val="00727E09"/>
    <w:rsid w:val="00732132"/>
    <w:rsid w:val="0073353F"/>
    <w:rsid w:val="00733EC7"/>
    <w:rsid w:val="00735ED1"/>
    <w:rsid w:val="00737175"/>
    <w:rsid w:val="00742E45"/>
    <w:rsid w:val="0074428F"/>
    <w:rsid w:val="007442A7"/>
    <w:rsid w:val="007447AF"/>
    <w:rsid w:val="00744A9D"/>
    <w:rsid w:val="00745293"/>
    <w:rsid w:val="00750816"/>
    <w:rsid w:val="00750E89"/>
    <w:rsid w:val="00751A0D"/>
    <w:rsid w:val="00752CA7"/>
    <w:rsid w:val="0075688A"/>
    <w:rsid w:val="00757390"/>
    <w:rsid w:val="00757C70"/>
    <w:rsid w:val="0076023B"/>
    <w:rsid w:val="00760FE8"/>
    <w:rsid w:val="007657C1"/>
    <w:rsid w:val="00765ACF"/>
    <w:rsid w:val="00770885"/>
    <w:rsid w:val="00773682"/>
    <w:rsid w:val="007768EC"/>
    <w:rsid w:val="007779B3"/>
    <w:rsid w:val="00777EEF"/>
    <w:rsid w:val="007864B8"/>
    <w:rsid w:val="007873B2"/>
    <w:rsid w:val="00787D2F"/>
    <w:rsid w:val="00787DF7"/>
    <w:rsid w:val="007978DD"/>
    <w:rsid w:val="007A406D"/>
    <w:rsid w:val="007A62B0"/>
    <w:rsid w:val="007B357E"/>
    <w:rsid w:val="007B56A2"/>
    <w:rsid w:val="007B692C"/>
    <w:rsid w:val="007C0F5A"/>
    <w:rsid w:val="007C1FB7"/>
    <w:rsid w:val="007C2D4D"/>
    <w:rsid w:val="007C5A0C"/>
    <w:rsid w:val="007C670B"/>
    <w:rsid w:val="007C701F"/>
    <w:rsid w:val="007C7440"/>
    <w:rsid w:val="007D10A3"/>
    <w:rsid w:val="007E0FEE"/>
    <w:rsid w:val="007F1759"/>
    <w:rsid w:val="007F1B35"/>
    <w:rsid w:val="007F1C5F"/>
    <w:rsid w:val="007F2017"/>
    <w:rsid w:val="007F4CC8"/>
    <w:rsid w:val="007F54F8"/>
    <w:rsid w:val="007F63F6"/>
    <w:rsid w:val="007F6EDD"/>
    <w:rsid w:val="00803226"/>
    <w:rsid w:val="00803EF2"/>
    <w:rsid w:val="008046BC"/>
    <w:rsid w:val="008060E1"/>
    <w:rsid w:val="00807D72"/>
    <w:rsid w:val="00811763"/>
    <w:rsid w:val="00811A35"/>
    <w:rsid w:val="00816411"/>
    <w:rsid w:val="008166DD"/>
    <w:rsid w:val="0081739C"/>
    <w:rsid w:val="008239AE"/>
    <w:rsid w:val="0083138E"/>
    <w:rsid w:val="00831E4C"/>
    <w:rsid w:val="008339BB"/>
    <w:rsid w:val="00837769"/>
    <w:rsid w:val="00837FED"/>
    <w:rsid w:val="008405AE"/>
    <w:rsid w:val="00846A59"/>
    <w:rsid w:val="00847700"/>
    <w:rsid w:val="0085107E"/>
    <w:rsid w:val="00851579"/>
    <w:rsid w:val="00851E78"/>
    <w:rsid w:val="008529B9"/>
    <w:rsid w:val="0085320F"/>
    <w:rsid w:val="0085350C"/>
    <w:rsid w:val="00855916"/>
    <w:rsid w:val="00856392"/>
    <w:rsid w:val="0086034F"/>
    <w:rsid w:val="0086038F"/>
    <w:rsid w:val="008610DB"/>
    <w:rsid w:val="0086419A"/>
    <w:rsid w:val="00865FAB"/>
    <w:rsid w:val="0087023B"/>
    <w:rsid w:val="0087043A"/>
    <w:rsid w:val="008711FE"/>
    <w:rsid w:val="00874512"/>
    <w:rsid w:val="00874892"/>
    <w:rsid w:val="00874A91"/>
    <w:rsid w:val="00876187"/>
    <w:rsid w:val="00877710"/>
    <w:rsid w:val="00877ED8"/>
    <w:rsid w:val="00883244"/>
    <w:rsid w:val="00886A31"/>
    <w:rsid w:val="00892CFD"/>
    <w:rsid w:val="00895A37"/>
    <w:rsid w:val="00895EB4"/>
    <w:rsid w:val="00897CF1"/>
    <w:rsid w:val="008A0376"/>
    <w:rsid w:val="008A179F"/>
    <w:rsid w:val="008A3DC9"/>
    <w:rsid w:val="008A5CCE"/>
    <w:rsid w:val="008A5D7C"/>
    <w:rsid w:val="008A7DF9"/>
    <w:rsid w:val="008B0864"/>
    <w:rsid w:val="008B208C"/>
    <w:rsid w:val="008B4A49"/>
    <w:rsid w:val="008B6D05"/>
    <w:rsid w:val="008C43C1"/>
    <w:rsid w:val="008C4E11"/>
    <w:rsid w:val="008C7413"/>
    <w:rsid w:val="008D16B7"/>
    <w:rsid w:val="008D41E2"/>
    <w:rsid w:val="008D4E2D"/>
    <w:rsid w:val="008D782F"/>
    <w:rsid w:val="008E113C"/>
    <w:rsid w:val="008E17BF"/>
    <w:rsid w:val="008E57AB"/>
    <w:rsid w:val="008E6AE6"/>
    <w:rsid w:val="008F0051"/>
    <w:rsid w:val="008F0116"/>
    <w:rsid w:val="008F0302"/>
    <w:rsid w:val="008F0C18"/>
    <w:rsid w:val="008F143D"/>
    <w:rsid w:val="008F3276"/>
    <w:rsid w:val="008F486A"/>
    <w:rsid w:val="008F5EFB"/>
    <w:rsid w:val="00900E16"/>
    <w:rsid w:val="00903BCB"/>
    <w:rsid w:val="00904BA0"/>
    <w:rsid w:val="00913F8F"/>
    <w:rsid w:val="009214D5"/>
    <w:rsid w:val="00921F3B"/>
    <w:rsid w:val="00926A02"/>
    <w:rsid w:val="009274FE"/>
    <w:rsid w:val="00930118"/>
    <w:rsid w:val="00930B8C"/>
    <w:rsid w:val="00932865"/>
    <w:rsid w:val="00935F9F"/>
    <w:rsid w:val="009365D0"/>
    <w:rsid w:val="00937081"/>
    <w:rsid w:val="00941D6D"/>
    <w:rsid w:val="00942BC9"/>
    <w:rsid w:val="00943FEB"/>
    <w:rsid w:val="0094754A"/>
    <w:rsid w:val="00950166"/>
    <w:rsid w:val="00951BBD"/>
    <w:rsid w:val="009557DD"/>
    <w:rsid w:val="0096102B"/>
    <w:rsid w:val="00963934"/>
    <w:rsid w:val="00971074"/>
    <w:rsid w:val="0098138E"/>
    <w:rsid w:val="00983D42"/>
    <w:rsid w:val="0098452D"/>
    <w:rsid w:val="009859AF"/>
    <w:rsid w:val="0098655A"/>
    <w:rsid w:val="00993FF2"/>
    <w:rsid w:val="00994B8F"/>
    <w:rsid w:val="009967D9"/>
    <w:rsid w:val="0099716D"/>
    <w:rsid w:val="009A122F"/>
    <w:rsid w:val="009A280E"/>
    <w:rsid w:val="009A2888"/>
    <w:rsid w:val="009A4018"/>
    <w:rsid w:val="009A48E5"/>
    <w:rsid w:val="009A6DFD"/>
    <w:rsid w:val="009A715A"/>
    <w:rsid w:val="009A7346"/>
    <w:rsid w:val="009A7902"/>
    <w:rsid w:val="009B724E"/>
    <w:rsid w:val="009C072E"/>
    <w:rsid w:val="009C3169"/>
    <w:rsid w:val="009C3361"/>
    <w:rsid w:val="009C4339"/>
    <w:rsid w:val="009C49D1"/>
    <w:rsid w:val="009C5BBF"/>
    <w:rsid w:val="009C6B02"/>
    <w:rsid w:val="009D32C3"/>
    <w:rsid w:val="009D48A6"/>
    <w:rsid w:val="009E3E7E"/>
    <w:rsid w:val="009E4EE2"/>
    <w:rsid w:val="009E5EAF"/>
    <w:rsid w:val="009E7C7F"/>
    <w:rsid w:val="009F10CE"/>
    <w:rsid w:val="009F244A"/>
    <w:rsid w:val="009F2B0C"/>
    <w:rsid w:val="00A00A6C"/>
    <w:rsid w:val="00A00CE1"/>
    <w:rsid w:val="00A014EB"/>
    <w:rsid w:val="00A0301F"/>
    <w:rsid w:val="00A067D5"/>
    <w:rsid w:val="00A0722C"/>
    <w:rsid w:val="00A07812"/>
    <w:rsid w:val="00A07A1D"/>
    <w:rsid w:val="00A11C44"/>
    <w:rsid w:val="00A14629"/>
    <w:rsid w:val="00A17CE0"/>
    <w:rsid w:val="00A307C5"/>
    <w:rsid w:val="00A30DBE"/>
    <w:rsid w:val="00A31F8A"/>
    <w:rsid w:val="00A42306"/>
    <w:rsid w:val="00A42547"/>
    <w:rsid w:val="00A45B60"/>
    <w:rsid w:val="00A473E4"/>
    <w:rsid w:val="00A52601"/>
    <w:rsid w:val="00A54F73"/>
    <w:rsid w:val="00A55993"/>
    <w:rsid w:val="00A55ACD"/>
    <w:rsid w:val="00A5730D"/>
    <w:rsid w:val="00A649E5"/>
    <w:rsid w:val="00A65875"/>
    <w:rsid w:val="00A70178"/>
    <w:rsid w:val="00A73E5E"/>
    <w:rsid w:val="00A74A1F"/>
    <w:rsid w:val="00A754ED"/>
    <w:rsid w:val="00A75E96"/>
    <w:rsid w:val="00A81C75"/>
    <w:rsid w:val="00A86EA8"/>
    <w:rsid w:val="00A96D44"/>
    <w:rsid w:val="00AA4DE6"/>
    <w:rsid w:val="00AA566A"/>
    <w:rsid w:val="00AA6491"/>
    <w:rsid w:val="00AA6F2F"/>
    <w:rsid w:val="00AB58ED"/>
    <w:rsid w:val="00AB73E3"/>
    <w:rsid w:val="00AC02DC"/>
    <w:rsid w:val="00AC2F78"/>
    <w:rsid w:val="00AC30EE"/>
    <w:rsid w:val="00AC3BF8"/>
    <w:rsid w:val="00AC7141"/>
    <w:rsid w:val="00AD4430"/>
    <w:rsid w:val="00AD4BF9"/>
    <w:rsid w:val="00AD660C"/>
    <w:rsid w:val="00AE06BF"/>
    <w:rsid w:val="00AE3269"/>
    <w:rsid w:val="00AF013D"/>
    <w:rsid w:val="00AF1EAA"/>
    <w:rsid w:val="00AF4118"/>
    <w:rsid w:val="00AF5108"/>
    <w:rsid w:val="00AF5582"/>
    <w:rsid w:val="00AF629A"/>
    <w:rsid w:val="00B004DC"/>
    <w:rsid w:val="00B01F7E"/>
    <w:rsid w:val="00B025FD"/>
    <w:rsid w:val="00B03CF5"/>
    <w:rsid w:val="00B03EEE"/>
    <w:rsid w:val="00B10439"/>
    <w:rsid w:val="00B10DB1"/>
    <w:rsid w:val="00B11774"/>
    <w:rsid w:val="00B1362B"/>
    <w:rsid w:val="00B204BB"/>
    <w:rsid w:val="00B215ED"/>
    <w:rsid w:val="00B24AA2"/>
    <w:rsid w:val="00B26230"/>
    <w:rsid w:val="00B304B9"/>
    <w:rsid w:val="00B3087D"/>
    <w:rsid w:val="00B30B79"/>
    <w:rsid w:val="00B3229C"/>
    <w:rsid w:val="00B34794"/>
    <w:rsid w:val="00B365AD"/>
    <w:rsid w:val="00B417A5"/>
    <w:rsid w:val="00B43293"/>
    <w:rsid w:val="00B45151"/>
    <w:rsid w:val="00B4780C"/>
    <w:rsid w:val="00B51644"/>
    <w:rsid w:val="00B5204C"/>
    <w:rsid w:val="00B53DFC"/>
    <w:rsid w:val="00B54427"/>
    <w:rsid w:val="00B5489C"/>
    <w:rsid w:val="00B564A2"/>
    <w:rsid w:val="00B56CD0"/>
    <w:rsid w:val="00B56EFA"/>
    <w:rsid w:val="00B57495"/>
    <w:rsid w:val="00B60421"/>
    <w:rsid w:val="00B64ED9"/>
    <w:rsid w:val="00B701DA"/>
    <w:rsid w:val="00B7487C"/>
    <w:rsid w:val="00B74900"/>
    <w:rsid w:val="00B812E6"/>
    <w:rsid w:val="00B83698"/>
    <w:rsid w:val="00B84E5B"/>
    <w:rsid w:val="00B853F6"/>
    <w:rsid w:val="00B85B34"/>
    <w:rsid w:val="00B92C61"/>
    <w:rsid w:val="00BA0070"/>
    <w:rsid w:val="00BB0218"/>
    <w:rsid w:val="00BB0243"/>
    <w:rsid w:val="00BB2654"/>
    <w:rsid w:val="00BB54D0"/>
    <w:rsid w:val="00BB73CD"/>
    <w:rsid w:val="00BB7B70"/>
    <w:rsid w:val="00BC1A0C"/>
    <w:rsid w:val="00BC1C21"/>
    <w:rsid w:val="00BC4431"/>
    <w:rsid w:val="00BC561B"/>
    <w:rsid w:val="00BC5CAE"/>
    <w:rsid w:val="00BC7E07"/>
    <w:rsid w:val="00BC7EDC"/>
    <w:rsid w:val="00BD1B40"/>
    <w:rsid w:val="00BD5ADB"/>
    <w:rsid w:val="00BD795D"/>
    <w:rsid w:val="00BF1A50"/>
    <w:rsid w:val="00BF5804"/>
    <w:rsid w:val="00C06E58"/>
    <w:rsid w:val="00C10B5F"/>
    <w:rsid w:val="00C119C9"/>
    <w:rsid w:val="00C15EFD"/>
    <w:rsid w:val="00C1640E"/>
    <w:rsid w:val="00C16A70"/>
    <w:rsid w:val="00C17A07"/>
    <w:rsid w:val="00C17DAB"/>
    <w:rsid w:val="00C20741"/>
    <w:rsid w:val="00C2324C"/>
    <w:rsid w:val="00C238B8"/>
    <w:rsid w:val="00C27643"/>
    <w:rsid w:val="00C352C1"/>
    <w:rsid w:val="00C43BB3"/>
    <w:rsid w:val="00C51BE5"/>
    <w:rsid w:val="00C5682E"/>
    <w:rsid w:val="00C57ED7"/>
    <w:rsid w:val="00C60417"/>
    <w:rsid w:val="00C6198B"/>
    <w:rsid w:val="00C62F78"/>
    <w:rsid w:val="00C63D7E"/>
    <w:rsid w:val="00C6675B"/>
    <w:rsid w:val="00C66DF2"/>
    <w:rsid w:val="00C66F61"/>
    <w:rsid w:val="00C6779E"/>
    <w:rsid w:val="00C70016"/>
    <w:rsid w:val="00C72123"/>
    <w:rsid w:val="00C74309"/>
    <w:rsid w:val="00C80CDD"/>
    <w:rsid w:val="00C862B0"/>
    <w:rsid w:val="00C913A1"/>
    <w:rsid w:val="00C9281E"/>
    <w:rsid w:val="00C96806"/>
    <w:rsid w:val="00CA08CB"/>
    <w:rsid w:val="00CA5FCD"/>
    <w:rsid w:val="00CA5FE3"/>
    <w:rsid w:val="00CB12D1"/>
    <w:rsid w:val="00CB2058"/>
    <w:rsid w:val="00CB4CE1"/>
    <w:rsid w:val="00CC3C7D"/>
    <w:rsid w:val="00CC5CF3"/>
    <w:rsid w:val="00CC6228"/>
    <w:rsid w:val="00CC6A99"/>
    <w:rsid w:val="00CD3567"/>
    <w:rsid w:val="00CD62DE"/>
    <w:rsid w:val="00CD7A6B"/>
    <w:rsid w:val="00CE0132"/>
    <w:rsid w:val="00CE19FC"/>
    <w:rsid w:val="00CE2D63"/>
    <w:rsid w:val="00CE3E2F"/>
    <w:rsid w:val="00CF1711"/>
    <w:rsid w:val="00CF32B6"/>
    <w:rsid w:val="00CF6B08"/>
    <w:rsid w:val="00D00AA3"/>
    <w:rsid w:val="00D052B9"/>
    <w:rsid w:val="00D055E5"/>
    <w:rsid w:val="00D05952"/>
    <w:rsid w:val="00D07F73"/>
    <w:rsid w:val="00D1295D"/>
    <w:rsid w:val="00D138C9"/>
    <w:rsid w:val="00D17C70"/>
    <w:rsid w:val="00D2041C"/>
    <w:rsid w:val="00D20A4C"/>
    <w:rsid w:val="00D22760"/>
    <w:rsid w:val="00D235F2"/>
    <w:rsid w:val="00D237CE"/>
    <w:rsid w:val="00D23822"/>
    <w:rsid w:val="00D25ADE"/>
    <w:rsid w:val="00D25E39"/>
    <w:rsid w:val="00D2740D"/>
    <w:rsid w:val="00D27F45"/>
    <w:rsid w:val="00D30118"/>
    <w:rsid w:val="00D3096D"/>
    <w:rsid w:val="00D3456C"/>
    <w:rsid w:val="00D34804"/>
    <w:rsid w:val="00D3626A"/>
    <w:rsid w:val="00D41F61"/>
    <w:rsid w:val="00D43297"/>
    <w:rsid w:val="00D44DB6"/>
    <w:rsid w:val="00D45E86"/>
    <w:rsid w:val="00D4649C"/>
    <w:rsid w:val="00D50119"/>
    <w:rsid w:val="00D5528C"/>
    <w:rsid w:val="00D57D09"/>
    <w:rsid w:val="00D608B7"/>
    <w:rsid w:val="00D65432"/>
    <w:rsid w:val="00D82505"/>
    <w:rsid w:val="00D82A43"/>
    <w:rsid w:val="00D9257C"/>
    <w:rsid w:val="00D93897"/>
    <w:rsid w:val="00D94500"/>
    <w:rsid w:val="00D955BF"/>
    <w:rsid w:val="00D964D2"/>
    <w:rsid w:val="00DA0E7C"/>
    <w:rsid w:val="00DA1A56"/>
    <w:rsid w:val="00DA4E4B"/>
    <w:rsid w:val="00DA5BB0"/>
    <w:rsid w:val="00DA5FE1"/>
    <w:rsid w:val="00DA7B5D"/>
    <w:rsid w:val="00DB02E1"/>
    <w:rsid w:val="00DB19E8"/>
    <w:rsid w:val="00DB2E6B"/>
    <w:rsid w:val="00DB5C35"/>
    <w:rsid w:val="00DB7BD9"/>
    <w:rsid w:val="00DC1C3E"/>
    <w:rsid w:val="00DC6DBA"/>
    <w:rsid w:val="00DC7213"/>
    <w:rsid w:val="00DD0B03"/>
    <w:rsid w:val="00DD210E"/>
    <w:rsid w:val="00DD4AB5"/>
    <w:rsid w:val="00DD6766"/>
    <w:rsid w:val="00DD7E0C"/>
    <w:rsid w:val="00DE03C6"/>
    <w:rsid w:val="00DE1604"/>
    <w:rsid w:val="00DE1671"/>
    <w:rsid w:val="00DE2B98"/>
    <w:rsid w:val="00DE456D"/>
    <w:rsid w:val="00DE5006"/>
    <w:rsid w:val="00DE5D1B"/>
    <w:rsid w:val="00DE7F3C"/>
    <w:rsid w:val="00DF190F"/>
    <w:rsid w:val="00DF2DA5"/>
    <w:rsid w:val="00DF3B39"/>
    <w:rsid w:val="00DF58E7"/>
    <w:rsid w:val="00E040F8"/>
    <w:rsid w:val="00E113A4"/>
    <w:rsid w:val="00E11876"/>
    <w:rsid w:val="00E123D8"/>
    <w:rsid w:val="00E23CBB"/>
    <w:rsid w:val="00E23D10"/>
    <w:rsid w:val="00E27B1A"/>
    <w:rsid w:val="00E31776"/>
    <w:rsid w:val="00E318D4"/>
    <w:rsid w:val="00E33E3F"/>
    <w:rsid w:val="00E34099"/>
    <w:rsid w:val="00E343E4"/>
    <w:rsid w:val="00E34601"/>
    <w:rsid w:val="00E34C10"/>
    <w:rsid w:val="00E35DD5"/>
    <w:rsid w:val="00E37B59"/>
    <w:rsid w:val="00E40E82"/>
    <w:rsid w:val="00E40ED6"/>
    <w:rsid w:val="00E4110F"/>
    <w:rsid w:val="00E42005"/>
    <w:rsid w:val="00E4368A"/>
    <w:rsid w:val="00E46A29"/>
    <w:rsid w:val="00E50745"/>
    <w:rsid w:val="00E51D30"/>
    <w:rsid w:val="00E61E7F"/>
    <w:rsid w:val="00E61FD8"/>
    <w:rsid w:val="00E64106"/>
    <w:rsid w:val="00E708EB"/>
    <w:rsid w:val="00E70EFE"/>
    <w:rsid w:val="00E7501F"/>
    <w:rsid w:val="00E8044F"/>
    <w:rsid w:val="00E808B6"/>
    <w:rsid w:val="00E81FF2"/>
    <w:rsid w:val="00E82270"/>
    <w:rsid w:val="00E83089"/>
    <w:rsid w:val="00E842F4"/>
    <w:rsid w:val="00E8473E"/>
    <w:rsid w:val="00E84A6A"/>
    <w:rsid w:val="00E86B80"/>
    <w:rsid w:val="00E943A5"/>
    <w:rsid w:val="00E94A7F"/>
    <w:rsid w:val="00E95DC4"/>
    <w:rsid w:val="00EA12F0"/>
    <w:rsid w:val="00EA1C88"/>
    <w:rsid w:val="00EA36C6"/>
    <w:rsid w:val="00EA5C5F"/>
    <w:rsid w:val="00EA64CE"/>
    <w:rsid w:val="00EA7806"/>
    <w:rsid w:val="00EA7C86"/>
    <w:rsid w:val="00EB29DD"/>
    <w:rsid w:val="00EB4021"/>
    <w:rsid w:val="00EB5A5C"/>
    <w:rsid w:val="00EB5C30"/>
    <w:rsid w:val="00EB6320"/>
    <w:rsid w:val="00EB741D"/>
    <w:rsid w:val="00EC08DB"/>
    <w:rsid w:val="00EC0912"/>
    <w:rsid w:val="00EC29D0"/>
    <w:rsid w:val="00ED1228"/>
    <w:rsid w:val="00ED29E7"/>
    <w:rsid w:val="00ED3531"/>
    <w:rsid w:val="00ED5725"/>
    <w:rsid w:val="00ED5D80"/>
    <w:rsid w:val="00ED7031"/>
    <w:rsid w:val="00EE3060"/>
    <w:rsid w:val="00EE4315"/>
    <w:rsid w:val="00EE52BB"/>
    <w:rsid w:val="00EF19AA"/>
    <w:rsid w:val="00EF2CFD"/>
    <w:rsid w:val="00EF5F22"/>
    <w:rsid w:val="00EF6B32"/>
    <w:rsid w:val="00EF70B1"/>
    <w:rsid w:val="00F01376"/>
    <w:rsid w:val="00F05341"/>
    <w:rsid w:val="00F05B17"/>
    <w:rsid w:val="00F07B42"/>
    <w:rsid w:val="00F146FD"/>
    <w:rsid w:val="00F14BCE"/>
    <w:rsid w:val="00F170DF"/>
    <w:rsid w:val="00F232C9"/>
    <w:rsid w:val="00F233BF"/>
    <w:rsid w:val="00F26ED3"/>
    <w:rsid w:val="00F27C02"/>
    <w:rsid w:val="00F319D2"/>
    <w:rsid w:val="00F362E6"/>
    <w:rsid w:val="00F40941"/>
    <w:rsid w:val="00F419EC"/>
    <w:rsid w:val="00F42E8E"/>
    <w:rsid w:val="00F4588C"/>
    <w:rsid w:val="00F46AA3"/>
    <w:rsid w:val="00F55034"/>
    <w:rsid w:val="00F55E12"/>
    <w:rsid w:val="00F5642E"/>
    <w:rsid w:val="00F62B7A"/>
    <w:rsid w:val="00F63045"/>
    <w:rsid w:val="00F6397D"/>
    <w:rsid w:val="00F7293E"/>
    <w:rsid w:val="00F752F1"/>
    <w:rsid w:val="00F76650"/>
    <w:rsid w:val="00F77F6F"/>
    <w:rsid w:val="00F80BF4"/>
    <w:rsid w:val="00F8141C"/>
    <w:rsid w:val="00F8739D"/>
    <w:rsid w:val="00F912B3"/>
    <w:rsid w:val="00F9187B"/>
    <w:rsid w:val="00F92385"/>
    <w:rsid w:val="00F926B3"/>
    <w:rsid w:val="00F926C3"/>
    <w:rsid w:val="00F93B31"/>
    <w:rsid w:val="00F97B5C"/>
    <w:rsid w:val="00FA09DA"/>
    <w:rsid w:val="00FA1B4F"/>
    <w:rsid w:val="00FA3C9D"/>
    <w:rsid w:val="00FB0A32"/>
    <w:rsid w:val="00FB19B6"/>
    <w:rsid w:val="00FB248B"/>
    <w:rsid w:val="00FB279E"/>
    <w:rsid w:val="00FB50E7"/>
    <w:rsid w:val="00FC0322"/>
    <w:rsid w:val="00FC100C"/>
    <w:rsid w:val="00FC47F9"/>
    <w:rsid w:val="00FC5F9C"/>
    <w:rsid w:val="00FC79B0"/>
    <w:rsid w:val="00FD2BC7"/>
    <w:rsid w:val="00FE2512"/>
    <w:rsid w:val="00FE2EF5"/>
    <w:rsid w:val="00FE5580"/>
    <w:rsid w:val="00FF1026"/>
    <w:rsid w:val="00FF110C"/>
    <w:rsid w:val="00FF12CE"/>
    <w:rsid w:val="00FF273A"/>
    <w:rsid w:val="00FF6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B7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uiPriority="4" w:qFormat="1"/>
    <w:lsdException w:name="heading 3" w:uiPriority="4" w:qFormat="1"/>
    <w:lsdException w:name="heading 4" w:uiPriority="4"/>
    <w:lsdException w:name="heading 5" w:uiPriority="4"/>
    <w:lsdException w:name="heading 6" w:semiHidden="0" w:uiPriority="4"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0" w:qFormat="1"/>
    <w:lsdException w:name="caption" w:uiPriority="35" w:qFormat="1"/>
    <w:lsdException w:name="footnote reference" w:qFormat="1"/>
    <w:lsdException w:name="List Bullet" w:semiHidden="0" w:uiPriority="4"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A56F2"/>
    <w:pPr>
      <w:numPr>
        <w:numId w:val="7"/>
      </w:numPr>
    </w:pPr>
    <w:rPr>
      <w:rFonts w:eastAsiaTheme="majorEastAsia" w:cstheme="majorBidi"/>
      <w:szCs w:val="32"/>
    </w:rPr>
  </w:style>
  <w:style w:type="paragraph" w:styleId="Heading2">
    <w:name w:val="heading 2"/>
    <w:basedOn w:val="Dummy"/>
    <w:next w:val="Standard"/>
    <w:link w:val="Heading2Char"/>
    <w:uiPriority w:val="4"/>
    <w:qFormat/>
    <w:rsid w:val="000A56F2"/>
    <w:pPr>
      <w:numPr>
        <w:ilvl w:val="1"/>
        <w:numId w:val="7"/>
      </w:numPr>
      <w:outlineLvl w:val="1"/>
    </w:pPr>
  </w:style>
  <w:style w:type="paragraph" w:styleId="Heading3">
    <w:name w:val="heading 3"/>
    <w:basedOn w:val="Dummy"/>
    <w:next w:val="Standard"/>
    <w:link w:val="Heading3Char"/>
    <w:uiPriority w:val="4"/>
    <w:qFormat/>
    <w:rsid w:val="000A56F2"/>
    <w:pPr>
      <w:numPr>
        <w:ilvl w:val="2"/>
        <w:numId w:val="7"/>
      </w:numPr>
      <w:outlineLvl w:val="2"/>
    </w:pPr>
    <w:rPr>
      <w:rFonts w:eastAsiaTheme="majorEastAsia" w:cstheme="majorBidi"/>
      <w:szCs w:val="24"/>
    </w:rPr>
  </w:style>
  <w:style w:type="paragraph" w:styleId="Heading4">
    <w:name w:val="heading 4"/>
    <w:basedOn w:val="Dummy"/>
    <w:next w:val="Standard"/>
    <w:link w:val="Heading4Char"/>
    <w:uiPriority w:val="4"/>
    <w:rsid w:val="000A56F2"/>
    <w:pPr>
      <w:numPr>
        <w:ilvl w:val="3"/>
        <w:numId w:val="7"/>
      </w:numPr>
      <w:outlineLvl w:val="3"/>
    </w:pPr>
    <w:rPr>
      <w:rFonts w:eastAsiaTheme="majorEastAsia" w:cstheme="majorBidi"/>
      <w:iCs/>
    </w:rPr>
  </w:style>
  <w:style w:type="paragraph" w:styleId="Heading5">
    <w:name w:val="heading 5"/>
    <w:basedOn w:val="Dummy"/>
    <w:next w:val="Standard"/>
    <w:link w:val="Heading5Char"/>
    <w:uiPriority w:val="4"/>
    <w:rsid w:val="000A56F2"/>
    <w:pPr>
      <w:numPr>
        <w:ilvl w:val="4"/>
        <w:numId w:val="7"/>
      </w:numPr>
      <w:outlineLvl w:val="4"/>
    </w:pPr>
    <w:rPr>
      <w:rFonts w:eastAsiaTheme="majorEastAsia" w:cstheme="majorBidi"/>
    </w:rPr>
  </w:style>
  <w:style w:type="paragraph" w:styleId="Heading6">
    <w:name w:val="heading 6"/>
    <w:basedOn w:val="Dummy"/>
    <w:next w:val="Standard"/>
    <w:link w:val="Heading6Char"/>
    <w:uiPriority w:val="4"/>
    <w:rsid w:val="000A56F2"/>
    <w:pPr>
      <w:numPr>
        <w:ilvl w:val="5"/>
        <w:numId w:val="7"/>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ED5725"/>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_Text,ft,f"/>
    <w:basedOn w:val="Normal"/>
    <w:link w:val="FootnoteTextChar"/>
    <w:uiPriority w:val="40"/>
    <w:qFormat/>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_Text Char"/>
    <w:basedOn w:val="DefaultParagraphFont"/>
    <w:link w:val="FootnoteText"/>
    <w:uiPriority w:val="40"/>
    <w:rsid w:val="007657C1"/>
    <w:rPr>
      <w:rFonts w:ascii="Book Antiqua" w:hAnsi="Book Antiqua"/>
      <w:szCs w:val="20"/>
    </w:rPr>
  </w:style>
  <w:style w:type="character" w:styleId="FootnoteReference">
    <w:name w:val="footnote reference"/>
    <w:aliases w:val="o,fr,o1,o2,o3,o4,o5,o6,o11,o21,o7,Footnote_Reference,Style 17,o + Times New Roman,Char Char Char Char"/>
    <w:basedOn w:val="DefaultParagraphFont"/>
    <w:uiPriority w:val="99"/>
    <w:unhideWhenUsed/>
    <w:qFormat/>
    <w:rsid w:val="00DF58E7"/>
    <w:rPr>
      <w:vertAlign w:val="superscript"/>
    </w:rPr>
  </w:style>
  <w:style w:type="paragraph" w:customStyle="1" w:styleId="FoF">
    <w:name w:val="FoF"/>
    <w:basedOn w:val="Standard"/>
    <w:uiPriority w:val="6"/>
    <w:qFormat/>
    <w:rsid w:val="001E2A62"/>
    <w:pPr>
      <w:numPr>
        <w:numId w:val="3"/>
      </w:numPr>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qFormat/>
    <w:rsid w:val="001E2A62"/>
    <w:pPr>
      <w:spacing w:line="240" w:lineRule="auto"/>
      <w:ind w:firstLine="0"/>
    </w:pPr>
  </w:style>
  <w:style w:type="paragraph" w:customStyle="1" w:styleId="OP">
    <w:name w:val="OP"/>
    <w:basedOn w:val="Standard"/>
    <w:uiPriority w:val="8"/>
    <w:qFormat/>
    <w:rsid w:val="001E2A62"/>
    <w:pPr>
      <w:numPr>
        <w:numId w:val="4"/>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7"/>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styleId="ListParagraph">
    <w:name w:val="List Paragraph"/>
    <w:basedOn w:val="Normal"/>
    <w:uiPriority w:val="34"/>
    <w:qFormat/>
    <w:rsid w:val="001C0DF2"/>
    <w:pPr>
      <w:ind w:left="720"/>
      <w:contextualSpacing/>
    </w:pPr>
  </w:style>
  <w:style w:type="paragraph" w:customStyle="1" w:styleId="Bullet1">
    <w:name w:val="Bullet 1"/>
    <w:aliases w:val="Bullet_1"/>
    <w:basedOn w:val="Normal"/>
    <w:next w:val="BodyText"/>
    <w:link w:val="Bullet1Char"/>
    <w:qFormat/>
    <w:rsid w:val="003E6FAB"/>
    <w:pPr>
      <w:numPr>
        <w:numId w:val="14"/>
      </w:numPr>
      <w:spacing w:before="200" w:after="120" w:line="290" w:lineRule="atLeast"/>
      <w:jc w:val="both"/>
    </w:pPr>
    <w:rPr>
      <w:rFonts w:asciiTheme="minorHAnsi" w:eastAsia="Times New Roman" w:hAnsiTheme="minorHAnsi" w:cs="Times New Roman"/>
      <w:sz w:val="22"/>
    </w:rPr>
  </w:style>
  <w:style w:type="character" w:customStyle="1" w:styleId="Bullet1Char">
    <w:name w:val="Bullet 1 Char"/>
    <w:basedOn w:val="DefaultParagraphFont"/>
    <w:link w:val="Bullet1"/>
    <w:locked/>
    <w:rsid w:val="003E6FAB"/>
    <w:rPr>
      <w:rFonts w:eastAsia="Times New Roman" w:cs="Times New Roman"/>
    </w:rPr>
  </w:style>
  <w:style w:type="paragraph" w:customStyle="1" w:styleId="Bullet2">
    <w:name w:val="Bullet 2"/>
    <w:basedOn w:val="Normal"/>
    <w:next w:val="BodyText"/>
    <w:uiPriority w:val="1"/>
    <w:qFormat/>
    <w:rsid w:val="003E6FAB"/>
    <w:pPr>
      <w:numPr>
        <w:ilvl w:val="1"/>
        <w:numId w:val="14"/>
      </w:numPr>
      <w:spacing w:before="200" w:after="120" w:line="290" w:lineRule="atLeast"/>
      <w:jc w:val="both"/>
    </w:pPr>
    <w:rPr>
      <w:rFonts w:asciiTheme="minorHAnsi" w:eastAsia="Times New Roman" w:hAnsiTheme="minorHAnsi" w:cs="Times New Roman"/>
      <w:sz w:val="22"/>
    </w:rPr>
  </w:style>
  <w:style w:type="paragraph" w:customStyle="1" w:styleId="Bullet3">
    <w:name w:val="Bullet 3"/>
    <w:basedOn w:val="Normal"/>
    <w:next w:val="BodyText"/>
    <w:uiPriority w:val="1"/>
    <w:qFormat/>
    <w:rsid w:val="003E6FAB"/>
    <w:pPr>
      <w:numPr>
        <w:ilvl w:val="2"/>
        <w:numId w:val="14"/>
      </w:numPr>
      <w:spacing w:before="200" w:after="120" w:line="290" w:lineRule="atLeast"/>
      <w:jc w:val="both"/>
    </w:pPr>
    <w:rPr>
      <w:rFonts w:asciiTheme="minorHAnsi" w:eastAsia="Times New Roman" w:hAnsiTheme="minorHAnsi" w:cs="Times New Roman"/>
      <w:sz w:val="22"/>
    </w:rPr>
  </w:style>
  <w:style w:type="paragraph" w:styleId="BodyText">
    <w:name w:val="Body Text"/>
    <w:basedOn w:val="Normal"/>
    <w:link w:val="BodyTextChar"/>
    <w:uiPriority w:val="99"/>
    <w:semiHidden/>
    <w:unhideWhenUsed/>
    <w:rsid w:val="003E6FAB"/>
    <w:pPr>
      <w:spacing w:after="120"/>
    </w:pPr>
  </w:style>
  <w:style w:type="character" w:customStyle="1" w:styleId="BodyTextChar">
    <w:name w:val="Body Text Char"/>
    <w:basedOn w:val="DefaultParagraphFont"/>
    <w:link w:val="BodyText"/>
    <w:uiPriority w:val="99"/>
    <w:semiHidden/>
    <w:rsid w:val="003E6FAB"/>
    <w:rPr>
      <w:rFonts w:ascii="Book Antiqua" w:hAnsi="Book Antiqua"/>
      <w:sz w:val="26"/>
    </w:rPr>
  </w:style>
  <w:style w:type="paragraph" w:customStyle="1" w:styleId="Default">
    <w:name w:val="Default"/>
    <w:rsid w:val="00126BA7"/>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41D6D"/>
    <w:rPr>
      <w:sz w:val="18"/>
      <w:szCs w:val="18"/>
    </w:rPr>
  </w:style>
  <w:style w:type="paragraph" w:styleId="CommentText">
    <w:name w:val="annotation text"/>
    <w:basedOn w:val="Normal"/>
    <w:link w:val="CommentTextChar"/>
    <w:uiPriority w:val="99"/>
    <w:semiHidden/>
    <w:unhideWhenUsed/>
    <w:rsid w:val="00941D6D"/>
    <w:pPr>
      <w:spacing w:line="240" w:lineRule="auto"/>
    </w:pPr>
    <w:rPr>
      <w:sz w:val="24"/>
      <w:szCs w:val="24"/>
    </w:rPr>
  </w:style>
  <w:style w:type="character" w:customStyle="1" w:styleId="CommentTextChar">
    <w:name w:val="Comment Text Char"/>
    <w:basedOn w:val="DefaultParagraphFont"/>
    <w:link w:val="CommentText"/>
    <w:uiPriority w:val="99"/>
    <w:semiHidden/>
    <w:rsid w:val="00941D6D"/>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8529B9"/>
    <w:rPr>
      <w:b/>
      <w:bCs/>
      <w:sz w:val="20"/>
      <w:szCs w:val="20"/>
    </w:rPr>
  </w:style>
  <w:style w:type="character" w:customStyle="1" w:styleId="CommentSubjectChar">
    <w:name w:val="Comment Subject Char"/>
    <w:basedOn w:val="CommentTextChar"/>
    <w:link w:val="CommentSubject"/>
    <w:uiPriority w:val="99"/>
    <w:semiHidden/>
    <w:rsid w:val="008529B9"/>
    <w:rPr>
      <w:rFonts w:ascii="Book Antiqua" w:hAnsi="Book Antiqua"/>
      <w:b/>
      <w:bCs/>
      <w:sz w:val="20"/>
      <w:szCs w:val="20"/>
    </w:rPr>
  </w:style>
  <w:style w:type="paragraph" w:styleId="Revision">
    <w:name w:val="Revision"/>
    <w:hidden/>
    <w:uiPriority w:val="99"/>
    <w:semiHidden/>
    <w:rsid w:val="00A067D5"/>
    <w:pPr>
      <w:spacing w:after="0" w:line="240" w:lineRule="auto"/>
    </w:pPr>
    <w:rPr>
      <w:rFonts w:ascii="Book Antiqua" w:hAnsi="Book Antiqua"/>
      <w:sz w:val="26"/>
    </w:rPr>
  </w:style>
  <w:style w:type="character" w:styleId="FollowedHyperlink">
    <w:name w:val="FollowedHyperlink"/>
    <w:basedOn w:val="DefaultParagraphFont"/>
    <w:uiPriority w:val="99"/>
    <w:semiHidden/>
    <w:unhideWhenUsed/>
    <w:rsid w:val="006F517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uiPriority="4" w:qFormat="1"/>
    <w:lsdException w:name="heading 3" w:uiPriority="4" w:qFormat="1"/>
    <w:lsdException w:name="heading 4" w:uiPriority="4"/>
    <w:lsdException w:name="heading 5" w:uiPriority="4"/>
    <w:lsdException w:name="heading 6" w:semiHidden="0" w:uiPriority="4"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0" w:qFormat="1"/>
    <w:lsdException w:name="caption" w:uiPriority="35" w:qFormat="1"/>
    <w:lsdException w:name="footnote reference" w:qFormat="1"/>
    <w:lsdException w:name="List Bullet" w:semiHidden="0" w:uiPriority="4"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A56F2"/>
    <w:pPr>
      <w:numPr>
        <w:numId w:val="7"/>
      </w:numPr>
    </w:pPr>
    <w:rPr>
      <w:rFonts w:eastAsiaTheme="majorEastAsia" w:cstheme="majorBidi"/>
      <w:szCs w:val="32"/>
    </w:rPr>
  </w:style>
  <w:style w:type="paragraph" w:styleId="Heading2">
    <w:name w:val="heading 2"/>
    <w:basedOn w:val="Dummy"/>
    <w:next w:val="Standard"/>
    <w:link w:val="Heading2Char"/>
    <w:uiPriority w:val="4"/>
    <w:qFormat/>
    <w:rsid w:val="000A56F2"/>
    <w:pPr>
      <w:numPr>
        <w:ilvl w:val="1"/>
        <w:numId w:val="7"/>
      </w:numPr>
      <w:outlineLvl w:val="1"/>
    </w:pPr>
  </w:style>
  <w:style w:type="paragraph" w:styleId="Heading3">
    <w:name w:val="heading 3"/>
    <w:basedOn w:val="Dummy"/>
    <w:next w:val="Standard"/>
    <w:link w:val="Heading3Char"/>
    <w:uiPriority w:val="4"/>
    <w:qFormat/>
    <w:rsid w:val="000A56F2"/>
    <w:pPr>
      <w:numPr>
        <w:ilvl w:val="2"/>
        <w:numId w:val="7"/>
      </w:numPr>
      <w:outlineLvl w:val="2"/>
    </w:pPr>
    <w:rPr>
      <w:rFonts w:eastAsiaTheme="majorEastAsia" w:cstheme="majorBidi"/>
      <w:szCs w:val="24"/>
    </w:rPr>
  </w:style>
  <w:style w:type="paragraph" w:styleId="Heading4">
    <w:name w:val="heading 4"/>
    <w:basedOn w:val="Dummy"/>
    <w:next w:val="Standard"/>
    <w:link w:val="Heading4Char"/>
    <w:uiPriority w:val="4"/>
    <w:rsid w:val="000A56F2"/>
    <w:pPr>
      <w:numPr>
        <w:ilvl w:val="3"/>
        <w:numId w:val="7"/>
      </w:numPr>
      <w:outlineLvl w:val="3"/>
    </w:pPr>
    <w:rPr>
      <w:rFonts w:eastAsiaTheme="majorEastAsia" w:cstheme="majorBidi"/>
      <w:iCs/>
    </w:rPr>
  </w:style>
  <w:style w:type="paragraph" w:styleId="Heading5">
    <w:name w:val="heading 5"/>
    <w:basedOn w:val="Dummy"/>
    <w:next w:val="Standard"/>
    <w:link w:val="Heading5Char"/>
    <w:uiPriority w:val="4"/>
    <w:rsid w:val="000A56F2"/>
    <w:pPr>
      <w:numPr>
        <w:ilvl w:val="4"/>
        <w:numId w:val="7"/>
      </w:numPr>
      <w:outlineLvl w:val="4"/>
    </w:pPr>
    <w:rPr>
      <w:rFonts w:eastAsiaTheme="majorEastAsia" w:cstheme="majorBidi"/>
    </w:rPr>
  </w:style>
  <w:style w:type="paragraph" w:styleId="Heading6">
    <w:name w:val="heading 6"/>
    <w:basedOn w:val="Dummy"/>
    <w:next w:val="Standard"/>
    <w:link w:val="Heading6Char"/>
    <w:uiPriority w:val="4"/>
    <w:rsid w:val="000A56F2"/>
    <w:pPr>
      <w:numPr>
        <w:ilvl w:val="5"/>
        <w:numId w:val="7"/>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ED5725"/>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_Text,ft,f"/>
    <w:basedOn w:val="Normal"/>
    <w:link w:val="FootnoteTextChar"/>
    <w:uiPriority w:val="40"/>
    <w:qFormat/>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_Text Char"/>
    <w:basedOn w:val="DefaultParagraphFont"/>
    <w:link w:val="FootnoteText"/>
    <w:uiPriority w:val="40"/>
    <w:rsid w:val="007657C1"/>
    <w:rPr>
      <w:rFonts w:ascii="Book Antiqua" w:hAnsi="Book Antiqua"/>
      <w:szCs w:val="20"/>
    </w:rPr>
  </w:style>
  <w:style w:type="character" w:styleId="FootnoteReference">
    <w:name w:val="footnote reference"/>
    <w:aliases w:val="o,fr,o1,o2,o3,o4,o5,o6,o11,o21,o7,Footnote_Reference,Style 17,o + Times New Roman,Char Char Char Char"/>
    <w:basedOn w:val="DefaultParagraphFont"/>
    <w:uiPriority w:val="99"/>
    <w:unhideWhenUsed/>
    <w:qFormat/>
    <w:rsid w:val="00DF58E7"/>
    <w:rPr>
      <w:vertAlign w:val="superscript"/>
    </w:rPr>
  </w:style>
  <w:style w:type="paragraph" w:customStyle="1" w:styleId="FoF">
    <w:name w:val="FoF"/>
    <w:basedOn w:val="Standard"/>
    <w:uiPriority w:val="6"/>
    <w:qFormat/>
    <w:rsid w:val="001E2A62"/>
    <w:pPr>
      <w:numPr>
        <w:numId w:val="3"/>
      </w:numPr>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qFormat/>
    <w:rsid w:val="001E2A62"/>
    <w:pPr>
      <w:spacing w:line="240" w:lineRule="auto"/>
      <w:ind w:firstLine="0"/>
    </w:pPr>
  </w:style>
  <w:style w:type="paragraph" w:customStyle="1" w:styleId="OP">
    <w:name w:val="OP"/>
    <w:basedOn w:val="Standard"/>
    <w:uiPriority w:val="8"/>
    <w:qFormat/>
    <w:rsid w:val="001E2A62"/>
    <w:pPr>
      <w:numPr>
        <w:numId w:val="4"/>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7"/>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styleId="ListParagraph">
    <w:name w:val="List Paragraph"/>
    <w:basedOn w:val="Normal"/>
    <w:uiPriority w:val="34"/>
    <w:qFormat/>
    <w:rsid w:val="001C0DF2"/>
    <w:pPr>
      <w:ind w:left="720"/>
      <w:contextualSpacing/>
    </w:pPr>
  </w:style>
  <w:style w:type="paragraph" w:customStyle="1" w:styleId="Bullet1">
    <w:name w:val="Bullet 1"/>
    <w:aliases w:val="Bullet_1"/>
    <w:basedOn w:val="Normal"/>
    <w:next w:val="BodyText"/>
    <w:link w:val="Bullet1Char"/>
    <w:qFormat/>
    <w:rsid w:val="003E6FAB"/>
    <w:pPr>
      <w:numPr>
        <w:numId w:val="14"/>
      </w:numPr>
      <w:spacing w:before="200" w:after="120" w:line="290" w:lineRule="atLeast"/>
      <w:jc w:val="both"/>
    </w:pPr>
    <w:rPr>
      <w:rFonts w:asciiTheme="minorHAnsi" w:eastAsia="Times New Roman" w:hAnsiTheme="minorHAnsi" w:cs="Times New Roman"/>
      <w:sz w:val="22"/>
    </w:rPr>
  </w:style>
  <w:style w:type="character" w:customStyle="1" w:styleId="Bullet1Char">
    <w:name w:val="Bullet 1 Char"/>
    <w:basedOn w:val="DefaultParagraphFont"/>
    <w:link w:val="Bullet1"/>
    <w:locked/>
    <w:rsid w:val="003E6FAB"/>
    <w:rPr>
      <w:rFonts w:eastAsia="Times New Roman" w:cs="Times New Roman"/>
    </w:rPr>
  </w:style>
  <w:style w:type="paragraph" w:customStyle="1" w:styleId="Bullet2">
    <w:name w:val="Bullet 2"/>
    <w:basedOn w:val="Normal"/>
    <w:next w:val="BodyText"/>
    <w:uiPriority w:val="1"/>
    <w:qFormat/>
    <w:rsid w:val="003E6FAB"/>
    <w:pPr>
      <w:numPr>
        <w:ilvl w:val="1"/>
        <w:numId w:val="14"/>
      </w:numPr>
      <w:spacing w:before="200" w:after="120" w:line="290" w:lineRule="atLeast"/>
      <w:jc w:val="both"/>
    </w:pPr>
    <w:rPr>
      <w:rFonts w:asciiTheme="minorHAnsi" w:eastAsia="Times New Roman" w:hAnsiTheme="minorHAnsi" w:cs="Times New Roman"/>
      <w:sz w:val="22"/>
    </w:rPr>
  </w:style>
  <w:style w:type="paragraph" w:customStyle="1" w:styleId="Bullet3">
    <w:name w:val="Bullet 3"/>
    <w:basedOn w:val="Normal"/>
    <w:next w:val="BodyText"/>
    <w:uiPriority w:val="1"/>
    <w:qFormat/>
    <w:rsid w:val="003E6FAB"/>
    <w:pPr>
      <w:numPr>
        <w:ilvl w:val="2"/>
        <w:numId w:val="14"/>
      </w:numPr>
      <w:spacing w:before="200" w:after="120" w:line="290" w:lineRule="atLeast"/>
      <w:jc w:val="both"/>
    </w:pPr>
    <w:rPr>
      <w:rFonts w:asciiTheme="minorHAnsi" w:eastAsia="Times New Roman" w:hAnsiTheme="minorHAnsi" w:cs="Times New Roman"/>
      <w:sz w:val="22"/>
    </w:rPr>
  </w:style>
  <w:style w:type="paragraph" w:styleId="BodyText">
    <w:name w:val="Body Text"/>
    <w:basedOn w:val="Normal"/>
    <w:link w:val="BodyTextChar"/>
    <w:uiPriority w:val="99"/>
    <w:semiHidden/>
    <w:unhideWhenUsed/>
    <w:rsid w:val="003E6FAB"/>
    <w:pPr>
      <w:spacing w:after="120"/>
    </w:pPr>
  </w:style>
  <w:style w:type="character" w:customStyle="1" w:styleId="BodyTextChar">
    <w:name w:val="Body Text Char"/>
    <w:basedOn w:val="DefaultParagraphFont"/>
    <w:link w:val="BodyText"/>
    <w:uiPriority w:val="99"/>
    <w:semiHidden/>
    <w:rsid w:val="003E6FAB"/>
    <w:rPr>
      <w:rFonts w:ascii="Book Antiqua" w:hAnsi="Book Antiqua"/>
      <w:sz w:val="26"/>
    </w:rPr>
  </w:style>
  <w:style w:type="paragraph" w:customStyle="1" w:styleId="Default">
    <w:name w:val="Default"/>
    <w:rsid w:val="00126BA7"/>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41D6D"/>
    <w:rPr>
      <w:sz w:val="18"/>
      <w:szCs w:val="18"/>
    </w:rPr>
  </w:style>
  <w:style w:type="paragraph" w:styleId="CommentText">
    <w:name w:val="annotation text"/>
    <w:basedOn w:val="Normal"/>
    <w:link w:val="CommentTextChar"/>
    <w:uiPriority w:val="99"/>
    <w:semiHidden/>
    <w:unhideWhenUsed/>
    <w:rsid w:val="00941D6D"/>
    <w:pPr>
      <w:spacing w:line="240" w:lineRule="auto"/>
    </w:pPr>
    <w:rPr>
      <w:sz w:val="24"/>
      <w:szCs w:val="24"/>
    </w:rPr>
  </w:style>
  <w:style w:type="character" w:customStyle="1" w:styleId="CommentTextChar">
    <w:name w:val="Comment Text Char"/>
    <w:basedOn w:val="DefaultParagraphFont"/>
    <w:link w:val="CommentText"/>
    <w:uiPriority w:val="99"/>
    <w:semiHidden/>
    <w:rsid w:val="00941D6D"/>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8529B9"/>
    <w:rPr>
      <w:b/>
      <w:bCs/>
      <w:sz w:val="20"/>
      <w:szCs w:val="20"/>
    </w:rPr>
  </w:style>
  <w:style w:type="character" w:customStyle="1" w:styleId="CommentSubjectChar">
    <w:name w:val="Comment Subject Char"/>
    <w:basedOn w:val="CommentTextChar"/>
    <w:link w:val="CommentSubject"/>
    <w:uiPriority w:val="99"/>
    <w:semiHidden/>
    <w:rsid w:val="008529B9"/>
    <w:rPr>
      <w:rFonts w:ascii="Book Antiqua" w:hAnsi="Book Antiqua"/>
      <w:b/>
      <w:bCs/>
      <w:sz w:val="20"/>
      <w:szCs w:val="20"/>
    </w:rPr>
  </w:style>
  <w:style w:type="paragraph" w:styleId="Revision">
    <w:name w:val="Revision"/>
    <w:hidden/>
    <w:uiPriority w:val="99"/>
    <w:semiHidden/>
    <w:rsid w:val="00A067D5"/>
    <w:pPr>
      <w:spacing w:after="0" w:line="240" w:lineRule="auto"/>
    </w:pPr>
    <w:rPr>
      <w:rFonts w:ascii="Book Antiqua" w:hAnsi="Book Antiqua"/>
      <w:sz w:val="26"/>
    </w:rPr>
  </w:style>
  <w:style w:type="character" w:styleId="FollowedHyperlink">
    <w:name w:val="FollowedHyperlink"/>
    <w:basedOn w:val="DefaultParagraphFont"/>
    <w:uiPriority w:val="99"/>
    <w:semiHidden/>
    <w:unhideWhenUsed/>
    <w:rsid w:val="006F5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1898">
      <w:bodyDiv w:val="1"/>
      <w:marLeft w:val="0"/>
      <w:marRight w:val="0"/>
      <w:marTop w:val="0"/>
      <w:marBottom w:val="0"/>
      <w:divBdr>
        <w:top w:val="none" w:sz="0" w:space="0" w:color="auto"/>
        <w:left w:val="none" w:sz="0" w:space="0" w:color="auto"/>
        <w:bottom w:val="none" w:sz="0" w:space="0" w:color="auto"/>
        <w:right w:val="none" w:sz="0" w:space="0" w:color="auto"/>
      </w:divBdr>
    </w:div>
    <w:div w:id="1902666359">
      <w:bodyDiv w:val="1"/>
      <w:marLeft w:val="0"/>
      <w:marRight w:val="0"/>
      <w:marTop w:val="0"/>
      <w:marBottom w:val="0"/>
      <w:divBdr>
        <w:top w:val="none" w:sz="0" w:space="0" w:color="auto"/>
        <w:left w:val="none" w:sz="0" w:space="0" w:color="auto"/>
        <w:bottom w:val="none" w:sz="0" w:space="0" w:color="auto"/>
        <w:right w:val="none" w:sz="0" w:space="0" w:color="auto"/>
      </w:divBdr>
    </w:div>
    <w:div w:id="21116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eginfo.legislature.ca.gov/faces/billNavClient.xhtml?bill_id=201720180SB1013" TargetMode="External"/><Relationship Id="rId7" Type="http://schemas.openxmlformats.org/officeDocument/2006/relationships/hyperlink" Target="http://leginfo.legislature.ca.gov/faces/billAnalysisClient.xhtml?bill_id=201720180SB1477" TargetMode="External"/><Relationship Id="rId2" Type="http://schemas.openxmlformats.org/officeDocument/2006/relationships/hyperlink" Target="http://docs.cpuc.ca.gov/PublishedDocs/Efile/G000/M290/K324/290324466.PDF" TargetMode="External"/><Relationship Id="rId1" Type="http://schemas.openxmlformats.org/officeDocument/2006/relationships/hyperlink" Target="https://www.cpuc.ca.gov/WorkArea/DownloadAsset.aspx?id=6442462255" TargetMode="External"/><Relationship Id="rId6" Type="http://schemas.openxmlformats.org/officeDocument/2006/relationships/hyperlink" Target="http://leginfo.legislature.ca.gov/faces/billAnalysisClient.xhtml?bill_id=201720180SB1477" TargetMode="External"/><Relationship Id="rId5" Type="http://schemas.openxmlformats.org/officeDocument/2006/relationships/hyperlink" Target="https://ww2.arb.ca.gov/sites/default/files/2019-08/AC%20Hand-Out%20%28Final%2008-01-19%29_2.pdf" TargetMode="External"/><Relationship Id="rId4" Type="http://schemas.openxmlformats.org/officeDocument/2006/relationships/hyperlink" Target="http://leginfo.legislature.ca.gov/faces/billNavClient.xhtml?bill_id=201520160SB1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E486276A66E488F7A8C9BD421EDD7" ma:contentTypeVersion="10" ma:contentTypeDescription="Create a new document." ma:contentTypeScope="" ma:versionID="07deffbceddd5c25539acac921ec8bc9">
  <xsd:schema xmlns:xsd="http://www.w3.org/2001/XMLSchema" xmlns:xs="http://www.w3.org/2001/XMLSchema" xmlns:p="http://schemas.microsoft.com/office/2006/metadata/properties" xmlns:ns2="0b804340-ecaf-43a6-b200-b4f57a6cb633" xmlns:ns3="8ee125a9-f594-4116-9034-99181c55df1c" targetNamespace="http://schemas.microsoft.com/office/2006/metadata/properties" ma:root="true" ma:fieldsID="83dece0ee5c20d6b3b15341fef10ec86" ns2:_="" ns3:_="">
    <xsd:import namespace="0b804340-ecaf-43a6-b200-b4f57a6cb633"/>
    <xsd:import namespace="8ee125a9-f594-4116-9034-99181c55d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4340-ecaf-43a6-b200-b4f57a6cb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125a9-f594-4116-9034-99181c55df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C9B0-ABB6-482E-9039-8B8A0AD05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5D851-E65F-4643-912C-630E7C69C790}">
  <ds:schemaRefs>
    <ds:schemaRef ds:uri="http://schemas.microsoft.com/sharepoint/v3/contenttype/forms"/>
  </ds:schemaRefs>
</ds:datastoreItem>
</file>

<file path=customXml/itemProps3.xml><?xml version="1.0" encoding="utf-8"?>
<ds:datastoreItem xmlns:ds="http://schemas.openxmlformats.org/officeDocument/2006/customXml" ds:itemID="{E832B9E4-616E-4EE4-AC74-9E2754726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4340-ecaf-43a6-b200-b4f57a6cb633"/>
    <ds:schemaRef ds:uri="8ee125a9-f594-4116-9034-99181c55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05647-CA7A-4E51-ADFB-49C49BD8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28458</Words>
  <Characters>162214</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2020-03-20T22:30:00Z</cp:lastPrinted>
  <dcterms:created xsi:type="dcterms:W3CDTF">2020-04-06T10:37:00Z</dcterms:created>
  <dcterms:modified xsi:type="dcterms:W3CDTF">2020-04-06T17:37:00Z</dcterms:modified>
</cp:coreProperties>
</file>