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6E10" w:rsidR="009D535E" w:rsidP="009D535E" w:rsidRDefault="009D535E" w14:paraId="2FB3A9CA" w14:textId="77777777">
      <w:pPr>
        <w:pStyle w:val="titlebar"/>
        <w:rPr>
          <w:sz w:val="24"/>
        </w:rPr>
      </w:pPr>
      <w:r w:rsidRPr="008E6E10">
        <w:rPr>
          <w:sz w:val="24"/>
        </w:rPr>
        <w:t>PUBLIC UTILITIES COMMISSION OF THE STATE OF CALIFORNIA</w:t>
      </w:r>
    </w:p>
    <w:p w:rsidR="00B00C89" w:rsidP="009D535E" w:rsidRDefault="009D535E" w14:paraId="1A856594" w14:textId="77777777">
      <w:pPr>
        <w:suppressAutoHyphens/>
      </w:pPr>
      <w:r w:rsidRPr="008E6E10">
        <w:tab/>
      </w:r>
      <w:r w:rsidRPr="008E6E10">
        <w:tab/>
      </w:r>
      <w:r w:rsidRPr="008E6E10">
        <w:tab/>
      </w:r>
      <w:r w:rsidRPr="008E6E10">
        <w:tab/>
      </w:r>
      <w:r w:rsidRPr="008E6E10">
        <w:tab/>
      </w:r>
      <w:r w:rsidRPr="008E6E10">
        <w:tab/>
      </w:r>
      <w:r w:rsidRPr="008E6E10">
        <w:tab/>
      </w:r>
      <w:r w:rsidRPr="008E6E10">
        <w:tab/>
      </w:r>
      <w:r w:rsidRPr="008E6E10">
        <w:tab/>
        <w:t xml:space="preserve"> </w:t>
      </w:r>
    </w:p>
    <w:p w:rsidRPr="008E6E10" w:rsidR="009D535E" w:rsidP="006578E0" w:rsidRDefault="006578E0" w14:paraId="0A96A547" w14:textId="77777777">
      <w:pPr>
        <w:suppressAutoHyphens/>
      </w:pPr>
      <w:r>
        <w:rPr>
          <w:b/>
          <w:sz w:val="24"/>
          <w:szCs w:val="24"/>
        </w:rPr>
        <w:t xml:space="preserve">                                                                                             </w:t>
      </w:r>
      <w:r w:rsidRPr="008E6E10" w:rsidR="009D535E">
        <w:rPr>
          <w:b/>
          <w:sz w:val="24"/>
          <w:szCs w:val="24"/>
        </w:rPr>
        <w:t>AGENDA ID #</w:t>
      </w:r>
      <w:r>
        <w:rPr>
          <w:b/>
          <w:sz w:val="24"/>
          <w:szCs w:val="24"/>
        </w:rPr>
        <w:t>18329</w:t>
      </w:r>
      <w:r w:rsidRPr="008E6E10" w:rsidR="009D535E">
        <w:tab/>
      </w:r>
    </w:p>
    <w:p w:rsidRPr="008E6E10" w:rsidR="009D535E" w:rsidP="009D535E" w:rsidRDefault="009D535E" w14:paraId="504F4559" w14:textId="77777777">
      <w:pPr>
        <w:rPr>
          <w:b/>
          <w:sz w:val="24"/>
        </w:rPr>
      </w:pPr>
      <w:r w:rsidRPr="008E6E10">
        <w:rPr>
          <w:b/>
          <w:sz w:val="24"/>
        </w:rPr>
        <w:t>ENERGY DIVISION</w:t>
      </w:r>
      <w:r w:rsidRPr="008E6E10">
        <w:rPr>
          <w:b/>
          <w:sz w:val="24"/>
        </w:rPr>
        <w:tab/>
      </w:r>
      <w:r w:rsidRPr="008E6E10">
        <w:rPr>
          <w:b/>
          <w:sz w:val="24"/>
        </w:rPr>
        <w:tab/>
      </w:r>
      <w:r w:rsidRPr="008E6E10">
        <w:rPr>
          <w:b/>
          <w:sz w:val="24"/>
        </w:rPr>
        <w:tab/>
      </w:r>
      <w:r w:rsidRPr="008E6E10">
        <w:rPr>
          <w:b/>
          <w:sz w:val="24"/>
        </w:rPr>
        <w:tab/>
      </w:r>
      <w:r w:rsidRPr="008E6E10">
        <w:rPr>
          <w:b/>
          <w:sz w:val="24"/>
        </w:rPr>
        <w:tab/>
        <w:t xml:space="preserve">             </w:t>
      </w:r>
      <w:r w:rsidR="00B00C89">
        <w:rPr>
          <w:b/>
          <w:sz w:val="24"/>
        </w:rPr>
        <w:t xml:space="preserve">  </w:t>
      </w:r>
      <w:r w:rsidRPr="008E6E10">
        <w:rPr>
          <w:b/>
          <w:sz w:val="24"/>
        </w:rPr>
        <w:t>RESOLUTION E-</w:t>
      </w:r>
      <w:r w:rsidRPr="008E6E10" w:rsidR="00AA1546">
        <w:rPr>
          <w:b/>
          <w:sz w:val="24"/>
        </w:rPr>
        <w:t>5061</w:t>
      </w:r>
    </w:p>
    <w:p w:rsidRPr="008E6E10" w:rsidR="009D535E" w:rsidP="009D535E" w:rsidRDefault="009D535E" w14:paraId="0C2435C9" w14:textId="77777777">
      <w:pPr>
        <w:tabs>
          <w:tab w:val="right" w:pos="8910"/>
        </w:tabs>
        <w:ind w:left="1440" w:firstLine="720"/>
        <w:rPr>
          <w:b/>
          <w:sz w:val="24"/>
        </w:rPr>
      </w:pPr>
      <w:r w:rsidRPr="008E6E10">
        <w:rPr>
          <w:b/>
          <w:color w:val="000000"/>
          <w:sz w:val="24"/>
        </w:rPr>
        <w:t xml:space="preserve">                                                                       </w:t>
      </w:r>
      <w:r w:rsidR="006F6D2B">
        <w:rPr>
          <w:b/>
          <w:color w:val="000000"/>
          <w:sz w:val="24"/>
        </w:rPr>
        <w:t xml:space="preserve">May </w:t>
      </w:r>
      <w:r w:rsidR="00B00C89">
        <w:rPr>
          <w:b/>
          <w:color w:val="000000"/>
          <w:sz w:val="24"/>
        </w:rPr>
        <w:t>28</w:t>
      </w:r>
      <w:r w:rsidRPr="008E6E10" w:rsidR="00265233">
        <w:rPr>
          <w:b/>
          <w:color w:val="000000"/>
          <w:sz w:val="24"/>
        </w:rPr>
        <w:t>,</w:t>
      </w:r>
      <w:r w:rsidRPr="008E6E10" w:rsidR="00265233">
        <w:rPr>
          <w:b/>
          <w:sz w:val="24"/>
        </w:rPr>
        <w:t xml:space="preserve"> 20</w:t>
      </w:r>
      <w:r w:rsidR="00B00C89">
        <w:rPr>
          <w:b/>
          <w:sz w:val="24"/>
        </w:rPr>
        <w:t>20</w:t>
      </w:r>
    </w:p>
    <w:p w:rsidRPr="008E6E10" w:rsidR="009D535E" w:rsidP="009D535E" w:rsidRDefault="009D535E" w14:paraId="64301A50" w14:textId="77777777">
      <w:pPr>
        <w:tabs>
          <w:tab w:val="right" w:pos="8910"/>
        </w:tabs>
        <w:ind w:left="1440" w:firstLine="720"/>
        <w:rPr>
          <w:b/>
          <w:sz w:val="24"/>
        </w:rPr>
      </w:pPr>
    </w:p>
    <w:p w:rsidRPr="008E6E10" w:rsidR="009D535E" w:rsidP="009D535E" w:rsidRDefault="009D535E" w14:paraId="246E550B" w14:textId="77777777">
      <w:pPr>
        <w:pStyle w:val="mainex"/>
        <w:rPr>
          <w:u w:val="single"/>
        </w:rPr>
      </w:pPr>
      <w:bookmarkStart w:name="_Ref404993683" w:id="0"/>
      <w:r w:rsidRPr="008E6E10">
        <w:rPr>
          <w:u w:val="single"/>
        </w:rPr>
        <w:t>RESOLUTION</w:t>
      </w:r>
    </w:p>
    <w:p w:rsidRPr="008E6E10" w:rsidR="009D535E" w:rsidP="009D535E" w:rsidRDefault="009D535E" w14:paraId="37C142A4" w14:textId="77777777"/>
    <w:p w:rsidRPr="008E6E10" w:rsidR="009D535E" w:rsidP="009D535E" w:rsidRDefault="009D535E" w14:paraId="0C265789" w14:textId="77777777">
      <w:pPr>
        <w:pStyle w:val="Res-Caption"/>
        <w:rPr>
          <w:rFonts w:ascii="Palatino Linotype" w:hAnsi="Palatino Linotype"/>
        </w:rPr>
      </w:pPr>
      <w:r w:rsidRPr="008E6E10">
        <w:rPr>
          <w:rFonts w:ascii="Palatino Linotype" w:hAnsi="Palatino Linotype"/>
        </w:rPr>
        <w:t>Resolution E-</w:t>
      </w:r>
      <w:r w:rsidRPr="008E6E10" w:rsidR="0026322C">
        <w:rPr>
          <w:rFonts w:ascii="Palatino Linotype" w:hAnsi="Palatino Linotype"/>
        </w:rPr>
        <w:t>50</w:t>
      </w:r>
      <w:r w:rsidRPr="008E6E10" w:rsidR="00AA1546">
        <w:rPr>
          <w:rFonts w:ascii="Palatino Linotype" w:hAnsi="Palatino Linotype"/>
        </w:rPr>
        <w:t>61</w:t>
      </w:r>
      <w:r w:rsidRPr="008E6E10">
        <w:rPr>
          <w:rFonts w:ascii="Palatino Linotype" w:hAnsi="Palatino Linotype"/>
        </w:rPr>
        <w:t xml:space="preserve">. </w:t>
      </w:r>
      <w:r w:rsidRPr="008E6E10" w:rsidR="00AA1546">
        <w:rPr>
          <w:rFonts w:ascii="Palatino Linotype" w:hAnsi="Palatino Linotype"/>
        </w:rPr>
        <w:t>San Diego Gas &amp; Electric Company seeks Approval of Modified Standard Power Purchase Agreement with Renewable Qualifying Facility</w:t>
      </w:r>
      <w:r w:rsidR="0097431D">
        <w:rPr>
          <w:rFonts w:ascii="Palatino Linotype" w:hAnsi="Palatino Linotype"/>
        </w:rPr>
        <w:t>.</w:t>
      </w:r>
    </w:p>
    <w:p w:rsidRPr="008E6E10" w:rsidR="009D535E" w:rsidP="009D535E" w:rsidRDefault="009D535E" w14:paraId="35F8E0F6" w14:textId="77777777">
      <w:pPr>
        <w:pStyle w:val="Res-Caption"/>
        <w:rPr>
          <w:rFonts w:ascii="Palatino Linotype" w:hAnsi="Palatino Linotype"/>
        </w:rPr>
      </w:pPr>
    </w:p>
    <w:p w:rsidRPr="008E6E10" w:rsidR="009D535E" w:rsidP="009D535E" w:rsidRDefault="009D535E" w14:paraId="27DB0E11" w14:textId="77777777">
      <w:pPr>
        <w:pStyle w:val="Res-Caption"/>
        <w:rPr>
          <w:rFonts w:ascii="Palatino Linotype" w:hAnsi="Palatino Linotype"/>
        </w:rPr>
      </w:pPr>
      <w:r w:rsidRPr="008E6E10">
        <w:rPr>
          <w:rFonts w:ascii="Palatino Linotype" w:hAnsi="Palatino Linotype"/>
        </w:rPr>
        <w:t xml:space="preserve">PROPOSED OUTCOME: </w:t>
      </w:r>
    </w:p>
    <w:p w:rsidRPr="008E6E10" w:rsidR="009D535E" w:rsidP="003D0129" w:rsidRDefault="009D535E" w14:paraId="19B76DB5" w14:textId="77777777">
      <w:pPr>
        <w:pStyle w:val="Res-Caption"/>
        <w:numPr>
          <w:ilvl w:val="0"/>
          <w:numId w:val="18"/>
        </w:numPr>
        <w:rPr>
          <w:rFonts w:ascii="Palatino Linotype" w:hAnsi="Palatino Linotype"/>
        </w:rPr>
      </w:pPr>
      <w:r w:rsidRPr="008E6E10">
        <w:rPr>
          <w:rFonts w:ascii="Palatino Linotype" w:hAnsi="Palatino Linotype"/>
        </w:rPr>
        <w:t xml:space="preserve">This Resolution approves </w:t>
      </w:r>
      <w:r w:rsidRPr="008E6E10" w:rsidR="00AA1546">
        <w:rPr>
          <w:rFonts w:ascii="Palatino Linotype" w:hAnsi="Palatino Linotype"/>
        </w:rPr>
        <w:t>a Power Purchase Agreement (PPA) between San Diego Gas &amp; Electric Company (SDG&amp;E) and the Santa Fe Irrigation District (SFID).</w:t>
      </w:r>
    </w:p>
    <w:p w:rsidRPr="008E6E10" w:rsidR="00643A79" w:rsidP="00643A79" w:rsidRDefault="00643A79" w14:paraId="2CF86FD4" w14:textId="77777777">
      <w:pPr>
        <w:pStyle w:val="Res-Caption"/>
        <w:rPr>
          <w:rFonts w:ascii="Palatino Linotype" w:hAnsi="Palatino Linotype"/>
        </w:rPr>
      </w:pPr>
    </w:p>
    <w:p w:rsidRPr="008E6E10" w:rsidR="009D535E" w:rsidP="009D535E" w:rsidRDefault="009D535E" w14:paraId="51E6DEE6" w14:textId="77777777">
      <w:pPr>
        <w:pStyle w:val="Res-Caption"/>
        <w:rPr>
          <w:rFonts w:ascii="Palatino Linotype" w:hAnsi="Palatino Linotype"/>
        </w:rPr>
      </w:pPr>
      <w:r w:rsidRPr="008E6E10">
        <w:rPr>
          <w:rFonts w:ascii="Palatino Linotype" w:hAnsi="Palatino Linotype"/>
        </w:rPr>
        <w:t>SAFETY CONSIDERATIONS:</w:t>
      </w:r>
    </w:p>
    <w:p w:rsidRPr="008E6E10" w:rsidR="009D535E" w:rsidP="009D535E" w:rsidRDefault="009D535E" w14:paraId="2101F0F4" w14:textId="77777777">
      <w:pPr>
        <w:pStyle w:val="Res-Caption"/>
        <w:numPr>
          <w:ilvl w:val="0"/>
          <w:numId w:val="17"/>
        </w:numPr>
        <w:rPr>
          <w:rFonts w:ascii="Palatino Linotype" w:hAnsi="Palatino Linotype"/>
        </w:rPr>
      </w:pPr>
      <w:r w:rsidRPr="008E6E10">
        <w:rPr>
          <w:rFonts w:ascii="Palatino Linotype" w:hAnsi="Palatino Linotype"/>
        </w:rPr>
        <w:t xml:space="preserve">The Agreement </w:t>
      </w:r>
      <w:r w:rsidR="0097431D">
        <w:rPr>
          <w:rFonts w:ascii="Palatino Linotype" w:hAnsi="Palatino Linotype"/>
        </w:rPr>
        <w:t>requires</w:t>
      </w:r>
      <w:r w:rsidRPr="008E6E10" w:rsidR="0097431D">
        <w:rPr>
          <w:rFonts w:ascii="Palatino Linotype" w:hAnsi="Palatino Linotype"/>
        </w:rPr>
        <w:t xml:space="preserve"> </w:t>
      </w:r>
      <w:r w:rsidR="0097431D">
        <w:rPr>
          <w:rFonts w:ascii="Palatino Linotype" w:hAnsi="Palatino Linotype"/>
        </w:rPr>
        <w:t xml:space="preserve">the </w:t>
      </w:r>
      <w:r w:rsidRPr="008E6E10" w:rsidR="00AA1546">
        <w:rPr>
          <w:rFonts w:ascii="Palatino Linotype" w:hAnsi="Palatino Linotype"/>
        </w:rPr>
        <w:t xml:space="preserve">Santa Fe Irrigation District </w:t>
      </w:r>
      <w:r w:rsidR="0097431D">
        <w:rPr>
          <w:rFonts w:ascii="Palatino Linotype" w:hAnsi="Palatino Linotype"/>
        </w:rPr>
        <w:t>to</w:t>
      </w:r>
      <w:r w:rsidRPr="008E6E10" w:rsidR="0097431D">
        <w:rPr>
          <w:rFonts w:ascii="Palatino Linotype" w:hAnsi="Palatino Linotype"/>
        </w:rPr>
        <w:t xml:space="preserve"> </w:t>
      </w:r>
      <w:r w:rsidRPr="008E6E10">
        <w:rPr>
          <w:rFonts w:ascii="Palatino Linotype" w:hAnsi="Palatino Linotype"/>
        </w:rPr>
        <w:t xml:space="preserve">operate and maintain </w:t>
      </w:r>
      <w:r w:rsidR="00595DD6">
        <w:rPr>
          <w:rFonts w:ascii="Palatino Linotype" w:hAnsi="Palatino Linotype"/>
        </w:rPr>
        <w:t>its</w:t>
      </w:r>
      <w:r w:rsidRPr="008E6E10" w:rsidR="00595DD6">
        <w:rPr>
          <w:rFonts w:ascii="Palatino Linotype" w:hAnsi="Palatino Linotype"/>
        </w:rPr>
        <w:t xml:space="preserve"> </w:t>
      </w:r>
      <w:r w:rsidRPr="008E6E10">
        <w:rPr>
          <w:rFonts w:ascii="Palatino Linotype" w:hAnsi="Palatino Linotype"/>
        </w:rPr>
        <w:t xml:space="preserve">facility within the terms of prudent electrical practices. </w:t>
      </w:r>
      <w:r w:rsidRPr="008E6E10" w:rsidR="00AA1546">
        <w:rPr>
          <w:rFonts w:ascii="Palatino Linotype" w:hAnsi="Palatino Linotype"/>
        </w:rPr>
        <w:t>SDG</w:t>
      </w:r>
      <w:r w:rsidRPr="008E6E10">
        <w:rPr>
          <w:rFonts w:ascii="Palatino Linotype" w:hAnsi="Palatino Linotype"/>
        </w:rPr>
        <w:t>&amp;E submitte</w:t>
      </w:r>
      <w:r w:rsidRPr="008E6E10" w:rsidR="00B74C96">
        <w:rPr>
          <w:rFonts w:ascii="Palatino Linotype" w:hAnsi="Palatino Linotype"/>
        </w:rPr>
        <w:t>d a safety plan for the facilit</w:t>
      </w:r>
      <w:r w:rsidRPr="008E6E10" w:rsidR="00AA1546">
        <w:rPr>
          <w:rFonts w:ascii="Palatino Linotype" w:hAnsi="Palatino Linotype"/>
        </w:rPr>
        <w:t>y</w:t>
      </w:r>
      <w:r w:rsidRPr="008E6E10">
        <w:rPr>
          <w:rFonts w:ascii="Palatino Linotype" w:hAnsi="Palatino Linotype"/>
        </w:rPr>
        <w:t xml:space="preserve"> that was certified by a licensed California engineer. </w:t>
      </w:r>
    </w:p>
    <w:p w:rsidRPr="008E6E10" w:rsidR="009D535E" w:rsidP="009D535E" w:rsidRDefault="009D535E" w14:paraId="62857A7C" w14:textId="77777777">
      <w:pPr>
        <w:pStyle w:val="Res-Caption"/>
        <w:rPr>
          <w:rFonts w:ascii="Palatino Linotype" w:hAnsi="Palatino Linotype"/>
        </w:rPr>
      </w:pPr>
    </w:p>
    <w:p w:rsidRPr="008E6E10" w:rsidR="009D535E" w:rsidP="009D535E" w:rsidRDefault="009D535E" w14:paraId="35B8C994" w14:textId="77777777">
      <w:pPr>
        <w:pStyle w:val="Res-Caption"/>
        <w:rPr>
          <w:rFonts w:ascii="Palatino Linotype" w:hAnsi="Palatino Linotype"/>
        </w:rPr>
      </w:pPr>
      <w:r w:rsidRPr="008E6E10">
        <w:rPr>
          <w:rFonts w:ascii="Palatino Linotype" w:hAnsi="Palatino Linotype"/>
        </w:rPr>
        <w:t xml:space="preserve">ESTIMATED COST:  </w:t>
      </w:r>
    </w:p>
    <w:p w:rsidRPr="008E6E10" w:rsidR="009D535E" w:rsidP="009D535E" w:rsidRDefault="000D0AB3" w14:paraId="0D1A0723" w14:textId="77777777">
      <w:pPr>
        <w:pStyle w:val="Res-Caption"/>
        <w:numPr>
          <w:ilvl w:val="0"/>
          <w:numId w:val="17"/>
        </w:numPr>
        <w:rPr>
          <w:rFonts w:ascii="Palatino Linotype" w:hAnsi="Palatino Linotype"/>
        </w:rPr>
      </w:pPr>
      <w:r>
        <w:rPr>
          <w:rFonts w:ascii="Palatino Linotype" w:hAnsi="Palatino Linotype"/>
        </w:rPr>
        <w:t xml:space="preserve">Payment for PPA energy will be at SDG&amp;E’s posted </w:t>
      </w:r>
      <w:r w:rsidR="009C3082">
        <w:rPr>
          <w:rFonts w:ascii="Palatino Linotype" w:hAnsi="Palatino Linotype"/>
        </w:rPr>
        <w:t>s</w:t>
      </w:r>
      <w:r>
        <w:rPr>
          <w:rFonts w:ascii="Palatino Linotype" w:hAnsi="Palatino Linotype"/>
        </w:rPr>
        <w:t>hort</w:t>
      </w:r>
      <w:r w:rsidR="009C3082">
        <w:rPr>
          <w:rFonts w:ascii="Palatino Linotype" w:hAnsi="Palatino Linotype"/>
        </w:rPr>
        <w:t>-r</w:t>
      </w:r>
      <w:r>
        <w:rPr>
          <w:rFonts w:ascii="Palatino Linotype" w:hAnsi="Palatino Linotype"/>
        </w:rPr>
        <w:t xml:space="preserve">un </w:t>
      </w:r>
      <w:r w:rsidR="009C3082">
        <w:rPr>
          <w:rFonts w:ascii="Palatino Linotype" w:hAnsi="Palatino Linotype"/>
        </w:rPr>
        <w:t>a</w:t>
      </w:r>
      <w:r>
        <w:rPr>
          <w:rFonts w:ascii="Palatino Linotype" w:hAnsi="Palatino Linotype"/>
        </w:rPr>
        <w:t xml:space="preserve">voided </w:t>
      </w:r>
      <w:r w:rsidR="009C3082">
        <w:rPr>
          <w:rFonts w:ascii="Palatino Linotype" w:hAnsi="Palatino Linotype"/>
        </w:rPr>
        <w:t>c</w:t>
      </w:r>
      <w:r>
        <w:rPr>
          <w:rFonts w:ascii="Palatino Linotype" w:hAnsi="Palatino Linotype"/>
        </w:rPr>
        <w:t>ost as posted by SDG&amp;E.</w:t>
      </w:r>
    </w:p>
    <w:p w:rsidRPr="008E6E10" w:rsidR="009D535E" w:rsidP="009D535E" w:rsidRDefault="009D535E" w14:paraId="3A90916C" w14:textId="77777777">
      <w:pPr>
        <w:pStyle w:val="Res-Caption"/>
        <w:ind w:left="1440"/>
        <w:rPr>
          <w:rFonts w:ascii="Palatino Linotype" w:hAnsi="Palatino Linotype"/>
        </w:rPr>
      </w:pPr>
    </w:p>
    <w:p w:rsidRPr="008E6E10" w:rsidR="009D535E" w:rsidP="009D535E" w:rsidRDefault="009D535E" w14:paraId="5727AF8E" w14:textId="77777777">
      <w:pPr>
        <w:pStyle w:val="Res-Caption"/>
        <w:rPr>
          <w:rFonts w:ascii="Palatino Linotype" w:hAnsi="Palatino Linotype"/>
        </w:rPr>
      </w:pPr>
      <w:r w:rsidRPr="008E6E10">
        <w:rPr>
          <w:rFonts w:ascii="Palatino Linotype" w:hAnsi="Palatino Linotype"/>
        </w:rPr>
        <w:t xml:space="preserve">By Advice Letter </w:t>
      </w:r>
      <w:r w:rsidR="00F03221">
        <w:rPr>
          <w:rFonts w:ascii="Palatino Linotype" w:hAnsi="Palatino Linotype"/>
        </w:rPr>
        <w:t xml:space="preserve">3447-E filed on </w:t>
      </w:r>
      <w:r w:rsidR="0029116D">
        <w:rPr>
          <w:rFonts w:ascii="Palatino Linotype" w:hAnsi="Palatino Linotype"/>
        </w:rPr>
        <w:t>October 28, 2019</w:t>
      </w:r>
      <w:r w:rsidR="00F03221">
        <w:rPr>
          <w:rFonts w:ascii="Palatino Linotype" w:hAnsi="Palatino Linotype"/>
        </w:rPr>
        <w:t xml:space="preserve"> and </w:t>
      </w:r>
      <w:r w:rsidRPr="008E6E10" w:rsidR="00AA1546">
        <w:rPr>
          <w:rFonts w:ascii="Palatino Linotype" w:hAnsi="Palatino Linotype"/>
        </w:rPr>
        <w:t>3447</w:t>
      </w:r>
      <w:r w:rsidRPr="008E6E10">
        <w:rPr>
          <w:rFonts w:ascii="Palatino Linotype" w:hAnsi="Palatino Linotype"/>
        </w:rPr>
        <w:t>-E</w:t>
      </w:r>
      <w:r w:rsidR="0050304B">
        <w:rPr>
          <w:rFonts w:ascii="Palatino Linotype" w:hAnsi="Palatino Linotype"/>
        </w:rPr>
        <w:t>-A</w:t>
      </w:r>
      <w:r w:rsidRPr="008E6E10">
        <w:rPr>
          <w:rFonts w:ascii="Palatino Linotype" w:hAnsi="Palatino Linotype"/>
        </w:rPr>
        <w:t xml:space="preserve">, </w:t>
      </w:r>
      <w:r w:rsidR="00434491">
        <w:rPr>
          <w:rFonts w:ascii="Palatino Linotype" w:hAnsi="Palatino Linotype"/>
        </w:rPr>
        <w:t>f</w:t>
      </w:r>
      <w:r w:rsidRPr="008E6E10">
        <w:rPr>
          <w:rFonts w:ascii="Palatino Linotype" w:hAnsi="Palatino Linotype"/>
        </w:rPr>
        <w:t xml:space="preserve">iled on </w:t>
      </w:r>
      <w:r w:rsidR="0050304B">
        <w:rPr>
          <w:rFonts w:ascii="Palatino Linotype" w:hAnsi="Palatino Linotype"/>
        </w:rPr>
        <w:t>January</w:t>
      </w:r>
      <w:r w:rsidRPr="008E6E10" w:rsidR="0050304B">
        <w:rPr>
          <w:rFonts w:ascii="Palatino Linotype" w:hAnsi="Palatino Linotype"/>
        </w:rPr>
        <w:t xml:space="preserve"> </w:t>
      </w:r>
      <w:r w:rsidR="0050304B">
        <w:rPr>
          <w:rFonts w:ascii="Palatino Linotype" w:hAnsi="Palatino Linotype"/>
        </w:rPr>
        <w:t>15</w:t>
      </w:r>
      <w:r w:rsidRPr="008E6E10">
        <w:rPr>
          <w:rFonts w:ascii="Palatino Linotype" w:hAnsi="Palatino Linotype"/>
        </w:rPr>
        <w:t>, 20</w:t>
      </w:r>
      <w:r w:rsidR="0050304B">
        <w:rPr>
          <w:rFonts w:ascii="Palatino Linotype" w:hAnsi="Palatino Linotype"/>
        </w:rPr>
        <w:t>20</w:t>
      </w:r>
      <w:r w:rsidRPr="008E6E10">
        <w:rPr>
          <w:rFonts w:ascii="Palatino Linotype" w:hAnsi="Palatino Linotype"/>
        </w:rPr>
        <w:t xml:space="preserve">. </w:t>
      </w:r>
    </w:p>
    <w:p w:rsidRPr="008E6E10" w:rsidR="009D535E" w:rsidP="009D535E" w:rsidRDefault="009D535E" w14:paraId="2886B3D4" w14:textId="77777777">
      <w:pPr>
        <w:jc w:val="center"/>
      </w:pPr>
      <w:r w:rsidRPr="008E6E10">
        <w:t>__________________________________________________________</w:t>
      </w:r>
    </w:p>
    <w:p w:rsidRPr="008E6E10" w:rsidR="009D535E" w:rsidP="009D535E" w:rsidRDefault="009D535E" w14:paraId="52AD8C4E" w14:textId="77777777">
      <w:pPr>
        <w:rPr>
          <w:b/>
        </w:rPr>
      </w:pPr>
    </w:p>
    <w:p w:rsidRPr="008E6E10" w:rsidR="009D535E" w:rsidP="009D535E" w:rsidRDefault="009D535E" w14:paraId="66EC6054" w14:textId="77777777">
      <w:pPr>
        <w:pStyle w:val="Heading1"/>
      </w:pPr>
      <w:r w:rsidRPr="008E6E10">
        <w:t>Summary</w:t>
      </w:r>
      <w:bookmarkEnd w:id="0"/>
    </w:p>
    <w:p w:rsidRPr="008E6E10" w:rsidR="00E05FCA" w:rsidP="0026322C" w:rsidRDefault="009D535E" w14:paraId="1538681C" w14:textId="77777777">
      <w:pPr>
        <w:rPr>
          <w:rFonts w:ascii="Palatino Linotype" w:hAnsi="Palatino Linotype"/>
          <w:szCs w:val="26"/>
        </w:rPr>
      </w:pPr>
      <w:r w:rsidRPr="008E6E10">
        <w:rPr>
          <w:rFonts w:ascii="Palatino Linotype" w:hAnsi="Palatino Linotype"/>
          <w:szCs w:val="26"/>
        </w:rPr>
        <w:t xml:space="preserve">This Resolution </w:t>
      </w:r>
      <w:r w:rsidRPr="008E6E10" w:rsidR="00E06605">
        <w:rPr>
          <w:rFonts w:ascii="Palatino Linotype" w:hAnsi="Palatino Linotype"/>
          <w:szCs w:val="26"/>
        </w:rPr>
        <w:t>approves</w:t>
      </w:r>
      <w:r w:rsidRPr="008E6E10" w:rsidR="0026322C">
        <w:rPr>
          <w:rFonts w:ascii="Palatino Linotype" w:hAnsi="Palatino Linotype"/>
          <w:szCs w:val="26"/>
        </w:rPr>
        <w:t xml:space="preserve"> </w:t>
      </w:r>
      <w:r w:rsidRPr="008E6E10" w:rsidR="00AA1546">
        <w:rPr>
          <w:rFonts w:ascii="Palatino Linotype" w:hAnsi="Palatino Linotype"/>
          <w:szCs w:val="26"/>
        </w:rPr>
        <w:t>a modified power purchase agreement (PPA) between San Diego Gas &amp; Electric (SDG&amp;E) and the Santa Fe Irrigation District (SFID)</w:t>
      </w:r>
      <w:r w:rsidRPr="008E6E10" w:rsidR="00F91571">
        <w:rPr>
          <w:rFonts w:ascii="Palatino Linotype" w:hAnsi="Palatino Linotype"/>
          <w:szCs w:val="26"/>
        </w:rPr>
        <w:t>.</w:t>
      </w:r>
    </w:p>
    <w:p w:rsidRPr="008E6E10" w:rsidR="00AB2BD4" w:rsidP="009D535E" w:rsidRDefault="00AB2BD4" w14:paraId="2FFEBBBC" w14:textId="77777777">
      <w:pPr>
        <w:rPr>
          <w:rFonts w:ascii="Palatino Linotype" w:hAnsi="Palatino Linotype"/>
          <w:szCs w:val="26"/>
        </w:rPr>
      </w:pPr>
    </w:p>
    <w:p w:rsidRPr="008E6E10" w:rsidR="005D09C6" w:rsidP="009D535E" w:rsidRDefault="00F91571" w14:paraId="5A74F2A9" w14:textId="77777777">
      <w:pPr>
        <w:rPr>
          <w:rFonts w:ascii="Palatino Linotype" w:hAnsi="Palatino Linotype"/>
          <w:szCs w:val="26"/>
        </w:rPr>
      </w:pPr>
      <w:r w:rsidRPr="008E6E10">
        <w:rPr>
          <w:rFonts w:ascii="Palatino Linotype" w:hAnsi="Palatino Linotype"/>
          <w:szCs w:val="26"/>
        </w:rPr>
        <w:lastRenderedPageBreak/>
        <w:t>SFID’s small renewable Qualifying Facility (QF) had a 30-year legacy Standard Offer 4 QF contract</w:t>
      </w:r>
      <w:r w:rsidR="0050304B">
        <w:rPr>
          <w:rStyle w:val="FootnoteReference"/>
          <w:rFonts w:ascii="Palatino Linotype" w:hAnsi="Palatino Linotype"/>
          <w:szCs w:val="26"/>
        </w:rPr>
        <w:footnoteReference w:id="2"/>
      </w:r>
      <w:r w:rsidRPr="008E6E10">
        <w:rPr>
          <w:rFonts w:ascii="Palatino Linotype" w:hAnsi="Palatino Linotype"/>
          <w:szCs w:val="26"/>
        </w:rPr>
        <w:t xml:space="preserve"> that expired on July 1, 2017 and seeks to sign a new PPA.</w:t>
      </w:r>
    </w:p>
    <w:p w:rsidRPr="008E6E10" w:rsidR="00E05FCA" w:rsidP="009D535E" w:rsidRDefault="00E05FCA" w14:paraId="538E35A7" w14:textId="77777777">
      <w:pPr>
        <w:rPr>
          <w:rFonts w:ascii="Palatino Linotype" w:hAnsi="Palatino Linotype"/>
          <w:szCs w:val="26"/>
        </w:rPr>
      </w:pPr>
    </w:p>
    <w:p w:rsidRPr="008E6E10" w:rsidR="009D535E" w:rsidP="009D535E" w:rsidRDefault="009D535E" w14:paraId="11AD35F7" w14:textId="77777777">
      <w:pPr>
        <w:pStyle w:val="Heading1"/>
      </w:pPr>
      <w:r w:rsidRPr="008E6E10">
        <w:t>Background</w:t>
      </w:r>
    </w:p>
    <w:p w:rsidRPr="008E6E10" w:rsidR="009D535E" w:rsidP="009D535E" w:rsidRDefault="009D535E" w14:paraId="3CFC0698" w14:textId="77777777">
      <w:pPr>
        <w:pStyle w:val="standard"/>
        <w:ind w:firstLine="0"/>
        <w:rPr>
          <w:rFonts w:ascii="Palatino Linotype" w:hAnsi="Palatino Linotype"/>
        </w:rPr>
      </w:pPr>
      <w:r w:rsidRPr="008E6E10">
        <w:rPr>
          <w:rFonts w:ascii="Palatino Linotype" w:hAnsi="Palatino Linotype"/>
          <w:i/>
          <w:iCs/>
          <w:szCs w:val="26"/>
          <w:u w:val="single"/>
        </w:rPr>
        <w:t>Background on the CHP/QF Settlement</w:t>
      </w:r>
    </w:p>
    <w:p w:rsidRPr="008E6E10" w:rsidR="009D535E" w:rsidP="009D535E" w:rsidRDefault="009D535E" w14:paraId="2B95C219" w14:textId="77777777">
      <w:pPr>
        <w:pStyle w:val="Default"/>
        <w:rPr>
          <w:rFonts w:ascii="Palatino Linotype" w:hAnsi="Palatino Linotype"/>
          <w:sz w:val="26"/>
          <w:szCs w:val="26"/>
        </w:rPr>
      </w:pPr>
      <w:r w:rsidRPr="008E6E10">
        <w:rPr>
          <w:rFonts w:ascii="Palatino Linotype" w:hAnsi="Palatino Linotype"/>
          <w:sz w:val="26"/>
          <w:szCs w:val="26"/>
        </w:rPr>
        <w:t xml:space="preserve">On December 16, 2010, the </w:t>
      </w:r>
      <w:r w:rsidR="00C87454">
        <w:rPr>
          <w:rFonts w:ascii="Palatino Linotype" w:hAnsi="Palatino Linotype"/>
          <w:sz w:val="26"/>
          <w:szCs w:val="26"/>
        </w:rPr>
        <w:t>CPUC</w:t>
      </w:r>
      <w:r w:rsidRPr="008E6E10" w:rsidR="00C87454">
        <w:rPr>
          <w:rFonts w:ascii="Palatino Linotype" w:hAnsi="Palatino Linotype"/>
          <w:sz w:val="26"/>
          <w:szCs w:val="26"/>
        </w:rPr>
        <w:t xml:space="preserve"> </w:t>
      </w:r>
      <w:r w:rsidRPr="008E6E10">
        <w:rPr>
          <w:rFonts w:ascii="Palatino Linotype" w:hAnsi="Palatino Linotype"/>
          <w:sz w:val="26"/>
          <w:szCs w:val="26"/>
        </w:rPr>
        <w:t>adopted the Qualifying Facility and Combined Heat and Power Program Settlement Agreement (Settlement) with the issuance of Decision (D).10-12-035. The Settlement resolve</w:t>
      </w:r>
      <w:r w:rsidR="0097431D">
        <w:rPr>
          <w:rFonts w:ascii="Palatino Linotype" w:hAnsi="Palatino Linotype"/>
          <w:sz w:val="26"/>
          <w:szCs w:val="26"/>
        </w:rPr>
        <w:t>d</w:t>
      </w:r>
      <w:r w:rsidRPr="008E6E10">
        <w:rPr>
          <w:rFonts w:ascii="Palatino Linotype" w:hAnsi="Palatino Linotype"/>
          <w:sz w:val="26"/>
          <w:szCs w:val="26"/>
        </w:rPr>
        <w:t xml:space="preserve"> longstanding issues regarding the contractual obligations and procurement options for facilities operating under legacy and qualifying facility contracts. </w:t>
      </w:r>
    </w:p>
    <w:p w:rsidRPr="008E6E10" w:rsidR="009D535E" w:rsidP="009D535E" w:rsidRDefault="009D535E" w14:paraId="2B43FA7F" w14:textId="77777777">
      <w:pPr>
        <w:pStyle w:val="Default"/>
        <w:rPr>
          <w:rFonts w:ascii="Palatino Linotype" w:hAnsi="Palatino Linotype"/>
          <w:sz w:val="26"/>
          <w:szCs w:val="26"/>
        </w:rPr>
      </w:pPr>
    </w:p>
    <w:p w:rsidRPr="008E6E10" w:rsidR="005346C0" w:rsidP="005346C0" w:rsidRDefault="00617656" w14:paraId="69EDA390" w14:textId="77777777">
      <w:pPr>
        <w:pStyle w:val="Default"/>
        <w:rPr>
          <w:rFonts w:ascii="Palatino Linotype" w:hAnsi="Palatino Linotype" w:cs="Times New Roman"/>
          <w:color w:val="auto"/>
          <w:sz w:val="26"/>
          <w:szCs w:val="26"/>
        </w:rPr>
      </w:pPr>
      <w:r w:rsidRPr="008E6E10">
        <w:rPr>
          <w:rFonts w:ascii="Palatino Linotype" w:hAnsi="Palatino Linotype" w:cs="Times New Roman"/>
          <w:color w:val="auto"/>
          <w:sz w:val="26"/>
          <w:szCs w:val="26"/>
        </w:rPr>
        <w:t>The Settlement includes several standard offer contracts for QFs.</w:t>
      </w:r>
      <w:r w:rsidR="006F6D2B">
        <w:rPr>
          <w:rStyle w:val="FootnoteReference"/>
          <w:rFonts w:ascii="Palatino Linotype" w:hAnsi="Palatino Linotype" w:cs="Times New Roman"/>
          <w:iCs/>
          <w:color w:val="auto"/>
          <w:sz w:val="26"/>
          <w:szCs w:val="26"/>
        </w:rPr>
        <w:footnoteReference w:id="3"/>
      </w:r>
      <w:r w:rsidRPr="008E6E10">
        <w:rPr>
          <w:rFonts w:ascii="Palatino Linotype" w:hAnsi="Palatino Linotype" w:cs="Times New Roman"/>
          <w:color w:val="auto"/>
          <w:sz w:val="26"/>
          <w:szCs w:val="26"/>
        </w:rPr>
        <w:t xml:space="preserve"> Under the Settlement, the Investor-Owned Utilities are required to offer these contracts to QFs on a must-take basis.</w:t>
      </w:r>
    </w:p>
    <w:p w:rsidRPr="008E6E10" w:rsidR="005346C0" w:rsidP="009D535E" w:rsidRDefault="005346C0" w14:paraId="5CA8CBD0" w14:textId="77777777">
      <w:pPr>
        <w:pStyle w:val="Default"/>
        <w:rPr>
          <w:rFonts w:ascii="Palatino Linotype" w:hAnsi="Palatino Linotype" w:cs="Times New Roman"/>
          <w:i/>
          <w:color w:val="auto"/>
          <w:sz w:val="26"/>
          <w:szCs w:val="26"/>
        </w:rPr>
      </w:pPr>
    </w:p>
    <w:p w:rsidRPr="008E6E10" w:rsidR="00617656" w:rsidP="009D535E" w:rsidRDefault="00617656" w14:paraId="529FD81B" w14:textId="77777777">
      <w:pPr>
        <w:pStyle w:val="Default"/>
        <w:rPr>
          <w:rFonts w:ascii="Palatino Linotype" w:hAnsi="Palatino Linotype" w:cs="Times New Roman"/>
          <w:iCs/>
          <w:color w:val="auto"/>
          <w:sz w:val="26"/>
          <w:szCs w:val="26"/>
        </w:rPr>
      </w:pPr>
      <w:r w:rsidRPr="008E6E10">
        <w:rPr>
          <w:rFonts w:ascii="Palatino Linotype" w:hAnsi="Palatino Linotype" w:cs="Times New Roman"/>
          <w:iCs/>
          <w:color w:val="auto"/>
          <w:sz w:val="26"/>
          <w:szCs w:val="26"/>
        </w:rPr>
        <w:t>Under</w:t>
      </w:r>
      <w:r w:rsidR="00C169BC">
        <w:rPr>
          <w:rFonts w:ascii="Palatino Linotype" w:hAnsi="Palatino Linotype" w:cs="Times New Roman"/>
          <w:iCs/>
          <w:color w:val="auto"/>
          <w:sz w:val="26"/>
          <w:szCs w:val="26"/>
        </w:rPr>
        <w:t xml:space="preserve"> </w:t>
      </w:r>
      <w:r w:rsidR="003F4CBB">
        <w:rPr>
          <w:rFonts w:ascii="Palatino Linotype" w:hAnsi="Palatino Linotype" w:cs="Times New Roman"/>
          <w:iCs/>
          <w:color w:val="auto"/>
          <w:sz w:val="26"/>
          <w:szCs w:val="26"/>
        </w:rPr>
        <w:t>Section</w:t>
      </w:r>
      <w:r w:rsidR="00C169BC">
        <w:rPr>
          <w:rFonts w:ascii="Palatino Linotype" w:hAnsi="Palatino Linotype" w:cs="Times New Roman"/>
          <w:iCs/>
          <w:color w:val="auto"/>
          <w:sz w:val="26"/>
          <w:szCs w:val="26"/>
        </w:rPr>
        <w:t xml:space="preserve"> 4.10.2 of</w:t>
      </w:r>
      <w:r w:rsidRPr="008E6E10">
        <w:rPr>
          <w:rFonts w:ascii="Palatino Linotype" w:hAnsi="Palatino Linotype" w:cs="Times New Roman"/>
          <w:iCs/>
          <w:color w:val="auto"/>
          <w:sz w:val="26"/>
          <w:szCs w:val="26"/>
        </w:rPr>
        <w:t xml:space="preserve"> the Settlement and pursuant to </w:t>
      </w:r>
      <w:r w:rsidR="00C87454">
        <w:rPr>
          <w:rFonts w:ascii="Palatino Linotype" w:hAnsi="Palatino Linotype" w:cs="Times New Roman"/>
          <w:iCs/>
          <w:color w:val="auto"/>
          <w:sz w:val="26"/>
          <w:szCs w:val="26"/>
        </w:rPr>
        <w:t>CPUC</w:t>
      </w:r>
      <w:r w:rsidRPr="008E6E10" w:rsidR="00C87454">
        <w:rPr>
          <w:rFonts w:ascii="Palatino Linotype" w:hAnsi="Palatino Linotype" w:cs="Times New Roman"/>
          <w:iCs/>
          <w:color w:val="auto"/>
          <w:sz w:val="26"/>
          <w:szCs w:val="26"/>
        </w:rPr>
        <w:t xml:space="preserve"> </w:t>
      </w:r>
      <w:r w:rsidRPr="008E6E10">
        <w:rPr>
          <w:rFonts w:ascii="Palatino Linotype" w:hAnsi="Palatino Linotype" w:cs="Times New Roman"/>
          <w:iCs/>
          <w:color w:val="auto"/>
          <w:sz w:val="26"/>
          <w:szCs w:val="26"/>
        </w:rPr>
        <w:t xml:space="preserve">guidance, </w:t>
      </w:r>
      <w:r w:rsidRPr="008E6E10" w:rsidR="00F91571">
        <w:rPr>
          <w:rFonts w:ascii="Palatino Linotype" w:hAnsi="Palatino Linotype" w:cs="Times New Roman"/>
          <w:iCs/>
          <w:color w:val="auto"/>
          <w:sz w:val="26"/>
          <w:szCs w:val="26"/>
        </w:rPr>
        <w:t>SD</w:t>
      </w:r>
      <w:r w:rsidRPr="008E6E10">
        <w:rPr>
          <w:rFonts w:ascii="Palatino Linotype" w:hAnsi="Palatino Linotype" w:cs="Times New Roman"/>
          <w:iCs/>
          <w:color w:val="auto"/>
          <w:sz w:val="26"/>
          <w:szCs w:val="26"/>
        </w:rPr>
        <w:t xml:space="preserve">G&amp;E would not normally require </w:t>
      </w:r>
      <w:r w:rsidR="00C87454">
        <w:rPr>
          <w:rFonts w:ascii="Palatino Linotype" w:hAnsi="Palatino Linotype" w:cs="Times New Roman"/>
          <w:iCs/>
          <w:color w:val="auto"/>
          <w:sz w:val="26"/>
          <w:szCs w:val="26"/>
        </w:rPr>
        <w:t>CPUC</w:t>
      </w:r>
      <w:r w:rsidRPr="008E6E10" w:rsidR="00C87454">
        <w:rPr>
          <w:rFonts w:ascii="Palatino Linotype" w:hAnsi="Palatino Linotype" w:cs="Times New Roman"/>
          <w:iCs/>
          <w:color w:val="auto"/>
          <w:sz w:val="26"/>
          <w:szCs w:val="26"/>
        </w:rPr>
        <w:t xml:space="preserve"> </w:t>
      </w:r>
      <w:r w:rsidRPr="008E6E10">
        <w:rPr>
          <w:rFonts w:ascii="Palatino Linotype" w:hAnsi="Palatino Linotype" w:cs="Times New Roman"/>
          <w:iCs/>
          <w:color w:val="auto"/>
          <w:sz w:val="26"/>
          <w:szCs w:val="26"/>
        </w:rPr>
        <w:t>approval to execute th</w:t>
      </w:r>
      <w:r w:rsidRPr="008E6E10" w:rsidR="00F91571">
        <w:rPr>
          <w:rFonts w:ascii="Palatino Linotype" w:hAnsi="Palatino Linotype" w:cs="Times New Roman"/>
          <w:iCs/>
          <w:color w:val="auto"/>
          <w:sz w:val="26"/>
          <w:szCs w:val="26"/>
        </w:rPr>
        <w:t>is</w:t>
      </w:r>
      <w:r w:rsidRPr="008E6E10">
        <w:rPr>
          <w:rFonts w:ascii="Palatino Linotype" w:hAnsi="Palatino Linotype" w:cs="Times New Roman"/>
          <w:iCs/>
          <w:color w:val="auto"/>
          <w:sz w:val="26"/>
          <w:szCs w:val="26"/>
        </w:rPr>
        <w:t xml:space="preserve"> Standard Offer contract. </w:t>
      </w:r>
      <w:r w:rsidRPr="008E6E10" w:rsidR="00F91571">
        <w:rPr>
          <w:rFonts w:ascii="Palatino Linotype" w:hAnsi="Palatino Linotype" w:cs="Times New Roman"/>
          <w:iCs/>
          <w:color w:val="auto"/>
          <w:sz w:val="26"/>
          <w:szCs w:val="26"/>
        </w:rPr>
        <w:t>However, due to modifications agreed upon by both parties</w:t>
      </w:r>
      <w:r w:rsidRPr="008E6E10">
        <w:rPr>
          <w:rFonts w:ascii="Palatino Linotype" w:hAnsi="Palatino Linotype" w:cs="Times New Roman"/>
          <w:iCs/>
          <w:color w:val="auto"/>
          <w:sz w:val="26"/>
          <w:szCs w:val="26"/>
        </w:rPr>
        <w:t xml:space="preserve">, </w:t>
      </w:r>
      <w:r w:rsidRPr="008E6E10" w:rsidR="00F91571">
        <w:rPr>
          <w:rFonts w:ascii="Palatino Linotype" w:hAnsi="Palatino Linotype" w:cs="Times New Roman"/>
          <w:iCs/>
          <w:color w:val="auto"/>
          <w:sz w:val="26"/>
          <w:szCs w:val="26"/>
        </w:rPr>
        <w:t>SDG</w:t>
      </w:r>
      <w:r w:rsidRPr="008E6E10">
        <w:rPr>
          <w:rFonts w:ascii="Palatino Linotype" w:hAnsi="Palatino Linotype" w:cs="Times New Roman"/>
          <w:iCs/>
          <w:color w:val="auto"/>
          <w:sz w:val="26"/>
          <w:szCs w:val="26"/>
        </w:rPr>
        <w:t xml:space="preserve">&amp;E must now seek </w:t>
      </w:r>
      <w:r w:rsidR="00C87454">
        <w:rPr>
          <w:rFonts w:ascii="Palatino Linotype" w:hAnsi="Palatino Linotype" w:cs="Times New Roman"/>
          <w:iCs/>
          <w:color w:val="auto"/>
          <w:sz w:val="26"/>
          <w:szCs w:val="26"/>
        </w:rPr>
        <w:t>CPUC</w:t>
      </w:r>
      <w:r w:rsidRPr="008E6E10" w:rsidR="00C87454">
        <w:rPr>
          <w:rFonts w:ascii="Palatino Linotype" w:hAnsi="Palatino Linotype" w:cs="Times New Roman"/>
          <w:iCs/>
          <w:color w:val="auto"/>
          <w:sz w:val="26"/>
          <w:szCs w:val="26"/>
        </w:rPr>
        <w:t xml:space="preserve"> </w:t>
      </w:r>
      <w:r w:rsidRPr="008E6E10">
        <w:rPr>
          <w:rFonts w:ascii="Palatino Linotype" w:hAnsi="Palatino Linotype" w:cs="Times New Roman"/>
          <w:iCs/>
          <w:color w:val="auto"/>
          <w:sz w:val="26"/>
          <w:szCs w:val="26"/>
        </w:rPr>
        <w:t>approval for th</w:t>
      </w:r>
      <w:r w:rsidRPr="008E6E10" w:rsidR="00F91571">
        <w:rPr>
          <w:rFonts w:ascii="Palatino Linotype" w:hAnsi="Palatino Linotype" w:cs="Times New Roman"/>
          <w:iCs/>
          <w:color w:val="auto"/>
          <w:sz w:val="26"/>
          <w:szCs w:val="26"/>
        </w:rPr>
        <w:t>is</w:t>
      </w:r>
      <w:r w:rsidRPr="008E6E10">
        <w:rPr>
          <w:rFonts w:ascii="Palatino Linotype" w:hAnsi="Palatino Linotype" w:cs="Times New Roman"/>
          <w:iCs/>
          <w:color w:val="auto"/>
          <w:sz w:val="26"/>
          <w:szCs w:val="26"/>
        </w:rPr>
        <w:t xml:space="preserve"> modified contract. </w:t>
      </w:r>
    </w:p>
    <w:p w:rsidRPr="008E6E10" w:rsidR="00617656" w:rsidP="009D535E" w:rsidRDefault="00617656" w14:paraId="59327313" w14:textId="77777777">
      <w:pPr>
        <w:pStyle w:val="Default"/>
        <w:rPr>
          <w:rFonts w:ascii="Palatino Linotype" w:hAnsi="Palatino Linotype" w:cs="Times New Roman"/>
          <w:iCs/>
          <w:color w:val="auto"/>
          <w:sz w:val="26"/>
          <w:szCs w:val="26"/>
        </w:rPr>
      </w:pPr>
    </w:p>
    <w:p w:rsidRPr="000A7038" w:rsidR="003A3453" w:rsidP="009D535E" w:rsidRDefault="003A3453" w14:paraId="7F7595FC" w14:textId="77777777">
      <w:pPr>
        <w:pStyle w:val="Default"/>
        <w:rPr>
          <w:rFonts w:ascii="Palatino Linotype" w:hAnsi="Palatino Linotype" w:cs="Times New Roman"/>
          <w:i/>
          <w:color w:val="auto"/>
          <w:sz w:val="26"/>
          <w:szCs w:val="26"/>
          <w:u w:val="single"/>
        </w:rPr>
      </w:pPr>
      <w:r w:rsidRPr="000A7038">
        <w:rPr>
          <w:rFonts w:ascii="Palatino Linotype" w:hAnsi="Palatino Linotype" w:cs="Times New Roman"/>
          <w:i/>
          <w:color w:val="auto"/>
          <w:sz w:val="26"/>
          <w:szCs w:val="26"/>
          <w:u w:val="single"/>
        </w:rPr>
        <w:lastRenderedPageBreak/>
        <w:t>Background on the SFID Facility</w:t>
      </w:r>
    </w:p>
    <w:p w:rsidRPr="008E6E10" w:rsidR="003A3453" w:rsidP="009D535E" w:rsidRDefault="003A3453" w14:paraId="5D07EEF0" w14:textId="77777777">
      <w:pPr>
        <w:pStyle w:val="Default"/>
        <w:rPr>
          <w:rFonts w:ascii="Palatino Linotype" w:hAnsi="Palatino Linotype" w:cs="Times New Roman"/>
          <w:iCs/>
          <w:color w:val="auto"/>
          <w:sz w:val="26"/>
          <w:szCs w:val="26"/>
        </w:rPr>
      </w:pPr>
    </w:p>
    <w:p w:rsidR="003F4CBB" w:rsidP="009D535E" w:rsidRDefault="003A3453" w14:paraId="146659E9" w14:textId="77777777">
      <w:pPr>
        <w:pStyle w:val="Default"/>
        <w:rPr>
          <w:rFonts w:ascii="Palatino Linotype" w:hAnsi="Palatino Linotype" w:cs="Times New Roman"/>
          <w:iCs/>
          <w:color w:val="auto"/>
          <w:sz w:val="26"/>
          <w:szCs w:val="26"/>
        </w:rPr>
      </w:pPr>
      <w:r w:rsidRPr="008E6E10">
        <w:rPr>
          <w:rFonts w:ascii="Palatino Linotype" w:hAnsi="Palatino Linotype" w:cs="Times New Roman"/>
          <w:iCs/>
          <w:color w:val="auto"/>
          <w:sz w:val="26"/>
          <w:szCs w:val="26"/>
        </w:rPr>
        <w:t xml:space="preserve">The SFID facility is an existing </w:t>
      </w:r>
      <w:r w:rsidR="003F4CBB">
        <w:rPr>
          <w:rFonts w:ascii="Palatino Linotype" w:hAnsi="Palatino Linotype" w:cs="Times New Roman"/>
          <w:iCs/>
          <w:color w:val="auto"/>
          <w:sz w:val="26"/>
          <w:szCs w:val="26"/>
        </w:rPr>
        <w:t xml:space="preserve">hydroelectric </w:t>
      </w:r>
      <w:r w:rsidR="00D7394B">
        <w:rPr>
          <w:rFonts w:ascii="Palatino Linotype" w:hAnsi="Palatino Linotype" w:cs="Times New Roman"/>
          <w:iCs/>
          <w:color w:val="auto"/>
          <w:sz w:val="26"/>
          <w:szCs w:val="26"/>
        </w:rPr>
        <w:t>QF</w:t>
      </w:r>
      <w:r w:rsidRPr="008E6E10" w:rsidR="003F4CBB">
        <w:rPr>
          <w:rFonts w:ascii="Palatino Linotype" w:hAnsi="Palatino Linotype" w:cs="Times New Roman"/>
          <w:iCs/>
          <w:color w:val="auto"/>
          <w:sz w:val="26"/>
          <w:szCs w:val="26"/>
        </w:rPr>
        <w:t xml:space="preserve"> </w:t>
      </w:r>
      <w:r w:rsidR="003F4CBB">
        <w:rPr>
          <w:rFonts w:ascii="Palatino Linotype" w:hAnsi="Palatino Linotype" w:cs="Times New Roman"/>
          <w:iCs/>
          <w:color w:val="auto"/>
          <w:sz w:val="26"/>
          <w:szCs w:val="26"/>
        </w:rPr>
        <w:t>with a maximum 600 kW output turbine fueled by water flowing through a conduit supplied by the San Diego County Water Authority</w:t>
      </w:r>
      <w:r w:rsidR="00595DD6">
        <w:rPr>
          <w:rFonts w:ascii="Palatino Linotype" w:hAnsi="Palatino Linotype" w:cs="Times New Roman"/>
          <w:iCs/>
          <w:color w:val="auto"/>
          <w:sz w:val="26"/>
          <w:szCs w:val="26"/>
        </w:rPr>
        <w:t>. The facility is</w:t>
      </w:r>
      <w:r w:rsidR="009253F2">
        <w:rPr>
          <w:rFonts w:ascii="Palatino Linotype" w:hAnsi="Palatino Linotype" w:cs="Times New Roman"/>
          <w:iCs/>
          <w:color w:val="auto"/>
          <w:sz w:val="26"/>
          <w:szCs w:val="26"/>
        </w:rPr>
        <w:t xml:space="preserve"> co-owned by San Dieguito Water District</w:t>
      </w:r>
      <w:r w:rsidR="003F4CBB">
        <w:rPr>
          <w:rFonts w:ascii="Palatino Linotype" w:hAnsi="Palatino Linotype" w:cs="Times New Roman"/>
          <w:iCs/>
          <w:color w:val="auto"/>
          <w:sz w:val="26"/>
          <w:szCs w:val="26"/>
        </w:rPr>
        <w:t>.</w:t>
      </w:r>
    </w:p>
    <w:p w:rsidR="003F4CBB" w:rsidP="009D535E" w:rsidRDefault="003F4CBB" w14:paraId="359408A0" w14:textId="77777777">
      <w:pPr>
        <w:pStyle w:val="Default"/>
        <w:rPr>
          <w:rFonts w:ascii="Palatino Linotype" w:hAnsi="Palatino Linotype" w:cs="Times New Roman"/>
          <w:iCs/>
          <w:color w:val="auto"/>
          <w:sz w:val="26"/>
          <w:szCs w:val="26"/>
        </w:rPr>
      </w:pPr>
    </w:p>
    <w:p w:rsidRPr="008E6E10" w:rsidR="003A3453" w:rsidP="009D535E" w:rsidRDefault="00F03221" w14:paraId="0B1BB8D2" w14:textId="77777777">
      <w:pPr>
        <w:pStyle w:val="Default"/>
        <w:rPr>
          <w:rFonts w:ascii="Palatino Linotype" w:hAnsi="Palatino Linotype" w:cs="Times New Roman"/>
          <w:iCs/>
          <w:color w:val="auto"/>
          <w:sz w:val="26"/>
          <w:szCs w:val="26"/>
        </w:rPr>
      </w:pPr>
      <w:r>
        <w:rPr>
          <w:rFonts w:ascii="Palatino Linotype" w:hAnsi="Palatino Linotype" w:cs="Times New Roman"/>
          <w:iCs/>
          <w:color w:val="auto"/>
          <w:sz w:val="26"/>
          <w:szCs w:val="26"/>
        </w:rPr>
        <w:t>The facility</w:t>
      </w:r>
      <w:r w:rsidRPr="008E6E10">
        <w:rPr>
          <w:rFonts w:ascii="Palatino Linotype" w:hAnsi="Palatino Linotype" w:cs="Times New Roman"/>
          <w:iCs/>
          <w:color w:val="auto"/>
          <w:sz w:val="26"/>
          <w:szCs w:val="26"/>
        </w:rPr>
        <w:t xml:space="preserve"> </w:t>
      </w:r>
      <w:r w:rsidRPr="008E6E10" w:rsidR="003A3453">
        <w:rPr>
          <w:rFonts w:ascii="Palatino Linotype" w:hAnsi="Palatino Linotype" w:cs="Times New Roman"/>
          <w:iCs/>
          <w:color w:val="auto"/>
          <w:sz w:val="26"/>
          <w:szCs w:val="26"/>
        </w:rPr>
        <w:t xml:space="preserve">sold as-available power to SDG&amp;E under a 30-year legacy </w:t>
      </w:r>
      <w:r w:rsidR="00D7394B">
        <w:rPr>
          <w:rFonts w:ascii="Palatino Linotype" w:hAnsi="Palatino Linotype" w:cs="Times New Roman"/>
          <w:iCs/>
          <w:color w:val="auto"/>
          <w:sz w:val="26"/>
          <w:szCs w:val="26"/>
        </w:rPr>
        <w:t>Standard Offer 4</w:t>
      </w:r>
      <w:r w:rsidRPr="008E6E10" w:rsidR="00D7394B">
        <w:rPr>
          <w:rFonts w:ascii="Palatino Linotype" w:hAnsi="Palatino Linotype" w:cs="Times New Roman"/>
          <w:iCs/>
          <w:color w:val="auto"/>
          <w:sz w:val="26"/>
          <w:szCs w:val="26"/>
        </w:rPr>
        <w:t xml:space="preserve"> </w:t>
      </w:r>
      <w:r w:rsidRPr="008E6E10" w:rsidR="003A3453">
        <w:rPr>
          <w:rFonts w:ascii="Palatino Linotype" w:hAnsi="Palatino Linotype" w:cs="Times New Roman"/>
          <w:iCs/>
          <w:color w:val="auto"/>
          <w:sz w:val="26"/>
          <w:szCs w:val="26"/>
        </w:rPr>
        <w:t xml:space="preserve">QF contract that expired on July 1, 2017. SFID subsequently upgraded the facility and executed an interconnection agreement with SDG&amp;E. SFID approached SDG&amp;E with a request to </w:t>
      </w:r>
      <w:proofErr w:type="gramStart"/>
      <w:r w:rsidRPr="008E6E10" w:rsidR="003A3453">
        <w:rPr>
          <w:rFonts w:ascii="Palatino Linotype" w:hAnsi="Palatino Linotype" w:cs="Times New Roman"/>
          <w:iCs/>
          <w:color w:val="auto"/>
          <w:sz w:val="26"/>
          <w:szCs w:val="26"/>
        </w:rPr>
        <w:t>enter into</w:t>
      </w:r>
      <w:proofErr w:type="gramEnd"/>
      <w:r w:rsidRPr="008E6E10" w:rsidR="003A3453">
        <w:rPr>
          <w:rFonts w:ascii="Palatino Linotype" w:hAnsi="Palatino Linotype" w:cs="Times New Roman"/>
          <w:iCs/>
          <w:color w:val="auto"/>
          <w:sz w:val="26"/>
          <w:szCs w:val="26"/>
        </w:rPr>
        <w:t xml:space="preserve"> a new PPA.</w:t>
      </w:r>
    </w:p>
    <w:p w:rsidRPr="008E6E10" w:rsidR="003A3453" w:rsidP="009D535E" w:rsidRDefault="003A3453" w14:paraId="418E09D6" w14:textId="77777777">
      <w:pPr>
        <w:pStyle w:val="Default"/>
        <w:rPr>
          <w:rFonts w:ascii="Palatino Linotype" w:hAnsi="Palatino Linotype" w:cs="Times New Roman"/>
          <w:iCs/>
          <w:color w:val="auto"/>
          <w:sz w:val="26"/>
          <w:szCs w:val="26"/>
        </w:rPr>
      </w:pPr>
    </w:p>
    <w:p w:rsidRPr="008E6E10" w:rsidR="00617656" w:rsidP="009D535E" w:rsidRDefault="00617656" w14:paraId="011C1D67" w14:textId="77777777">
      <w:pPr>
        <w:pStyle w:val="Default"/>
        <w:rPr>
          <w:rFonts w:ascii="Palatino Linotype" w:hAnsi="Palatino Linotype" w:cs="Times New Roman"/>
          <w:i/>
          <w:color w:val="auto"/>
          <w:sz w:val="26"/>
          <w:szCs w:val="26"/>
          <w:u w:val="single"/>
        </w:rPr>
      </w:pPr>
      <w:r w:rsidRPr="008E6E10">
        <w:rPr>
          <w:rFonts w:ascii="Palatino Linotype" w:hAnsi="Palatino Linotype" w:cs="Times New Roman"/>
          <w:i/>
          <w:color w:val="auto"/>
          <w:sz w:val="26"/>
          <w:szCs w:val="26"/>
          <w:u w:val="single"/>
        </w:rPr>
        <w:t xml:space="preserve">Background on </w:t>
      </w:r>
      <w:r w:rsidR="00D7394B">
        <w:rPr>
          <w:rFonts w:ascii="Palatino Linotype" w:hAnsi="Palatino Linotype" w:cs="Times New Roman"/>
          <w:i/>
          <w:color w:val="auto"/>
          <w:sz w:val="26"/>
          <w:szCs w:val="26"/>
          <w:u w:val="single"/>
        </w:rPr>
        <w:t xml:space="preserve">Requested Contract </w:t>
      </w:r>
      <w:r w:rsidRPr="008E6E10">
        <w:rPr>
          <w:rFonts w:ascii="Palatino Linotype" w:hAnsi="Palatino Linotype" w:cs="Times New Roman"/>
          <w:i/>
          <w:color w:val="auto"/>
          <w:sz w:val="26"/>
          <w:szCs w:val="26"/>
          <w:u w:val="single"/>
        </w:rPr>
        <w:t>Amendments</w:t>
      </w:r>
    </w:p>
    <w:p w:rsidR="00617656" w:rsidP="009D535E" w:rsidRDefault="00617656" w14:paraId="2EA0B6E9" w14:textId="77777777">
      <w:pPr>
        <w:pStyle w:val="Default"/>
        <w:rPr>
          <w:rFonts w:ascii="Palatino Linotype" w:hAnsi="Palatino Linotype" w:cs="Times New Roman"/>
          <w:iCs/>
          <w:color w:val="auto"/>
          <w:sz w:val="26"/>
          <w:szCs w:val="26"/>
          <w:u w:val="single"/>
        </w:rPr>
      </w:pPr>
    </w:p>
    <w:p w:rsidRPr="00213278" w:rsidR="00457AAC" w:rsidP="009D535E" w:rsidRDefault="00457AAC" w14:paraId="6695CEDA" w14:textId="77777777">
      <w:pPr>
        <w:pStyle w:val="Default"/>
        <w:rPr>
          <w:rFonts w:ascii="Palatino Linotype" w:hAnsi="Palatino Linotype" w:cs="Times New Roman"/>
          <w:iCs/>
          <w:color w:val="auto"/>
          <w:sz w:val="26"/>
          <w:szCs w:val="26"/>
        </w:rPr>
      </w:pPr>
      <w:r w:rsidRPr="002E78E4">
        <w:rPr>
          <w:rFonts w:ascii="Palatino Linotype" w:hAnsi="Palatino Linotype" w:cs="Times New Roman"/>
          <w:iCs/>
          <w:color w:val="auto"/>
          <w:sz w:val="26"/>
          <w:szCs w:val="26"/>
        </w:rPr>
        <w:t xml:space="preserve">SDG&amp;E is seeking approval of five changes to the agreement with SFID. As the </w:t>
      </w:r>
      <w:r w:rsidRPr="00213278" w:rsidR="00231A9D">
        <w:rPr>
          <w:rFonts w:ascii="Palatino Linotype" w:hAnsi="Palatino Linotype" w:cs="Times New Roman"/>
          <w:iCs/>
          <w:color w:val="auto"/>
          <w:sz w:val="26"/>
          <w:szCs w:val="26"/>
        </w:rPr>
        <w:t>agreement is based on a pro forma agreement approved by the CPUC</w:t>
      </w:r>
      <w:r w:rsidRPr="00213278" w:rsidR="000D0AB3">
        <w:rPr>
          <w:rFonts w:ascii="Palatino Linotype" w:hAnsi="Palatino Linotype" w:cs="Times New Roman"/>
          <w:iCs/>
          <w:color w:val="auto"/>
          <w:sz w:val="26"/>
          <w:szCs w:val="26"/>
        </w:rPr>
        <w:t xml:space="preserve"> in </w:t>
      </w:r>
      <w:r w:rsidR="00B00C89">
        <w:rPr>
          <w:rFonts w:ascii="Palatino Linotype" w:hAnsi="Palatino Linotype" w:cs="Times New Roman"/>
          <w:iCs/>
          <w:color w:val="auto"/>
          <w:sz w:val="26"/>
          <w:szCs w:val="26"/>
        </w:rPr>
        <w:br/>
      </w:r>
      <w:r w:rsidRPr="00213278" w:rsidR="000D0AB3">
        <w:rPr>
          <w:rFonts w:ascii="Palatino Linotype" w:hAnsi="Palatino Linotype" w:cs="Times New Roman"/>
          <w:iCs/>
          <w:color w:val="auto"/>
          <w:sz w:val="26"/>
          <w:szCs w:val="26"/>
        </w:rPr>
        <w:t>D.10-12-035</w:t>
      </w:r>
      <w:r w:rsidRPr="00213278" w:rsidR="00231A9D">
        <w:rPr>
          <w:rFonts w:ascii="Palatino Linotype" w:hAnsi="Palatino Linotype" w:cs="Times New Roman"/>
          <w:iCs/>
          <w:color w:val="auto"/>
          <w:sz w:val="26"/>
          <w:szCs w:val="26"/>
        </w:rPr>
        <w:t xml:space="preserve">, SDG&amp;E must receive CPUC approval of the modifications </w:t>
      </w:r>
      <w:r w:rsidRPr="00213278" w:rsidR="000D0AB3">
        <w:rPr>
          <w:rFonts w:ascii="Palatino Linotype" w:hAnsi="Palatino Linotype" w:cs="Times New Roman"/>
          <w:iCs/>
          <w:color w:val="auto"/>
          <w:sz w:val="26"/>
          <w:szCs w:val="26"/>
        </w:rPr>
        <w:t>in accordance with the CHP Settlement Term Sheet adopted in the same Decision.</w:t>
      </w:r>
      <w:r w:rsidR="00213278">
        <w:rPr>
          <w:rFonts w:ascii="Palatino Linotype" w:hAnsi="Palatino Linotype" w:cs="Times New Roman"/>
          <w:iCs/>
          <w:color w:val="auto"/>
          <w:sz w:val="26"/>
          <w:szCs w:val="26"/>
        </w:rPr>
        <w:t xml:space="preserve"> SDG&amp;E submitted </w:t>
      </w:r>
      <w:r w:rsidR="00595DD6">
        <w:rPr>
          <w:rFonts w:ascii="Palatino Linotype" w:hAnsi="Palatino Linotype" w:cs="Times New Roman"/>
          <w:iCs/>
          <w:color w:val="auto"/>
          <w:sz w:val="26"/>
          <w:szCs w:val="26"/>
        </w:rPr>
        <w:t xml:space="preserve">a contract with </w:t>
      </w:r>
      <w:r w:rsidR="00213278">
        <w:rPr>
          <w:rFonts w:ascii="Palatino Linotype" w:hAnsi="Palatino Linotype" w:cs="Times New Roman"/>
          <w:iCs/>
          <w:color w:val="auto"/>
          <w:sz w:val="26"/>
          <w:szCs w:val="26"/>
        </w:rPr>
        <w:t>the following modifications for approval:</w:t>
      </w:r>
    </w:p>
    <w:p w:rsidRPr="00213278" w:rsidR="00457AAC" w:rsidP="009D535E" w:rsidRDefault="00457AAC" w14:paraId="1C2D6E1B" w14:textId="77777777">
      <w:pPr>
        <w:pStyle w:val="Default"/>
        <w:rPr>
          <w:rFonts w:ascii="Palatino Linotype" w:hAnsi="Palatino Linotype" w:cs="Times New Roman"/>
          <w:iCs/>
          <w:color w:val="auto"/>
          <w:sz w:val="26"/>
          <w:szCs w:val="26"/>
        </w:rPr>
      </w:pPr>
    </w:p>
    <w:p w:rsidRPr="000F7FB4" w:rsidR="00213278" w:rsidP="00213278" w:rsidRDefault="00213278" w14:paraId="15E5C8FE" w14:textId="77777777">
      <w:pPr>
        <w:pStyle w:val="Default"/>
        <w:numPr>
          <w:ilvl w:val="0"/>
          <w:numId w:val="24"/>
        </w:numPr>
        <w:rPr>
          <w:rFonts w:ascii="Palatino Linotype" w:hAnsi="Palatino Linotype" w:cs="Times New Roman"/>
          <w:iCs/>
          <w:color w:val="auto"/>
          <w:sz w:val="26"/>
          <w:szCs w:val="26"/>
        </w:rPr>
      </w:pPr>
      <w:r>
        <w:rPr>
          <w:rFonts w:ascii="Palatino Linotype" w:hAnsi="Palatino Linotype" w:cs="Times New Roman"/>
          <w:iCs/>
          <w:color w:val="auto"/>
          <w:sz w:val="26"/>
          <w:szCs w:val="26"/>
        </w:rPr>
        <w:t xml:space="preserve">Addition of </w:t>
      </w:r>
      <w:r w:rsidRPr="000F7FB4">
        <w:rPr>
          <w:rFonts w:ascii="Palatino Linotype" w:hAnsi="Palatino Linotype" w:cs="Times New Roman"/>
          <w:iCs/>
          <w:color w:val="auto"/>
          <w:sz w:val="26"/>
          <w:szCs w:val="26"/>
        </w:rPr>
        <w:t>a</w:t>
      </w:r>
      <w:r w:rsidRPr="000F7FB4" w:rsidR="00457AAC">
        <w:rPr>
          <w:rFonts w:ascii="Palatino Linotype" w:hAnsi="Palatino Linotype" w:cs="Times New Roman"/>
          <w:iCs/>
          <w:color w:val="auto"/>
          <w:sz w:val="26"/>
          <w:szCs w:val="26"/>
        </w:rPr>
        <w:t xml:space="preserve"> provision </w:t>
      </w:r>
      <w:r w:rsidRPr="000F7FB4" w:rsidR="000D0AB3">
        <w:rPr>
          <w:rFonts w:ascii="Palatino Linotype" w:hAnsi="Palatino Linotype" w:cs="Times New Roman"/>
          <w:iCs/>
          <w:color w:val="auto"/>
          <w:sz w:val="26"/>
          <w:szCs w:val="26"/>
        </w:rPr>
        <w:t>that defines CPUC approval and makes the effective date contingent on that approval.</w:t>
      </w:r>
    </w:p>
    <w:p w:rsidR="00213278" w:rsidP="00213278" w:rsidRDefault="00213278" w14:paraId="2B5C812E" w14:textId="77777777">
      <w:pPr>
        <w:pStyle w:val="Default"/>
        <w:numPr>
          <w:ilvl w:val="0"/>
          <w:numId w:val="24"/>
        </w:numPr>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 xml:space="preserve">Addition of a </w:t>
      </w:r>
      <w:r w:rsidRPr="000F7FB4" w:rsidR="00251230">
        <w:rPr>
          <w:rFonts w:ascii="Palatino Linotype" w:hAnsi="Palatino Linotype" w:cs="Times New Roman"/>
          <w:iCs/>
          <w:color w:val="auto"/>
          <w:sz w:val="26"/>
          <w:szCs w:val="26"/>
        </w:rPr>
        <w:t>limited waiver of SFID’s sovereign immunity</w:t>
      </w:r>
      <w:r w:rsidRPr="000F7FB4" w:rsidR="00C169BC">
        <w:rPr>
          <w:rStyle w:val="FootnoteReference"/>
          <w:rFonts w:ascii="Palatino Linotype" w:hAnsi="Palatino Linotype" w:cs="Times New Roman"/>
          <w:iCs/>
          <w:color w:val="auto"/>
          <w:sz w:val="26"/>
          <w:szCs w:val="26"/>
        </w:rPr>
        <w:footnoteReference w:id="4"/>
      </w:r>
      <w:r w:rsidRPr="000F7FB4" w:rsidR="00C169BC">
        <w:rPr>
          <w:rFonts w:ascii="Palatino Linotype" w:hAnsi="Palatino Linotype" w:cs="Times New Roman"/>
          <w:iCs/>
          <w:color w:val="auto"/>
          <w:sz w:val="26"/>
          <w:szCs w:val="26"/>
        </w:rPr>
        <w:t xml:space="preserve"> </w:t>
      </w:r>
      <w:r w:rsidRPr="000F7FB4" w:rsidR="00251230">
        <w:rPr>
          <w:rFonts w:ascii="Palatino Linotype" w:hAnsi="Palatino Linotype" w:cs="Times New Roman"/>
          <w:iCs/>
          <w:color w:val="auto"/>
          <w:sz w:val="26"/>
          <w:szCs w:val="26"/>
        </w:rPr>
        <w:t>with respect to specific performance and claims for da</w:t>
      </w:r>
      <w:r w:rsidRPr="00213278" w:rsidR="00251230">
        <w:rPr>
          <w:rFonts w:ascii="Palatino Linotype" w:hAnsi="Palatino Linotype" w:cs="Times New Roman"/>
          <w:iCs/>
          <w:color w:val="auto"/>
          <w:sz w:val="26"/>
          <w:szCs w:val="26"/>
        </w:rPr>
        <w:t>mage</w:t>
      </w:r>
      <w:r w:rsidRPr="000F7FB4" w:rsidR="0097431D">
        <w:rPr>
          <w:rFonts w:ascii="Palatino Linotype" w:hAnsi="Palatino Linotype" w:cs="Times New Roman"/>
          <w:iCs/>
          <w:color w:val="auto"/>
          <w:sz w:val="26"/>
          <w:szCs w:val="26"/>
        </w:rPr>
        <w:t>s</w:t>
      </w:r>
      <w:r w:rsidRPr="000F7FB4" w:rsidR="00251230">
        <w:rPr>
          <w:rFonts w:ascii="Palatino Linotype" w:hAnsi="Palatino Linotype" w:cs="Times New Roman"/>
          <w:iCs/>
          <w:color w:val="auto"/>
          <w:sz w:val="26"/>
          <w:szCs w:val="26"/>
        </w:rPr>
        <w:t>.</w:t>
      </w:r>
    </w:p>
    <w:p w:rsidRPr="000F7FB4" w:rsidR="00213278" w:rsidP="00213278" w:rsidRDefault="00213278" w14:paraId="16D49170" w14:textId="77777777">
      <w:pPr>
        <w:pStyle w:val="Default"/>
        <w:numPr>
          <w:ilvl w:val="0"/>
          <w:numId w:val="24"/>
        </w:numPr>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 xml:space="preserve">Removal of </w:t>
      </w:r>
      <w:r w:rsidRPr="000F7FB4" w:rsidR="00251230">
        <w:rPr>
          <w:rFonts w:ascii="Palatino Linotype" w:hAnsi="Palatino Linotype" w:cs="Times New Roman"/>
          <w:iCs/>
          <w:color w:val="auto"/>
          <w:sz w:val="26"/>
          <w:szCs w:val="26"/>
        </w:rPr>
        <w:t>the Scheduling Coordinator Fee from the agreement</w:t>
      </w:r>
      <w:r w:rsidR="00877F57">
        <w:rPr>
          <w:rFonts w:ascii="Palatino Linotype" w:hAnsi="Palatino Linotype" w:cs="Times New Roman"/>
          <w:iCs/>
          <w:color w:val="auto"/>
          <w:sz w:val="26"/>
          <w:szCs w:val="26"/>
        </w:rPr>
        <w:t>.</w:t>
      </w:r>
    </w:p>
    <w:p w:rsidRPr="002E78E4" w:rsidR="00213278" w:rsidP="00213278" w:rsidRDefault="00213278" w14:paraId="73DC335A" w14:textId="77777777">
      <w:pPr>
        <w:pStyle w:val="Default"/>
        <w:numPr>
          <w:ilvl w:val="0"/>
          <w:numId w:val="24"/>
        </w:numPr>
        <w:rPr>
          <w:rFonts w:ascii="Palatino Linotype" w:hAnsi="Palatino Linotype" w:cs="Times New Roman"/>
          <w:iCs/>
          <w:color w:val="auto"/>
          <w:sz w:val="26"/>
          <w:szCs w:val="26"/>
        </w:rPr>
      </w:pPr>
      <w:r>
        <w:rPr>
          <w:rFonts w:ascii="Palatino Linotype" w:hAnsi="Palatino Linotype" w:cs="Times New Roman"/>
          <w:iCs/>
          <w:color w:val="auto"/>
          <w:sz w:val="26"/>
          <w:szCs w:val="26"/>
        </w:rPr>
        <w:t xml:space="preserve">Agreement </w:t>
      </w:r>
      <w:r w:rsidRPr="002E78E4" w:rsidR="00251230">
        <w:rPr>
          <w:rFonts w:ascii="Palatino Linotype" w:hAnsi="Palatino Linotype" w:cs="Times New Roman"/>
          <w:iCs/>
          <w:color w:val="auto"/>
          <w:sz w:val="26"/>
          <w:szCs w:val="26"/>
        </w:rPr>
        <w:t>that the Seller will not be held in default under the PPA if it abandons the facility or does not operate the facility for 30 or more consecutive days due to lack of adequate water supply for the generator.</w:t>
      </w:r>
    </w:p>
    <w:p w:rsidRPr="002E78E4" w:rsidR="00251230" w:rsidP="00213278" w:rsidRDefault="00213278" w14:paraId="61AAF057" w14:textId="77777777">
      <w:pPr>
        <w:pStyle w:val="Default"/>
        <w:numPr>
          <w:ilvl w:val="0"/>
          <w:numId w:val="24"/>
        </w:numPr>
        <w:rPr>
          <w:rFonts w:ascii="Palatino Linotype" w:hAnsi="Palatino Linotype" w:cs="Times New Roman"/>
          <w:iCs/>
          <w:color w:val="auto"/>
          <w:sz w:val="26"/>
          <w:szCs w:val="26"/>
        </w:rPr>
      </w:pPr>
      <w:r>
        <w:rPr>
          <w:rFonts w:ascii="Palatino Linotype" w:hAnsi="Palatino Linotype" w:cs="Times New Roman"/>
          <w:iCs/>
          <w:color w:val="auto"/>
          <w:sz w:val="26"/>
          <w:szCs w:val="26"/>
        </w:rPr>
        <w:lastRenderedPageBreak/>
        <w:t xml:space="preserve">Agreement </w:t>
      </w:r>
      <w:r w:rsidRPr="002E78E4" w:rsidR="00251230">
        <w:rPr>
          <w:rFonts w:ascii="Palatino Linotype" w:hAnsi="Palatino Linotype" w:cs="Times New Roman"/>
          <w:iCs/>
          <w:color w:val="auto"/>
          <w:sz w:val="26"/>
          <w:szCs w:val="26"/>
        </w:rPr>
        <w:t xml:space="preserve">that if the PPA is terminated because SFID abandons the facility due to a breakdown, SFID will not owe a termination payment to SDG&amp;E. </w:t>
      </w:r>
    </w:p>
    <w:p w:rsidRPr="008E6E10" w:rsidR="009D535E" w:rsidP="009D535E" w:rsidRDefault="009D535E" w14:paraId="75D32221" w14:textId="77777777">
      <w:pPr>
        <w:rPr>
          <w:b/>
          <w:szCs w:val="26"/>
          <w:u w:val="single"/>
        </w:rPr>
      </w:pPr>
    </w:p>
    <w:p w:rsidRPr="008E6E10" w:rsidR="009D535E" w:rsidP="009D535E" w:rsidRDefault="009D535E" w14:paraId="3FD134BD" w14:textId="77777777">
      <w:pPr>
        <w:pStyle w:val="Heading1"/>
      </w:pPr>
      <w:r w:rsidRPr="008E6E10">
        <w:t xml:space="preserve">Notice </w:t>
      </w:r>
    </w:p>
    <w:p w:rsidRPr="008E6E10" w:rsidR="009D535E" w:rsidP="009D535E" w:rsidRDefault="009D535E" w14:paraId="57E10E1A" w14:textId="77777777">
      <w:pPr>
        <w:rPr>
          <w:rFonts w:ascii="Palatino Linotype" w:hAnsi="Palatino Linotype"/>
        </w:rPr>
      </w:pPr>
      <w:r w:rsidRPr="008E6E10">
        <w:rPr>
          <w:rFonts w:ascii="Palatino Linotype" w:hAnsi="Palatino Linotype"/>
        </w:rPr>
        <w:t xml:space="preserve">Notice of AL </w:t>
      </w:r>
      <w:r w:rsidR="00F03221">
        <w:rPr>
          <w:rFonts w:ascii="Palatino Linotype" w:hAnsi="Palatino Linotype"/>
        </w:rPr>
        <w:t xml:space="preserve">3447-E and </w:t>
      </w:r>
      <w:r w:rsidRPr="008E6E10" w:rsidR="00F91571">
        <w:rPr>
          <w:rFonts w:ascii="Palatino Linotype" w:hAnsi="Palatino Linotype"/>
        </w:rPr>
        <w:t>3447</w:t>
      </w:r>
      <w:r w:rsidRPr="008E6E10">
        <w:rPr>
          <w:rFonts w:ascii="Palatino Linotype" w:hAnsi="Palatino Linotype"/>
        </w:rPr>
        <w:t>-E</w:t>
      </w:r>
      <w:r w:rsidR="0050304B">
        <w:rPr>
          <w:rFonts w:ascii="Palatino Linotype" w:hAnsi="Palatino Linotype"/>
        </w:rPr>
        <w:t>-A</w:t>
      </w:r>
      <w:r w:rsidRPr="008E6E10">
        <w:rPr>
          <w:rFonts w:ascii="Palatino Linotype" w:hAnsi="Palatino Linotype"/>
        </w:rPr>
        <w:t xml:space="preserve"> was made by publication in th</w:t>
      </w:r>
      <w:r w:rsidRPr="008E6E10" w:rsidR="00B9039D">
        <w:rPr>
          <w:rFonts w:ascii="Palatino Linotype" w:hAnsi="Palatino Linotype"/>
        </w:rPr>
        <w:t xml:space="preserve">e </w:t>
      </w:r>
      <w:r w:rsidR="00C87454">
        <w:rPr>
          <w:rFonts w:ascii="Palatino Linotype" w:hAnsi="Palatino Linotype"/>
        </w:rPr>
        <w:t>CPUC</w:t>
      </w:r>
      <w:r w:rsidRPr="008E6E10" w:rsidR="00C87454">
        <w:rPr>
          <w:rFonts w:ascii="Palatino Linotype" w:hAnsi="Palatino Linotype"/>
        </w:rPr>
        <w:t xml:space="preserve">’s </w:t>
      </w:r>
      <w:r w:rsidRPr="008E6E10" w:rsidR="00B9039D">
        <w:rPr>
          <w:rFonts w:ascii="Palatino Linotype" w:hAnsi="Palatino Linotype"/>
        </w:rPr>
        <w:t xml:space="preserve">Daily Calendar. </w:t>
      </w:r>
      <w:r w:rsidRPr="008E6E10" w:rsidR="00F91571">
        <w:rPr>
          <w:rFonts w:ascii="Palatino Linotype" w:hAnsi="Palatino Linotype"/>
        </w:rPr>
        <w:t xml:space="preserve">San Diego </w:t>
      </w:r>
      <w:r w:rsidRPr="008E6E10" w:rsidR="00E9065B">
        <w:rPr>
          <w:rFonts w:ascii="Palatino Linotype" w:hAnsi="Palatino Linotype"/>
        </w:rPr>
        <w:t xml:space="preserve">Gas </w:t>
      </w:r>
      <w:r w:rsidRPr="008E6E10" w:rsidR="00F91571">
        <w:rPr>
          <w:rFonts w:ascii="Palatino Linotype" w:hAnsi="Palatino Linotype"/>
        </w:rPr>
        <w:t xml:space="preserve">&amp; </w:t>
      </w:r>
      <w:r w:rsidRPr="008E6E10" w:rsidR="00E9065B">
        <w:rPr>
          <w:rFonts w:ascii="Palatino Linotype" w:hAnsi="Palatino Linotype"/>
        </w:rPr>
        <w:t>Electric Company</w:t>
      </w:r>
      <w:r w:rsidRPr="008E6E10" w:rsidR="00B9039D">
        <w:rPr>
          <w:rFonts w:ascii="Palatino Linotype" w:hAnsi="Palatino Linotype"/>
        </w:rPr>
        <w:t xml:space="preserve"> </w:t>
      </w:r>
      <w:r w:rsidRPr="008E6E10">
        <w:rPr>
          <w:rFonts w:ascii="Palatino Linotype" w:hAnsi="Palatino Linotype"/>
        </w:rPr>
        <w:t xml:space="preserve">states that a copy of the Advice Letter was mailed and distributed in accordance with Section 4 of General Order 96-B. </w:t>
      </w:r>
    </w:p>
    <w:p w:rsidRPr="008E6E10" w:rsidR="009D535E" w:rsidP="009D535E" w:rsidRDefault="009D535E" w14:paraId="6FE6D44F" w14:textId="77777777"/>
    <w:p w:rsidRPr="008E6E10" w:rsidR="009D535E" w:rsidP="009D535E" w:rsidRDefault="009D535E" w14:paraId="056BC4E0" w14:textId="77777777">
      <w:pPr>
        <w:pStyle w:val="Heading1"/>
      </w:pPr>
      <w:r w:rsidRPr="008E6E10">
        <w:t>Protests</w:t>
      </w:r>
    </w:p>
    <w:p w:rsidRPr="008E6E10" w:rsidR="009D535E" w:rsidP="009D535E" w:rsidRDefault="00B9039D" w14:paraId="126C87B1" w14:textId="77777777">
      <w:pPr>
        <w:rPr>
          <w:rFonts w:ascii="Palatino Linotype" w:hAnsi="Palatino Linotype"/>
        </w:rPr>
      </w:pPr>
      <w:r w:rsidRPr="008E6E10">
        <w:rPr>
          <w:rFonts w:ascii="Palatino Linotype" w:hAnsi="Palatino Linotype"/>
        </w:rPr>
        <w:t xml:space="preserve">Advice Letter </w:t>
      </w:r>
      <w:r w:rsidR="00F03221">
        <w:rPr>
          <w:rFonts w:ascii="Palatino Linotype" w:hAnsi="Palatino Linotype"/>
        </w:rPr>
        <w:t>3447-E and</w:t>
      </w:r>
      <w:r w:rsidRPr="008E6E10" w:rsidR="00F03221">
        <w:rPr>
          <w:rFonts w:ascii="Palatino Linotype" w:hAnsi="Palatino Linotype"/>
        </w:rPr>
        <w:t xml:space="preserve"> </w:t>
      </w:r>
      <w:r w:rsidRPr="008E6E10" w:rsidR="00F91571">
        <w:rPr>
          <w:rFonts w:ascii="Palatino Linotype" w:hAnsi="Palatino Linotype"/>
        </w:rPr>
        <w:t>3447</w:t>
      </w:r>
      <w:r w:rsidRPr="008E6E10" w:rsidR="00E9065B">
        <w:rPr>
          <w:rFonts w:ascii="Palatino Linotype" w:hAnsi="Palatino Linotype"/>
        </w:rPr>
        <w:t>-E</w:t>
      </w:r>
      <w:r w:rsidR="0050304B">
        <w:rPr>
          <w:rFonts w:ascii="Palatino Linotype" w:hAnsi="Palatino Linotype"/>
        </w:rPr>
        <w:t>-A</w:t>
      </w:r>
      <w:r w:rsidRPr="008E6E10" w:rsidR="009D535E">
        <w:rPr>
          <w:rFonts w:ascii="Palatino Linotype" w:hAnsi="Palatino Linotype"/>
        </w:rPr>
        <w:t xml:space="preserve"> </w:t>
      </w:r>
      <w:r w:rsidR="00F03221">
        <w:rPr>
          <w:rFonts w:ascii="Palatino Linotype" w:hAnsi="Palatino Linotype"/>
        </w:rPr>
        <w:t>were</w:t>
      </w:r>
      <w:r w:rsidRPr="008E6E10" w:rsidR="00F03221">
        <w:rPr>
          <w:rFonts w:ascii="Palatino Linotype" w:hAnsi="Palatino Linotype"/>
        </w:rPr>
        <w:t xml:space="preserve"> </w:t>
      </w:r>
      <w:r w:rsidRPr="008E6E10" w:rsidR="009D535E">
        <w:rPr>
          <w:rFonts w:ascii="Palatino Linotype" w:hAnsi="Palatino Linotype"/>
        </w:rPr>
        <w:t xml:space="preserve">not protested.  </w:t>
      </w:r>
    </w:p>
    <w:p w:rsidRPr="008E6E10" w:rsidR="009D535E" w:rsidP="009D535E" w:rsidRDefault="009D535E" w14:paraId="689E3B42" w14:textId="77777777"/>
    <w:p w:rsidRPr="008E6E10" w:rsidR="009D535E" w:rsidP="009D535E" w:rsidRDefault="009D535E" w14:paraId="19544864" w14:textId="77777777">
      <w:pPr>
        <w:pStyle w:val="Heading1"/>
      </w:pPr>
      <w:r w:rsidRPr="008E6E10">
        <w:t>Discussion</w:t>
      </w:r>
    </w:p>
    <w:p w:rsidRPr="008E6E10" w:rsidR="00D65AB4" w:rsidP="00D65AB4" w:rsidRDefault="00B9039D" w14:paraId="5169F001" w14:textId="77777777">
      <w:pPr>
        <w:rPr>
          <w:rFonts w:ascii="Palatino Linotype" w:hAnsi="Palatino Linotype"/>
          <w:szCs w:val="26"/>
        </w:rPr>
      </w:pPr>
      <w:r w:rsidRPr="008E6E10">
        <w:rPr>
          <w:rFonts w:ascii="Palatino Linotype" w:hAnsi="Palatino Linotype"/>
        </w:rPr>
        <w:t xml:space="preserve">On </w:t>
      </w:r>
      <w:r w:rsidRPr="008E6E10" w:rsidR="00F91571">
        <w:rPr>
          <w:rFonts w:ascii="Palatino Linotype" w:hAnsi="Palatino Linotype"/>
        </w:rPr>
        <w:t xml:space="preserve">October </w:t>
      </w:r>
      <w:r w:rsidRPr="008E6E10">
        <w:rPr>
          <w:rFonts w:ascii="Palatino Linotype" w:hAnsi="Palatino Linotype"/>
        </w:rPr>
        <w:t>2</w:t>
      </w:r>
      <w:r w:rsidRPr="008E6E10" w:rsidR="00F91571">
        <w:rPr>
          <w:rFonts w:ascii="Palatino Linotype" w:hAnsi="Palatino Linotype"/>
        </w:rPr>
        <w:t>8</w:t>
      </w:r>
      <w:r w:rsidRPr="008E6E10">
        <w:rPr>
          <w:rFonts w:ascii="Palatino Linotype" w:hAnsi="Palatino Linotype"/>
        </w:rPr>
        <w:t>, 201</w:t>
      </w:r>
      <w:r w:rsidRPr="008E6E10" w:rsidR="00DD4C05">
        <w:rPr>
          <w:rFonts w:ascii="Palatino Linotype" w:hAnsi="Palatino Linotype"/>
        </w:rPr>
        <w:t>9</w:t>
      </w:r>
      <w:r w:rsidRPr="008E6E10" w:rsidR="009D535E">
        <w:rPr>
          <w:rFonts w:ascii="Palatino Linotype" w:hAnsi="Palatino Linotype"/>
        </w:rPr>
        <w:t xml:space="preserve">, </w:t>
      </w:r>
      <w:r w:rsidRPr="008E6E10" w:rsidR="00F91571">
        <w:rPr>
          <w:rFonts w:ascii="Palatino Linotype" w:hAnsi="Palatino Linotype"/>
        </w:rPr>
        <w:t>SD</w:t>
      </w:r>
      <w:r w:rsidRPr="008E6E10" w:rsidR="00DD4C05">
        <w:rPr>
          <w:rFonts w:ascii="Palatino Linotype" w:hAnsi="Palatino Linotype"/>
        </w:rPr>
        <w:t>G</w:t>
      </w:r>
      <w:r w:rsidRPr="008E6E10">
        <w:rPr>
          <w:rFonts w:ascii="Palatino Linotype" w:hAnsi="Palatino Linotype"/>
        </w:rPr>
        <w:t>&amp;E</w:t>
      </w:r>
      <w:r w:rsidRPr="008E6E10" w:rsidR="009D535E">
        <w:rPr>
          <w:rFonts w:ascii="Palatino Linotype" w:hAnsi="Palatino Linotype"/>
        </w:rPr>
        <w:t xml:space="preserve"> </w:t>
      </w:r>
      <w:r w:rsidRPr="008E6E10">
        <w:rPr>
          <w:rFonts w:ascii="Palatino Linotype" w:hAnsi="Palatino Linotype"/>
        </w:rPr>
        <w:t xml:space="preserve">filed Advice Letter </w:t>
      </w:r>
      <w:r w:rsidRPr="008E6E10" w:rsidR="00F91571">
        <w:rPr>
          <w:rFonts w:ascii="Palatino Linotype" w:hAnsi="Palatino Linotype"/>
        </w:rPr>
        <w:t>3447</w:t>
      </w:r>
      <w:r w:rsidRPr="008E6E10" w:rsidR="009D535E">
        <w:rPr>
          <w:rFonts w:ascii="Palatino Linotype" w:hAnsi="Palatino Linotype"/>
        </w:rPr>
        <w:t xml:space="preserve">-E requesting </w:t>
      </w:r>
      <w:r w:rsidR="00C87454">
        <w:rPr>
          <w:rFonts w:ascii="Palatino Linotype" w:hAnsi="Palatino Linotype"/>
        </w:rPr>
        <w:t>CPUC</w:t>
      </w:r>
      <w:r w:rsidRPr="008E6E10" w:rsidR="00C87454">
        <w:rPr>
          <w:rFonts w:ascii="Palatino Linotype" w:hAnsi="Palatino Linotype"/>
        </w:rPr>
        <w:t xml:space="preserve"> </w:t>
      </w:r>
      <w:r w:rsidRPr="008E6E10" w:rsidR="009D535E">
        <w:rPr>
          <w:rFonts w:ascii="Palatino Linotype" w:hAnsi="Palatino Linotype"/>
        </w:rPr>
        <w:t>app</w:t>
      </w:r>
      <w:r w:rsidRPr="008E6E10" w:rsidR="00D65AB4">
        <w:rPr>
          <w:rFonts w:ascii="Palatino Linotype" w:hAnsi="Palatino Linotype"/>
        </w:rPr>
        <w:t xml:space="preserve">roval of </w:t>
      </w:r>
      <w:r w:rsidRPr="008E6E10" w:rsidR="00F91571">
        <w:rPr>
          <w:rFonts w:ascii="Palatino Linotype" w:hAnsi="Palatino Linotype"/>
        </w:rPr>
        <w:t>a modified QF PPA.</w:t>
      </w:r>
      <w:r w:rsidR="0050304B">
        <w:rPr>
          <w:rFonts w:ascii="Palatino Linotype" w:hAnsi="Palatino Linotype"/>
        </w:rPr>
        <w:t xml:space="preserve"> On January 15, 2020, SDG&amp;E filed Advice Letter 3447-E-A, </w:t>
      </w:r>
      <w:r w:rsidR="00F03221">
        <w:rPr>
          <w:rFonts w:ascii="Palatino Linotype" w:hAnsi="Palatino Linotype"/>
        </w:rPr>
        <w:t xml:space="preserve">a partial supplement, </w:t>
      </w:r>
      <w:r w:rsidR="0050304B">
        <w:rPr>
          <w:rFonts w:ascii="Palatino Linotype" w:hAnsi="Palatino Linotype"/>
        </w:rPr>
        <w:t>making minor updates to Advice Letter 3447-E.</w:t>
      </w:r>
    </w:p>
    <w:p w:rsidRPr="008E6E10" w:rsidR="009D535E" w:rsidP="009D535E" w:rsidRDefault="009D535E" w14:paraId="682941BC" w14:textId="77777777">
      <w:pPr>
        <w:rPr>
          <w:rFonts w:ascii="Palatino Linotype" w:hAnsi="Palatino Linotype"/>
          <w:u w:val="single"/>
        </w:rPr>
      </w:pPr>
    </w:p>
    <w:p w:rsidRPr="002E78E4" w:rsidR="009D535E" w:rsidP="009D535E" w:rsidRDefault="002E78E4" w14:paraId="11CBAE4E" w14:textId="77777777">
      <w:pPr>
        <w:rPr>
          <w:rFonts w:ascii="Palatino Linotype" w:hAnsi="Palatino Linotype"/>
        </w:rPr>
      </w:pPr>
      <w:r>
        <w:rPr>
          <w:rFonts w:ascii="Palatino Linotype" w:hAnsi="Palatino Linotype"/>
        </w:rPr>
        <w:t>I</w:t>
      </w:r>
      <w:r w:rsidRPr="002E78E4" w:rsidR="009D535E">
        <w:rPr>
          <w:rFonts w:ascii="Palatino Linotype" w:hAnsi="Palatino Linotype"/>
        </w:rPr>
        <w:t xml:space="preserve">n this Advice Letter, </w:t>
      </w:r>
      <w:r w:rsidRPr="002E78E4" w:rsidR="003A3453">
        <w:rPr>
          <w:rFonts w:ascii="Palatino Linotype" w:hAnsi="Palatino Linotype"/>
        </w:rPr>
        <w:t>SD</w:t>
      </w:r>
      <w:r w:rsidR="009746C7">
        <w:rPr>
          <w:rFonts w:ascii="Palatino Linotype" w:hAnsi="Palatino Linotype"/>
        </w:rPr>
        <w:t>G</w:t>
      </w:r>
      <w:r w:rsidRPr="002E78E4" w:rsidR="00935355">
        <w:rPr>
          <w:rFonts w:ascii="Palatino Linotype" w:hAnsi="Palatino Linotype"/>
        </w:rPr>
        <w:t>&amp;E</w:t>
      </w:r>
      <w:r w:rsidRPr="002E78E4" w:rsidR="009D535E">
        <w:rPr>
          <w:rFonts w:ascii="Palatino Linotype" w:hAnsi="Palatino Linotype"/>
        </w:rPr>
        <w:t xml:space="preserve"> requested the </w:t>
      </w:r>
      <w:r w:rsidR="00C87454">
        <w:rPr>
          <w:rFonts w:ascii="Palatino Linotype" w:hAnsi="Palatino Linotype"/>
        </w:rPr>
        <w:t>CPUC</w:t>
      </w:r>
      <w:r w:rsidRPr="002E78E4" w:rsidR="009D535E">
        <w:rPr>
          <w:rFonts w:ascii="Palatino Linotype" w:hAnsi="Palatino Linotype"/>
        </w:rPr>
        <w:t>:</w:t>
      </w:r>
    </w:p>
    <w:p w:rsidRPr="0005662F" w:rsidR="009D535E" w:rsidP="009D535E" w:rsidRDefault="009D535E" w14:paraId="4DEA941E" w14:textId="77777777"/>
    <w:p w:rsidRPr="00436D8E" w:rsidR="00CF6FD5" w:rsidP="008E6E10" w:rsidRDefault="003A3453" w14:paraId="3B411C10" w14:textId="77777777">
      <w:pPr>
        <w:numPr>
          <w:ilvl w:val="0"/>
          <w:numId w:val="20"/>
        </w:numPr>
        <w:rPr>
          <w:rFonts w:ascii="Palatino Linotype" w:hAnsi="Palatino Linotype"/>
        </w:rPr>
      </w:pPr>
      <w:r w:rsidRPr="00436D8E">
        <w:rPr>
          <w:rFonts w:ascii="Palatino Linotype" w:hAnsi="Palatino Linotype"/>
        </w:rPr>
        <w:t>Approve a PPA between SDG&amp;E and SFID for the sale to SDG&amp;E of up to 600 kilowatts (kW) of as-available energy and capacity over seven years from an inline hydroelectric facility that is co-owned by SFID and the San Dieguito Water District that is managed and operated by SFID.</w:t>
      </w:r>
    </w:p>
    <w:p w:rsidRPr="008E6E10" w:rsidR="00CF6FD5" w:rsidP="00CF6FD5" w:rsidRDefault="00CF6FD5" w14:paraId="4BDE717F" w14:textId="77777777"/>
    <w:p w:rsidRPr="008E6E10" w:rsidR="009D535E" w:rsidP="009D535E" w:rsidRDefault="009D535E" w14:paraId="2FB4ED41" w14:textId="77777777">
      <w:pPr>
        <w:spacing w:after="120"/>
        <w:rPr>
          <w:rFonts w:ascii="Palatino Linotype" w:hAnsi="Palatino Linotype"/>
        </w:rPr>
      </w:pPr>
      <w:r w:rsidRPr="008E6E10">
        <w:rPr>
          <w:rFonts w:ascii="Palatino Linotype" w:hAnsi="Palatino Linotype"/>
          <w:b/>
        </w:rPr>
        <w:t>Energy Division evaluated the Proposed PPA based on the following criteria</w:t>
      </w:r>
    </w:p>
    <w:p w:rsidR="009D535E" w:rsidP="009D535E" w:rsidRDefault="009D535E" w14:paraId="4AFEA177" w14:textId="77777777">
      <w:pPr>
        <w:numPr>
          <w:ilvl w:val="0"/>
          <w:numId w:val="12"/>
        </w:numPr>
        <w:rPr>
          <w:rFonts w:ascii="Palatino Linotype" w:hAnsi="Palatino Linotype"/>
        </w:rPr>
      </w:pPr>
      <w:r w:rsidRPr="008E6E10">
        <w:rPr>
          <w:rFonts w:ascii="Palatino Linotype" w:hAnsi="Palatino Linotype"/>
        </w:rPr>
        <w:t>Consistency with D.10-12-035, which approved the QF/CHP Program Settlement</w:t>
      </w:r>
    </w:p>
    <w:p w:rsidRPr="008E6E10" w:rsidR="001B18F1" w:rsidP="009D535E" w:rsidRDefault="001B18F1" w14:paraId="25853DAE" w14:textId="77777777">
      <w:pPr>
        <w:numPr>
          <w:ilvl w:val="0"/>
          <w:numId w:val="12"/>
        </w:numPr>
        <w:rPr>
          <w:rFonts w:ascii="Palatino Linotype" w:hAnsi="Palatino Linotype"/>
        </w:rPr>
      </w:pPr>
      <w:r>
        <w:rPr>
          <w:rFonts w:ascii="Palatino Linotype" w:hAnsi="Palatino Linotype"/>
        </w:rPr>
        <w:t xml:space="preserve">Reasonableness of </w:t>
      </w:r>
      <w:r w:rsidR="000A7038">
        <w:rPr>
          <w:rFonts w:ascii="Palatino Linotype" w:hAnsi="Palatino Linotype"/>
        </w:rPr>
        <w:t>P</w:t>
      </w:r>
      <w:r>
        <w:rPr>
          <w:rFonts w:ascii="Palatino Linotype" w:hAnsi="Palatino Linotype"/>
        </w:rPr>
        <w:t xml:space="preserve">roposed </w:t>
      </w:r>
      <w:r w:rsidR="000A7038">
        <w:rPr>
          <w:rFonts w:ascii="Palatino Linotype" w:hAnsi="Palatino Linotype"/>
        </w:rPr>
        <w:t>A</w:t>
      </w:r>
      <w:r>
        <w:rPr>
          <w:rFonts w:ascii="Palatino Linotype" w:hAnsi="Palatino Linotype"/>
        </w:rPr>
        <w:t>mendments</w:t>
      </w:r>
    </w:p>
    <w:p w:rsidRPr="008E6E10" w:rsidR="009D535E" w:rsidP="0050304B" w:rsidRDefault="009D535E" w14:paraId="039C01D3" w14:textId="77777777">
      <w:pPr>
        <w:numPr>
          <w:ilvl w:val="0"/>
          <w:numId w:val="12"/>
        </w:numPr>
        <w:rPr>
          <w:rFonts w:ascii="Palatino Linotype" w:hAnsi="Palatino Linotype"/>
        </w:rPr>
      </w:pPr>
      <w:r w:rsidRPr="008E6E10">
        <w:rPr>
          <w:rFonts w:ascii="Palatino Linotype" w:hAnsi="Palatino Linotype"/>
        </w:rPr>
        <w:t>Need for Procurement</w:t>
      </w:r>
    </w:p>
    <w:p w:rsidRPr="008E6E10" w:rsidR="009D535E" w:rsidP="0050304B" w:rsidRDefault="009D535E" w14:paraId="12FEA551" w14:textId="77777777">
      <w:pPr>
        <w:numPr>
          <w:ilvl w:val="0"/>
          <w:numId w:val="12"/>
        </w:numPr>
        <w:rPr>
          <w:rFonts w:ascii="Palatino Linotype" w:hAnsi="Palatino Linotype"/>
        </w:rPr>
      </w:pPr>
      <w:r w:rsidRPr="008E6E10">
        <w:rPr>
          <w:rFonts w:ascii="Palatino Linotype" w:hAnsi="Palatino Linotype"/>
        </w:rPr>
        <w:t>Cost Reasonableness</w:t>
      </w:r>
    </w:p>
    <w:p w:rsidRPr="008E6E10" w:rsidR="009D535E" w:rsidP="0050304B" w:rsidRDefault="009D535E" w14:paraId="4E18C79A" w14:textId="77777777">
      <w:pPr>
        <w:numPr>
          <w:ilvl w:val="0"/>
          <w:numId w:val="12"/>
        </w:numPr>
        <w:rPr>
          <w:rFonts w:ascii="Palatino Linotype" w:hAnsi="Palatino Linotype"/>
        </w:rPr>
      </w:pPr>
      <w:r w:rsidRPr="008E6E10">
        <w:rPr>
          <w:rFonts w:ascii="Palatino Linotype" w:hAnsi="Palatino Linotype"/>
        </w:rPr>
        <w:t>Public Safety</w:t>
      </w:r>
    </w:p>
    <w:p w:rsidRPr="008E6E10" w:rsidR="009D535E" w:rsidP="0050304B" w:rsidRDefault="009D535E" w14:paraId="27AE3B1C" w14:textId="77777777">
      <w:pPr>
        <w:numPr>
          <w:ilvl w:val="0"/>
          <w:numId w:val="12"/>
        </w:numPr>
        <w:rPr>
          <w:rFonts w:ascii="Palatino Linotype" w:hAnsi="Palatino Linotype"/>
        </w:rPr>
      </w:pPr>
      <w:r w:rsidRPr="008E6E10">
        <w:rPr>
          <w:rFonts w:ascii="Palatino Linotype" w:hAnsi="Palatino Linotype"/>
        </w:rPr>
        <w:t>Consistency with the Emissions Performance Standard</w:t>
      </w:r>
    </w:p>
    <w:p w:rsidRPr="008E6E10" w:rsidR="009D535E" w:rsidP="0050304B" w:rsidRDefault="009D535E" w14:paraId="621E64AE" w14:textId="77777777">
      <w:pPr>
        <w:numPr>
          <w:ilvl w:val="0"/>
          <w:numId w:val="12"/>
        </w:numPr>
        <w:rPr>
          <w:rFonts w:ascii="Palatino Linotype" w:hAnsi="Palatino Linotype"/>
        </w:rPr>
      </w:pPr>
      <w:r w:rsidRPr="008E6E10">
        <w:rPr>
          <w:rFonts w:ascii="Palatino Linotype" w:hAnsi="Palatino Linotype"/>
        </w:rPr>
        <w:lastRenderedPageBreak/>
        <w:t xml:space="preserve">Cost Allocation Mechanism Group </w:t>
      </w:r>
      <w:r w:rsidR="00D37F1F">
        <w:rPr>
          <w:rFonts w:ascii="Palatino Linotype" w:hAnsi="Palatino Linotype"/>
        </w:rPr>
        <w:t>P</w:t>
      </w:r>
      <w:r w:rsidRPr="008E6E10">
        <w:rPr>
          <w:rFonts w:ascii="Palatino Linotype" w:hAnsi="Palatino Linotype"/>
        </w:rPr>
        <w:t>articipation</w:t>
      </w:r>
    </w:p>
    <w:p w:rsidRPr="008E6E10" w:rsidR="009D535E" w:rsidP="0050304B" w:rsidRDefault="009D535E" w14:paraId="43095A4D" w14:textId="77777777">
      <w:pPr>
        <w:pStyle w:val="Default"/>
        <w:numPr>
          <w:ilvl w:val="0"/>
          <w:numId w:val="12"/>
        </w:numPr>
        <w:rPr>
          <w:rFonts w:ascii="Palatino Linotype" w:hAnsi="Palatino Linotype"/>
          <w:sz w:val="26"/>
          <w:szCs w:val="26"/>
        </w:rPr>
      </w:pPr>
      <w:r w:rsidRPr="008E6E10">
        <w:rPr>
          <w:rFonts w:ascii="Palatino Linotype" w:hAnsi="Palatino Linotype"/>
          <w:sz w:val="26"/>
          <w:szCs w:val="26"/>
        </w:rPr>
        <w:t>Disadvantaged Community Designation</w:t>
      </w:r>
    </w:p>
    <w:p w:rsidRPr="008E6E10" w:rsidR="009D535E" w:rsidP="009D535E" w:rsidRDefault="009D535E" w14:paraId="58DA15CF" w14:textId="77777777"/>
    <w:p w:rsidRPr="000F7FB4" w:rsidR="009D535E" w:rsidP="009D535E" w:rsidRDefault="009D535E" w14:paraId="41839E3C" w14:textId="77777777">
      <w:pPr>
        <w:pStyle w:val="Default"/>
        <w:spacing w:after="120"/>
        <w:rPr>
          <w:rFonts w:ascii="Palatino Linotype" w:hAnsi="Palatino Linotype"/>
          <w:sz w:val="26"/>
          <w:szCs w:val="26"/>
        </w:rPr>
      </w:pPr>
      <w:r w:rsidRPr="000A7038">
        <w:rPr>
          <w:rFonts w:ascii="Palatino Linotype" w:hAnsi="Palatino Linotype"/>
          <w:b/>
          <w:sz w:val="26"/>
          <w:szCs w:val="26"/>
        </w:rPr>
        <w:t>Consistency with D.10-12-035, which approved the QF/CHP Program Settlement</w:t>
      </w:r>
    </w:p>
    <w:p w:rsidRPr="008E6E10" w:rsidR="00283511" w:rsidP="009D535E" w:rsidRDefault="00283511" w14:paraId="715A3D2F" w14:textId="77777777">
      <w:pPr>
        <w:rPr>
          <w:rFonts w:ascii="Palatino Linotype" w:hAnsi="Palatino Linotype"/>
        </w:rPr>
      </w:pPr>
    </w:p>
    <w:p w:rsidRPr="008E6E10" w:rsidR="001C159D" w:rsidP="009D535E" w:rsidRDefault="001C159D" w14:paraId="2DEA28AA" w14:textId="77777777">
      <w:pPr>
        <w:rPr>
          <w:rFonts w:ascii="Palatino Linotype" w:hAnsi="Palatino Linotype"/>
        </w:rPr>
      </w:pPr>
      <w:r w:rsidRPr="008E6E10">
        <w:rPr>
          <w:rFonts w:ascii="Palatino Linotype" w:hAnsi="Palatino Linotype"/>
        </w:rPr>
        <w:t xml:space="preserve">In D.10-12-035, the </w:t>
      </w:r>
      <w:r w:rsidR="00C87454">
        <w:rPr>
          <w:rFonts w:ascii="Palatino Linotype" w:hAnsi="Palatino Linotype"/>
        </w:rPr>
        <w:t>CPUC</w:t>
      </w:r>
      <w:r w:rsidRPr="008E6E10" w:rsidR="00C87454">
        <w:rPr>
          <w:rFonts w:ascii="Palatino Linotype" w:hAnsi="Palatino Linotype"/>
        </w:rPr>
        <w:t xml:space="preserve"> </w:t>
      </w:r>
      <w:r w:rsidRPr="008E6E10">
        <w:rPr>
          <w:rFonts w:ascii="Palatino Linotype" w:hAnsi="Palatino Linotype"/>
        </w:rPr>
        <w:t xml:space="preserve">approved the QF/CHP Settlement Agreement, which includes several standard offer contracts for Qualifying Facilities. </w:t>
      </w:r>
      <w:r w:rsidRPr="008E6E10" w:rsidR="002D1E82">
        <w:rPr>
          <w:rFonts w:ascii="Palatino Linotype" w:hAnsi="Palatino Linotype"/>
        </w:rPr>
        <w:t xml:space="preserve">The Settlement Term Sheet permits modified Settlement PPAs if approved via a Tier 3 advice letter. By submitting this advice letter, </w:t>
      </w:r>
      <w:r w:rsidRPr="008E6E10" w:rsidR="003A3453">
        <w:rPr>
          <w:rFonts w:ascii="Palatino Linotype" w:hAnsi="Palatino Linotype"/>
        </w:rPr>
        <w:t>SD</w:t>
      </w:r>
      <w:r w:rsidRPr="008E6E10" w:rsidR="002D1E82">
        <w:rPr>
          <w:rFonts w:ascii="Palatino Linotype" w:hAnsi="Palatino Linotype"/>
        </w:rPr>
        <w:t xml:space="preserve">G&amp;E </w:t>
      </w:r>
      <w:r w:rsidR="0005662F">
        <w:rPr>
          <w:rFonts w:ascii="Palatino Linotype" w:hAnsi="Palatino Linotype"/>
        </w:rPr>
        <w:t>used the appropriate procedural mechanism as specified in the</w:t>
      </w:r>
      <w:r w:rsidRPr="008E6E10" w:rsidR="002D1E82">
        <w:rPr>
          <w:rFonts w:ascii="Palatino Linotype" w:hAnsi="Palatino Linotype"/>
        </w:rPr>
        <w:t xml:space="preserve"> Settlement.</w:t>
      </w:r>
    </w:p>
    <w:p w:rsidR="001C159D" w:rsidP="009D535E" w:rsidRDefault="001C159D" w14:paraId="0B26CD84" w14:textId="77777777">
      <w:pPr>
        <w:rPr>
          <w:rFonts w:ascii="Palatino Linotype" w:hAnsi="Palatino Linotype"/>
        </w:rPr>
      </w:pPr>
    </w:p>
    <w:p w:rsidRPr="000F7FB4" w:rsidR="000A7038" w:rsidP="009D535E" w:rsidRDefault="000A7038" w14:paraId="6AA6E691" w14:textId="77777777">
      <w:pPr>
        <w:rPr>
          <w:rFonts w:ascii="Palatino Linotype" w:hAnsi="Palatino Linotype"/>
          <w:b/>
          <w:bCs/>
        </w:rPr>
      </w:pPr>
      <w:r w:rsidRPr="000F7FB4">
        <w:rPr>
          <w:rFonts w:ascii="Palatino Linotype" w:hAnsi="Palatino Linotype"/>
          <w:b/>
          <w:bCs/>
        </w:rPr>
        <w:t>Reasonableness of Proposed Amendments</w:t>
      </w:r>
    </w:p>
    <w:p w:rsidR="000A7038" w:rsidP="009D535E" w:rsidRDefault="000A7038" w14:paraId="1FE8298F" w14:textId="77777777">
      <w:pPr>
        <w:rPr>
          <w:rFonts w:ascii="Palatino Linotype" w:hAnsi="Palatino Linotype"/>
        </w:rPr>
      </w:pPr>
    </w:p>
    <w:p w:rsidR="00F9316C" w:rsidP="009D535E" w:rsidRDefault="00F9316C" w14:paraId="288F2778" w14:textId="77777777">
      <w:pPr>
        <w:rPr>
          <w:rFonts w:ascii="Palatino Linotype" w:hAnsi="Palatino Linotype"/>
        </w:rPr>
      </w:pPr>
      <w:r>
        <w:rPr>
          <w:rFonts w:ascii="Palatino Linotype" w:hAnsi="Palatino Linotype"/>
        </w:rPr>
        <w:t xml:space="preserve">As stated above, SDG&amp;E proposes five modifications to the standard offer QF PPA. </w:t>
      </w:r>
    </w:p>
    <w:p w:rsidR="00F9316C" w:rsidP="009D535E" w:rsidRDefault="00F9316C" w14:paraId="16E9FC3D" w14:textId="77777777">
      <w:pPr>
        <w:rPr>
          <w:rFonts w:ascii="Palatino Linotype" w:hAnsi="Palatino Linotype"/>
        </w:rPr>
      </w:pPr>
    </w:p>
    <w:p w:rsidRPr="000F7FB4" w:rsidR="00213278" w:rsidP="00213278" w:rsidRDefault="00213278" w14:paraId="297E7B3D" w14:textId="77777777">
      <w:pPr>
        <w:pStyle w:val="Default"/>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First, because a pro forma PPA would not require CPUC approval for SDG&amp;E to execute, it is normally “effective” at the execution date. However, due to the amendments, the CPUC must now approve these contracts, so SDG&amp;E adds a provision that defines CPUC approval and makes the effective date contingent on that approval. This addresses the possibility that the CPUC could reject or amend the contracts. Energy Division staff conclude this is reasonable.</w:t>
      </w:r>
    </w:p>
    <w:p w:rsidRPr="000F7FB4" w:rsidR="00213278" w:rsidP="00213278" w:rsidRDefault="00213278" w14:paraId="744AAD25" w14:textId="77777777">
      <w:pPr>
        <w:pStyle w:val="Default"/>
        <w:rPr>
          <w:rFonts w:ascii="Palatino Linotype" w:hAnsi="Palatino Linotype" w:cs="Times New Roman"/>
          <w:iCs/>
          <w:color w:val="auto"/>
          <w:sz w:val="26"/>
          <w:szCs w:val="26"/>
        </w:rPr>
      </w:pPr>
    </w:p>
    <w:p w:rsidRPr="000F7FB4" w:rsidR="00213278" w:rsidP="00213278" w:rsidRDefault="00213278" w14:paraId="6FE16A69" w14:textId="77777777">
      <w:pPr>
        <w:pStyle w:val="Default"/>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Second, the counterparties added a limited waiver of SFID’s sovereign immunity</w:t>
      </w:r>
      <w:r w:rsidRPr="000F7FB4">
        <w:rPr>
          <w:rStyle w:val="FootnoteReference"/>
          <w:rFonts w:ascii="Palatino Linotype" w:hAnsi="Palatino Linotype" w:cs="Times New Roman"/>
          <w:iCs/>
          <w:color w:val="auto"/>
          <w:sz w:val="26"/>
          <w:szCs w:val="26"/>
        </w:rPr>
        <w:footnoteReference w:id="5"/>
      </w:r>
      <w:r w:rsidRPr="000F7FB4">
        <w:rPr>
          <w:rFonts w:ascii="Palatino Linotype" w:hAnsi="Palatino Linotype" w:cs="Times New Roman"/>
          <w:iCs/>
          <w:color w:val="auto"/>
          <w:sz w:val="26"/>
          <w:szCs w:val="26"/>
        </w:rPr>
        <w:t xml:space="preserve"> with respect to specific performance and claims for damages. Because SFID is created under state law, there is some risk that in the event of a dispute over the PPA, SFID could claim sovereign immunity and avoid performing its PPA obligations or remitting damage</w:t>
      </w:r>
      <w:r w:rsidR="00F9316C">
        <w:rPr>
          <w:rFonts w:ascii="Palatino Linotype" w:hAnsi="Palatino Linotype" w:cs="Times New Roman"/>
          <w:iCs/>
          <w:color w:val="auto"/>
          <w:sz w:val="26"/>
          <w:szCs w:val="26"/>
        </w:rPr>
        <w:t>s</w:t>
      </w:r>
      <w:r w:rsidRPr="000F7FB4">
        <w:rPr>
          <w:rFonts w:ascii="Palatino Linotype" w:hAnsi="Palatino Linotype" w:cs="Times New Roman"/>
          <w:iCs/>
          <w:color w:val="auto"/>
          <w:sz w:val="26"/>
          <w:szCs w:val="26"/>
        </w:rPr>
        <w:t xml:space="preserve"> to SDG&amp;E. SFID agrees to waive that defense as it pertains to specific performance of the PPA and any claim for </w:t>
      </w:r>
      <w:r w:rsidRPr="000F7FB4">
        <w:rPr>
          <w:rFonts w:ascii="Palatino Linotype" w:hAnsi="Palatino Linotype" w:cs="Times New Roman"/>
          <w:iCs/>
          <w:color w:val="auto"/>
          <w:sz w:val="26"/>
          <w:szCs w:val="26"/>
        </w:rPr>
        <w:lastRenderedPageBreak/>
        <w:t>damages caused by a breach. Energy Division staff conclude this is reasonable</w:t>
      </w:r>
      <w:r w:rsidRPr="000F7FB4" w:rsidR="009253F2">
        <w:rPr>
          <w:rFonts w:ascii="Palatino Linotype" w:hAnsi="Palatino Linotype" w:cs="Times New Roman"/>
          <w:iCs/>
          <w:color w:val="auto"/>
          <w:sz w:val="26"/>
          <w:szCs w:val="26"/>
        </w:rPr>
        <w:t xml:space="preserve"> as it lowers risk for ratepayers</w:t>
      </w:r>
      <w:r w:rsidRPr="000F7FB4">
        <w:rPr>
          <w:rFonts w:ascii="Palatino Linotype" w:hAnsi="Palatino Linotype" w:cs="Times New Roman"/>
          <w:iCs/>
          <w:color w:val="auto"/>
          <w:sz w:val="26"/>
          <w:szCs w:val="26"/>
        </w:rPr>
        <w:t>.</w:t>
      </w:r>
    </w:p>
    <w:p w:rsidRPr="000F7FB4" w:rsidR="00213278" w:rsidP="00213278" w:rsidRDefault="00213278" w14:paraId="35BC35A8" w14:textId="77777777">
      <w:pPr>
        <w:pStyle w:val="Default"/>
        <w:rPr>
          <w:rFonts w:ascii="Palatino Linotype" w:hAnsi="Palatino Linotype" w:cs="Times New Roman"/>
          <w:iCs/>
          <w:color w:val="auto"/>
          <w:sz w:val="26"/>
          <w:szCs w:val="26"/>
        </w:rPr>
      </w:pPr>
    </w:p>
    <w:p w:rsidRPr="000F7FB4" w:rsidR="00213278" w:rsidP="00213278" w:rsidRDefault="00213278" w14:paraId="10633D15" w14:textId="77777777">
      <w:pPr>
        <w:pStyle w:val="Default"/>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Third, the counterparties agreed to remove the Scheduling Coordinator Fee from the agreement. Due to the size of the facility, scheduling the resource should not be complicated or burdensome</w:t>
      </w:r>
      <w:r w:rsidRPr="000F7FB4" w:rsidR="00031079">
        <w:rPr>
          <w:rFonts w:ascii="Palatino Linotype" w:hAnsi="Palatino Linotype" w:cs="Times New Roman"/>
          <w:iCs/>
          <w:color w:val="auto"/>
          <w:sz w:val="26"/>
          <w:szCs w:val="26"/>
        </w:rPr>
        <w:t xml:space="preserve"> to SDG&amp;E</w:t>
      </w:r>
      <w:r w:rsidRPr="000F7FB4">
        <w:rPr>
          <w:rFonts w:ascii="Palatino Linotype" w:hAnsi="Palatino Linotype" w:cs="Times New Roman"/>
          <w:iCs/>
          <w:color w:val="auto"/>
          <w:sz w:val="26"/>
          <w:szCs w:val="26"/>
        </w:rPr>
        <w:t>.</w:t>
      </w:r>
      <w:r w:rsidRPr="000F7FB4" w:rsidR="00031079">
        <w:rPr>
          <w:rFonts w:ascii="Palatino Linotype" w:hAnsi="Palatino Linotype" w:cs="Times New Roman"/>
          <w:iCs/>
          <w:color w:val="auto"/>
          <w:sz w:val="26"/>
          <w:szCs w:val="26"/>
        </w:rPr>
        <w:t xml:space="preserve"> SDG&amp;E</w:t>
      </w:r>
      <w:r w:rsidRPr="000F7FB4">
        <w:rPr>
          <w:rFonts w:ascii="Palatino Linotype" w:hAnsi="Palatino Linotype" w:cs="Times New Roman"/>
          <w:iCs/>
          <w:color w:val="auto"/>
          <w:sz w:val="26"/>
          <w:szCs w:val="26"/>
        </w:rPr>
        <w:t xml:space="preserve"> will forego the Scheduling Coordinator Fee </w:t>
      </w:r>
      <w:r w:rsidR="0061756F">
        <w:rPr>
          <w:rFonts w:ascii="Palatino Linotype" w:hAnsi="Palatino Linotype" w:cs="Times New Roman"/>
          <w:iCs/>
          <w:color w:val="auto"/>
          <w:sz w:val="26"/>
          <w:szCs w:val="26"/>
        </w:rPr>
        <w:t>and</w:t>
      </w:r>
      <w:r w:rsidRPr="000F7FB4">
        <w:rPr>
          <w:rFonts w:ascii="Palatino Linotype" w:hAnsi="Palatino Linotype" w:cs="Times New Roman"/>
          <w:iCs/>
          <w:color w:val="auto"/>
          <w:sz w:val="26"/>
          <w:szCs w:val="26"/>
        </w:rPr>
        <w:t xml:space="preserve"> the facility </w:t>
      </w:r>
      <w:r w:rsidR="0061756F">
        <w:rPr>
          <w:rFonts w:ascii="Palatino Linotype" w:hAnsi="Palatino Linotype" w:cs="Times New Roman"/>
          <w:iCs/>
          <w:color w:val="auto"/>
          <w:sz w:val="26"/>
          <w:szCs w:val="26"/>
        </w:rPr>
        <w:t xml:space="preserve">will </w:t>
      </w:r>
      <w:r w:rsidRPr="000F7FB4">
        <w:rPr>
          <w:rFonts w:ascii="Palatino Linotype" w:hAnsi="Palatino Linotype" w:cs="Times New Roman"/>
          <w:iCs/>
          <w:color w:val="auto"/>
          <w:sz w:val="26"/>
          <w:szCs w:val="26"/>
        </w:rPr>
        <w:t>physically downsiz</w:t>
      </w:r>
      <w:r w:rsidR="0061756F">
        <w:rPr>
          <w:rFonts w:ascii="Palatino Linotype" w:hAnsi="Palatino Linotype" w:cs="Times New Roman"/>
          <w:iCs/>
          <w:color w:val="auto"/>
          <w:sz w:val="26"/>
          <w:szCs w:val="26"/>
        </w:rPr>
        <w:t>e</w:t>
      </w:r>
      <w:r w:rsidRPr="000F7FB4">
        <w:rPr>
          <w:rFonts w:ascii="Palatino Linotype" w:hAnsi="Palatino Linotype" w:cs="Times New Roman"/>
          <w:iCs/>
          <w:color w:val="auto"/>
          <w:sz w:val="26"/>
          <w:szCs w:val="26"/>
        </w:rPr>
        <w:t xml:space="preserve"> its capacity to below 1 MW. Energy Division staff conclude that this is reasonable</w:t>
      </w:r>
      <w:r w:rsidRPr="000F7FB4" w:rsidR="00031079">
        <w:rPr>
          <w:rFonts w:ascii="Palatino Linotype" w:hAnsi="Palatino Linotype" w:cs="Times New Roman"/>
          <w:iCs/>
          <w:color w:val="auto"/>
          <w:sz w:val="26"/>
          <w:szCs w:val="26"/>
        </w:rPr>
        <w:t xml:space="preserve"> due to the size of the facility</w:t>
      </w:r>
      <w:r w:rsidRPr="000F7FB4">
        <w:rPr>
          <w:rFonts w:ascii="Palatino Linotype" w:hAnsi="Palatino Linotype" w:cs="Times New Roman"/>
          <w:iCs/>
          <w:color w:val="auto"/>
          <w:sz w:val="26"/>
          <w:szCs w:val="26"/>
        </w:rPr>
        <w:t>.</w:t>
      </w:r>
    </w:p>
    <w:p w:rsidRPr="000F7FB4" w:rsidR="00213278" w:rsidP="00213278" w:rsidRDefault="00213278" w14:paraId="4A2B1A4E" w14:textId="77777777">
      <w:pPr>
        <w:pStyle w:val="Default"/>
        <w:rPr>
          <w:rFonts w:ascii="Palatino Linotype" w:hAnsi="Palatino Linotype" w:cs="Times New Roman"/>
          <w:iCs/>
          <w:color w:val="auto"/>
          <w:sz w:val="26"/>
          <w:szCs w:val="26"/>
        </w:rPr>
      </w:pPr>
    </w:p>
    <w:p w:rsidRPr="000F7FB4" w:rsidR="00213278" w:rsidP="00213278" w:rsidRDefault="00213278" w14:paraId="729D0DB5" w14:textId="77777777">
      <w:pPr>
        <w:pStyle w:val="Default"/>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 xml:space="preserve">Fourth, the counterparties agreed that the Seller will not be held in default under the PPA if it abandons the facility or does not operate the facility for 30 or more consecutive days due to lack of adequate water supply for the generator. The facility’s ability to operate depends on available water supply, which is variable and somewhat unpredictable. Due to its small size, Energy Division staff conclude a lack of generation from the facility does not pose a threat to SDG&amp;E’s ability to serve ratepayers or to grid </w:t>
      </w:r>
      <w:r w:rsidRPr="000F7FB4" w:rsidR="000F7FB4">
        <w:rPr>
          <w:rFonts w:ascii="Palatino Linotype" w:hAnsi="Palatino Linotype" w:cs="Times New Roman"/>
          <w:iCs/>
          <w:color w:val="auto"/>
          <w:sz w:val="26"/>
          <w:szCs w:val="26"/>
        </w:rPr>
        <w:t>reliability and</w:t>
      </w:r>
      <w:r w:rsidRPr="000F7FB4">
        <w:rPr>
          <w:rFonts w:ascii="Palatino Linotype" w:hAnsi="Palatino Linotype" w:cs="Times New Roman"/>
          <w:iCs/>
          <w:color w:val="auto"/>
          <w:sz w:val="26"/>
          <w:szCs w:val="26"/>
        </w:rPr>
        <w:t xml:space="preserve"> finds the request reasonable.</w:t>
      </w:r>
    </w:p>
    <w:p w:rsidRPr="000F7FB4" w:rsidR="00213278" w:rsidP="00213278" w:rsidRDefault="00213278" w14:paraId="0E23BDC3" w14:textId="77777777">
      <w:pPr>
        <w:pStyle w:val="Default"/>
        <w:rPr>
          <w:rFonts w:ascii="Palatino Linotype" w:hAnsi="Palatino Linotype" w:cs="Times New Roman"/>
          <w:iCs/>
          <w:color w:val="auto"/>
          <w:sz w:val="26"/>
          <w:szCs w:val="26"/>
        </w:rPr>
      </w:pPr>
    </w:p>
    <w:p w:rsidRPr="002E78E4" w:rsidR="00213278" w:rsidP="00213278" w:rsidRDefault="00213278" w14:paraId="0C338FA0" w14:textId="77777777">
      <w:pPr>
        <w:pStyle w:val="Default"/>
        <w:rPr>
          <w:rFonts w:ascii="Palatino Linotype" w:hAnsi="Palatino Linotype" w:cs="Times New Roman"/>
          <w:iCs/>
          <w:color w:val="auto"/>
          <w:sz w:val="26"/>
          <w:szCs w:val="26"/>
        </w:rPr>
      </w:pPr>
      <w:r w:rsidRPr="000F7FB4">
        <w:rPr>
          <w:rFonts w:ascii="Palatino Linotype" w:hAnsi="Palatino Linotype" w:cs="Times New Roman"/>
          <w:iCs/>
          <w:color w:val="auto"/>
          <w:sz w:val="26"/>
          <w:szCs w:val="26"/>
        </w:rPr>
        <w:t>Fifth, the counterparties agreed that if the PPA is terminated because SFID abandons the facility due to a breakdown, SFID will not owe a termination payment to SDG&amp;E. Because the facility is old, there is a possibility that SFID may not be able to economically repair it if it breaks down. In that event, Energy Division staff conclude there would be little to no harm to SDG&amp;E ratepayers for SFID to abandon the facility</w:t>
      </w:r>
      <w:r w:rsidR="00F9316C">
        <w:rPr>
          <w:rFonts w:ascii="Palatino Linotype" w:hAnsi="Palatino Linotype" w:cs="Times New Roman"/>
          <w:iCs/>
          <w:color w:val="auto"/>
          <w:sz w:val="26"/>
          <w:szCs w:val="26"/>
        </w:rPr>
        <w:t xml:space="preserve">; due to its small size </w:t>
      </w:r>
      <w:r w:rsidRPr="000F7FB4">
        <w:rPr>
          <w:rFonts w:ascii="Palatino Linotype" w:hAnsi="Palatino Linotype" w:cs="Times New Roman"/>
          <w:iCs/>
          <w:color w:val="auto"/>
          <w:sz w:val="26"/>
          <w:szCs w:val="26"/>
        </w:rPr>
        <w:t>there would be little, if any, need for SDG&amp;E to increase its energy purchases from SDG&amp;E to compensate for the lost onsite generation</w:t>
      </w:r>
      <w:r w:rsidR="00F9316C">
        <w:rPr>
          <w:rFonts w:ascii="Palatino Linotype" w:hAnsi="Palatino Linotype" w:cs="Times New Roman"/>
          <w:iCs/>
          <w:color w:val="auto"/>
          <w:sz w:val="26"/>
          <w:szCs w:val="26"/>
        </w:rPr>
        <w:t xml:space="preserve">. </w:t>
      </w:r>
      <w:r w:rsidRPr="000F7FB4">
        <w:rPr>
          <w:rFonts w:ascii="Palatino Linotype" w:hAnsi="Palatino Linotype" w:cs="Times New Roman"/>
          <w:iCs/>
          <w:color w:val="auto"/>
          <w:sz w:val="26"/>
          <w:szCs w:val="26"/>
        </w:rPr>
        <w:t>Energy</w:t>
      </w:r>
      <w:r>
        <w:rPr>
          <w:rFonts w:ascii="Palatino Linotype" w:hAnsi="Palatino Linotype" w:cs="Times New Roman"/>
          <w:iCs/>
          <w:color w:val="auto"/>
          <w:sz w:val="26"/>
          <w:szCs w:val="26"/>
        </w:rPr>
        <w:t xml:space="preserve"> Division staff conclude </w:t>
      </w:r>
      <w:r w:rsidR="00F9316C">
        <w:rPr>
          <w:rFonts w:ascii="Palatino Linotype" w:hAnsi="Palatino Linotype" w:cs="Times New Roman"/>
          <w:iCs/>
          <w:color w:val="auto"/>
          <w:sz w:val="26"/>
          <w:szCs w:val="26"/>
        </w:rPr>
        <w:t>this is reasonable</w:t>
      </w:r>
      <w:r>
        <w:rPr>
          <w:rFonts w:ascii="Palatino Linotype" w:hAnsi="Palatino Linotype" w:cs="Times New Roman"/>
          <w:iCs/>
          <w:color w:val="auto"/>
          <w:sz w:val="26"/>
          <w:szCs w:val="26"/>
        </w:rPr>
        <w:t>.</w:t>
      </w:r>
    </w:p>
    <w:p w:rsidRPr="008E6E10" w:rsidR="00213278" w:rsidP="009D535E" w:rsidRDefault="00213278" w14:paraId="31199FED" w14:textId="77777777">
      <w:pPr>
        <w:rPr>
          <w:rFonts w:ascii="Palatino Linotype" w:hAnsi="Palatino Linotype"/>
        </w:rPr>
      </w:pPr>
    </w:p>
    <w:p w:rsidRPr="008E6E10" w:rsidR="009D535E" w:rsidP="009D535E" w:rsidRDefault="009D535E" w14:paraId="3F1926C8" w14:textId="77777777">
      <w:pPr>
        <w:rPr>
          <w:rFonts w:ascii="Palatino Linotype" w:hAnsi="Palatino Linotype"/>
          <w:b/>
        </w:rPr>
      </w:pPr>
      <w:r w:rsidRPr="008E6E10">
        <w:rPr>
          <w:rFonts w:ascii="Palatino Linotype" w:hAnsi="Palatino Linotype"/>
          <w:b/>
        </w:rPr>
        <w:t>Need for Procurement</w:t>
      </w:r>
    </w:p>
    <w:p w:rsidRPr="008E6E10" w:rsidR="009D535E" w:rsidP="009D535E" w:rsidRDefault="009D535E" w14:paraId="42F19EC6" w14:textId="77777777">
      <w:pPr>
        <w:rPr>
          <w:rFonts w:ascii="Palatino Linotype" w:hAnsi="Palatino Linotype"/>
        </w:rPr>
      </w:pPr>
    </w:p>
    <w:p w:rsidRPr="008E6E10" w:rsidR="001553D8" w:rsidP="009D535E" w:rsidRDefault="002D1E82" w14:paraId="4A64DCC8" w14:textId="77777777">
      <w:pPr>
        <w:rPr>
          <w:rFonts w:ascii="Palatino Linotype" w:hAnsi="Palatino Linotype"/>
        </w:rPr>
      </w:pPr>
      <w:r w:rsidRPr="008E6E10">
        <w:rPr>
          <w:rFonts w:ascii="Palatino Linotype" w:hAnsi="Palatino Linotype"/>
        </w:rPr>
        <w:t xml:space="preserve">Under the Settlement, </w:t>
      </w:r>
      <w:r w:rsidRPr="008E6E10" w:rsidR="003A3453">
        <w:rPr>
          <w:rFonts w:ascii="Palatino Linotype" w:hAnsi="Palatino Linotype"/>
        </w:rPr>
        <w:t>SD</w:t>
      </w:r>
      <w:r w:rsidRPr="008E6E10">
        <w:rPr>
          <w:rFonts w:ascii="Palatino Linotype" w:hAnsi="Palatino Linotype"/>
        </w:rPr>
        <w:t xml:space="preserve">G&amp;E is required to offer </w:t>
      </w:r>
      <w:r w:rsidR="00E2646C">
        <w:rPr>
          <w:rFonts w:ascii="Palatino Linotype" w:hAnsi="Palatino Linotype"/>
        </w:rPr>
        <w:t>this</w:t>
      </w:r>
      <w:r w:rsidRPr="008E6E10" w:rsidR="00E2646C">
        <w:rPr>
          <w:rFonts w:ascii="Palatino Linotype" w:hAnsi="Palatino Linotype"/>
        </w:rPr>
        <w:t xml:space="preserve"> </w:t>
      </w:r>
      <w:r w:rsidRPr="008E6E10">
        <w:rPr>
          <w:rFonts w:ascii="Palatino Linotype" w:hAnsi="Palatino Linotype"/>
        </w:rPr>
        <w:t>contract to QFs through</w:t>
      </w:r>
      <w:r w:rsidR="001508F9">
        <w:rPr>
          <w:rFonts w:ascii="Palatino Linotype" w:hAnsi="Palatino Linotype"/>
        </w:rPr>
        <w:t xml:space="preserve"> </w:t>
      </w:r>
      <w:r w:rsidR="00715A6A">
        <w:rPr>
          <w:rFonts w:ascii="Palatino Linotype" w:hAnsi="Palatino Linotype"/>
        </w:rPr>
        <w:t>D</w:t>
      </w:r>
      <w:r w:rsidRPr="008E6E10">
        <w:rPr>
          <w:rFonts w:ascii="Palatino Linotype" w:hAnsi="Palatino Linotype"/>
        </w:rPr>
        <w:t>ecember 31, 2020, and Qualifying Facilities may elect to execute th</w:t>
      </w:r>
      <w:r w:rsidR="00E2646C">
        <w:rPr>
          <w:rFonts w:ascii="Palatino Linotype" w:hAnsi="Palatino Linotype"/>
        </w:rPr>
        <w:t>is</w:t>
      </w:r>
      <w:r w:rsidRPr="008E6E10">
        <w:rPr>
          <w:rFonts w:ascii="Palatino Linotype" w:hAnsi="Palatino Linotype"/>
        </w:rPr>
        <w:t xml:space="preserve"> contract at their discretion.</w:t>
      </w:r>
      <w:r w:rsidRPr="008E6E10" w:rsidR="001553D8">
        <w:rPr>
          <w:rFonts w:ascii="Palatino Linotype" w:hAnsi="Palatino Linotype"/>
        </w:rPr>
        <w:t xml:space="preserve"> In this resolution, the </w:t>
      </w:r>
      <w:r w:rsidR="00C87454">
        <w:rPr>
          <w:rFonts w:ascii="Palatino Linotype" w:hAnsi="Palatino Linotype"/>
        </w:rPr>
        <w:t>CPUC</w:t>
      </w:r>
      <w:r w:rsidRPr="008E6E10" w:rsidR="00C87454">
        <w:rPr>
          <w:rFonts w:ascii="Palatino Linotype" w:hAnsi="Palatino Linotype"/>
        </w:rPr>
        <w:t xml:space="preserve"> </w:t>
      </w:r>
      <w:r w:rsidRPr="008E6E10" w:rsidR="001553D8">
        <w:rPr>
          <w:rFonts w:ascii="Palatino Linotype" w:hAnsi="Palatino Linotype"/>
        </w:rPr>
        <w:t xml:space="preserve">does not assess whether </w:t>
      </w:r>
      <w:r w:rsidRPr="008E6E10" w:rsidR="003A3453">
        <w:rPr>
          <w:rFonts w:ascii="Palatino Linotype" w:hAnsi="Palatino Linotype"/>
        </w:rPr>
        <w:t>SD</w:t>
      </w:r>
      <w:r w:rsidRPr="008E6E10" w:rsidR="001553D8">
        <w:rPr>
          <w:rFonts w:ascii="Palatino Linotype" w:hAnsi="Palatino Linotype"/>
        </w:rPr>
        <w:t xml:space="preserve">G&amp;E has a need to procure, </w:t>
      </w:r>
      <w:r w:rsidR="00C47C4B">
        <w:rPr>
          <w:rFonts w:ascii="Palatino Linotype" w:hAnsi="Palatino Linotype"/>
        </w:rPr>
        <w:t>because</w:t>
      </w:r>
      <w:r w:rsidRPr="008E6E10" w:rsidR="001553D8">
        <w:rPr>
          <w:rFonts w:ascii="Palatino Linotype" w:hAnsi="Palatino Linotype"/>
        </w:rPr>
        <w:t xml:space="preserve"> </w:t>
      </w:r>
      <w:r w:rsidRPr="008E6E10" w:rsidR="003A3453">
        <w:rPr>
          <w:rFonts w:ascii="Palatino Linotype" w:hAnsi="Palatino Linotype"/>
        </w:rPr>
        <w:t>SD</w:t>
      </w:r>
      <w:r w:rsidRPr="008E6E10" w:rsidR="001553D8">
        <w:rPr>
          <w:rFonts w:ascii="Palatino Linotype" w:hAnsi="Palatino Linotype"/>
        </w:rPr>
        <w:t>G&amp;E is obliged to execute these contracts.</w:t>
      </w:r>
    </w:p>
    <w:p w:rsidRPr="008E6E10" w:rsidR="009D535E" w:rsidP="009D535E" w:rsidRDefault="009D535E" w14:paraId="1A76D01B" w14:textId="77777777">
      <w:pPr>
        <w:rPr>
          <w:rFonts w:ascii="Palatino Linotype" w:hAnsi="Palatino Linotype"/>
        </w:rPr>
      </w:pPr>
    </w:p>
    <w:p w:rsidR="00B00C89" w:rsidP="009D535E" w:rsidRDefault="00B00C89" w14:paraId="5B1A616A" w14:textId="77777777">
      <w:pPr>
        <w:rPr>
          <w:rFonts w:ascii="Palatino Linotype" w:hAnsi="Palatino Linotype"/>
          <w:b/>
        </w:rPr>
      </w:pPr>
    </w:p>
    <w:p w:rsidR="00B00C89" w:rsidP="009D535E" w:rsidRDefault="00B00C89" w14:paraId="1E1815E6" w14:textId="77777777">
      <w:pPr>
        <w:rPr>
          <w:rFonts w:ascii="Palatino Linotype" w:hAnsi="Palatino Linotype"/>
          <w:b/>
        </w:rPr>
      </w:pPr>
    </w:p>
    <w:p w:rsidRPr="008E6E10" w:rsidR="009D535E" w:rsidP="009D535E" w:rsidRDefault="009D535E" w14:paraId="1D0CCBBC" w14:textId="77777777">
      <w:pPr>
        <w:rPr>
          <w:rFonts w:ascii="Palatino Linotype" w:hAnsi="Palatino Linotype"/>
          <w:b/>
        </w:rPr>
      </w:pPr>
      <w:r w:rsidRPr="008E6E10">
        <w:rPr>
          <w:rFonts w:ascii="Palatino Linotype" w:hAnsi="Palatino Linotype"/>
          <w:b/>
        </w:rPr>
        <w:lastRenderedPageBreak/>
        <w:t>Cost Reasonableness</w:t>
      </w:r>
    </w:p>
    <w:p w:rsidRPr="008E6E10" w:rsidR="009D535E" w:rsidP="009D535E" w:rsidRDefault="009D535E" w14:paraId="0EF0A119" w14:textId="77777777">
      <w:pPr>
        <w:rPr>
          <w:rFonts w:ascii="Palatino Linotype" w:hAnsi="Palatino Linotype"/>
          <w:b/>
        </w:rPr>
      </w:pPr>
    </w:p>
    <w:p w:rsidRPr="008E6E10" w:rsidR="009D535E" w:rsidP="009D535E" w:rsidRDefault="002D1E82" w14:paraId="4060FF98" w14:textId="77777777">
      <w:pPr>
        <w:rPr>
          <w:rFonts w:ascii="Palatino Linotype" w:hAnsi="Palatino Linotype"/>
        </w:rPr>
      </w:pPr>
      <w:r w:rsidRPr="008E6E10">
        <w:rPr>
          <w:rFonts w:ascii="Palatino Linotype" w:hAnsi="Palatino Linotype"/>
        </w:rPr>
        <w:t xml:space="preserve">In D.10-12-035, the </w:t>
      </w:r>
      <w:r w:rsidR="00C87454">
        <w:rPr>
          <w:rFonts w:ascii="Palatino Linotype" w:hAnsi="Palatino Linotype"/>
        </w:rPr>
        <w:t>CPUC</w:t>
      </w:r>
      <w:r w:rsidRPr="008E6E10" w:rsidR="00C87454">
        <w:rPr>
          <w:rFonts w:ascii="Palatino Linotype" w:hAnsi="Palatino Linotype"/>
        </w:rPr>
        <w:t xml:space="preserve"> </w:t>
      </w:r>
      <w:r w:rsidRPr="008E6E10">
        <w:rPr>
          <w:rFonts w:ascii="Palatino Linotype" w:hAnsi="Palatino Linotype"/>
        </w:rPr>
        <w:t xml:space="preserve">approved the QF/CHP Settlement Agreement, which includes several standard offer contracts for Qualifying Facilities. </w:t>
      </w:r>
      <w:r w:rsidRPr="008E6E10" w:rsidR="0027049B">
        <w:rPr>
          <w:rFonts w:ascii="Palatino Linotype" w:hAnsi="Palatino Linotype"/>
        </w:rPr>
        <w:t>All</w:t>
      </w:r>
      <w:r w:rsidRPr="008E6E10">
        <w:rPr>
          <w:rFonts w:ascii="Palatino Linotype" w:hAnsi="Palatino Linotype"/>
        </w:rPr>
        <w:t xml:space="preserve"> these pro forma standard offer contracts </w:t>
      </w:r>
      <w:r w:rsidRPr="008E6E10" w:rsidR="0027049B">
        <w:rPr>
          <w:rFonts w:ascii="Palatino Linotype" w:hAnsi="Palatino Linotype"/>
        </w:rPr>
        <w:t xml:space="preserve">include pricing structures approved by the </w:t>
      </w:r>
      <w:r w:rsidR="00C87454">
        <w:rPr>
          <w:rFonts w:ascii="Palatino Linotype" w:hAnsi="Palatino Linotype"/>
        </w:rPr>
        <w:t>CPUC</w:t>
      </w:r>
      <w:r w:rsidRPr="008E6E10" w:rsidR="0027049B">
        <w:rPr>
          <w:rFonts w:ascii="Palatino Linotype" w:hAnsi="Palatino Linotype"/>
        </w:rPr>
        <w:t xml:space="preserve">. </w:t>
      </w:r>
      <w:r w:rsidR="00554FED">
        <w:rPr>
          <w:rFonts w:ascii="Palatino Linotype" w:hAnsi="Palatino Linotype"/>
        </w:rPr>
        <w:t>For this contract, the price</w:t>
      </w:r>
      <w:r w:rsidR="00715A6A">
        <w:rPr>
          <w:rFonts w:ascii="Palatino Linotype" w:hAnsi="Palatino Linotype"/>
        </w:rPr>
        <w:t xml:space="preserve"> is the output of a </w:t>
      </w:r>
      <w:r w:rsidR="00C87454">
        <w:rPr>
          <w:rFonts w:ascii="Palatino Linotype" w:hAnsi="Palatino Linotype"/>
        </w:rPr>
        <w:t>CPUC</w:t>
      </w:r>
      <w:r w:rsidR="00715A6A">
        <w:rPr>
          <w:rFonts w:ascii="Palatino Linotype" w:hAnsi="Palatino Linotype"/>
        </w:rPr>
        <w:t xml:space="preserve">-approved formula for short-run avoided cost (SRAC), which is one of the ways the </w:t>
      </w:r>
      <w:r w:rsidR="00C87454">
        <w:rPr>
          <w:rFonts w:ascii="Palatino Linotype" w:hAnsi="Palatino Linotype"/>
        </w:rPr>
        <w:t xml:space="preserve">CPUC </w:t>
      </w:r>
      <w:r w:rsidR="00715A6A">
        <w:rPr>
          <w:rFonts w:ascii="Palatino Linotype" w:hAnsi="Palatino Linotype"/>
        </w:rPr>
        <w:t>has historically determined avoided cost for energy purchases from QF</w:t>
      </w:r>
      <w:r w:rsidR="00A0354F">
        <w:rPr>
          <w:rFonts w:ascii="Palatino Linotype" w:hAnsi="Palatino Linotype"/>
        </w:rPr>
        <w:t>s</w:t>
      </w:r>
      <w:r w:rsidR="00715A6A">
        <w:rPr>
          <w:rFonts w:ascii="Palatino Linotype" w:hAnsi="Palatino Linotype"/>
        </w:rPr>
        <w:t>.</w:t>
      </w:r>
      <w:r w:rsidR="00554FED">
        <w:rPr>
          <w:rFonts w:ascii="Palatino Linotype" w:hAnsi="Palatino Linotype"/>
        </w:rPr>
        <w:t xml:space="preserve"> </w:t>
      </w:r>
      <w:r w:rsidRPr="008E6E10" w:rsidR="0027049B">
        <w:rPr>
          <w:rFonts w:ascii="Palatino Linotype" w:hAnsi="Palatino Linotype"/>
        </w:rPr>
        <w:t xml:space="preserve">As the </w:t>
      </w:r>
      <w:r w:rsidRPr="008E6E10" w:rsidR="003A3453">
        <w:rPr>
          <w:rFonts w:ascii="Palatino Linotype" w:hAnsi="Palatino Linotype"/>
        </w:rPr>
        <w:t xml:space="preserve">modifications to the PPA </w:t>
      </w:r>
      <w:r w:rsidRPr="008E6E10" w:rsidR="0027049B">
        <w:rPr>
          <w:rFonts w:ascii="Palatino Linotype" w:hAnsi="Palatino Linotype"/>
        </w:rPr>
        <w:t xml:space="preserve">do not modify the </w:t>
      </w:r>
      <w:r w:rsidR="00E2646C">
        <w:rPr>
          <w:rFonts w:ascii="Palatino Linotype" w:hAnsi="Palatino Linotype"/>
        </w:rPr>
        <w:t xml:space="preserve">energy or capacity </w:t>
      </w:r>
      <w:r w:rsidRPr="008E6E10" w:rsidR="0027049B">
        <w:rPr>
          <w:rFonts w:ascii="Palatino Linotype" w:hAnsi="Palatino Linotype"/>
        </w:rPr>
        <w:t xml:space="preserve">prices previously approved by the </w:t>
      </w:r>
      <w:r w:rsidR="00C87454">
        <w:rPr>
          <w:rFonts w:ascii="Palatino Linotype" w:hAnsi="Palatino Linotype"/>
        </w:rPr>
        <w:t>CPUC</w:t>
      </w:r>
      <w:r w:rsidRPr="008E6E10" w:rsidR="0027049B">
        <w:rPr>
          <w:rFonts w:ascii="Palatino Linotype" w:hAnsi="Palatino Linotype"/>
        </w:rPr>
        <w:t>, we find the costs reasonable.</w:t>
      </w:r>
      <w:r w:rsidR="00522F80">
        <w:rPr>
          <w:rFonts w:ascii="Palatino Linotype" w:hAnsi="Palatino Linotype"/>
        </w:rPr>
        <w:t xml:space="preserve"> SDG&amp;E posts this price on their website</w:t>
      </w:r>
      <w:r w:rsidR="0029116D">
        <w:rPr>
          <w:rFonts w:ascii="Palatino Linotype" w:hAnsi="Palatino Linotype"/>
        </w:rPr>
        <w:t xml:space="preserve"> at www2.sdge.com/srac/</w:t>
      </w:r>
      <w:r w:rsidR="00522F80">
        <w:rPr>
          <w:rFonts w:ascii="Palatino Linotype" w:hAnsi="Palatino Linotype"/>
        </w:rPr>
        <w:t>.</w:t>
      </w:r>
    </w:p>
    <w:p w:rsidRPr="008E6E10" w:rsidR="002D1E82" w:rsidP="009D535E" w:rsidRDefault="002D1E82" w14:paraId="643A36F2" w14:textId="77777777">
      <w:pPr>
        <w:rPr>
          <w:rFonts w:ascii="Palatino Linotype" w:hAnsi="Palatino Linotype"/>
        </w:rPr>
      </w:pPr>
    </w:p>
    <w:p w:rsidRPr="008E6E10" w:rsidR="009D535E" w:rsidP="009D535E" w:rsidRDefault="009D535E" w14:paraId="285ABBC1" w14:textId="77777777">
      <w:pPr>
        <w:rPr>
          <w:rFonts w:ascii="Palatino Linotype" w:hAnsi="Palatino Linotype"/>
          <w:b/>
        </w:rPr>
      </w:pPr>
      <w:r w:rsidRPr="008E6E10">
        <w:rPr>
          <w:rFonts w:ascii="Palatino Linotype" w:hAnsi="Palatino Linotype"/>
          <w:b/>
        </w:rPr>
        <w:t>Public Safety</w:t>
      </w:r>
    </w:p>
    <w:p w:rsidRPr="008E6E10" w:rsidR="009D535E" w:rsidP="009D535E" w:rsidRDefault="009D535E" w14:paraId="3BE1ACC9" w14:textId="77777777">
      <w:pPr>
        <w:rPr>
          <w:rFonts w:ascii="Palatino Linotype" w:hAnsi="Palatino Linotype"/>
        </w:rPr>
      </w:pPr>
    </w:p>
    <w:p w:rsidRPr="008E6E10" w:rsidR="009D535E" w:rsidP="009D535E" w:rsidRDefault="003A3453" w14:paraId="5BAE7468" w14:textId="77777777">
      <w:pPr>
        <w:rPr>
          <w:rFonts w:ascii="Palatino Linotype" w:hAnsi="Palatino Linotype"/>
        </w:rPr>
      </w:pPr>
      <w:r w:rsidRPr="008E6E10">
        <w:rPr>
          <w:rFonts w:ascii="Palatino Linotype" w:hAnsi="Palatino Linotype"/>
        </w:rPr>
        <w:t>SD</w:t>
      </w:r>
      <w:r w:rsidRPr="008E6E10" w:rsidR="007F4DF7">
        <w:rPr>
          <w:rFonts w:ascii="Palatino Linotype" w:hAnsi="Palatino Linotype"/>
        </w:rPr>
        <w:t>G&amp;E</w:t>
      </w:r>
      <w:r w:rsidRPr="008E6E10" w:rsidR="009D535E">
        <w:rPr>
          <w:rFonts w:ascii="Palatino Linotype" w:hAnsi="Palatino Linotype"/>
        </w:rPr>
        <w:t xml:space="preserve"> provide</w:t>
      </w:r>
      <w:r w:rsidRPr="008E6E10" w:rsidR="007F4DF7">
        <w:rPr>
          <w:rFonts w:ascii="Palatino Linotype" w:hAnsi="Palatino Linotype"/>
        </w:rPr>
        <w:t>s</w:t>
      </w:r>
      <w:r w:rsidRPr="008E6E10" w:rsidR="009D535E">
        <w:rPr>
          <w:rFonts w:ascii="Palatino Linotype" w:hAnsi="Palatino Linotype"/>
        </w:rPr>
        <w:t xml:space="preserve"> a report from an indep</w:t>
      </w:r>
      <w:r w:rsidRPr="008E6E10" w:rsidR="005F6760">
        <w:rPr>
          <w:rFonts w:ascii="Palatino Linotype" w:hAnsi="Palatino Linotype"/>
        </w:rPr>
        <w:t>endent, California l</w:t>
      </w:r>
      <w:r w:rsidRPr="008E6E10" w:rsidR="009D535E">
        <w:rPr>
          <w:rFonts w:ascii="Palatino Linotype" w:hAnsi="Palatino Linotype"/>
        </w:rPr>
        <w:t xml:space="preserve">icensed engineer certifying that the </w:t>
      </w:r>
      <w:r w:rsidRPr="008E6E10" w:rsidR="007F4DF7">
        <w:rPr>
          <w:rFonts w:ascii="Palatino Linotype" w:hAnsi="Palatino Linotype"/>
        </w:rPr>
        <w:t>Facilit</w:t>
      </w:r>
      <w:r w:rsidR="00C169BC">
        <w:rPr>
          <w:rFonts w:ascii="Palatino Linotype" w:hAnsi="Palatino Linotype"/>
        </w:rPr>
        <w:t>y</w:t>
      </w:r>
      <w:r w:rsidRPr="008E6E10" w:rsidR="007F4DF7">
        <w:rPr>
          <w:rFonts w:ascii="Palatino Linotype" w:hAnsi="Palatino Linotype"/>
        </w:rPr>
        <w:t xml:space="preserve"> ha</w:t>
      </w:r>
      <w:r w:rsidR="000F7FB4">
        <w:rPr>
          <w:rFonts w:ascii="Palatino Linotype" w:hAnsi="Palatino Linotype"/>
        </w:rPr>
        <w:t>s</w:t>
      </w:r>
      <w:r w:rsidRPr="008E6E10" w:rsidR="009D535E">
        <w:rPr>
          <w:rFonts w:ascii="Palatino Linotype" w:hAnsi="Palatino Linotype"/>
        </w:rPr>
        <w:t xml:space="preserve"> a feasible safety plan. </w:t>
      </w:r>
      <w:r w:rsidR="00510096">
        <w:rPr>
          <w:rFonts w:ascii="Palatino Linotype" w:hAnsi="Palatino Linotype"/>
        </w:rPr>
        <w:t xml:space="preserve">As a public agency, SFID is required to maintain a comprehensive safety program that covers the facility. Two documents form the basis of the safety </w:t>
      </w:r>
      <w:r w:rsidR="000F7FB4">
        <w:rPr>
          <w:rFonts w:ascii="Palatino Linotype" w:hAnsi="Palatino Linotype"/>
        </w:rPr>
        <w:t>p</w:t>
      </w:r>
      <w:r w:rsidR="00510096">
        <w:rPr>
          <w:rFonts w:ascii="Palatino Linotype" w:hAnsi="Palatino Linotype"/>
        </w:rPr>
        <w:t xml:space="preserve">lan. The </w:t>
      </w:r>
      <w:r w:rsidR="001B18F1">
        <w:rPr>
          <w:rFonts w:ascii="Palatino Linotype" w:hAnsi="Palatino Linotype"/>
        </w:rPr>
        <w:t>f</w:t>
      </w:r>
      <w:r w:rsidR="00510096">
        <w:rPr>
          <w:rFonts w:ascii="Palatino Linotype" w:hAnsi="Palatino Linotype"/>
        </w:rPr>
        <w:t xml:space="preserve">irst is the SFID Injury and Illness Prevention Program, which is SFID’s overall safety program and creates an organized approach to employee accident prevention. The second is the SFID Environmental Health and Safety Manual, which provides more detailed information on various environmental health and safety practices applicable to the facility. </w:t>
      </w:r>
      <w:r w:rsidR="00C169BC">
        <w:rPr>
          <w:rFonts w:ascii="Palatino Linotype" w:hAnsi="Palatino Linotype"/>
        </w:rPr>
        <w:t>T</w:t>
      </w:r>
      <w:r w:rsidRPr="008E6E10" w:rsidR="009D535E">
        <w:rPr>
          <w:rFonts w:ascii="Palatino Linotype" w:hAnsi="Palatino Linotype"/>
        </w:rPr>
        <w:t>he safety plan</w:t>
      </w:r>
      <w:r w:rsidRPr="008E6E10">
        <w:rPr>
          <w:rFonts w:ascii="Palatino Linotype" w:hAnsi="Palatino Linotype"/>
        </w:rPr>
        <w:t xml:space="preserve"> and</w:t>
      </w:r>
      <w:r w:rsidRPr="008E6E10" w:rsidR="009D535E">
        <w:rPr>
          <w:rFonts w:ascii="Palatino Linotype" w:hAnsi="Palatino Linotype"/>
        </w:rPr>
        <w:t xml:space="preserve"> the engineer’s certification </w:t>
      </w:r>
      <w:r w:rsidR="00554FED">
        <w:rPr>
          <w:rFonts w:ascii="Palatino Linotype" w:hAnsi="Palatino Linotype"/>
        </w:rPr>
        <w:t>are</w:t>
      </w:r>
      <w:r w:rsidRPr="008E6E10">
        <w:rPr>
          <w:rFonts w:ascii="Palatino Linotype" w:hAnsi="Palatino Linotype"/>
        </w:rPr>
        <w:t xml:space="preserve"> reasonable.</w:t>
      </w:r>
    </w:p>
    <w:p w:rsidRPr="008E6E10" w:rsidR="009D535E" w:rsidP="009D535E" w:rsidRDefault="009D535E" w14:paraId="4EB4AE5E" w14:textId="77777777"/>
    <w:p w:rsidRPr="008E6E10" w:rsidR="009D535E" w:rsidP="009D535E" w:rsidRDefault="009D535E" w14:paraId="04923E45" w14:textId="77777777">
      <w:pPr>
        <w:rPr>
          <w:rFonts w:ascii="Palatino Linotype" w:hAnsi="Palatino Linotype"/>
          <w:b/>
        </w:rPr>
      </w:pPr>
      <w:r w:rsidRPr="008E6E10">
        <w:rPr>
          <w:rFonts w:ascii="Palatino Linotype" w:hAnsi="Palatino Linotype"/>
          <w:b/>
        </w:rPr>
        <w:t>Consistency with Emissions Performance Standard</w:t>
      </w:r>
    </w:p>
    <w:p w:rsidRPr="008E6E10" w:rsidR="009D535E" w:rsidP="009D535E" w:rsidRDefault="009D535E" w14:paraId="796B82AD" w14:textId="77777777"/>
    <w:p w:rsidRPr="008E6E10" w:rsidR="009D535E" w:rsidP="007F4DF7" w:rsidRDefault="007F4DF7" w14:paraId="2C812E18" w14:textId="77777777">
      <w:pPr>
        <w:rPr>
          <w:rFonts w:ascii="Palatino Linotype" w:hAnsi="Palatino Linotype"/>
        </w:rPr>
      </w:pPr>
      <w:r w:rsidRPr="008E6E10">
        <w:rPr>
          <w:rFonts w:ascii="Palatino Linotype" w:hAnsi="Palatino Linotype"/>
        </w:rPr>
        <w:t xml:space="preserve">In D.07-01-039, the </w:t>
      </w:r>
      <w:r w:rsidR="00C87454">
        <w:rPr>
          <w:rFonts w:ascii="Palatino Linotype" w:hAnsi="Palatino Linotype"/>
        </w:rPr>
        <w:t>CPUC</w:t>
      </w:r>
      <w:r w:rsidRPr="008E6E10" w:rsidR="00C87454">
        <w:rPr>
          <w:rFonts w:ascii="Palatino Linotype" w:hAnsi="Palatino Linotype"/>
        </w:rPr>
        <w:t xml:space="preserve"> </w:t>
      </w:r>
      <w:r w:rsidRPr="008E6E10">
        <w:rPr>
          <w:rFonts w:ascii="Palatino Linotype" w:hAnsi="Palatino Linotype"/>
        </w:rPr>
        <w:t>adopted a greenhouse gas Emissions Performance Standard</w:t>
      </w:r>
      <w:r w:rsidR="009C3082">
        <w:rPr>
          <w:rFonts w:ascii="Palatino Linotype" w:hAnsi="Palatino Linotype"/>
        </w:rPr>
        <w:t>,</w:t>
      </w:r>
      <w:r w:rsidR="0029116D">
        <w:rPr>
          <w:rFonts w:ascii="Palatino Linotype" w:hAnsi="Palatino Linotype"/>
        </w:rPr>
        <w:t xml:space="preserve"> </w:t>
      </w:r>
      <w:r w:rsidRPr="008E6E10">
        <w:rPr>
          <w:rFonts w:ascii="Palatino Linotype" w:hAnsi="Palatino Linotype"/>
        </w:rPr>
        <w:t xml:space="preserve">which is applicable to an electricity contract for baseload generation, as defined, having a delivery term of five years or more. According to D.07-01-039, the </w:t>
      </w:r>
      <w:r w:rsidR="00522F80">
        <w:rPr>
          <w:rFonts w:ascii="Palatino Linotype" w:hAnsi="Palatino Linotype"/>
        </w:rPr>
        <w:t>Emissions Performance Standard</w:t>
      </w:r>
      <w:r w:rsidRPr="008E6E10" w:rsidR="00522F80">
        <w:rPr>
          <w:rFonts w:ascii="Palatino Linotype" w:hAnsi="Palatino Linotype"/>
        </w:rPr>
        <w:t xml:space="preserve"> </w:t>
      </w:r>
      <w:r w:rsidRPr="008E6E10">
        <w:rPr>
          <w:rFonts w:ascii="Palatino Linotype" w:hAnsi="Palatino Linotype"/>
        </w:rPr>
        <w:t xml:space="preserve">applies to generation facilities expected to have a capacity factor in excess of sixty percent. </w:t>
      </w:r>
      <w:r w:rsidRPr="008E6E10" w:rsidR="003A3453">
        <w:rPr>
          <w:rFonts w:ascii="Palatino Linotype" w:hAnsi="Palatino Linotype"/>
        </w:rPr>
        <w:t>The SFID facility is a ren</w:t>
      </w:r>
      <w:r w:rsidRPr="008E6E10" w:rsidR="008E6E10">
        <w:rPr>
          <w:rFonts w:ascii="Palatino Linotype" w:hAnsi="Palatino Linotype"/>
        </w:rPr>
        <w:t xml:space="preserve">ewable generator with an expected capacity factor of only 46.3%. The facility is therefore not subject to the </w:t>
      </w:r>
      <w:r w:rsidR="00522F80">
        <w:rPr>
          <w:rFonts w:ascii="Palatino Linotype" w:hAnsi="Palatino Linotype"/>
        </w:rPr>
        <w:t>Emissions Performance Standard</w:t>
      </w:r>
      <w:r w:rsidRPr="008E6E10" w:rsidR="008E6E10">
        <w:rPr>
          <w:rFonts w:ascii="Palatino Linotype" w:hAnsi="Palatino Linotype"/>
        </w:rPr>
        <w:t>.</w:t>
      </w:r>
    </w:p>
    <w:p w:rsidRPr="008E6E10" w:rsidR="007F4DF7" w:rsidP="007F4DF7" w:rsidRDefault="007F4DF7" w14:paraId="72D2234F" w14:textId="77777777"/>
    <w:p w:rsidR="001524B8" w:rsidP="009D535E" w:rsidRDefault="001524B8" w14:paraId="02A190AE" w14:textId="77777777">
      <w:pPr>
        <w:rPr>
          <w:rFonts w:ascii="Palatino Linotype" w:hAnsi="Palatino Linotype"/>
          <w:b/>
        </w:rPr>
      </w:pPr>
    </w:p>
    <w:p w:rsidR="001524B8" w:rsidP="009D535E" w:rsidRDefault="001524B8" w14:paraId="0B3803CF" w14:textId="77777777">
      <w:pPr>
        <w:rPr>
          <w:rFonts w:ascii="Palatino Linotype" w:hAnsi="Palatino Linotype"/>
          <w:b/>
        </w:rPr>
      </w:pPr>
    </w:p>
    <w:p w:rsidRPr="008E6E10" w:rsidR="009D535E" w:rsidP="009D535E" w:rsidRDefault="00522F80" w14:paraId="7EF6D033" w14:textId="77777777">
      <w:pPr>
        <w:rPr>
          <w:rFonts w:ascii="Palatino Linotype" w:hAnsi="Palatino Linotype"/>
          <w:b/>
        </w:rPr>
      </w:pPr>
      <w:r>
        <w:rPr>
          <w:rFonts w:ascii="Palatino Linotype" w:hAnsi="Palatino Linotype"/>
          <w:b/>
        </w:rPr>
        <w:lastRenderedPageBreak/>
        <w:t>Cost Allocation Mechanism</w:t>
      </w:r>
      <w:r w:rsidRPr="008E6E10">
        <w:rPr>
          <w:rFonts w:ascii="Palatino Linotype" w:hAnsi="Palatino Linotype"/>
          <w:b/>
        </w:rPr>
        <w:t xml:space="preserve"> </w:t>
      </w:r>
      <w:r w:rsidRPr="008E6E10" w:rsidR="009D535E">
        <w:rPr>
          <w:rFonts w:ascii="Palatino Linotype" w:hAnsi="Palatino Linotype"/>
          <w:b/>
        </w:rPr>
        <w:t>Group Participation</w:t>
      </w:r>
    </w:p>
    <w:p w:rsidRPr="008E6E10" w:rsidR="009D535E" w:rsidP="009D535E" w:rsidRDefault="009D535E" w14:paraId="5D9E279B" w14:textId="77777777"/>
    <w:p w:rsidRPr="008E6E10" w:rsidR="007F4DF7" w:rsidP="009D535E" w:rsidRDefault="00522F80" w14:paraId="17625661" w14:textId="77777777">
      <w:pPr>
        <w:rPr>
          <w:rFonts w:ascii="Palatino Linotype" w:hAnsi="Palatino Linotype"/>
        </w:rPr>
      </w:pPr>
      <w:r w:rsidRPr="008E6E10">
        <w:rPr>
          <w:rFonts w:ascii="Palatino Linotype" w:hAnsi="Palatino Linotype"/>
        </w:rPr>
        <w:t>D.02-08-071</w:t>
      </w:r>
      <w:r w:rsidR="007A1F51">
        <w:rPr>
          <w:rFonts w:ascii="Palatino Linotype" w:hAnsi="Palatino Linotype"/>
        </w:rPr>
        <w:t xml:space="preserve"> requires the establishment of a </w:t>
      </w:r>
      <w:r w:rsidR="008B6E88">
        <w:rPr>
          <w:rFonts w:ascii="Palatino Linotype" w:hAnsi="Palatino Linotype"/>
        </w:rPr>
        <w:t>Procurement</w:t>
      </w:r>
      <w:r w:rsidR="007A1F51">
        <w:rPr>
          <w:rFonts w:ascii="Palatino Linotype" w:hAnsi="Palatino Linotype"/>
        </w:rPr>
        <w:t xml:space="preserve"> Review Group</w:t>
      </w:r>
      <w:r w:rsidRPr="008E6E10">
        <w:rPr>
          <w:rFonts w:ascii="Palatino Linotype" w:hAnsi="Palatino Linotype"/>
        </w:rPr>
        <w:t xml:space="preserve"> </w:t>
      </w:r>
      <w:r w:rsidR="00460E07">
        <w:rPr>
          <w:rFonts w:ascii="Palatino Linotype" w:hAnsi="Palatino Linotype"/>
        </w:rPr>
        <w:t xml:space="preserve">(PRG) </w:t>
      </w:r>
      <w:r w:rsidR="00D62734">
        <w:rPr>
          <w:rFonts w:ascii="Palatino Linotype" w:hAnsi="Palatino Linotype"/>
        </w:rPr>
        <w:t xml:space="preserve">to assess proposed contracts </w:t>
      </w:r>
      <w:r w:rsidRPr="008E6E10">
        <w:rPr>
          <w:rFonts w:ascii="Palatino Linotype" w:hAnsi="Palatino Linotype"/>
        </w:rPr>
        <w:t>and D.07-12-052 require</w:t>
      </w:r>
      <w:r w:rsidR="007A1F51">
        <w:rPr>
          <w:rFonts w:ascii="Palatino Linotype" w:hAnsi="Palatino Linotype"/>
        </w:rPr>
        <w:t>s</w:t>
      </w:r>
      <w:r>
        <w:rPr>
          <w:rFonts w:ascii="Palatino Linotype" w:hAnsi="Palatino Linotype"/>
        </w:rPr>
        <w:t xml:space="preserve"> </w:t>
      </w:r>
      <w:r w:rsidR="001E2FAA">
        <w:rPr>
          <w:rFonts w:ascii="Palatino Linotype" w:hAnsi="Palatino Linotype"/>
        </w:rPr>
        <w:t xml:space="preserve">the investor-owned utilities to include members representing community choice aggregator and direct access customers to its </w:t>
      </w:r>
      <w:r w:rsidR="009C3082">
        <w:rPr>
          <w:rFonts w:ascii="Palatino Linotype" w:hAnsi="Palatino Linotype"/>
        </w:rPr>
        <w:t>PRG</w:t>
      </w:r>
      <w:r w:rsidR="001E2FAA">
        <w:rPr>
          <w:rFonts w:ascii="Palatino Linotype" w:hAnsi="Palatino Linotype"/>
        </w:rPr>
        <w:t xml:space="preserve"> should it seek</w:t>
      </w:r>
      <w:r w:rsidR="002D171A">
        <w:rPr>
          <w:rFonts w:ascii="Palatino Linotype" w:hAnsi="Palatino Linotype"/>
        </w:rPr>
        <w:t xml:space="preserve"> </w:t>
      </w:r>
      <w:r w:rsidR="001E2FAA">
        <w:rPr>
          <w:rFonts w:ascii="Palatino Linotype" w:hAnsi="Palatino Linotype"/>
        </w:rPr>
        <w:t>to recover costs from bundled and unbundled customers using the Cost Allocatio</w:t>
      </w:r>
      <w:r w:rsidR="002D171A">
        <w:rPr>
          <w:rFonts w:ascii="Palatino Linotype" w:hAnsi="Palatino Linotype"/>
        </w:rPr>
        <w:t>n</w:t>
      </w:r>
      <w:r w:rsidR="001E2FAA">
        <w:rPr>
          <w:rFonts w:ascii="Palatino Linotype" w:hAnsi="Palatino Linotype"/>
        </w:rPr>
        <w:t xml:space="preserve"> Mechanism</w:t>
      </w:r>
      <w:r w:rsidR="001B18F1">
        <w:rPr>
          <w:rFonts w:ascii="Palatino Linotype" w:hAnsi="Palatino Linotype"/>
        </w:rPr>
        <w:t xml:space="preserve"> (CAM)</w:t>
      </w:r>
      <w:r w:rsidR="001E2FAA">
        <w:rPr>
          <w:rFonts w:ascii="Palatino Linotype" w:hAnsi="Palatino Linotype"/>
        </w:rPr>
        <w:t>.</w:t>
      </w:r>
      <w:r w:rsidRPr="008E6E10">
        <w:rPr>
          <w:rFonts w:ascii="Palatino Linotype" w:hAnsi="Palatino Linotype"/>
        </w:rPr>
        <w:t xml:space="preserve"> </w:t>
      </w:r>
      <w:r w:rsidRPr="008E6E10" w:rsidR="007F4DF7">
        <w:rPr>
          <w:rFonts w:ascii="Palatino Linotype" w:hAnsi="Palatino Linotype"/>
        </w:rPr>
        <w:t xml:space="preserve">SDG&amp;E briefed its CAM PRG on the PPA on </w:t>
      </w:r>
      <w:r w:rsidRPr="008E6E10" w:rsidR="008E6E10">
        <w:rPr>
          <w:rFonts w:ascii="Palatino Linotype" w:hAnsi="Palatino Linotype"/>
        </w:rPr>
        <w:t xml:space="preserve">November 16, 2018 and February 15, 2019. </w:t>
      </w:r>
      <w:r w:rsidR="00554FED">
        <w:rPr>
          <w:rFonts w:ascii="Palatino Linotype" w:hAnsi="Palatino Linotype"/>
        </w:rPr>
        <w:t>SDG&amp;E states that t</w:t>
      </w:r>
      <w:r w:rsidRPr="008E6E10" w:rsidR="008E6E10">
        <w:rPr>
          <w:rFonts w:ascii="Palatino Linotype" w:hAnsi="Palatino Linotype"/>
        </w:rPr>
        <w:t>he CAM PRG did not provide any negative feedback on the proposed PPA.</w:t>
      </w:r>
    </w:p>
    <w:p w:rsidRPr="008E6E10" w:rsidR="009D535E" w:rsidP="009D535E" w:rsidRDefault="009D535E" w14:paraId="32987E63" w14:textId="77777777"/>
    <w:p w:rsidRPr="008E6E10" w:rsidR="009D535E" w:rsidP="009D535E" w:rsidRDefault="009D535E" w14:paraId="1F3569D1" w14:textId="77777777">
      <w:pPr>
        <w:rPr>
          <w:rFonts w:ascii="Palatino Linotype" w:hAnsi="Palatino Linotype"/>
          <w:b/>
        </w:rPr>
      </w:pPr>
      <w:r w:rsidRPr="008E6E10">
        <w:rPr>
          <w:rFonts w:ascii="Palatino Linotype" w:hAnsi="Palatino Linotype"/>
          <w:b/>
        </w:rPr>
        <w:t>Disadvantaged Community Designation</w:t>
      </w:r>
    </w:p>
    <w:p w:rsidRPr="008E6E10" w:rsidR="009D535E" w:rsidP="009D535E" w:rsidRDefault="009D535E" w14:paraId="5F294633" w14:textId="77777777"/>
    <w:p w:rsidRPr="008E6E10" w:rsidR="009D535E" w:rsidP="009D535E" w:rsidRDefault="009D535E" w14:paraId="4D76F31C" w14:textId="77777777">
      <w:pPr>
        <w:spacing w:after="240"/>
        <w:rPr>
          <w:rFonts w:ascii="Palatino Linotype" w:hAnsi="Palatino Linotype"/>
          <w:szCs w:val="26"/>
        </w:rPr>
      </w:pPr>
      <w:r w:rsidRPr="008E6E10">
        <w:rPr>
          <w:rFonts w:ascii="Palatino Linotype" w:hAnsi="Palatino Linotype"/>
          <w:szCs w:val="26"/>
        </w:rPr>
        <w:t xml:space="preserve">Senate Bill 350 (de León, Chapter 547, Stats. 2015) </w:t>
      </w:r>
      <w:r w:rsidR="00460E07">
        <w:rPr>
          <w:rFonts w:ascii="Palatino Linotype" w:hAnsi="Palatino Linotype"/>
          <w:szCs w:val="26"/>
        </w:rPr>
        <w:t xml:space="preserve">requires </w:t>
      </w:r>
      <w:r w:rsidR="00900D28">
        <w:rPr>
          <w:rFonts w:ascii="Palatino Linotype" w:hAnsi="Palatino Linotype"/>
          <w:szCs w:val="26"/>
        </w:rPr>
        <w:t>consider</w:t>
      </w:r>
      <w:r w:rsidR="00460E07">
        <w:rPr>
          <w:rFonts w:ascii="Palatino Linotype" w:hAnsi="Palatino Linotype"/>
          <w:szCs w:val="26"/>
        </w:rPr>
        <w:t xml:space="preserve">ation </w:t>
      </w:r>
      <w:r w:rsidR="000A7038">
        <w:rPr>
          <w:rFonts w:ascii="Palatino Linotype" w:hAnsi="Palatino Linotype"/>
          <w:szCs w:val="26"/>
        </w:rPr>
        <w:t xml:space="preserve">of </w:t>
      </w:r>
      <w:r w:rsidRPr="008E6E10" w:rsidR="000A7038">
        <w:rPr>
          <w:rFonts w:ascii="Palatino Linotype" w:hAnsi="Palatino Linotype"/>
          <w:szCs w:val="26"/>
        </w:rPr>
        <w:t>disadvantaged</w:t>
      </w:r>
      <w:r w:rsidRPr="008E6E10">
        <w:rPr>
          <w:rFonts w:ascii="Palatino Linotype" w:hAnsi="Palatino Linotype"/>
          <w:szCs w:val="26"/>
        </w:rPr>
        <w:t xml:space="preserve"> communit</w:t>
      </w:r>
      <w:r w:rsidR="00900D28">
        <w:rPr>
          <w:rFonts w:ascii="Palatino Linotype" w:hAnsi="Palatino Linotype"/>
          <w:szCs w:val="26"/>
        </w:rPr>
        <w:t>ies in many energy program and policy areas, so we find it appropriate to identify whether this facility is located within a disadvantaged community.</w:t>
      </w:r>
      <w:r w:rsidRPr="008E6E10">
        <w:rPr>
          <w:rFonts w:ascii="Palatino Linotype" w:hAnsi="Palatino Linotype"/>
          <w:szCs w:val="26"/>
        </w:rPr>
        <w:t xml:space="preserve"> </w:t>
      </w:r>
    </w:p>
    <w:p w:rsidRPr="008E6E10" w:rsidR="008E6E10" w:rsidP="009D535E" w:rsidRDefault="008E6E10" w14:paraId="6759582E" w14:textId="77777777">
      <w:pPr>
        <w:spacing w:after="240"/>
        <w:rPr>
          <w:rFonts w:ascii="Palatino Linotype" w:hAnsi="Palatino Linotype"/>
          <w:szCs w:val="26"/>
        </w:rPr>
      </w:pPr>
      <w:r w:rsidRPr="008E6E10">
        <w:rPr>
          <w:rFonts w:ascii="Palatino Linotype" w:hAnsi="Palatino Linotype"/>
          <w:szCs w:val="26"/>
        </w:rPr>
        <w:t xml:space="preserve">The SFID facility lies within Census Tract 6073017110, which is not a CalEnviroScreen Version 3.0 designated </w:t>
      </w:r>
      <w:r w:rsidR="00D37F1F">
        <w:rPr>
          <w:rFonts w:ascii="Palatino Linotype" w:hAnsi="Palatino Linotype"/>
          <w:szCs w:val="26"/>
        </w:rPr>
        <w:t>d</w:t>
      </w:r>
      <w:r w:rsidRPr="008E6E10">
        <w:rPr>
          <w:rFonts w:ascii="Palatino Linotype" w:hAnsi="Palatino Linotype"/>
          <w:szCs w:val="26"/>
        </w:rPr>
        <w:t xml:space="preserve">isadvantaged </w:t>
      </w:r>
      <w:r w:rsidR="00D37F1F">
        <w:rPr>
          <w:rFonts w:ascii="Palatino Linotype" w:hAnsi="Palatino Linotype"/>
          <w:szCs w:val="26"/>
        </w:rPr>
        <w:t>c</w:t>
      </w:r>
      <w:r w:rsidRPr="008E6E10">
        <w:rPr>
          <w:rFonts w:ascii="Palatino Linotype" w:hAnsi="Palatino Linotype"/>
          <w:szCs w:val="26"/>
        </w:rPr>
        <w:t xml:space="preserve">ommunity. </w:t>
      </w:r>
    </w:p>
    <w:p w:rsidRPr="008E6E10" w:rsidR="009D535E" w:rsidP="009D535E" w:rsidRDefault="009D535E" w14:paraId="6998C2D6" w14:textId="77777777">
      <w:pPr>
        <w:pStyle w:val="Heading1"/>
      </w:pPr>
      <w:r w:rsidRPr="008E6E10">
        <w:t>Comments</w:t>
      </w:r>
    </w:p>
    <w:p w:rsidR="002D171A" w:rsidP="002D171A" w:rsidRDefault="002D171A" w14:paraId="24777BB0" w14:textId="77777777">
      <w:pPr>
        <w:rPr>
          <w:rFonts w:ascii="Palatino Linotype" w:hAnsi="Palatino Linotype"/>
        </w:rPr>
      </w:pPr>
      <w:r w:rsidRPr="002D171A">
        <w:rPr>
          <w:rFonts w:ascii="Palatino Linotype" w:hAnsi="Palatino Linotype"/>
        </w:rPr>
        <w:t xml:space="preserve">Public Utilities Code section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 </w:t>
      </w:r>
    </w:p>
    <w:p w:rsidR="002D171A" w:rsidP="002D171A" w:rsidRDefault="002D171A" w14:paraId="16D0D0A7" w14:textId="77777777"/>
    <w:p w:rsidRPr="002D171A" w:rsidR="002D171A" w:rsidP="002D171A" w:rsidRDefault="002D171A" w14:paraId="63E1559B" w14:textId="77777777">
      <w:pPr>
        <w:rPr>
          <w:rFonts w:ascii="Palatino Linotype" w:hAnsi="Palatino Linotype"/>
        </w:rPr>
      </w:pPr>
      <w:r w:rsidRPr="00B00C89">
        <w:rPr>
          <w:rFonts w:ascii="Palatino Linotype" w:hAnsi="Palatino Linotype"/>
        </w:rPr>
        <w:t xml:space="preserve">The 30-day review and 20-day comment period for the draft of this resolution was neither waived nor reduced.  Accordingly, this draft resolution was mailed to parties for comments, and will be placed on the </w:t>
      </w:r>
      <w:r w:rsidRPr="00B00C89" w:rsidR="00C87454">
        <w:rPr>
          <w:rFonts w:ascii="Palatino Linotype" w:hAnsi="Palatino Linotype"/>
        </w:rPr>
        <w:t xml:space="preserve">CPUC’s </w:t>
      </w:r>
      <w:r w:rsidRPr="00B00C89">
        <w:rPr>
          <w:rFonts w:ascii="Palatino Linotype" w:hAnsi="Palatino Linotype"/>
        </w:rPr>
        <w:t>agenda no earlier than 30 days from today.</w:t>
      </w:r>
    </w:p>
    <w:p w:rsidRPr="002D171A" w:rsidR="002D171A" w:rsidP="002D171A" w:rsidRDefault="002D171A" w14:paraId="569E0B53" w14:textId="77777777">
      <w:pPr>
        <w:rPr>
          <w:rFonts w:ascii="Palatino Linotype" w:hAnsi="Palatino Linotype"/>
        </w:rPr>
      </w:pPr>
    </w:p>
    <w:p w:rsidRPr="008E6E10" w:rsidR="009D535E" w:rsidP="009D535E" w:rsidRDefault="009D535E" w14:paraId="08255E33" w14:textId="77777777">
      <w:pPr>
        <w:pStyle w:val="Heading1"/>
      </w:pPr>
      <w:r w:rsidRPr="008E6E10">
        <w:lastRenderedPageBreak/>
        <w:t>Findings</w:t>
      </w:r>
    </w:p>
    <w:p w:rsidRPr="008E6E10" w:rsidR="00283511" w:rsidP="00283511" w:rsidRDefault="00C87454" w14:paraId="1C9B8559" w14:textId="77777777">
      <w:pPr>
        <w:numPr>
          <w:ilvl w:val="0"/>
          <w:numId w:val="4"/>
        </w:numPr>
        <w:rPr>
          <w:rFonts w:ascii="Palatino Linotype" w:hAnsi="Palatino Linotype"/>
        </w:rPr>
      </w:pPr>
      <w:r>
        <w:rPr>
          <w:rFonts w:ascii="Palatino Linotype" w:hAnsi="Palatino Linotype"/>
        </w:rPr>
        <w:t>CPUC</w:t>
      </w:r>
      <w:r w:rsidRPr="008E6E10">
        <w:rPr>
          <w:rFonts w:ascii="Palatino Linotype" w:hAnsi="Palatino Linotype"/>
        </w:rPr>
        <w:t xml:space="preserve"> </w:t>
      </w:r>
      <w:r w:rsidRPr="008E6E10" w:rsidR="009D535E">
        <w:rPr>
          <w:rFonts w:ascii="Palatino Linotype" w:hAnsi="Palatino Linotype"/>
        </w:rPr>
        <w:t xml:space="preserve">Decision 10-12-035 directed </w:t>
      </w:r>
      <w:r w:rsidR="00FE4806">
        <w:rPr>
          <w:rFonts w:ascii="Palatino Linotype" w:hAnsi="Palatino Linotype"/>
        </w:rPr>
        <w:t>San Diego Gas &amp; Electric (</w:t>
      </w:r>
      <w:r w:rsidRPr="008E6E10" w:rsidR="00CD1FBD">
        <w:rPr>
          <w:rFonts w:ascii="Palatino Linotype" w:hAnsi="Palatino Linotype"/>
        </w:rPr>
        <w:t>SDG&amp;E</w:t>
      </w:r>
      <w:r w:rsidR="00FE4806">
        <w:rPr>
          <w:rFonts w:ascii="Palatino Linotype" w:hAnsi="Palatino Linotype"/>
        </w:rPr>
        <w:t>)</w:t>
      </w:r>
      <w:r w:rsidRPr="008E6E10" w:rsidR="009D535E">
        <w:rPr>
          <w:rFonts w:ascii="Palatino Linotype" w:hAnsi="Palatino Linotype"/>
        </w:rPr>
        <w:t xml:space="preserve"> to </w:t>
      </w:r>
      <w:r w:rsidRPr="008E6E10" w:rsidR="008E6E10">
        <w:rPr>
          <w:rFonts w:ascii="Palatino Linotype" w:hAnsi="Palatino Linotype"/>
        </w:rPr>
        <w:t>offer Standard Offer Contracts to Qualifying Facilities.</w:t>
      </w:r>
    </w:p>
    <w:p w:rsidRPr="0050304B" w:rsidR="007239C3" w:rsidP="007239C3" w:rsidRDefault="009D535E" w14:paraId="1557715D" w14:textId="77777777">
      <w:pPr>
        <w:numPr>
          <w:ilvl w:val="0"/>
          <w:numId w:val="4"/>
        </w:numPr>
        <w:rPr>
          <w:rFonts w:ascii="Palatino Linotype" w:hAnsi="Palatino Linotype"/>
          <w:szCs w:val="26"/>
        </w:rPr>
      </w:pPr>
      <w:r w:rsidRPr="008E6E10">
        <w:rPr>
          <w:rFonts w:ascii="Palatino Linotype" w:hAnsi="Palatino Linotype"/>
        </w:rPr>
        <w:t xml:space="preserve">On </w:t>
      </w:r>
      <w:r w:rsidRPr="008E6E10" w:rsidR="008E6E10">
        <w:rPr>
          <w:rFonts w:ascii="Palatino Linotype" w:hAnsi="Palatino Linotype"/>
        </w:rPr>
        <w:t xml:space="preserve">October </w:t>
      </w:r>
      <w:r w:rsidRPr="008E6E10" w:rsidR="007239C3">
        <w:rPr>
          <w:rFonts w:ascii="Palatino Linotype" w:hAnsi="Palatino Linotype"/>
        </w:rPr>
        <w:t>28, 201</w:t>
      </w:r>
      <w:r w:rsidRPr="008E6E10" w:rsidR="008E6E10">
        <w:rPr>
          <w:rFonts w:ascii="Palatino Linotype" w:hAnsi="Palatino Linotype"/>
        </w:rPr>
        <w:t>9</w:t>
      </w:r>
      <w:r w:rsidRPr="008E6E10">
        <w:rPr>
          <w:rFonts w:ascii="Palatino Linotype" w:hAnsi="Palatino Linotype"/>
        </w:rPr>
        <w:t>,</w:t>
      </w:r>
      <w:r w:rsidRPr="008E6E10" w:rsidR="007239C3">
        <w:rPr>
          <w:rFonts w:ascii="Palatino Linotype" w:hAnsi="Palatino Linotype"/>
        </w:rPr>
        <w:t xml:space="preserve"> SDG&amp;E</w:t>
      </w:r>
      <w:r w:rsidRPr="008E6E10">
        <w:rPr>
          <w:rFonts w:ascii="Palatino Linotype" w:hAnsi="Palatino Linotype"/>
        </w:rPr>
        <w:t xml:space="preserve"> filed Advice Letter (AL)</w:t>
      </w:r>
      <w:r w:rsidRPr="008E6E10" w:rsidR="007239C3">
        <w:rPr>
          <w:rFonts w:ascii="Palatino Linotype" w:hAnsi="Palatino Linotype"/>
        </w:rPr>
        <w:t xml:space="preserve"> 3</w:t>
      </w:r>
      <w:r w:rsidRPr="008E6E10" w:rsidR="008E6E10">
        <w:rPr>
          <w:rFonts w:ascii="Palatino Linotype" w:hAnsi="Palatino Linotype"/>
        </w:rPr>
        <w:t>447</w:t>
      </w:r>
      <w:r w:rsidRPr="008E6E10">
        <w:rPr>
          <w:rFonts w:ascii="Palatino Linotype" w:hAnsi="Palatino Linotype"/>
        </w:rPr>
        <w:t xml:space="preserve">-E seeking approval of a </w:t>
      </w:r>
      <w:r w:rsidRPr="008E6E10" w:rsidR="008E6E10">
        <w:rPr>
          <w:rFonts w:ascii="Palatino Linotype" w:hAnsi="Palatino Linotype"/>
        </w:rPr>
        <w:t xml:space="preserve">modified </w:t>
      </w:r>
      <w:r w:rsidRPr="008E6E10">
        <w:rPr>
          <w:rFonts w:ascii="Palatino Linotype" w:hAnsi="Palatino Linotype"/>
        </w:rPr>
        <w:t xml:space="preserve">power purchase agreement with </w:t>
      </w:r>
      <w:r w:rsidRPr="008E6E10" w:rsidR="008E6E10">
        <w:rPr>
          <w:rFonts w:ascii="Palatino Linotype" w:hAnsi="Palatino Linotype"/>
        </w:rPr>
        <w:t>the Santa Fe Irrigation District.</w:t>
      </w:r>
    </w:p>
    <w:p w:rsidRPr="000F7FB4" w:rsidR="0050304B" w:rsidP="007239C3" w:rsidRDefault="0050304B" w14:paraId="56A4C1F1" w14:textId="77777777">
      <w:pPr>
        <w:numPr>
          <w:ilvl w:val="0"/>
          <w:numId w:val="4"/>
        </w:numPr>
        <w:rPr>
          <w:rFonts w:ascii="Palatino Linotype" w:hAnsi="Palatino Linotype"/>
          <w:szCs w:val="26"/>
        </w:rPr>
      </w:pPr>
      <w:r>
        <w:rPr>
          <w:rFonts w:ascii="Palatino Linotype" w:hAnsi="Palatino Linotype"/>
        </w:rPr>
        <w:t xml:space="preserve">On January 15, 2020, SDG&amp;E filed </w:t>
      </w:r>
      <w:r w:rsidR="00460E07">
        <w:rPr>
          <w:rFonts w:ascii="Palatino Linotype" w:hAnsi="Palatino Linotype"/>
        </w:rPr>
        <w:t xml:space="preserve">AL 3447-E-A, </w:t>
      </w:r>
      <w:r>
        <w:rPr>
          <w:rFonts w:ascii="Palatino Linotype" w:hAnsi="Palatino Linotype"/>
        </w:rPr>
        <w:t xml:space="preserve">a </w:t>
      </w:r>
      <w:r w:rsidR="00900D28">
        <w:rPr>
          <w:rFonts w:ascii="Palatino Linotype" w:hAnsi="Palatino Linotype"/>
        </w:rPr>
        <w:t xml:space="preserve">partial </w:t>
      </w:r>
      <w:r>
        <w:rPr>
          <w:rFonts w:ascii="Palatino Linotype" w:hAnsi="Palatino Linotype"/>
        </w:rPr>
        <w:t xml:space="preserve">supplement to </w:t>
      </w:r>
      <w:r w:rsidR="00B00C89">
        <w:rPr>
          <w:rFonts w:ascii="Palatino Linotype" w:hAnsi="Palatino Linotype"/>
        </w:rPr>
        <w:br/>
      </w:r>
      <w:r>
        <w:rPr>
          <w:rFonts w:ascii="Palatino Linotype" w:hAnsi="Palatino Linotype"/>
        </w:rPr>
        <w:t>AL 3447-E, making minor technical edits to the original</w:t>
      </w:r>
      <w:r w:rsidR="00460E07">
        <w:rPr>
          <w:rFonts w:ascii="Palatino Linotype" w:hAnsi="Palatino Linotype"/>
        </w:rPr>
        <w:t xml:space="preserve"> AL</w:t>
      </w:r>
      <w:r>
        <w:rPr>
          <w:rFonts w:ascii="Palatino Linotype" w:hAnsi="Palatino Linotype"/>
        </w:rPr>
        <w:t>.</w:t>
      </w:r>
    </w:p>
    <w:p w:rsidRPr="000F7FB4" w:rsidR="000F7FB4" w:rsidP="000F7FB4" w:rsidRDefault="000F7FB4" w14:paraId="09B12D7F" w14:textId="77777777">
      <w:pPr>
        <w:numPr>
          <w:ilvl w:val="0"/>
          <w:numId w:val="4"/>
        </w:numPr>
        <w:rPr>
          <w:rFonts w:ascii="Palatino Linotype" w:hAnsi="Palatino Linotype"/>
          <w:szCs w:val="26"/>
        </w:rPr>
      </w:pPr>
      <w:r w:rsidRPr="000F7FB4">
        <w:rPr>
          <w:rFonts w:ascii="Palatino Linotype" w:hAnsi="Palatino Linotype"/>
          <w:szCs w:val="26"/>
        </w:rPr>
        <w:t>By submitting AL 3447-E and partial supplemental AL 3447-E-A, SDG&amp;E used the appropriate procedural mechanism to seek approval for the modified power purchase agreement.</w:t>
      </w:r>
    </w:p>
    <w:p w:rsidRPr="000F7FB4" w:rsidR="000F7FB4" w:rsidP="000F7FB4" w:rsidRDefault="000F7FB4" w14:paraId="6D2B06AC" w14:textId="77777777">
      <w:pPr>
        <w:numPr>
          <w:ilvl w:val="0"/>
          <w:numId w:val="4"/>
        </w:numPr>
        <w:rPr>
          <w:rFonts w:ascii="Palatino Linotype" w:hAnsi="Palatino Linotype"/>
          <w:szCs w:val="26"/>
        </w:rPr>
      </w:pPr>
      <w:r w:rsidRPr="000F7FB4">
        <w:rPr>
          <w:rFonts w:ascii="Palatino Linotype" w:hAnsi="Palatino Linotype"/>
          <w:szCs w:val="26"/>
        </w:rPr>
        <w:t>The proposed amendments to the power purchase agreement are reasonable.</w:t>
      </w:r>
    </w:p>
    <w:p w:rsidRPr="008E6E10" w:rsidR="000F7FB4" w:rsidP="000F7FB4" w:rsidRDefault="000F7FB4" w14:paraId="26ABF4C3" w14:textId="77777777">
      <w:pPr>
        <w:numPr>
          <w:ilvl w:val="0"/>
          <w:numId w:val="4"/>
        </w:numPr>
        <w:rPr>
          <w:rFonts w:ascii="Palatino Linotype" w:hAnsi="Palatino Linotype"/>
          <w:szCs w:val="26"/>
        </w:rPr>
      </w:pPr>
      <w:r w:rsidRPr="000F7FB4">
        <w:rPr>
          <w:rFonts w:ascii="Palatino Linotype" w:hAnsi="Palatino Linotype"/>
          <w:szCs w:val="26"/>
        </w:rPr>
        <w:t>SDG&amp;E is obliged to execute these contracts, and in this resolution the CPUC does not assess whether SDG&amp;E has a need to procure.</w:t>
      </w:r>
    </w:p>
    <w:p w:rsidR="009D535E" w:rsidP="009D535E" w:rsidRDefault="009D535E" w14:paraId="2DD9B57B" w14:textId="77777777">
      <w:pPr>
        <w:numPr>
          <w:ilvl w:val="0"/>
          <w:numId w:val="4"/>
        </w:numPr>
        <w:rPr>
          <w:rFonts w:ascii="Palatino Linotype" w:hAnsi="Palatino Linotype"/>
        </w:rPr>
      </w:pPr>
      <w:r w:rsidRPr="008E6E10">
        <w:rPr>
          <w:rFonts w:ascii="Palatino Linotype" w:hAnsi="Palatino Linotype"/>
        </w:rPr>
        <w:t>T</w:t>
      </w:r>
      <w:r w:rsidRPr="008E6E10" w:rsidR="007239C3">
        <w:rPr>
          <w:rFonts w:ascii="Palatino Linotype" w:hAnsi="Palatino Linotype"/>
        </w:rPr>
        <w:t>he cost associated with the</w:t>
      </w:r>
      <w:r w:rsidRPr="008E6E10">
        <w:rPr>
          <w:rFonts w:ascii="Palatino Linotype" w:hAnsi="Palatino Linotype"/>
        </w:rPr>
        <w:t xml:space="preserve"> </w:t>
      </w:r>
      <w:r w:rsidR="00554FED">
        <w:rPr>
          <w:rFonts w:ascii="Palatino Linotype" w:hAnsi="Palatino Linotype"/>
        </w:rPr>
        <w:t>power purchase agreement</w:t>
      </w:r>
      <w:r w:rsidRPr="008E6E10" w:rsidR="00554FED">
        <w:rPr>
          <w:rFonts w:ascii="Palatino Linotype" w:hAnsi="Palatino Linotype"/>
        </w:rPr>
        <w:t xml:space="preserve"> </w:t>
      </w:r>
      <w:r w:rsidRPr="008E6E10" w:rsidR="007239C3">
        <w:rPr>
          <w:rFonts w:ascii="Palatino Linotype" w:hAnsi="Palatino Linotype"/>
        </w:rPr>
        <w:t>i</w:t>
      </w:r>
      <w:r w:rsidRPr="008E6E10">
        <w:rPr>
          <w:rFonts w:ascii="Palatino Linotype" w:hAnsi="Palatino Linotype"/>
        </w:rPr>
        <w:t>s just and reasonable.</w:t>
      </w:r>
    </w:p>
    <w:p w:rsidRPr="008E6E10" w:rsidR="000F7FB4" w:rsidP="009D535E" w:rsidRDefault="000F7FB4" w14:paraId="141404F4" w14:textId="77777777">
      <w:pPr>
        <w:numPr>
          <w:ilvl w:val="0"/>
          <w:numId w:val="4"/>
        </w:numPr>
        <w:rPr>
          <w:rFonts w:ascii="Palatino Linotype" w:hAnsi="Palatino Linotype"/>
        </w:rPr>
      </w:pPr>
      <w:r w:rsidRPr="000F7FB4">
        <w:rPr>
          <w:rFonts w:ascii="Palatino Linotype" w:hAnsi="Palatino Linotype"/>
        </w:rPr>
        <w:t xml:space="preserve">The </w:t>
      </w:r>
      <w:r w:rsidR="009C3082">
        <w:rPr>
          <w:rFonts w:ascii="Palatino Linotype" w:hAnsi="Palatino Linotype"/>
        </w:rPr>
        <w:t>facility’s safety plan</w:t>
      </w:r>
      <w:r w:rsidRPr="000F7FB4">
        <w:rPr>
          <w:rFonts w:ascii="Palatino Linotype" w:hAnsi="Palatino Linotype"/>
        </w:rPr>
        <w:t xml:space="preserve"> </w:t>
      </w:r>
      <w:proofErr w:type="gramStart"/>
      <w:r w:rsidRPr="000F7FB4">
        <w:rPr>
          <w:rFonts w:ascii="Palatino Linotype" w:hAnsi="Palatino Linotype"/>
        </w:rPr>
        <w:t>are</w:t>
      </w:r>
      <w:proofErr w:type="gramEnd"/>
      <w:r w:rsidRPr="000F7FB4">
        <w:rPr>
          <w:rFonts w:ascii="Palatino Linotype" w:hAnsi="Palatino Linotype"/>
        </w:rPr>
        <w:t xml:space="preserve"> reasonable</w:t>
      </w:r>
      <w:r w:rsidR="009C3082">
        <w:rPr>
          <w:rFonts w:ascii="Palatino Linotype" w:hAnsi="Palatino Linotype"/>
        </w:rPr>
        <w:t xml:space="preserve"> for purposes of reviewing the PPA</w:t>
      </w:r>
      <w:r w:rsidRPr="000F7FB4">
        <w:rPr>
          <w:rFonts w:ascii="Palatino Linotype" w:hAnsi="Palatino Linotype"/>
        </w:rPr>
        <w:t>.</w:t>
      </w:r>
    </w:p>
    <w:p w:rsidR="007239C3" w:rsidP="00944618" w:rsidRDefault="007239C3" w14:paraId="5F0ED33D" w14:textId="77777777">
      <w:pPr>
        <w:numPr>
          <w:ilvl w:val="0"/>
          <w:numId w:val="4"/>
        </w:numPr>
        <w:rPr>
          <w:rFonts w:ascii="Palatino Linotype" w:hAnsi="Palatino Linotype"/>
        </w:rPr>
      </w:pPr>
      <w:r w:rsidRPr="008E6E10">
        <w:rPr>
          <w:rFonts w:ascii="Palatino Linotype" w:hAnsi="Palatino Linotype"/>
        </w:rPr>
        <w:t xml:space="preserve">The </w:t>
      </w:r>
      <w:r w:rsidRPr="008E6E10" w:rsidR="008E6E10">
        <w:rPr>
          <w:rFonts w:ascii="Palatino Linotype" w:hAnsi="Palatino Linotype"/>
        </w:rPr>
        <w:t>Santa Fe Irrigation District</w:t>
      </w:r>
      <w:r w:rsidRPr="008E6E10">
        <w:rPr>
          <w:rFonts w:ascii="Palatino Linotype" w:hAnsi="Palatino Linotype"/>
        </w:rPr>
        <w:t xml:space="preserve"> facilit</w:t>
      </w:r>
      <w:r w:rsidRPr="008E6E10" w:rsidR="008E6E10">
        <w:rPr>
          <w:rFonts w:ascii="Palatino Linotype" w:hAnsi="Palatino Linotype"/>
        </w:rPr>
        <w:t>y</w:t>
      </w:r>
      <w:r w:rsidRPr="008E6E10">
        <w:rPr>
          <w:rFonts w:ascii="Palatino Linotype" w:hAnsi="Palatino Linotype"/>
        </w:rPr>
        <w:t xml:space="preserve"> </w:t>
      </w:r>
      <w:r w:rsidRPr="008E6E10" w:rsidR="008E6E10">
        <w:rPr>
          <w:rFonts w:ascii="Palatino Linotype" w:hAnsi="Palatino Linotype"/>
        </w:rPr>
        <w:t xml:space="preserve">is </w:t>
      </w:r>
      <w:r w:rsidRPr="008E6E10">
        <w:rPr>
          <w:rFonts w:ascii="Palatino Linotype" w:hAnsi="Palatino Linotype"/>
        </w:rPr>
        <w:t>expected to operate at a capacity factor significantly below the 60</w:t>
      </w:r>
      <w:r w:rsidRPr="008E6E10" w:rsidR="00B524B9">
        <w:rPr>
          <w:rFonts w:ascii="Palatino Linotype" w:hAnsi="Palatino Linotype"/>
        </w:rPr>
        <w:t xml:space="preserve"> percent </w:t>
      </w:r>
      <w:r w:rsidRPr="008E6E10">
        <w:rPr>
          <w:rFonts w:ascii="Palatino Linotype" w:hAnsi="Palatino Linotype"/>
        </w:rPr>
        <w:t xml:space="preserve">threshold throughout </w:t>
      </w:r>
      <w:r w:rsidRPr="008E6E10" w:rsidR="008E6E10">
        <w:rPr>
          <w:rFonts w:ascii="Palatino Linotype" w:hAnsi="Palatino Linotype"/>
        </w:rPr>
        <w:t xml:space="preserve">its </w:t>
      </w:r>
      <w:r w:rsidRPr="008E6E10">
        <w:rPr>
          <w:rFonts w:ascii="Palatino Linotype" w:hAnsi="Palatino Linotype"/>
        </w:rPr>
        <w:t xml:space="preserve">delivery term, and therefore the </w:t>
      </w:r>
      <w:r w:rsidRPr="008E6E10" w:rsidR="00B524B9">
        <w:rPr>
          <w:rFonts w:ascii="Palatino Linotype" w:hAnsi="Palatino Linotype"/>
        </w:rPr>
        <w:t xml:space="preserve">Emissions Performance Standard </w:t>
      </w:r>
      <w:r w:rsidRPr="008E6E10">
        <w:rPr>
          <w:rFonts w:ascii="Palatino Linotype" w:hAnsi="Palatino Linotype"/>
        </w:rPr>
        <w:t>does not apply.</w:t>
      </w:r>
    </w:p>
    <w:p w:rsidRPr="008E6E10" w:rsidR="000F7FB4" w:rsidP="00944618" w:rsidRDefault="000F7FB4" w14:paraId="56CAB9C1" w14:textId="77777777">
      <w:pPr>
        <w:numPr>
          <w:ilvl w:val="0"/>
          <w:numId w:val="4"/>
        </w:numPr>
        <w:rPr>
          <w:rFonts w:ascii="Palatino Linotype" w:hAnsi="Palatino Linotype"/>
        </w:rPr>
      </w:pPr>
      <w:r w:rsidRPr="000F7FB4">
        <w:rPr>
          <w:rFonts w:ascii="Palatino Linotype" w:hAnsi="Palatino Linotype"/>
        </w:rPr>
        <w:t xml:space="preserve">SDG&amp;E briefed its Cost Allocation Mechanism Procurement Review Group on the power purchase agreement on November 16, 2018 and </w:t>
      </w:r>
      <w:r w:rsidR="00B00C89">
        <w:rPr>
          <w:rFonts w:ascii="Palatino Linotype" w:hAnsi="Palatino Linotype"/>
        </w:rPr>
        <w:br/>
      </w:r>
      <w:r w:rsidRPr="000F7FB4">
        <w:rPr>
          <w:rFonts w:ascii="Palatino Linotype" w:hAnsi="Palatino Linotype"/>
        </w:rPr>
        <w:t>February 15, 2019.</w:t>
      </w:r>
    </w:p>
    <w:p w:rsidRPr="008E6E10" w:rsidR="009D535E" w:rsidP="009D535E" w:rsidRDefault="009D535E" w14:paraId="3A44FED9" w14:textId="77777777">
      <w:pPr>
        <w:numPr>
          <w:ilvl w:val="0"/>
          <w:numId w:val="4"/>
        </w:numPr>
        <w:rPr>
          <w:rFonts w:ascii="Palatino Linotype" w:hAnsi="Palatino Linotype"/>
        </w:rPr>
      </w:pPr>
      <w:r w:rsidRPr="008E6E10">
        <w:rPr>
          <w:rFonts w:ascii="Palatino Linotype" w:hAnsi="Palatino Linotype"/>
        </w:rPr>
        <w:t xml:space="preserve">The </w:t>
      </w:r>
      <w:r w:rsidRPr="008E6E10" w:rsidR="008E6E10">
        <w:rPr>
          <w:rFonts w:ascii="Palatino Linotype" w:hAnsi="Palatino Linotype"/>
        </w:rPr>
        <w:t>f</w:t>
      </w:r>
      <w:r w:rsidRPr="008E6E10" w:rsidR="007239C3">
        <w:rPr>
          <w:rFonts w:ascii="Palatino Linotype" w:hAnsi="Palatino Linotype"/>
        </w:rPr>
        <w:t>acilit</w:t>
      </w:r>
      <w:r w:rsidRPr="008E6E10" w:rsidR="008E6E10">
        <w:rPr>
          <w:rFonts w:ascii="Palatino Linotype" w:hAnsi="Palatino Linotype"/>
        </w:rPr>
        <w:t>y</w:t>
      </w:r>
      <w:r w:rsidRPr="008E6E10" w:rsidR="007239C3">
        <w:rPr>
          <w:rFonts w:ascii="Palatino Linotype" w:hAnsi="Palatino Linotype"/>
        </w:rPr>
        <w:t xml:space="preserve"> </w:t>
      </w:r>
      <w:r w:rsidRPr="008E6E10" w:rsidR="00554FED">
        <w:rPr>
          <w:rFonts w:ascii="Palatino Linotype" w:hAnsi="Palatino Linotype"/>
        </w:rPr>
        <w:t>is</w:t>
      </w:r>
      <w:r w:rsidRPr="008E6E10" w:rsidR="007239C3">
        <w:rPr>
          <w:rFonts w:ascii="Palatino Linotype" w:hAnsi="Palatino Linotype"/>
        </w:rPr>
        <w:t xml:space="preserve"> not</w:t>
      </w:r>
      <w:r w:rsidRPr="008E6E10">
        <w:rPr>
          <w:rFonts w:ascii="Palatino Linotype" w:hAnsi="Palatino Linotype"/>
        </w:rPr>
        <w:t xml:space="preserve"> located in a disadvantaged community designated by CalEnviroScreen</w:t>
      </w:r>
      <w:r w:rsidR="00900D28">
        <w:rPr>
          <w:rFonts w:ascii="Palatino Linotype" w:hAnsi="Palatino Linotype"/>
        </w:rPr>
        <w:t xml:space="preserve"> 3.0</w:t>
      </w:r>
      <w:r w:rsidRPr="008E6E10">
        <w:rPr>
          <w:rFonts w:ascii="Palatino Linotype" w:hAnsi="Palatino Linotype"/>
        </w:rPr>
        <w:t>.</w:t>
      </w:r>
    </w:p>
    <w:p w:rsidRPr="008E6E10" w:rsidR="009D535E" w:rsidP="009D535E" w:rsidRDefault="009D535E" w14:paraId="03F1AD97" w14:textId="77777777">
      <w:pPr>
        <w:rPr>
          <w:b/>
        </w:rPr>
      </w:pPr>
    </w:p>
    <w:p w:rsidRPr="008E6E10" w:rsidR="009D535E" w:rsidP="009D535E" w:rsidRDefault="009D535E" w14:paraId="699D3CC4" w14:textId="77777777">
      <w:pPr>
        <w:pStyle w:val="Heading1"/>
      </w:pPr>
      <w:proofErr w:type="gramStart"/>
      <w:r w:rsidRPr="008E6E10">
        <w:t>Therefore</w:t>
      </w:r>
      <w:proofErr w:type="gramEnd"/>
      <w:r w:rsidRPr="008E6E10">
        <w:t xml:space="preserve"> it is ordered that:</w:t>
      </w:r>
    </w:p>
    <w:p w:rsidRPr="008E6E10" w:rsidR="009D535E" w:rsidP="00FA1A05" w:rsidRDefault="009D535E" w14:paraId="50310CE9" w14:textId="77777777">
      <w:pPr>
        <w:numPr>
          <w:ilvl w:val="0"/>
          <w:numId w:val="5"/>
        </w:numPr>
        <w:rPr>
          <w:rFonts w:ascii="Palatino Linotype" w:hAnsi="Palatino Linotype"/>
          <w:snapToGrid w:val="0"/>
        </w:rPr>
      </w:pPr>
      <w:r w:rsidRPr="008E6E10">
        <w:rPr>
          <w:rFonts w:ascii="Palatino Linotype" w:hAnsi="Palatino Linotype"/>
          <w:snapToGrid w:val="0"/>
        </w:rPr>
        <w:t xml:space="preserve">The request </w:t>
      </w:r>
      <w:r w:rsidRPr="008E6E10" w:rsidR="00D65C89">
        <w:rPr>
          <w:rFonts w:ascii="Palatino Linotype" w:hAnsi="Palatino Linotype"/>
          <w:snapToGrid w:val="0"/>
        </w:rPr>
        <w:t>of San Diego Gas &amp; Electric</w:t>
      </w:r>
      <w:r w:rsidRPr="008E6E10">
        <w:rPr>
          <w:rFonts w:ascii="Palatino Linotype" w:hAnsi="Palatino Linotype"/>
          <w:snapToGrid w:val="0"/>
        </w:rPr>
        <w:t xml:space="preserve"> to approve </w:t>
      </w:r>
      <w:r w:rsidRPr="008E6E10" w:rsidR="00B524B9">
        <w:rPr>
          <w:rFonts w:ascii="Palatino Linotype" w:hAnsi="Palatino Linotype"/>
          <w:szCs w:val="26"/>
        </w:rPr>
        <w:t>the power purchase agreement executed</w:t>
      </w:r>
      <w:r w:rsidRPr="008E6E10" w:rsidR="008E6E10">
        <w:rPr>
          <w:rFonts w:ascii="Palatino Linotype" w:hAnsi="Palatino Linotype"/>
          <w:szCs w:val="26"/>
        </w:rPr>
        <w:t xml:space="preserve"> with the Santa Fe Irrigation District</w:t>
      </w:r>
      <w:r w:rsidRPr="008E6E10" w:rsidR="00B524B9">
        <w:rPr>
          <w:rFonts w:ascii="Palatino Linotype" w:hAnsi="Palatino Linotype"/>
          <w:szCs w:val="26"/>
        </w:rPr>
        <w:t>, as proposed in Advice Letter 3</w:t>
      </w:r>
      <w:r w:rsidRPr="008E6E10" w:rsidR="008E6E10">
        <w:rPr>
          <w:rFonts w:ascii="Palatino Linotype" w:hAnsi="Palatino Linotype"/>
          <w:szCs w:val="26"/>
        </w:rPr>
        <w:t>447</w:t>
      </w:r>
      <w:r w:rsidRPr="008E6E10" w:rsidR="00B524B9">
        <w:rPr>
          <w:rFonts w:ascii="Palatino Linotype" w:hAnsi="Palatino Linotype"/>
          <w:szCs w:val="26"/>
        </w:rPr>
        <w:t>-E</w:t>
      </w:r>
      <w:r w:rsidR="00900D28">
        <w:rPr>
          <w:rFonts w:ascii="Palatino Linotype" w:hAnsi="Palatino Linotype"/>
          <w:szCs w:val="26"/>
        </w:rPr>
        <w:t xml:space="preserve"> and 3447-E-A</w:t>
      </w:r>
      <w:r w:rsidRPr="008E6E10" w:rsidR="008E6E10">
        <w:rPr>
          <w:rFonts w:ascii="Palatino Linotype" w:hAnsi="Palatino Linotype"/>
          <w:szCs w:val="26"/>
        </w:rPr>
        <w:t>, is approved</w:t>
      </w:r>
      <w:r w:rsidRPr="008E6E10" w:rsidR="00B524B9">
        <w:rPr>
          <w:rFonts w:ascii="Palatino Linotype" w:hAnsi="Palatino Linotype"/>
          <w:snapToGrid w:val="0"/>
        </w:rPr>
        <w:t>.</w:t>
      </w:r>
    </w:p>
    <w:p w:rsidRPr="008E6E10" w:rsidR="007729C1" w:rsidP="007729C1" w:rsidRDefault="007729C1" w14:paraId="04C91B18" w14:textId="77777777">
      <w:pPr>
        <w:ind w:left="360"/>
        <w:rPr>
          <w:rFonts w:ascii="Palatino Linotype" w:hAnsi="Palatino Linotype"/>
          <w:snapToGrid w:val="0"/>
        </w:rPr>
      </w:pPr>
    </w:p>
    <w:p w:rsidR="00D65C89" w:rsidP="00D65C89" w:rsidRDefault="00D65C89" w14:paraId="32211008" w14:textId="77777777">
      <w:pPr>
        <w:rPr>
          <w:rFonts w:ascii="Palatino Linotype" w:hAnsi="Palatino Linotype"/>
          <w:snapToGrid w:val="0"/>
        </w:rPr>
      </w:pPr>
    </w:p>
    <w:p w:rsidR="00B00C89" w:rsidP="00D65C89" w:rsidRDefault="00B00C89" w14:paraId="3970D21B" w14:textId="77777777">
      <w:pPr>
        <w:rPr>
          <w:rFonts w:ascii="Palatino Linotype" w:hAnsi="Palatino Linotype"/>
          <w:snapToGrid w:val="0"/>
        </w:rPr>
      </w:pPr>
    </w:p>
    <w:p w:rsidR="00B00C89" w:rsidP="00D65C89" w:rsidRDefault="00B00C89" w14:paraId="38392F6C" w14:textId="77777777">
      <w:pPr>
        <w:rPr>
          <w:rFonts w:ascii="Palatino Linotype" w:hAnsi="Palatino Linotype"/>
          <w:snapToGrid w:val="0"/>
        </w:rPr>
      </w:pPr>
    </w:p>
    <w:p w:rsidRPr="008E6E10" w:rsidR="009D535E" w:rsidP="009D535E" w:rsidRDefault="009D535E" w14:paraId="04DD255E" w14:textId="77777777">
      <w:pPr>
        <w:tabs>
          <w:tab w:val="left" w:pos="720"/>
          <w:tab w:val="left" w:pos="1296"/>
          <w:tab w:val="left" w:pos="2016"/>
          <w:tab w:val="left" w:pos="2736"/>
          <w:tab w:val="left" w:pos="3456"/>
          <w:tab w:val="left" w:pos="4176"/>
          <w:tab w:val="left" w:pos="5760"/>
        </w:tabs>
        <w:rPr>
          <w:rFonts w:ascii="Palatino Linotype" w:hAnsi="Palatino Linotype"/>
        </w:rPr>
      </w:pPr>
      <w:r w:rsidRPr="008E6E10">
        <w:rPr>
          <w:rFonts w:ascii="Palatino Linotype" w:hAnsi="Palatino Linotype"/>
        </w:rPr>
        <w:lastRenderedPageBreak/>
        <w:t>This Resolution is effective today.</w:t>
      </w:r>
    </w:p>
    <w:p w:rsidRPr="008E6E10" w:rsidR="009D535E" w:rsidP="009D535E" w:rsidRDefault="009D535E" w14:paraId="32EF468A" w14:textId="77777777">
      <w:pPr>
        <w:tabs>
          <w:tab w:val="left" w:pos="720"/>
          <w:tab w:val="left" w:pos="1296"/>
          <w:tab w:val="left" w:pos="2016"/>
          <w:tab w:val="left" w:pos="2736"/>
          <w:tab w:val="left" w:pos="3456"/>
          <w:tab w:val="left" w:pos="4176"/>
          <w:tab w:val="left" w:pos="5760"/>
        </w:tabs>
        <w:rPr>
          <w:rFonts w:ascii="Palatino Linotype" w:hAnsi="Palatino Linotype"/>
        </w:rPr>
      </w:pPr>
    </w:p>
    <w:p w:rsidRPr="00B00C89" w:rsidR="009D535E" w:rsidP="00B00C89" w:rsidRDefault="009D535E" w14:paraId="2071E93C" w14:textId="77777777">
      <w:pPr>
        <w:tabs>
          <w:tab w:val="left" w:pos="720"/>
          <w:tab w:val="left" w:pos="1296"/>
          <w:tab w:val="left" w:pos="2016"/>
          <w:tab w:val="left" w:pos="2736"/>
          <w:tab w:val="left" w:pos="3456"/>
          <w:tab w:val="left" w:pos="4176"/>
          <w:tab w:val="left" w:pos="5760"/>
        </w:tabs>
        <w:rPr>
          <w:rFonts w:ascii="Palatino Linotype" w:hAnsi="Palatino Linotype"/>
          <w:snapToGrid w:val="0"/>
        </w:rPr>
      </w:pPr>
      <w:r w:rsidRPr="008E6E10">
        <w:rPr>
          <w:rFonts w:ascii="Palatino Linotype" w:hAnsi="Palatino Linotype"/>
          <w:snapToGrid w:val="0"/>
        </w:rPr>
        <w:t xml:space="preserve"> I certify that the foregoing resolution was duly introduced, passed and adopted at a conference of the Public Utilities Commission of the State of California held on</w:t>
      </w:r>
      <w:r w:rsidRPr="008E6E10" w:rsidR="00D65C89">
        <w:rPr>
          <w:rFonts w:ascii="Palatino Linotype" w:hAnsi="Palatino Linotype"/>
          <w:snapToGrid w:val="0"/>
        </w:rPr>
        <w:t xml:space="preserve"> </w:t>
      </w:r>
      <w:r w:rsidR="00966A6C">
        <w:rPr>
          <w:rFonts w:ascii="Palatino Linotype" w:hAnsi="Palatino Linotype"/>
          <w:snapToGrid w:val="0"/>
        </w:rPr>
        <w:t>May</w:t>
      </w:r>
      <w:r w:rsidRPr="008E6E10" w:rsidR="00966A6C">
        <w:rPr>
          <w:rFonts w:ascii="Palatino Linotype" w:hAnsi="Palatino Linotype"/>
          <w:snapToGrid w:val="0"/>
        </w:rPr>
        <w:t xml:space="preserve"> </w:t>
      </w:r>
      <w:r w:rsidR="00B00C89">
        <w:rPr>
          <w:rFonts w:ascii="Palatino Linotype" w:hAnsi="Palatino Linotype"/>
          <w:snapToGrid w:val="0"/>
        </w:rPr>
        <w:t>28</w:t>
      </w:r>
      <w:r w:rsidRPr="008E6E10" w:rsidR="00DC6552">
        <w:rPr>
          <w:rFonts w:ascii="Palatino Linotype" w:hAnsi="Palatino Linotype"/>
          <w:snapToGrid w:val="0"/>
        </w:rPr>
        <w:t>, 20</w:t>
      </w:r>
      <w:r w:rsidRPr="008E6E10" w:rsidR="008E6E10">
        <w:rPr>
          <w:rFonts w:ascii="Palatino Linotype" w:hAnsi="Palatino Linotype"/>
          <w:snapToGrid w:val="0"/>
        </w:rPr>
        <w:t>20</w:t>
      </w:r>
      <w:r w:rsidRPr="008E6E10">
        <w:rPr>
          <w:rFonts w:ascii="Palatino Linotype" w:hAnsi="Palatino Linotype"/>
          <w:snapToGrid w:val="0"/>
        </w:rPr>
        <w:t>; the following Commissioners voting favorably thereon:</w:t>
      </w:r>
    </w:p>
    <w:p w:rsidRPr="008E6E10" w:rsidR="009D535E" w:rsidP="009D535E" w:rsidRDefault="009D535E" w14:paraId="4D0D791D" w14:textId="77777777">
      <w:pPr>
        <w:tabs>
          <w:tab w:val="left" w:pos="720"/>
          <w:tab w:val="left" w:pos="1152"/>
          <w:tab w:val="left" w:pos="1728"/>
          <w:tab w:val="left" w:pos="3168"/>
          <w:tab w:val="left" w:pos="5040"/>
        </w:tabs>
        <w:ind w:right="144"/>
        <w:rPr>
          <w:rFonts w:ascii="Palatino Linotype" w:hAnsi="Palatino Linotype"/>
        </w:rPr>
      </w:pPr>
    </w:p>
    <w:p w:rsidRPr="008E6E10" w:rsidR="009D535E" w:rsidP="009D535E" w:rsidRDefault="009D535E" w14:paraId="18EC30F8" w14:textId="77777777">
      <w:pPr>
        <w:tabs>
          <w:tab w:val="left" w:pos="720"/>
          <w:tab w:val="left" w:pos="1152"/>
          <w:tab w:val="left" w:pos="1728"/>
          <w:tab w:val="left" w:pos="3168"/>
          <w:tab w:val="left" w:pos="5040"/>
        </w:tabs>
        <w:ind w:right="144"/>
        <w:rPr>
          <w:rFonts w:ascii="Palatino Linotype" w:hAnsi="Palatino Linotype"/>
        </w:rPr>
      </w:pPr>
    </w:p>
    <w:p w:rsidRPr="008E6E10" w:rsidR="009D535E" w:rsidP="00B00C89" w:rsidRDefault="009D535E" w14:paraId="381F4EFE" w14:textId="77777777">
      <w:pPr>
        <w:tabs>
          <w:tab w:val="left" w:pos="720"/>
          <w:tab w:val="left" w:pos="1152"/>
          <w:tab w:val="left" w:pos="1728"/>
          <w:tab w:val="left" w:pos="3168"/>
          <w:tab w:val="left" w:pos="5040"/>
        </w:tabs>
        <w:ind w:right="144"/>
        <w:jc w:val="right"/>
        <w:rPr>
          <w:rFonts w:ascii="Palatino Linotype" w:hAnsi="Palatino Linotype"/>
        </w:rPr>
      </w:pPr>
      <w:r w:rsidRPr="008E6E10">
        <w:rPr>
          <w:rFonts w:ascii="Palatino Linotype" w:hAnsi="Palatino Linotype"/>
        </w:rPr>
        <w:tab/>
      </w:r>
      <w:r w:rsidRPr="008E6E10">
        <w:rPr>
          <w:rFonts w:ascii="Palatino Linotype" w:hAnsi="Palatino Linotype"/>
        </w:rPr>
        <w:tab/>
      </w:r>
      <w:r w:rsidRPr="008E6E10">
        <w:rPr>
          <w:rFonts w:ascii="Palatino Linotype" w:hAnsi="Palatino Linotype"/>
        </w:rPr>
        <w:tab/>
      </w:r>
      <w:r w:rsidRPr="008E6E10">
        <w:rPr>
          <w:rFonts w:ascii="Palatino Linotype" w:hAnsi="Palatino Linotype"/>
        </w:rPr>
        <w:tab/>
      </w:r>
      <w:r w:rsidRPr="008E6E10">
        <w:rPr>
          <w:rFonts w:ascii="Palatino Linotype" w:hAnsi="Palatino Linotype"/>
        </w:rPr>
        <w:tab/>
      </w:r>
      <w:r w:rsidRPr="008E6E10">
        <w:rPr>
          <w:rFonts w:ascii="Palatino Linotype" w:hAnsi="Palatino Linotype"/>
        </w:rPr>
        <w:tab/>
      </w:r>
      <w:r w:rsidR="00B00C89">
        <w:rPr>
          <w:rFonts w:ascii="Palatino Linotype" w:hAnsi="Palatino Linotype"/>
        </w:rPr>
        <w:t xml:space="preserve">        </w:t>
      </w:r>
      <w:r w:rsidRPr="008E6E10">
        <w:rPr>
          <w:rFonts w:ascii="Palatino Linotype" w:hAnsi="Palatino Linotype"/>
        </w:rPr>
        <w:t>__________________________</w:t>
      </w:r>
    </w:p>
    <w:p w:rsidRPr="00B00C89" w:rsidR="009D535E" w:rsidP="00B00C89" w:rsidRDefault="00B00C89" w14:paraId="24264941" w14:textId="77777777">
      <w:pPr>
        <w:rPr>
          <w:rFonts w:ascii="Palatino Linotype" w:hAnsi="Palatino Linotype"/>
        </w:rPr>
      </w:pP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8E6E10" w:rsidR="008E6E10">
        <w:rPr>
          <w:rFonts w:ascii="Palatino Linotype" w:hAnsi="Palatino Linotype"/>
        </w:rPr>
        <w:t>ALICE STEBBINS</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Pr="008E6E10" w:rsidR="009D535E">
        <w:rPr>
          <w:rFonts w:ascii="Palatino Linotype" w:hAnsi="Palatino Linotype"/>
        </w:rPr>
        <w:t>Executive Director</w:t>
      </w:r>
    </w:p>
    <w:p w:rsidRPr="009D535E" w:rsidR="00955F12" w:rsidP="00B00C89" w:rsidRDefault="00955F12" w14:paraId="6BD51A6D" w14:textId="77777777">
      <w:pPr>
        <w:jc w:val="right"/>
      </w:pPr>
    </w:p>
    <w:sectPr w:rsidRPr="009D535E" w:rsidR="00955F12">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C0C8" w14:textId="77777777" w:rsidR="00477B13" w:rsidRDefault="00477B13">
      <w:r>
        <w:separator/>
      </w:r>
    </w:p>
  </w:endnote>
  <w:endnote w:type="continuationSeparator" w:id="0">
    <w:p w14:paraId="5C603EE9" w14:textId="77777777" w:rsidR="00477B13" w:rsidRDefault="0047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9069" w14:textId="77777777" w:rsidR="00D37F1F" w:rsidRDefault="00AA4756" w:rsidP="00AA4756">
    <w:pPr>
      <w:pStyle w:val="Footer"/>
      <w:jc w:val="left"/>
    </w:pPr>
    <w:r>
      <w:rPr>
        <w:rStyle w:val="PageNumber"/>
      </w:rPr>
      <w:tab/>
    </w:r>
    <w:r w:rsidR="00D37F1F">
      <w:rPr>
        <w:rStyle w:val="PageNumber"/>
      </w:rPr>
      <w:fldChar w:fldCharType="begin"/>
    </w:r>
    <w:r w:rsidR="00D37F1F">
      <w:rPr>
        <w:rStyle w:val="PageNumber"/>
      </w:rPr>
      <w:instrText xml:space="preserve"> PAGE </w:instrText>
    </w:r>
    <w:r w:rsidR="00D37F1F">
      <w:rPr>
        <w:rStyle w:val="PageNumber"/>
      </w:rPr>
      <w:fldChar w:fldCharType="separate"/>
    </w:r>
    <w:r w:rsidR="00F9316C">
      <w:rPr>
        <w:rStyle w:val="PageNumber"/>
        <w:noProof/>
      </w:rPr>
      <w:t>6</w:t>
    </w:r>
    <w:r w:rsidR="00D37F1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7D0E" w14:textId="77777777" w:rsidR="00D37F1F" w:rsidRDefault="00F04832" w:rsidP="00F04832">
    <w:pPr>
      <w:pStyle w:val="Footer"/>
      <w:tabs>
        <w:tab w:val="clear" w:pos="4320"/>
        <w:tab w:val="center" w:pos="4680"/>
      </w:tabs>
      <w:jc w:val="left"/>
    </w:pPr>
    <w:r w:rsidRPr="00F04832">
      <w:rPr>
        <w:rStyle w:val="PageNumber"/>
      </w:rPr>
      <w:t>333057028</w:t>
    </w:r>
    <w:r w:rsidR="00AA4756">
      <w:rPr>
        <w:rStyle w:val="PageNumber"/>
      </w:rPr>
      <w:t xml:space="preserve">                                            </w:t>
    </w:r>
    <w:r w:rsidR="00D37F1F">
      <w:rPr>
        <w:rStyle w:val="PageNumber"/>
      </w:rPr>
      <w:fldChar w:fldCharType="begin"/>
    </w:r>
    <w:r w:rsidR="00D37F1F">
      <w:rPr>
        <w:rStyle w:val="PageNumber"/>
      </w:rPr>
      <w:instrText xml:space="preserve"> PAGE </w:instrText>
    </w:r>
    <w:r w:rsidR="00D37F1F">
      <w:rPr>
        <w:rStyle w:val="PageNumber"/>
      </w:rPr>
      <w:fldChar w:fldCharType="separate"/>
    </w:r>
    <w:r w:rsidR="00F9316C">
      <w:rPr>
        <w:rStyle w:val="PageNumber"/>
        <w:noProof/>
      </w:rPr>
      <w:t>1</w:t>
    </w:r>
    <w:r w:rsidR="00D37F1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822B" w14:textId="77777777" w:rsidR="00477B13" w:rsidRDefault="00477B13">
      <w:r>
        <w:separator/>
      </w:r>
    </w:p>
  </w:footnote>
  <w:footnote w:type="continuationSeparator" w:id="0">
    <w:p w14:paraId="4268CE8C" w14:textId="77777777" w:rsidR="00477B13" w:rsidRDefault="00477B13">
      <w:r>
        <w:continuationSeparator/>
      </w:r>
    </w:p>
  </w:footnote>
  <w:footnote w:type="continuationNotice" w:id="1">
    <w:p w14:paraId="34434FF0" w14:textId="77777777" w:rsidR="00477B13" w:rsidRDefault="00477B13">
      <w:pPr>
        <w:rPr>
          <w:sz w:val="22"/>
        </w:rPr>
      </w:pPr>
    </w:p>
    <w:p w14:paraId="155E872D" w14:textId="77777777" w:rsidR="00477B13" w:rsidRDefault="00477B13">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58CFC101" w14:textId="77777777" w:rsidR="00D37F1F" w:rsidRPr="00B90567" w:rsidRDefault="00D37F1F">
      <w:pPr>
        <w:pStyle w:val="FootnoteText"/>
        <w:rPr>
          <w:rFonts w:ascii="Palatino Linotype" w:hAnsi="Palatino Linotype"/>
        </w:rPr>
      </w:pPr>
      <w:r w:rsidRPr="00B90567">
        <w:rPr>
          <w:rStyle w:val="FootnoteReference"/>
          <w:rFonts w:ascii="Palatino Linotype" w:hAnsi="Palatino Linotype"/>
        </w:rPr>
        <w:footnoteRef/>
      </w:r>
      <w:r w:rsidRPr="00B90567">
        <w:rPr>
          <w:rFonts w:ascii="Palatino Linotype" w:hAnsi="Palatino Linotype"/>
        </w:rPr>
        <w:t xml:space="preserve"> As part of its long history of implementing the federal Public Utility Regulatory Policies Act of 1978 (PURPA), the CPUC has approved a series of standard offer contracts available to facilities. The Standard Offer 4 QF contract is one such contract and is no longer available for execution.</w:t>
      </w:r>
    </w:p>
  </w:footnote>
  <w:footnote w:id="3">
    <w:p w14:paraId="352C28AB" w14:textId="77777777" w:rsidR="006F6D2B" w:rsidRDefault="006F6D2B" w:rsidP="006F6D2B">
      <w:pPr>
        <w:pStyle w:val="FootnoteText"/>
      </w:pPr>
      <w:r w:rsidRPr="00B90567">
        <w:rPr>
          <w:rStyle w:val="FootnoteReference"/>
          <w:rFonts w:ascii="Palatino Linotype" w:hAnsi="Palatino Linotype"/>
        </w:rPr>
        <w:footnoteRef/>
      </w:r>
      <w:r w:rsidRPr="00B90567">
        <w:rPr>
          <w:rFonts w:ascii="Palatino Linotype" w:hAnsi="Palatino Linotype"/>
        </w:rPr>
        <w:t xml:space="preserve"> PURPA established a new administrative class of generating facilities called ‘Qualifying Facilities,’ or ‘QFs,’ which receive special regulatory treatment. QFs fall into two categories: small power production facilities whose primary energy source is renewable, biomass, waste or geothermal</w:t>
      </w:r>
      <w:r w:rsidR="00595DD6" w:rsidRPr="00B90567">
        <w:rPr>
          <w:rFonts w:ascii="Palatino Linotype" w:hAnsi="Palatino Linotype"/>
        </w:rPr>
        <w:t>;</w:t>
      </w:r>
      <w:r w:rsidRPr="00B90567">
        <w:rPr>
          <w:rFonts w:ascii="Palatino Linotype" w:hAnsi="Palatino Linotype"/>
        </w:rPr>
        <w:t xml:space="preserve"> and cogeneration facilities that sequentially produce electricity and another form of useful thermal energy in a way that is more efficient than the separate production of both forms of energy. The SFID facility is a small power production facility fueled by renewable hydropower.</w:t>
      </w:r>
    </w:p>
  </w:footnote>
  <w:footnote w:id="4">
    <w:p w14:paraId="7A20F1C6" w14:textId="77777777" w:rsidR="00D37F1F" w:rsidRPr="00B00C89" w:rsidRDefault="00D37F1F">
      <w:pPr>
        <w:pStyle w:val="FootnoteText"/>
        <w:rPr>
          <w:rFonts w:ascii="Palatino Linotype" w:hAnsi="Palatino Linotype"/>
        </w:rPr>
      </w:pPr>
      <w:r w:rsidRPr="00B00C89">
        <w:rPr>
          <w:rStyle w:val="FootnoteReference"/>
          <w:rFonts w:ascii="Palatino Linotype" w:hAnsi="Palatino Linotype"/>
        </w:rPr>
        <w:footnoteRef/>
      </w:r>
      <w:r w:rsidRPr="00B00C89">
        <w:rPr>
          <w:rFonts w:ascii="Palatino Linotype" w:hAnsi="Palatino Linotype"/>
        </w:rPr>
        <w:t xml:space="preserve"> Sovereign immunity is the legal doctrine by which a government or its subsidiaries </w:t>
      </w:r>
      <w:r w:rsidR="0097431D" w:rsidRPr="00B00C89">
        <w:rPr>
          <w:rFonts w:ascii="Palatino Linotype" w:hAnsi="Palatino Linotype"/>
        </w:rPr>
        <w:t>are</w:t>
      </w:r>
      <w:r w:rsidRPr="00B00C89">
        <w:rPr>
          <w:rFonts w:ascii="Palatino Linotype" w:hAnsi="Palatino Linotype"/>
        </w:rPr>
        <w:t xml:space="preserve"> immune from </w:t>
      </w:r>
      <w:r w:rsidR="0097431D" w:rsidRPr="00B00C89">
        <w:rPr>
          <w:rFonts w:ascii="Palatino Linotype" w:hAnsi="Palatino Linotype"/>
        </w:rPr>
        <w:t xml:space="preserve">certain </w:t>
      </w:r>
      <w:r w:rsidRPr="00B00C89">
        <w:rPr>
          <w:rFonts w:ascii="Palatino Linotype" w:hAnsi="Palatino Linotype"/>
        </w:rPr>
        <w:t>civil suit</w:t>
      </w:r>
      <w:r w:rsidR="0097431D" w:rsidRPr="00B00C89">
        <w:rPr>
          <w:rFonts w:ascii="Palatino Linotype" w:hAnsi="Palatino Linotype"/>
        </w:rPr>
        <w:t>s</w:t>
      </w:r>
      <w:r w:rsidRPr="00B00C89">
        <w:rPr>
          <w:rFonts w:ascii="Palatino Linotype" w:hAnsi="Palatino Linotype"/>
        </w:rPr>
        <w:t>.</w:t>
      </w:r>
    </w:p>
  </w:footnote>
  <w:footnote w:id="5">
    <w:p w14:paraId="5CE827F9" w14:textId="77777777" w:rsidR="00213278" w:rsidRDefault="00213278" w:rsidP="00213278">
      <w:pPr>
        <w:pStyle w:val="FootnoteText"/>
      </w:pPr>
      <w:r>
        <w:rPr>
          <w:rStyle w:val="FootnoteReference"/>
        </w:rPr>
        <w:footnoteRef/>
      </w:r>
      <w:r>
        <w:t xml:space="preserve"> </w:t>
      </w:r>
      <w:r w:rsidRPr="00B00C89">
        <w:rPr>
          <w:rFonts w:ascii="Palatino Linotype" w:hAnsi="Palatino Linotype"/>
        </w:rPr>
        <w:t>Sovereign immunity is the legal doctrine by which a government or its subsidiaries are immune from certain civil suits.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7BC4" w14:textId="77777777" w:rsidR="00D37F1F" w:rsidRPr="00B00C89" w:rsidRDefault="00D37F1F">
    <w:pPr>
      <w:pStyle w:val="Header"/>
      <w:tabs>
        <w:tab w:val="clear" w:pos="4320"/>
        <w:tab w:val="clear" w:pos="8640"/>
        <w:tab w:val="center" w:pos="4680"/>
        <w:tab w:val="right" w:pos="9180"/>
      </w:tabs>
      <w:rPr>
        <w:rFonts w:ascii="Palatino Linotype" w:hAnsi="Palatino Linotype"/>
      </w:rPr>
    </w:pPr>
    <w:r w:rsidRPr="00B00C89">
      <w:rPr>
        <w:rFonts w:ascii="Palatino Linotype" w:hAnsi="Palatino Linotype"/>
      </w:rPr>
      <w:t>Resolution E-5061</w:t>
    </w:r>
    <w:r w:rsidRPr="00B00C89">
      <w:rPr>
        <w:rFonts w:ascii="Palatino Linotype" w:hAnsi="Palatino Linotype"/>
      </w:rPr>
      <w:tab/>
      <w:t>DRAFT</w:t>
    </w:r>
    <w:r w:rsidRPr="00B00C89">
      <w:rPr>
        <w:rFonts w:ascii="Palatino Linotype" w:hAnsi="Palatino Linotype"/>
      </w:rPr>
      <w:tab/>
    </w:r>
    <w:r w:rsidR="006F6D2B" w:rsidRPr="00B00C89">
      <w:rPr>
        <w:rFonts w:ascii="Palatino Linotype" w:hAnsi="Palatino Linotype"/>
      </w:rPr>
      <w:t xml:space="preserve">May </w:t>
    </w:r>
    <w:r w:rsidR="00B00C89" w:rsidRPr="00B00C89">
      <w:rPr>
        <w:rFonts w:ascii="Palatino Linotype" w:hAnsi="Palatino Linotype"/>
      </w:rPr>
      <w:t>28</w:t>
    </w:r>
    <w:r w:rsidRPr="00B00C89">
      <w:rPr>
        <w:rFonts w:ascii="Palatino Linotype" w:hAnsi="Palatino Linotype"/>
      </w:rPr>
      <w:t>, 2020</w:t>
    </w:r>
  </w:p>
  <w:p w14:paraId="0C8FD217" w14:textId="77777777" w:rsidR="00D37F1F" w:rsidRPr="00B00C89" w:rsidRDefault="00D37F1F">
    <w:pPr>
      <w:pStyle w:val="Header"/>
      <w:tabs>
        <w:tab w:val="clear" w:pos="4320"/>
        <w:tab w:val="clear" w:pos="8640"/>
        <w:tab w:val="center" w:pos="4680"/>
        <w:tab w:val="right" w:pos="9180"/>
      </w:tabs>
      <w:rPr>
        <w:rFonts w:ascii="Palatino Linotype" w:hAnsi="Palatino Linotype"/>
      </w:rPr>
    </w:pPr>
    <w:r w:rsidRPr="00B00C89">
      <w:rPr>
        <w:rFonts w:ascii="Palatino Linotype" w:hAnsi="Palatino Linotype"/>
      </w:rPr>
      <w:t>SDG&amp;E AL 3447-E</w:t>
    </w:r>
    <w:r w:rsidR="001F1C83" w:rsidRPr="00B00C89">
      <w:rPr>
        <w:rFonts w:ascii="Palatino Linotype" w:hAnsi="Palatino Linotype"/>
      </w:rPr>
      <w:t xml:space="preserve"> and 3447-E</w:t>
    </w:r>
    <w:r w:rsidRPr="00B00C89">
      <w:rPr>
        <w:rFonts w:ascii="Palatino Linotype" w:hAnsi="Palatino Linotype"/>
      </w:rPr>
      <w:t>-A/DM</w:t>
    </w:r>
  </w:p>
  <w:p w14:paraId="047B8590" w14:textId="77777777" w:rsidR="00D37F1F" w:rsidRPr="00B00C89" w:rsidRDefault="00D37F1F">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479A" w14:textId="77777777" w:rsidR="00D37F1F" w:rsidRPr="00B90567" w:rsidRDefault="00D37F1F">
    <w:pPr>
      <w:pStyle w:val="Header"/>
      <w:rPr>
        <w:rFonts w:ascii="Palatino Linotype" w:hAnsi="Palatino Linotype"/>
        <w:bCs/>
        <w:sz w:val="28"/>
      </w:rPr>
    </w:pPr>
    <w:r>
      <w:tab/>
    </w:r>
    <w:r w:rsidRPr="00B90567">
      <w:rPr>
        <w:rFonts w:ascii="Palatino Linotype" w:hAnsi="Palatino Linotype"/>
        <w:bCs/>
      </w:rPr>
      <w:t>DRAFT</w:t>
    </w:r>
    <w:r w:rsidRPr="00B90567">
      <w:rPr>
        <w:rFonts w:ascii="Palatino Linotype" w:hAnsi="Palatino Linotype"/>
        <w:bCs/>
      </w:rPr>
      <w:tab/>
    </w:r>
    <w:r w:rsidRPr="00B90567">
      <w:rPr>
        <w:rFonts w:ascii="Palatino Linotype" w:hAnsi="Palatino Linotype"/>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A63"/>
    <w:multiLevelType w:val="hybridMultilevel"/>
    <w:tmpl w:val="EA4AA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44583E"/>
    <w:multiLevelType w:val="hybridMultilevel"/>
    <w:tmpl w:val="09BCD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42319"/>
    <w:multiLevelType w:val="hybridMultilevel"/>
    <w:tmpl w:val="52B8B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D3C5BB0"/>
    <w:multiLevelType w:val="hybridMultilevel"/>
    <w:tmpl w:val="7FB4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F1727"/>
    <w:multiLevelType w:val="hybridMultilevel"/>
    <w:tmpl w:val="8C80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21ED2CFD"/>
    <w:multiLevelType w:val="hybridMultilevel"/>
    <w:tmpl w:val="227E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8414F"/>
    <w:multiLevelType w:val="hybridMultilevel"/>
    <w:tmpl w:val="74E26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234D9"/>
    <w:multiLevelType w:val="hybridMultilevel"/>
    <w:tmpl w:val="1ECC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2B"/>
    <w:multiLevelType w:val="hybridMultilevel"/>
    <w:tmpl w:val="D30C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344B3"/>
    <w:multiLevelType w:val="hybridMultilevel"/>
    <w:tmpl w:val="E330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D6421"/>
    <w:multiLevelType w:val="hybridMultilevel"/>
    <w:tmpl w:val="209209D8"/>
    <w:lvl w:ilvl="0" w:tplc="2376AA7A">
      <w:start w:val="1"/>
      <w:numFmt w:val="decimal"/>
      <w:lvlText w:val="(%1)"/>
      <w:lvlJc w:val="left"/>
      <w:pPr>
        <w:ind w:left="735" w:hanging="37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7" w15:restartNumberingAfterBreak="0">
    <w:nsid w:val="5F451513"/>
    <w:multiLevelType w:val="hybridMultilevel"/>
    <w:tmpl w:val="40B48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72B88"/>
    <w:multiLevelType w:val="hybridMultilevel"/>
    <w:tmpl w:val="1D6E8C5A"/>
    <w:lvl w:ilvl="0" w:tplc="8C46D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7D335353"/>
    <w:multiLevelType w:val="hybridMultilevel"/>
    <w:tmpl w:val="B6EE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6349C"/>
    <w:multiLevelType w:val="hybridMultilevel"/>
    <w:tmpl w:val="FA424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16"/>
  </w:num>
  <w:num w:numId="5">
    <w:abstractNumId w:val="4"/>
  </w:num>
  <w:num w:numId="6">
    <w:abstractNumId w:val="20"/>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0"/>
  </w:num>
  <w:num w:numId="12">
    <w:abstractNumId w:val="5"/>
  </w:num>
  <w:num w:numId="13">
    <w:abstractNumId w:val="19"/>
  </w:num>
  <w:num w:numId="14">
    <w:abstractNumId w:val="21"/>
  </w:num>
  <w:num w:numId="15">
    <w:abstractNumId w:val="3"/>
  </w:num>
  <w:num w:numId="16">
    <w:abstractNumId w:val="8"/>
  </w:num>
  <w:num w:numId="17">
    <w:abstractNumId w:val="9"/>
  </w:num>
  <w:num w:numId="18">
    <w:abstractNumId w:val="18"/>
  </w:num>
  <w:num w:numId="19">
    <w:abstractNumId w:val="22"/>
  </w:num>
  <w:num w:numId="20">
    <w:abstractNumId w:val="11"/>
  </w:num>
  <w:num w:numId="21">
    <w:abstractNumId w:val="12"/>
  </w:num>
  <w:num w:numId="22">
    <w:abstractNumId w:val="10"/>
  </w:num>
  <w:num w:numId="23">
    <w:abstractNumId w:val="17"/>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8" w:dllVersion="513" w:checkStyle="1" w:appName="MSWord"/>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13A"/>
    <w:rsid w:val="00007867"/>
    <w:rsid w:val="00012122"/>
    <w:rsid w:val="00025817"/>
    <w:rsid w:val="00031079"/>
    <w:rsid w:val="00031109"/>
    <w:rsid w:val="00033A58"/>
    <w:rsid w:val="00043111"/>
    <w:rsid w:val="000439F5"/>
    <w:rsid w:val="00052E5A"/>
    <w:rsid w:val="0005662F"/>
    <w:rsid w:val="0007581D"/>
    <w:rsid w:val="0008762E"/>
    <w:rsid w:val="00096CA7"/>
    <w:rsid w:val="000A7038"/>
    <w:rsid w:val="000B5377"/>
    <w:rsid w:val="000B5D11"/>
    <w:rsid w:val="000C62E8"/>
    <w:rsid w:val="000D05B2"/>
    <w:rsid w:val="000D0AB3"/>
    <w:rsid w:val="000D52A6"/>
    <w:rsid w:val="000D61F2"/>
    <w:rsid w:val="000F598A"/>
    <w:rsid w:val="000F7FB4"/>
    <w:rsid w:val="00106CA2"/>
    <w:rsid w:val="001119AE"/>
    <w:rsid w:val="001241C6"/>
    <w:rsid w:val="00136821"/>
    <w:rsid w:val="0014019F"/>
    <w:rsid w:val="0015034A"/>
    <w:rsid w:val="001508F9"/>
    <w:rsid w:val="001524B8"/>
    <w:rsid w:val="001553D8"/>
    <w:rsid w:val="00156B0E"/>
    <w:rsid w:val="00172E4B"/>
    <w:rsid w:val="0018013A"/>
    <w:rsid w:val="001B18F1"/>
    <w:rsid w:val="001B3F86"/>
    <w:rsid w:val="001B5F09"/>
    <w:rsid w:val="001C0FA9"/>
    <w:rsid w:val="001C159D"/>
    <w:rsid w:val="001E2FAA"/>
    <w:rsid w:val="001E565B"/>
    <w:rsid w:val="001F086F"/>
    <w:rsid w:val="001F14D2"/>
    <w:rsid w:val="001F1C83"/>
    <w:rsid w:val="001F1E04"/>
    <w:rsid w:val="001F322A"/>
    <w:rsid w:val="002011EB"/>
    <w:rsid w:val="00213278"/>
    <w:rsid w:val="00231A9D"/>
    <w:rsid w:val="002410D6"/>
    <w:rsid w:val="00251230"/>
    <w:rsid w:val="0025669A"/>
    <w:rsid w:val="00257510"/>
    <w:rsid w:val="0026122B"/>
    <w:rsid w:val="0026322C"/>
    <w:rsid w:val="002641B3"/>
    <w:rsid w:val="00265233"/>
    <w:rsid w:val="00265DAB"/>
    <w:rsid w:val="0027049B"/>
    <w:rsid w:val="00275296"/>
    <w:rsid w:val="0028158A"/>
    <w:rsid w:val="00283511"/>
    <w:rsid w:val="0029116D"/>
    <w:rsid w:val="00295E8E"/>
    <w:rsid w:val="00297BE7"/>
    <w:rsid w:val="002A7F03"/>
    <w:rsid w:val="002B4055"/>
    <w:rsid w:val="002B4B44"/>
    <w:rsid w:val="002B5EDB"/>
    <w:rsid w:val="002D171A"/>
    <w:rsid w:val="002D1E82"/>
    <w:rsid w:val="002D43BC"/>
    <w:rsid w:val="002E78E4"/>
    <w:rsid w:val="002F6F39"/>
    <w:rsid w:val="00326016"/>
    <w:rsid w:val="0034597E"/>
    <w:rsid w:val="00345E9F"/>
    <w:rsid w:val="00350EDA"/>
    <w:rsid w:val="00375955"/>
    <w:rsid w:val="0038529E"/>
    <w:rsid w:val="003A3453"/>
    <w:rsid w:val="003B1E3B"/>
    <w:rsid w:val="003D0129"/>
    <w:rsid w:val="003D3891"/>
    <w:rsid w:val="003F4CBB"/>
    <w:rsid w:val="003F4D83"/>
    <w:rsid w:val="00401058"/>
    <w:rsid w:val="00411524"/>
    <w:rsid w:val="00414CBC"/>
    <w:rsid w:val="00420707"/>
    <w:rsid w:val="00420AD4"/>
    <w:rsid w:val="00424BFF"/>
    <w:rsid w:val="00434491"/>
    <w:rsid w:val="00436D8E"/>
    <w:rsid w:val="00440AB7"/>
    <w:rsid w:val="004424C0"/>
    <w:rsid w:val="004431BA"/>
    <w:rsid w:val="00450ACC"/>
    <w:rsid w:val="00454FAB"/>
    <w:rsid w:val="00457AAC"/>
    <w:rsid w:val="004606ED"/>
    <w:rsid w:val="00460E07"/>
    <w:rsid w:val="00471420"/>
    <w:rsid w:val="00477B13"/>
    <w:rsid w:val="004905D3"/>
    <w:rsid w:val="00493441"/>
    <w:rsid w:val="004A1364"/>
    <w:rsid w:val="004B1762"/>
    <w:rsid w:val="004D43F2"/>
    <w:rsid w:val="004F1CA9"/>
    <w:rsid w:val="004F3615"/>
    <w:rsid w:val="004F76EE"/>
    <w:rsid w:val="0050304B"/>
    <w:rsid w:val="00503F24"/>
    <w:rsid w:val="00510096"/>
    <w:rsid w:val="00522F80"/>
    <w:rsid w:val="005346C0"/>
    <w:rsid w:val="005452CB"/>
    <w:rsid w:val="005545DE"/>
    <w:rsid w:val="00554FED"/>
    <w:rsid w:val="00566730"/>
    <w:rsid w:val="00582EB2"/>
    <w:rsid w:val="00586566"/>
    <w:rsid w:val="00587707"/>
    <w:rsid w:val="00593807"/>
    <w:rsid w:val="00595DD6"/>
    <w:rsid w:val="005B7595"/>
    <w:rsid w:val="005B7B08"/>
    <w:rsid w:val="005C1529"/>
    <w:rsid w:val="005D0532"/>
    <w:rsid w:val="005D09C6"/>
    <w:rsid w:val="005E0EC9"/>
    <w:rsid w:val="005E1432"/>
    <w:rsid w:val="005E63F6"/>
    <w:rsid w:val="005F6760"/>
    <w:rsid w:val="00601674"/>
    <w:rsid w:val="00614947"/>
    <w:rsid w:val="00616AEE"/>
    <w:rsid w:val="0061756F"/>
    <w:rsid w:val="00617656"/>
    <w:rsid w:val="00620156"/>
    <w:rsid w:val="00621550"/>
    <w:rsid w:val="00625E2E"/>
    <w:rsid w:val="00630F43"/>
    <w:rsid w:val="00636455"/>
    <w:rsid w:val="006373DD"/>
    <w:rsid w:val="0064006D"/>
    <w:rsid w:val="00643A79"/>
    <w:rsid w:val="006578E0"/>
    <w:rsid w:val="00661C08"/>
    <w:rsid w:val="0066243B"/>
    <w:rsid w:val="00664119"/>
    <w:rsid w:val="00670AA4"/>
    <w:rsid w:val="0067694A"/>
    <w:rsid w:val="00685930"/>
    <w:rsid w:val="006873A6"/>
    <w:rsid w:val="006A4FA1"/>
    <w:rsid w:val="006B41CC"/>
    <w:rsid w:val="006E2B0F"/>
    <w:rsid w:val="006F6D2B"/>
    <w:rsid w:val="006F734C"/>
    <w:rsid w:val="00701E06"/>
    <w:rsid w:val="00703E77"/>
    <w:rsid w:val="0070439E"/>
    <w:rsid w:val="0071198C"/>
    <w:rsid w:val="00713111"/>
    <w:rsid w:val="0071586E"/>
    <w:rsid w:val="00715A6A"/>
    <w:rsid w:val="007239C3"/>
    <w:rsid w:val="00731EB9"/>
    <w:rsid w:val="00732ECE"/>
    <w:rsid w:val="00733A74"/>
    <w:rsid w:val="007729C1"/>
    <w:rsid w:val="0078060D"/>
    <w:rsid w:val="0078151C"/>
    <w:rsid w:val="00781E82"/>
    <w:rsid w:val="007970B2"/>
    <w:rsid w:val="007A1F51"/>
    <w:rsid w:val="007A281A"/>
    <w:rsid w:val="007A4374"/>
    <w:rsid w:val="007A6BF1"/>
    <w:rsid w:val="007B1BE8"/>
    <w:rsid w:val="007B4D0C"/>
    <w:rsid w:val="007B7536"/>
    <w:rsid w:val="007C0BE6"/>
    <w:rsid w:val="007D407C"/>
    <w:rsid w:val="007D79CB"/>
    <w:rsid w:val="007F4DF7"/>
    <w:rsid w:val="00804976"/>
    <w:rsid w:val="008051C2"/>
    <w:rsid w:val="00811D21"/>
    <w:rsid w:val="008224AB"/>
    <w:rsid w:val="008331B1"/>
    <w:rsid w:val="00836CAF"/>
    <w:rsid w:val="00845FFF"/>
    <w:rsid w:val="0085451C"/>
    <w:rsid w:val="008608D1"/>
    <w:rsid w:val="00877F57"/>
    <w:rsid w:val="008904E9"/>
    <w:rsid w:val="008B086E"/>
    <w:rsid w:val="008B6E88"/>
    <w:rsid w:val="008C3B68"/>
    <w:rsid w:val="008C611B"/>
    <w:rsid w:val="008E266A"/>
    <w:rsid w:val="008E6A92"/>
    <w:rsid w:val="008E6E10"/>
    <w:rsid w:val="00900D28"/>
    <w:rsid w:val="00923E2D"/>
    <w:rsid w:val="00924F13"/>
    <w:rsid w:val="009253F2"/>
    <w:rsid w:val="00931A42"/>
    <w:rsid w:val="0093452E"/>
    <w:rsid w:val="00935355"/>
    <w:rsid w:val="0093643F"/>
    <w:rsid w:val="009411B9"/>
    <w:rsid w:val="00942F85"/>
    <w:rsid w:val="00944618"/>
    <w:rsid w:val="009452F5"/>
    <w:rsid w:val="00955F12"/>
    <w:rsid w:val="00966A6C"/>
    <w:rsid w:val="0097431D"/>
    <w:rsid w:val="009746C7"/>
    <w:rsid w:val="009A1DC1"/>
    <w:rsid w:val="009C3082"/>
    <w:rsid w:val="009D535E"/>
    <w:rsid w:val="009D69F4"/>
    <w:rsid w:val="009E03B2"/>
    <w:rsid w:val="009E3F74"/>
    <w:rsid w:val="00A0354F"/>
    <w:rsid w:val="00A218B6"/>
    <w:rsid w:val="00A33755"/>
    <w:rsid w:val="00A36CEB"/>
    <w:rsid w:val="00A37744"/>
    <w:rsid w:val="00A42224"/>
    <w:rsid w:val="00A46F3C"/>
    <w:rsid w:val="00A505F6"/>
    <w:rsid w:val="00A55A94"/>
    <w:rsid w:val="00A609E8"/>
    <w:rsid w:val="00A673D3"/>
    <w:rsid w:val="00A82626"/>
    <w:rsid w:val="00A876CF"/>
    <w:rsid w:val="00A926A4"/>
    <w:rsid w:val="00A97508"/>
    <w:rsid w:val="00AA0F13"/>
    <w:rsid w:val="00AA1546"/>
    <w:rsid w:val="00AA433C"/>
    <w:rsid w:val="00AA4756"/>
    <w:rsid w:val="00AA47AB"/>
    <w:rsid w:val="00AA57AC"/>
    <w:rsid w:val="00AB2BD4"/>
    <w:rsid w:val="00AB5894"/>
    <w:rsid w:val="00AC14E8"/>
    <w:rsid w:val="00AC70DF"/>
    <w:rsid w:val="00AD6425"/>
    <w:rsid w:val="00AE6D8F"/>
    <w:rsid w:val="00AF7AD3"/>
    <w:rsid w:val="00B00C89"/>
    <w:rsid w:val="00B059CF"/>
    <w:rsid w:val="00B2173A"/>
    <w:rsid w:val="00B265C6"/>
    <w:rsid w:val="00B524B9"/>
    <w:rsid w:val="00B63D26"/>
    <w:rsid w:val="00B73523"/>
    <w:rsid w:val="00B74C96"/>
    <w:rsid w:val="00B9039D"/>
    <w:rsid w:val="00B90567"/>
    <w:rsid w:val="00BA7861"/>
    <w:rsid w:val="00BB408B"/>
    <w:rsid w:val="00BE500F"/>
    <w:rsid w:val="00BE6CD1"/>
    <w:rsid w:val="00BE7309"/>
    <w:rsid w:val="00BF0011"/>
    <w:rsid w:val="00BF0BD7"/>
    <w:rsid w:val="00BF5D15"/>
    <w:rsid w:val="00C10117"/>
    <w:rsid w:val="00C12BE5"/>
    <w:rsid w:val="00C169BC"/>
    <w:rsid w:val="00C23760"/>
    <w:rsid w:val="00C47C4B"/>
    <w:rsid w:val="00C724B6"/>
    <w:rsid w:val="00C87454"/>
    <w:rsid w:val="00C94595"/>
    <w:rsid w:val="00C95AB7"/>
    <w:rsid w:val="00CB2E83"/>
    <w:rsid w:val="00CC196B"/>
    <w:rsid w:val="00CD1FBD"/>
    <w:rsid w:val="00CD258A"/>
    <w:rsid w:val="00CD7D2C"/>
    <w:rsid w:val="00CF17DE"/>
    <w:rsid w:val="00CF2865"/>
    <w:rsid w:val="00CF6FD5"/>
    <w:rsid w:val="00D24A74"/>
    <w:rsid w:val="00D2564B"/>
    <w:rsid w:val="00D3128A"/>
    <w:rsid w:val="00D37AA0"/>
    <w:rsid w:val="00D37F1F"/>
    <w:rsid w:val="00D51235"/>
    <w:rsid w:val="00D62734"/>
    <w:rsid w:val="00D6551A"/>
    <w:rsid w:val="00D65AB4"/>
    <w:rsid w:val="00D65C89"/>
    <w:rsid w:val="00D66D8C"/>
    <w:rsid w:val="00D70C1E"/>
    <w:rsid w:val="00D7187F"/>
    <w:rsid w:val="00D7394B"/>
    <w:rsid w:val="00DA2618"/>
    <w:rsid w:val="00DB1A8C"/>
    <w:rsid w:val="00DB6F2C"/>
    <w:rsid w:val="00DC50C1"/>
    <w:rsid w:val="00DC6552"/>
    <w:rsid w:val="00DD3306"/>
    <w:rsid w:val="00DD4C05"/>
    <w:rsid w:val="00DE22C2"/>
    <w:rsid w:val="00E03F15"/>
    <w:rsid w:val="00E052C5"/>
    <w:rsid w:val="00E05FCA"/>
    <w:rsid w:val="00E06605"/>
    <w:rsid w:val="00E100C4"/>
    <w:rsid w:val="00E12374"/>
    <w:rsid w:val="00E2646C"/>
    <w:rsid w:val="00E324B1"/>
    <w:rsid w:val="00E337C0"/>
    <w:rsid w:val="00E36A32"/>
    <w:rsid w:val="00E77E5B"/>
    <w:rsid w:val="00E81FC4"/>
    <w:rsid w:val="00E858AB"/>
    <w:rsid w:val="00E9065B"/>
    <w:rsid w:val="00EA49BC"/>
    <w:rsid w:val="00EA4FB4"/>
    <w:rsid w:val="00EE49C0"/>
    <w:rsid w:val="00EE6FD8"/>
    <w:rsid w:val="00F03221"/>
    <w:rsid w:val="00F04832"/>
    <w:rsid w:val="00F159CC"/>
    <w:rsid w:val="00F16963"/>
    <w:rsid w:val="00F32641"/>
    <w:rsid w:val="00F52047"/>
    <w:rsid w:val="00F56A1E"/>
    <w:rsid w:val="00F73BB1"/>
    <w:rsid w:val="00F87037"/>
    <w:rsid w:val="00F91571"/>
    <w:rsid w:val="00F9316C"/>
    <w:rsid w:val="00FA1A05"/>
    <w:rsid w:val="00FA55F8"/>
    <w:rsid w:val="00FA5796"/>
    <w:rsid w:val="00FC3EFA"/>
    <w:rsid w:val="00FE4806"/>
    <w:rsid w:val="00FF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7FE9D"/>
  <w15:chartTrackingRefBased/>
  <w15:docId w15:val="{E064B28C-B9EA-4926-93D2-BBD10738A4C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TBG Style Char Char"/>
    <w:basedOn w:val="Normal"/>
    <w:link w:val="FootnoteTextChar"/>
    <w:semiHidden/>
    <w:rsid w:val="008B086E"/>
    <w:p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
    <w:name w:val="quote"/>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ilvl w:val="0"/>
        <w:numId w:val="2"/>
      </w:numPr>
      <w:ind w:left="1080"/>
    </w:pPr>
  </w:style>
  <w:style w:type="character" w:styleId="FootnoteReference">
    <w:name w:val="footnote reference"/>
    <w:aliases w:val="o,fr,Style 3,o1,o2,o3,o4,o5,o6,o11,o21,o7,Footnote Reference1"/>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PlainText">
    <w:name w:val="Plain Text"/>
    <w:basedOn w:val="Normal"/>
    <w:link w:val="PlainTextChar"/>
    <w:uiPriority w:val="99"/>
    <w:unhideWhenUsed/>
    <w:rsid w:val="002641B3"/>
    <w:rPr>
      <w:rFonts w:ascii="Calibri" w:eastAsia="Calibri" w:hAnsi="Calibri" w:cs="Consolas"/>
      <w:sz w:val="22"/>
      <w:szCs w:val="21"/>
    </w:rPr>
  </w:style>
  <w:style w:type="paragraph" w:customStyle="1" w:styleId="Style2">
    <w:name w:val="Style2"/>
    <w:basedOn w:val="Normal"/>
    <w:rsid w:val="007A6BF1"/>
  </w:style>
  <w:style w:type="paragraph" w:customStyle="1" w:styleId="Style3">
    <w:name w:val="Style3"/>
    <w:basedOn w:val="Normal"/>
    <w:rsid w:val="008B086E"/>
  </w:style>
  <w:style w:type="character" w:customStyle="1" w:styleId="PlainTextChar">
    <w:name w:val="Plain Text Char"/>
    <w:link w:val="PlainText"/>
    <w:uiPriority w:val="99"/>
    <w:rsid w:val="002641B3"/>
    <w:rPr>
      <w:rFonts w:ascii="Calibri" w:eastAsia="Calibri" w:hAnsi="Calibri" w:cs="Consolas"/>
      <w:sz w:val="22"/>
      <w:szCs w:val="21"/>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TBG Style Char Char Char"/>
    <w:link w:val="FootnoteText"/>
    <w:semiHidden/>
    <w:locked/>
    <w:rsid w:val="00471420"/>
    <w:rPr>
      <w:rFonts w:ascii="Palatino" w:hAnsi="Palatino"/>
      <w:sz w:val="24"/>
    </w:rPr>
  </w:style>
  <w:style w:type="character" w:styleId="CommentReference">
    <w:name w:val="annotation reference"/>
    <w:rsid w:val="001B3F86"/>
    <w:rPr>
      <w:sz w:val="16"/>
      <w:szCs w:val="16"/>
    </w:rPr>
  </w:style>
  <w:style w:type="paragraph" w:styleId="CommentText">
    <w:name w:val="annotation text"/>
    <w:basedOn w:val="Normal"/>
    <w:link w:val="CommentTextChar"/>
    <w:rsid w:val="001B3F86"/>
    <w:rPr>
      <w:sz w:val="20"/>
    </w:rPr>
  </w:style>
  <w:style w:type="character" w:customStyle="1" w:styleId="CommentTextChar">
    <w:name w:val="Comment Text Char"/>
    <w:link w:val="CommentText"/>
    <w:rsid w:val="001B3F86"/>
    <w:rPr>
      <w:rFonts w:ascii="Palatino" w:hAnsi="Palatino"/>
    </w:rPr>
  </w:style>
  <w:style w:type="paragraph" w:styleId="CommentSubject">
    <w:name w:val="annotation subject"/>
    <w:basedOn w:val="CommentText"/>
    <w:next w:val="CommentText"/>
    <w:link w:val="CommentSubjectChar"/>
    <w:rsid w:val="001B3F86"/>
    <w:rPr>
      <w:b/>
      <w:bCs/>
    </w:rPr>
  </w:style>
  <w:style w:type="character" w:customStyle="1" w:styleId="CommentSubjectChar">
    <w:name w:val="Comment Subject Char"/>
    <w:link w:val="CommentSubject"/>
    <w:rsid w:val="001B3F86"/>
    <w:rPr>
      <w:rFonts w:ascii="Palatino" w:hAnsi="Palatino"/>
      <w:b/>
      <w:bCs/>
    </w:rPr>
  </w:style>
  <w:style w:type="paragraph" w:styleId="BalloonText">
    <w:name w:val="Balloon Text"/>
    <w:basedOn w:val="Normal"/>
    <w:link w:val="BalloonTextChar"/>
    <w:rsid w:val="001B3F86"/>
    <w:rPr>
      <w:rFonts w:ascii="Tahoma" w:hAnsi="Tahoma" w:cs="Tahoma"/>
      <w:sz w:val="16"/>
      <w:szCs w:val="16"/>
    </w:rPr>
  </w:style>
  <w:style w:type="character" w:customStyle="1" w:styleId="BalloonTextChar">
    <w:name w:val="Balloon Text Char"/>
    <w:link w:val="BalloonText"/>
    <w:rsid w:val="001B3F86"/>
    <w:rPr>
      <w:rFonts w:ascii="Tahoma" w:hAnsi="Tahoma" w:cs="Tahoma"/>
      <w:sz w:val="16"/>
      <w:szCs w:val="16"/>
    </w:rPr>
  </w:style>
  <w:style w:type="character" w:styleId="Hyperlink">
    <w:name w:val="Hyperlink"/>
    <w:uiPriority w:val="99"/>
    <w:unhideWhenUsed/>
    <w:rsid w:val="00FA5796"/>
    <w:rPr>
      <w:color w:val="0000FF"/>
      <w:u w:val="single"/>
    </w:rPr>
  </w:style>
  <w:style w:type="table" w:styleId="TableGrid">
    <w:name w:val="Table Grid"/>
    <w:basedOn w:val="TableNormal"/>
    <w:rsid w:val="00EE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D535E"/>
    <w:rPr>
      <w:rFonts w:ascii="Helvetica" w:hAnsi="Helvetica"/>
      <w:b/>
      <w:caps/>
      <w:kern w:val="28"/>
      <w:sz w:val="26"/>
      <w:u w:val="single"/>
    </w:rPr>
  </w:style>
  <w:style w:type="paragraph" w:styleId="ListParagraph">
    <w:name w:val="List Paragraph"/>
    <w:basedOn w:val="Normal"/>
    <w:uiPriority w:val="34"/>
    <w:qFormat/>
    <w:rsid w:val="009D535E"/>
    <w:pPr>
      <w:ind w:left="720"/>
      <w:contextualSpacing/>
    </w:pPr>
  </w:style>
  <w:style w:type="paragraph" w:customStyle="1" w:styleId="Default">
    <w:name w:val="Default"/>
    <w:rsid w:val="009D535E"/>
    <w:pPr>
      <w:autoSpaceDE w:val="0"/>
      <w:autoSpaceDN w:val="0"/>
      <w:adjustRightInd w:val="0"/>
    </w:pPr>
    <w:rPr>
      <w:rFonts w:ascii="Book Antiqua" w:eastAsia="Calibri" w:hAnsi="Book Antiqua" w:cs="Book Antiqua"/>
      <w:color w:val="000000"/>
      <w:sz w:val="24"/>
      <w:szCs w:val="24"/>
    </w:rPr>
  </w:style>
  <w:style w:type="character" w:customStyle="1" w:styleId="cwcot">
    <w:name w:val="cwcot"/>
    <w:rsid w:val="00D65AB4"/>
  </w:style>
  <w:style w:type="paragraph" w:styleId="Revision">
    <w:name w:val="Revision"/>
    <w:hidden/>
    <w:uiPriority w:val="99"/>
    <w:semiHidden/>
    <w:rsid w:val="00B524B9"/>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70221">
      <w:bodyDiv w:val="1"/>
      <w:marLeft w:val="0"/>
      <w:marRight w:val="0"/>
      <w:marTop w:val="0"/>
      <w:marBottom w:val="0"/>
      <w:divBdr>
        <w:top w:val="none" w:sz="0" w:space="0" w:color="auto"/>
        <w:left w:val="none" w:sz="0" w:space="0" w:color="auto"/>
        <w:bottom w:val="none" w:sz="0" w:space="0" w:color="auto"/>
        <w:right w:val="none" w:sz="0" w:space="0" w:color="auto"/>
      </w:divBdr>
    </w:div>
    <w:div w:id="1820145170">
      <w:bodyDiv w:val="1"/>
      <w:marLeft w:val="0"/>
      <w:marRight w:val="0"/>
      <w:marTop w:val="0"/>
      <w:marBottom w:val="0"/>
      <w:divBdr>
        <w:top w:val="none" w:sz="0" w:space="0" w:color="auto"/>
        <w:left w:val="none" w:sz="0" w:space="0" w:color="auto"/>
        <w:bottom w:val="none" w:sz="0" w:space="0" w:color="auto"/>
        <w:right w:val="none" w:sz="0" w:space="0" w:color="auto"/>
      </w:divBdr>
    </w:div>
    <w:div w:id="18697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7442-3E7F-474F-A571-265E281B453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2157</ap:Words>
  <ap:Characters>12299</ap:Characters>
  <ap:Application>Microsoft Office Word</ap:Application>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14428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2020-03-12T00:24:00Z</cp:lastPrinted>
  <dcterms:created xsi:type="dcterms:W3CDTF">2020-04-15T11:41:49Z</dcterms:created>
  <dcterms:modified xsi:type="dcterms:W3CDTF">2020-04-15T11:41:49Z</dcterms:modified>
</cp:coreProperties>
</file>