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D535E" w:rsidP="00907716" w:rsidRDefault="009D535E" w14:paraId="5A7DFFB1" w14:textId="36FB0E7C">
      <w:pPr>
        <w:pStyle w:val="titlebar"/>
        <w:ind w:firstLine="720"/>
        <w:rPr>
          <w:sz w:val="24"/>
        </w:rPr>
      </w:pPr>
      <w:r>
        <w:rPr>
          <w:sz w:val="24"/>
        </w:rPr>
        <w:t>PUBLIC UTILITIES COMMISSION OF THE STATE OF CALIFORNIA</w:t>
      </w:r>
      <w:r w:rsidR="00761342">
        <w:rPr>
          <w:sz w:val="24"/>
        </w:rPr>
        <w:br/>
      </w:r>
    </w:p>
    <w:p w:rsidR="009D535E" w:rsidP="009D535E" w:rsidRDefault="009D535E" w14:paraId="2EC707C9" w14:textId="17CD2582">
      <w:pPr>
        <w:suppressAutoHyphens/>
      </w:pPr>
      <w:r>
        <w:tab/>
      </w:r>
      <w:r>
        <w:tab/>
      </w:r>
      <w:r>
        <w:tab/>
      </w:r>
      <w:r>
        <w:tab/>
      </w:r>
      <w:r>
        <w:tab/>
      </w:r>
      <w:r>
        <w:tab/>
      </w:r>
      <w:r>
        <w:tab/>
      </w:r>
      <w:r>
        <w:tab/>
      </w:r>
      <w:r>
        <w:tab/>
        <w:t xml:space="preserve"> </w:t>
      </w:r>
      <w:r>
        <w:rPr>
          <w:b/>
          <w:sz w:val="24"/>
          <w:szCs w:val="24"/>
        </w:rPr>
        <w:t>AGENDA ID #</w:t>
      </w:r>
      <w:r w:rsidR="00690616">
        <w:rPr>
          <w:b/>
          <w:sz w:val="24"/>
          <w:szCs w:val="24"/>
        </w:rPr>
        <w:t>18343</w:t>
      </w:r>
      <w:r>
        <w:tab/>
      </w:r>
    </w:p>
    <w:p w:rsidR="009D535E" w:rsidP="009D535E" w:rsidRDefault="009D535E" w14:paraId="248285BC" w14:textId="77777777">
      <w:pPr>
        <w:rPr>
          <w:b/>
          <w:sz w:val="24"/>
        </w:rPr>
      </w:pPr>
      <w:r>
        <w:rPr>
          <w:b/>
          <w:sz w:val="24"/>
        </w:rPr>
        <w:t>ENERGY DIVISION</w:t>
      </w:r>
      <w:r>
        <w:rPr>
          <w:b/>
          <w:sz w:val="24"/>
        </w:rPr>
        <w:tab/>
      </w:r>
      <w:r>
        <w:rPr>
          <w:b/>
          <w:sz w:val="24"/>
        </w:rPr>
        <w:tab/>
      </w:r>
      <w:r>
        <w:rPr>
          <w:b/>
          <w:sz w:val="24"/>
        </w:rPr>
        <w:tab/>
      </w:r>
      <w:r>
        <w:rPr>
          <w:b/>
          <w:sz w:val="24"/>
        </w:rPr>
        <w:tab/>
      </w:r>
      <w:r>
        <w:rPr>
          <w:b/>
          <w:sz w:val="24"/>
        </w:rPr>
        <w:tab/>
        <w:t xml:space="preserve">             RESOLUTION E-</w:t>
      </w:r>
      <w:r w:rsidR="00643A79">
        <w:rPr>
          <w:b/>
          <w:sz w:val="24"/>
        </w:rPr>
        <w:t>5037</w:t>
      </w:r>
    </w:p>
    <w:p w:rsidR="009D535E" w:rsidP="009D535E" w:rsidRDefault="009D535E" w14:paraId="3E513D5C" w14:textId="2E8E0726">
      <w:pPr>
        <w:tabs>
          <w:tab w:val="right" w:pos="8910"/>
        </w:tabs>
        <w:ind w:left="1440" w:firstLine="720"/>
        <w:rPr>
          <w:b/>
          <w:sz w:val="24"/>
        </w:rPr>
      </w:pPr>
      <w:r w:rsidRPr="00BE7309">
        <w:rPr>
          <w:b/>
          <w:color w:val="000000"/>
          <w:sz w:val="24"/>
        </w:rPr>
        <w:t xml:space="preserve">                                                                         </w:t>
      </w:r>
      <w:r w:rsidR="005C3C50">
        <w:rPr>
          <w:b/>
          <w:color w:val="000000"/>
          <w:sz w:val="24"/>
        </w:rPr>
        <w:t xml:space="preserve">May </w:t>
      </w:r>
      <w:r w:rsidR="004625FA">
        <w:rPr>
          <w:b/>
          <w:color w:val="000000"/>
          <w:sz w:val="24"/>
        </w:rPr>
        <w:t>28</w:t>
      </w:r>
      <w:r w:rsidRPr="00BE7309" w:rsidR="00265233">
        <w:rPr>
          <w:b/>
          <w:color w:val="000000"/>
          <w:sz w:val="24"/>
        </w:rPr>
        <w:t>,</w:t>
      </w:r>
      <w:r w:rsidR="00265233">
        <w:rPr>
          <w:b/>
          <w:sz w:val="24"/>
        </w:rPr>
        <w:t xml:space="preserve"> 20</w:t>
      </w:r>
      <w:r w:rsidR="005638F6">
        <w:rPr>
          <w:b/>
          <w:sz w:val="24"/>
        </w:rPr>
        <w:t>20</w:t>
      </w:r>
    </w:p>
    <w:p w:rsidR="009D535E" w:rsidP="009D535E" w:rsidRDefault="009D535E" w14:paraId="4DABD7E0" w14:textId="77777777">
      <w:pPr>
        <w:tabs>
          <w:tab w:val="right" w:pos="8910"/>
        </w:tabs>
        <w:ind w:left="1440" w:firstLine="720"/>
        <w:rPr>
          <w:b/>
          <w:sz w:val="24"/>
        </w:rPr>
      </w:pPr>
    </w:p>
    <w:p w:rsidR="009D535E" w:rsidP="009D535E" w:rsidRDefault="009D535E" w14:paraId="548583F7" w14:textId="77777777">
      <w:pPr>
        <w:pStyle w:val="mainex"/>
        <w:rPr>
          <w:u w:val="single"/>
        </w:rPr>
      </w:pPr>
      <w:bookmarkStart w:name="_Ref404993683" w:id="0"/>
      <w:r>
        <w:rPr>
          <w:u w:val="single"/>
        </w:rPr>
        <w:t>RESOLUTION</w:t>
      </w:r>
    </w:p>
    <w:p w:rsidR="009D535E" w:rsidP="009D535E" w:rsidRDefault="009D535E" w14:paraId="21248189" w14:textId="77777777"/>
    <w:p w:rsidRPr="00676298" w:rsidR="009D535E" w:rsidP="009D535E" w:rsidRDefault="009D535E" w14:paraId="108A2057" w14:textId="77777777">
      <w:pPr>
        <w:pStyle w:val="Res-Caption"/>
        <w:rPr>
          <w:rFonts w:ascii="Palatino Linotype" w:hAnsi="Palatino Linotype"/>
        </w:rPr>
      </w:pPr>
      <w:r w:rsidRPr="00676298">
        <w:rPr>
          <w:rFonts w:ascii="Palatino Linotype" w:hAnsi="Palatino Linotype"/>
        </w:rPr>
        <w:t>Resolution E-</w:t>
      </w:r>
      <w:r w:rsidR="0026322C">
        <w:rPr>
          <w:rFonts w:ascii="Palatino Linotype" w:hAnsi="Palatino Linotype"/>
        </w:rPr>
        <w:t>5037</w:t>
      </w:r>
      <w:r w:rsidRPr="00676298">
        <w:rPr>
          <w:rFonts w:ascii="Palatino Linotype" w:hAnsi="Palatino Linotype"/>
        </w:rPr>
        <w:t xml:space="preserve">. </w:t>
      </w:r>
      <w:r w:rsidR="00643A79">
        <w:rPr>
          <w:rFonts w:ascii="Palatino Linotype" w:hAnsi="Palatino Linotype"/>
        </w:rPr>
        <w:t xml:space="preserve">Pacific Gas and Electric Company seeks approval of </w:t>
      </w:r>
      <w:r w:rsidR="00D8046F">
        <w:rPr>
          <w:rFonts w:ascii="Palatino Linotype" w:hAnsi="Palatino Linotype"/>
        </w:rPr>
        <w:t>three</w:t>
      </w:r>
      <w:r w:rsidR="00643A79">
        <w:rPr>
          <w:rFonts w:ascii="Palatino Linotype" w:hAnsi="Palatino Linotype"/>
        </w:rPr>
        <w:t xml:space="preserve"> </w:t>
      </w:r>
      <w:r w:rsidR="00D8046F">
        <w:rPr>
          <w:rFonts w:ascii="Palatino Linotype" w:hAnsi="Palatino Linotype"/>
        </w:rPr>
        <w:t xml:space="preserve">power purchase agreements </w:t>
      </w:r>
      <w:r w:rsidR="002277FC">
        <w:rPr>
          <w:rFonts w:ascii="Palatino Linotype" w:hAnsi="Palatino Linotype"/>
        </w:rPr>
        <w:t>with</w:t>
      </w:r>
      <w:r w:rsidR="00D8046F">
        <w:rPr>
          <w:rFonts w:ascii="Palatino Linotype" w:hAnsi="Palatino Linotype"/>
        </w:rPr>
        <w:t xml:space="preserve"> Qualifying Facilities a</w:t>
      </w:r>
      <w:r w:rsidR="00643A79">
        <w:rPr>
          <w:rFonts w:ascii="Palatino Linotype" w:hAnsi="Palatino Linotype"/>
        </w:rPr>
        <w:t>nd associated cost recovery.</w:t>
      </w:r>
    </w:p>
    <w:p w:rsidRPr="00676298" w:rsidR="009D535E" w:rsidP="009D535E" w:rsidRDefault="009D535E" w14:paraId="1E076C98" w14:textId="51DFAB93">
      <w:pPr>
        <w:pStyle w:val="Res-Caption"/>
        <w:rPr>
          <w:rFonts w:ascii="Palatino Linotype" w:hAnsi="Palatino Linotype"/>
        </w:rPr>
      </w:pPr>
    </w:p>
    <w:p w:rsidRPr="00676298" w:rsidR="009D535E" w:rsidP="009D535E" w:rsidRDefault="009D535E" w14:paraId="1DDDC588" w14:textId="77777777">
      <w:pPr>
        <w:pStyle w:val="Res-Caption"/>
        <w:rPr>
          <w:rFonts w:ascii="Palatino Linotype" w:hAnsi="Palatino Linotype"/>
        </w:rPr>
      </w:pPr>
      <w:r w:rsidRPr="00676298">
        <w:rPr>
          <w:rFonts w:ascii="Palatino Linotype" w:hAnsi="Palatino Linotype"/>
        </w:rPr>
        <w:t xml:space="preserve">PROPOSED OUTCOME: </w:t>
      </w:r>
    </w:p>
    <w:p w:rsidR="009D535E" w:rsidP="003D0129" w:rsidRDefault="006727A2" w14:paraId="5FEFC2BA" w14:textId="77777777">
      <w:pPr>
        <w:pStyle w:val="Res-Caption"/>
        <w:numPr>
          <w:ilvl w:val="0"/>
          <w:numId w:val="18"/>
        </w:numPr>
        <w:rPr>
          <w:rFonts w:ascii="Palatino Linotype" w:hAnsi="Palatino Linotype"/>
        </w:rPr>
      </w:pPr>
      <w:r>
        <w:rPr>
          <w:rFonts w:ascii="Palatino Linotype" w:hAnsi="Palatino Linotype"/>
        </w:rPr>
        <w:t>A</w:t>
      </w:r>
      <w:r w:rsidRPr="00643A79" w:rsidR="009D535E">
        <w:rPr>
          <w:rFonts w:ascii="Palatino Linotype" w:hAnsi="Palatino Linotype"/>
        </w:rPr>
        <w:t xml:space="preserve">pproves </w:t>
      </w:r>
      <w:r w:rsidRPr="00643A79" w:rsidR="00643A79">
        <w:rPr>
          <w:rFonts w:ascii="Palatino Linotype" w:hAnsi="Palatino Linotype"/>
        </w:rPr>
        <w:t>three</w:t>
      </w:r>
      <w:r w:rsidRPr="00643A79" w:rsidR="009D535E">
        <w:rPr>
          <w:rFonts w:ascii="Palatino Linotype" w:hAnsi="Palatino Linotype"/>
        </w:rPr>
        <w:t xml:space="preserve"> </w:t>
      </w:r>
      <w:r w:rsidRPr="00643A79" w:rsidR="00643A79">
        <w:rPr>
          <w:rFonts w:ascii="Palatino Linotype" w:hAnsi="Palatino Linotype"/>
        </w:rPr>
        <w:t>Pacific Gas and Electric Company</w:t>
      </w:r>
      <w:r w:rsidRPr="00643A79" w:rsidR="009D535E">
        <w:rPr>
          <w:rFonts w:ascii="Palatino Linotype" w:hAnsi="Palatino Linotype"/>
        </w:rPr>
        <w:t xml:space="preserve"> (</w:t>
      </w:r>
      <w:r w:rsidRPr="00643A79" w:rsidR="00643A79">
        <w:rPr>
          <w:rFonts w:ascii="Palatino Linotype" w:hAnsi="Palatino Linotype"/>
        </w:rPr>
        <w:t>PG&amp;E</w:t>
      </w:r>
      <w:r w:rsidRPr="00643A79" w:rsidR="009D535E">
        <w:rPr>
          <w:rFonts w:ascii="Palatino Linotype" w:hAnsi="Palatino Linotype"/>
        </w:rPr>
        <w:t>)</w:t>
      </w:r>
      <w:r w:rsidR="004C77BE">
        <w:rPr>
          <w:rFonts w:ascii="Palatino Linotype" w:hAnsi="Palatino Linotype"/>
        </w:rPr>
        <w:t xml:space="preserve"> power purchase agreements with</w:t>
      </w:r>
      <w:r w:rsidR="00643A79">
        <w:rPr>
          <w:rFonts w:ascii="Palatino Linotype" w:hAnsi="Palatino Linotype"/>
        </w:rPr>
        <w:t xml:space="preserve"> Aera Energy, LLC; Berry Petroleum, LLC; and EIF Haypress, LLC.</w:t>
      </w:r>
    </w:p>
    <w:p w:rsidRPr="00643A79" w:rsidR="00643A79" w:rsidP="00643A79" w:rsidRDefault="00643A79" w14:paraId="0C0E4EFD" w14:textId="77777777">
      <w:pPr>
        <w:pStyle w:val="Res-Caption"/>
        <w:rPr>
          <w:rFonts w:ascii="Palatino Linotype" w:hAnsi="Palatino Linotype"/>
        </w:rPr>
      </w:pPr>
    </w:p>
    <w:p w:rsidRPr="00676298" w:rsidR="009D535E" w:rsidP="009D535E" w:rsidRDefault="009D535E" w14:paraId="1BF8E53A" w14:textId="77777777">
      <w:pPr>
        <w:pStyle w:val="Res-Caption"/>
        <w:rPr>
          <w:rFonts w:ascii="Palatino Linotype" w:hAnsi="Palatino Linotype"/>
        </w:rPr>
      </w:pPr>
      <w:r w:rsidRPr="00676298">
        <w:rPr>
          <w:rFonts w:ascii="Palatino Linotype" w:hAnsi="Palatino Linotype"/>
        </w:rPr>
        <w:t>SAFETY CONSIDERATIONS:</w:t>
      </w:r>
    </w:p>
    <w:p w:rsidRPr="00661C08" w:rsidR="009D535E" w:rsidP="009D535E" w:rsidRDefault="009D535E" w14:paraId="367EA715" w14:textId="77777777">
      <w:pPr>
        <w:pStyle w:val="Res-Caption"/>
        <w:numPr>
          <w:ilvl w:val="0"/>
          <w:numId w:val="17"/>
        </w:numPr>
        <w:rPr>
          <w:rFonts w:ascii="Palatino Linotype" w:hAnsi="Palatino Linotype"/>
        </w:rPr>
      </w:pPr>
      <w:r w:rsidRPr="00661C08">
        <w:rPr>
          <w:rFonts w:ascii="Palatino Linotype" w:hAnsi="Palatino Linotype"/>
        </w:rPr>
        <w:t>The terms of the Agreement</w:t>
      </w:r>
      <w:r w:rsidR="002277FC">
        <w:rPr>
          <w:rFonts w:ascii="Palatino Linotype" w:hAnsi="Palatino Linotype"/>
        </w:rPr>
        <w:t>s</w:t>
      </w:r>
      <w:r w:rsidRPr="00661C08">
        <w:rPr>
          <w:rFonts w:ascii="Palatino Linotype" w:hAnsi="Palatino Linotype"/>
        </w:rPr>
        <w:t xml:space="preserve"> state </w:t>
      </w:r>
      <w:r w:rsidRPr="00661C08" w:rsidR="00661C08">
        <w:rPr>
          <w:rFonts w:ascii="Palatino Linotype" w:hAnsi="Palatino Linotype"/>
        </w:rPr>
        <w:t>Aera Energy, LLC; Berry Petroleum, LLC; and EIF Haypress, LLC</w:t>
      </w:r>
      <w:r w:rsidRPr="00661C08">
        <w:rPr>
          <w:rFonts w:ascii="Palatino Linotype" w:hAnsi="Palatino Linotype"/>
        </w:rPr>
        <w:t xml:space="preserve"> must operate and maintain the facilit</w:t>
      </w:r>
      <w:r w:rsidR="00576F72">
        <w:rPr>
          <w:rFonts w:ascii="Palatino Linotype" w:hAnsi="Palatino Linotype"/>
        </w:rPr>
        <w:t>ies</w:t>
      </w:r>
      <w:r w:rsidRPr="00661C08">
        <w:rPr>
          <w:rFonts w:ascii="Palatino Linotype" w:hAnsi="Palatino Linotype"/>
        </w:rPr>
        <w:t xml:space="preserve"> within the terms of prudent electrical practices. </w:t>
      </w:r>
      <w:r w:rsidRPr="00661C08" w:rsidR="00661C08">
        <w:rPr>
          <w:rFonts w:ascii="Palatino Linotype" w:hAnsi="Palatino Linotype"/>
        </w:rPr>
        <w:t>PG</w:t>
      </w:r>
      <w:r w:rsidRPr="00661C08">
        <w:rPr>
          <w:rFonts w:ascii="Palatino Linotype" w:hAnsi="Palatino Linotype"/>
        </w:rPr>
        <w:t>&amp;E submitte</w:t>
      </w:r>
      <w:r w:rsidRPr="00661C08" w:rsidR="00B74C96">
        <w:rPr>
          <w:rFonts w:ascii="Palatino Linotype" w:hAnsi="Palatino Linotype"/>
        </w:rPr>
        <w:t>d safety plan</w:t>
      </w:r>
      <w:r w:rsidR="00576F72">
        <w:rPr>
          <w:rFonts w:ascii="Palatino Linotype" w:hAnsi="Palatino Linotype"/>
        </w:rPr>
        <w:t>s</w:t>
      </w:r>
      <w:r w:rsidRPr="00661C08" w:rsidR="00B74C96">
        <w:rPr>
          <w:rFonts w:ascii="Palatino Linotype" w:hAnsi="Palatino Linotype"/>
        </w:rPr>
        <w:t xml:space="preserve"> for </w:t>
      </w:r>
      <w:r w:rsidR="004C77BE">
        <w:rPr>
          <w:rFonts w:ascii="Palatino Linotype" w:hAnsi="Palatino Linotype"/>
        </w:rPr>
        <w:t xml:space="preserve">each of </w:t>
      </w:r>
      <w:r w:rsidRPr="00661C08" w:rsidR="00B74C96">
        <w:rPr>
          <w:rFonts w:ascii="Palatino Linotype" w:hAnsi="Palatino Linotype"/>
        </w:rPr>
        <w:t>the facilities</w:t>
      </w:r>
      <w:r w:rsidRPr="00661C08">
        <w:rPr>
          <w:rFonts w:ascii="Palatino Linotype" w:hAnsi="Palatino Linotype"/>
        </w:rPr>
        <w:t xml:space="preserve"> that </w:t>
      </w:r>
      <w:r w:rsidR="004B13B6">
        <w:rPr>
          <w:rFonts w:ascii="Palatino Linotype" w:hAnsi="Palatino Linotype"/>
        </w:rPr>
        <w:t>were</w:t>
      </w:r>
      <w:r w:rsidRPr="00661C08">
        <w:rPr>
          <w:rFonts w:ascii="Palatino Linotype" w:hAnsi="Palatino Linotype"/>
        </w:rPr>
        <w:t xml:space="preserve"> certified by a licensed California engineer. </w:t>
      </w:r>
    </w:p>
    <w:p w:rsidRPr="00676298" w:rsidR="009D535E" w:rsidP="009D535E" w:rsidRDefault="009D535E" w14:paraId="33DC8F45" w14:textId="77777777">
      <w:pPr>
        <w:pStyle w:val="Res-Caption"/>
        <w:rPr>
          <w:rFonts w:ascii="Palatino Linotype" w:hAnsi="Palatino Linotype"/>
        </w:rPr>
      </w:pPr>
    </w:p>
    <w:p w:rsidRPr="00676298" w:rsidR="009D535E" w:rsidP="009D535E" w:rsidRDefault="009D535E" w14:paraId="2F711E36" w14:textId="77777777">
      <w:pPr>
        <w:pStyle w:val="Res-Caption"/>
        <w:rPr>
          <w:rFonts w:ascii="Palatino Linotype" w:hAnsi="Palatino Linotype"/>
        </w:rPr>
      </w:pPr>
      <w:r w:rsidRPr="00676298">
        <w:rPr>
          <w:rFonts w:ascii="Palatino Linotype" w:hAnsi="Palatino Linotype"/>
        </w:rPr>
        <w:t xml:space="preserve">ESTIMATED COST:  </w:t>
      </w:r>
    </w:p>
    <w:p w:rsidR="009D535E" w:rsidP="00B506A4" w:rsidRDefault="00566A0D" w14:paraId="21A0D6C9" w14:textId="77777777">
      <w:pPr>
        <w:pStyle w:val="Res-Caption"/>
        <w:numPr>
          <w:ilvl w:val="0"/>
          <w:numId w:val="17"/>
        </w:numPr>
        <w:rPr>
          <w:rFonts w:ascii="Palatino Linotype" w:hAnsi="Palatino Linotype"/>
        </w:rPr>
      </w:pPr>
      <w:r>
        <w:rPr>
          <w:rFonts w:ascii="Palatino Linotype" w:hAnsi="Palatino Linotype"/>
        </w:rPr>
        <w:t>Payment for PPA energy will be at PG&amp;E’s posted Short Run Avoided Cost price as posted by PG&amp;E.</w:t>
      </w:r>
    </w:p>
    <w:p w:rsidRPr="00676298" w:rsidR="00566A0D" w:rsidP="009D535E" w:rsidRDefault="00566A0D" w14:paraId="325C9657" w14:textId="77777777">
      <w:pPr>
        <w:pStyle w:val="Res-Caption"/>
        <w:ind w:left="1440"/>
        <w:rPr>
          <w:rFonts w:ascii="Palatino Linotype" w:hAnsi="Palatino Linotype"/>
        </w:rPr>
      </w:pPr>
    </w:p>
    <w:p w:rsidRPr="00676298" w:rsidR="009D535E" w:rsidP="009D535E" w:rsidRDefault="009D535E" w14:paraId="25005FB9" w14:textId="77777777">
      <w:pPr>
        <w:pStyle w:val="Res-Caption"/>
        <w:rPr>
          <w:rFonts w:ascii="Palatino Linotype" w:hAnsi="Palatino Linotype"/>
        </w:rPr>
      </w:pPr>
      <w:r w:rsidRPr="00676298">
        <w:rPr>
          <w:rFonts w:ascii="Palatino Linotype" w:hAnsi="Palatino Linotype"/>
        </w:rPr>
        <w:t xml:space="preserve">By Advice Letter </w:t>
      </w:r>
      <w:r w:rsidR="00B2173A">
        <w:rPr>
          <w:rFonts w:ascii="Palatino Linotype" w:hAnsi="Palatino Linotype"/>
        </w:rPr>
        <w:t>5592</w:t>
      </w:r>
      <w:r w:rsidRPr="00676298">
        <w:rPr>
          <w:rFonts w:ascii="Palatino Linotype" w:hAnsi="Palatino Linotype"/>
        </w:rPr>
        <w:t xml:space="preserve">-E, </w:t>
      </w:r>
      <w:r w:rsidR="00121C1A">
        <w:rPr>
          <w:rFonts w:ascii="Palatino Linotype" w:hAnsi="Palatino Linotype"/>
        </w:rPr>
        <w:t>f</w:t>
      </w:r>
      <w:r w:rsidRPr="00676298">
        <w:rPr>
          <w:rFonts w:ascii="Palatino Linotype" w:hAnsi="Palatino Linotype"/>
        </w:rPr>
        <w:t xml:space="preserve">iled on </w:t>
      </w:r>
      <w:r w:rsidR="0026322C">
        <w:rPr>
          <w:rFonts w:ascii="Palatino Linotype" w:hAnsi="Palatino Linotype"/>
        </w:rPr>
        <w:t>July 24</w:t>
      </w:r>
      <w:r w:rsidRPr="00676298">
        <w:rPr>
          <w:rFonts w:ascii="Palatino Linotype" w:hAnsi="Palatino Linotype"/>
        </w:rPr>
        <w:t>,</w:t>
      </w:r>
      <w:r>
        <w:rPr>
          <w:rFonts w:ascii="Palatino Linotype" w:hAnsi="Palatino Linotype"/>
        </w:rPr>
        <w:t xml:space="preserve"> 201</w:t>
      </w:r>
      <w:r w:rsidR="0026322C">
        <w:rPr>
          <w:rFonts w:ascii="Palatino Linotype" w:hAnsi="Palatino Linotype"/>
        </w:rPr>
        <w:t>9</w:t>
      </w:r>
      <w:r w:rsidR="00121C1A">
        <w:rPr>
          <w:rFonts w:ascii="Palatino Linotype" w:hAnsi="Palatino Linotype"/>
        </w:rPr>
        <w:t>, and supplemental Advice Letter 5592-E-A, filed on January 17, 2020</w:t>
      </w:r>
      <w:r w:rsidR="00D5479B">
        <w:rPr>
          <w:rFonts w:ascii="Palatino Linotype" w:hAnsi="Palatino Linotype"/>
        </w:rPr>
        <w:t>.</w:t>
      </w:r>
      <w:r w:rsidRPr="00676298">
        <w:rPr>
          <w:rFonts w:ascii="Palatino Linotype" w:hAnsi="Palatino Linotype"/>
        </w:rPr>
        <w:t xml:space="preserve"> </w:t>
      </w:r>
    </w:p>
    <w:p w:rsidR="00761342" w:rsidP="00761342" w:rsidRDefault="009D535E" w14:paraId="2C0FFFD8" w14:textId="51D5448A">
      <w:pPr>
        <w:jc w:val="center"/>
      </w:pPr>
      <w:r>
        <w:t>__________________________________________________________</w:t>
      </w:r>
    </w:p>
    <w:p w:rsidRPr="00761342" w:rsidR="00761342" w:rsidP="00761342" w:rsidRDefault="00761342" w14:paraId="7DB34CC1" w14:textId="77777777"/>
    <w:p w:rsidR="009D535E" w:rsidP="009D535E" w:rsidRDefault="009D535E" w14:paraId="386AFE2A" w14:textId="386FC71B">
      <w:pPr>
        <w:pStyle w:val="Heading1"/>
      </w:pPr>
      <w:r>
        <w:t>Summary</w:t>
      </w:r>
      <w:bookmarkEnd w:id="0"/>
    </w:p>
    <w:p w:rsidR="00B506A4" w:rsidP="0026322C" w:rsidRDefault="009D535E" w14:paraId="7BA56147" w14:textId="77777777">
      <w:pPr>
        <w:rPr>
          <w:rFonts w:ascii="Palatino Linotype" w:hAnsi="Palatino Linotype"/>
          <w:szCs w:val="26"/>
        </w:rPr>
      </w:pPr>
      <w:r w:rsidRPr="0026322C">
        <w:rPr>
          <w:rFonts w:ascii="Palatino Linotype" w:hAnsi="Palatino Linotype"/>
          <w:szCs w:val="26"/>
        </w:rPr>
        <w:t xml:space="preserve">This Resolution </w:t>
      </w:r>
      <w:r w:rsidRPr="0026322C" w:rsidR="00E06605">
        <w:rPr>
          <w:rFonts w:ascii="Palatino Linotype" w:hAnsi="Palatino Linotype"/>
          <w:szCs w:val="26"/>
        </w:rPr>
        <w:t>approves</w:t>
      </w:r>
      <w:r w:rsidR="00B506A4">
        <w:rPr>
          <w:rFonts w:ascii="Palatino Linotype" w:hAnsi="Palatino Linotype"/>
          <w:szCs w:val="26"/>
        </w:rPr>
        <w:t>:</w:t>
      </w:r>
    </w:p>
    <w:p w:rsidR="00B506A4" w:rsidP="00B506A4" w:rsidRDefault="00B506A4" w14:paraId="1291E0B3" w14:textId="77777777">
      <w:pPr>
        <w:numPr>
          <w:ilvl w:val="0"/>
          <w:numId w:val="17"/>
        </w:numPr>
        <w:rPr>
          <w:rFonts w:ascii="Palatino Linotype" w:hAnsi="Palatino Linotype"/>
          <w:szCs w:val="26"/>
        </w:rPr>
      </w:pPr>
      <w:r>
        <w:rPr>
          <w:rFonts w:ascii="Palatino Linotype" w:hAnsi="Palatino Linotype"/>
          <w:szCs w:val="26"/>
        </w:rPr>
        <w:t>O</w:t>
      </w:r>
      <w:r w:rsidR="0026322C">
        <w:rPr>
          <w:rFonts w:ascii="Palatino Linotype" w:hAnsi="Palatino Linotype"/>
          <w:szCs w:val="26"/>
        </w:rPr>
        <w:t xml:space="preserve">ne modified As-Available </w:t>
      </w:r>
      <w:r w:rsidRPr="0026322C" w:rsidR="0026322C">
        <w:rPr>
          <w:rFonts w:ascii="Palatino Linotype" w:hAnsi="Palatino Linotype"/>
          <w:szCs w:val="26"/>
        </w:rPr>
        <w:t>Combined</w:t>
      </w:r>
      <w:r w:rsidR="0026322C">
        <w:rPr>
          <w:rFonts w:ascii="Palatino Linotype" w:hAnsi="Palatino Linotype"/>
          <w:szCs w:val="26"/>
        </w:rPr>
        <w:t xml:space="preserve"> </w:t>
      </w:r>
      <w:r w:rsidRPr="0026322C" w:rsidR="0026322C">
        <w:rPr>
          <w:rFonts w:ascii="Palatino Linotype" w:hAnsi="Palatino Linotype"/>
          <w:szCs w:val="26"/>
        </w:rPr>
        <w:t>Heat and Power (CHP) Power Purchase Agreement (PPA)</w:t>
      </w:r>
      <w:r w:rsidR="002A3CE0">
        <w:rPr>
          <w:rFonts w:ascii="Palatino Linotype" w:hAnsi="Palatino Linotype"/>
          <w:szCs w:val="26"/>
        </w:rPr>
        <w:t>.</w:t>
      </w:r>
    </w:p>
    <w:p w:rsidR="00B506A4" w:rsidP="00B506A4" w:rsidRDefault="00991BFC" w14:paraId="0165E8E8" w14:textId="79A04A7E">
      <w:pPr>
        <w:numPr>
          <w:ilvl w:val="0"/>
          <w:numId w:val="17"/>
        </w:numPr>
        <w:rPr>
          <w:rFonts w:ascii="Palatino Linotype" w:hAnsi="Palatino Linotype"/>
          <w:szCs w:val="26"/>
        </w:rPr>
      </w:pPr>
      <w:r>
        <w:rPr>
          <w:rFonts w:ascii="Palatino Linotype" w:hAnsi="Palatino Linotype"/>
          <w:szCs w:val="26"/>
        </w:rPr>
        <w:lastRenderedPageBreak/>
        <w:t>T</w:t>
      </w:r>
      <w:r w:rsidRPr="0026322C" w:rsidR="0026322C">
        <w:rPr>
          <w:rFonts w:ascii="Palatino Linotype" w:hAnsi="Palatino Linotype"/>
          <w:szCs w:val="26"/>
        </w:rPr>
        <w:t xml:space="preserve">wo </w:t>
      </w:r>
      <w:r w:rsidR="0026322C">
        <w:rPr>
          <w:rFonts w:ascii="Palatino Linotype" w:hAnsi="Palatino Linotype"/>
          <w:szCs w:val="26"/>
        </w:rPr>
        <w:t xml:space="preserve">modified </w:t>
      </w:r>
      <w:r w:rsidRPr="0026322C" w:rsidR="0026322C">
        <w:rPr>
          <w:rFonts w:ascii="Palatino Linotype" w:hAnsi="Palatino Linotype"/>
          <w:szCs w:val="26"/>
        </w:rPr>
        <w:t>standard contracts</w:t>
      </w:r>
      <w:r w:rsidR="0026322C">
        <w:rPr>
          <w:rFonts w:ascii="Palatino Linotype" w:hAnsi="Palatino Linotype"/>
          <w:szCs w:val="26"/>
        </w:rPr>
        <w:t xml:space="preserve"> </w:t>
      </w:r>
      <w:r w:rsidRPr="0026322C" w:rsidR="0026322C">
        <w:rPr>
          <w:rFonts w:ascii="Palatino Linotype" w:hAnsi="Palatino Linotype"/>
          <w:szCs w:val="26"/>
        </w:rPr>
        <w:t>for Qualifying Facilities with a Power Rating that is Less than or Equal to 20 MW</w:t>
      </w:r>
      <w:r w:rsidR="002A3CE0">
        <w:rPr>
          <w:rFonts w:ascii="Palatino Linotype" w:hAnsi="Palatino Linotype"/>
          <w:szCs w:val="26"/>
        </w:rPr>
        <w:t>.</w:t>
      </w:r>
    </w:p>
    <w:p w:rsidRPr="0026322C" w:rsidR="00E05FCA" w:rsidP="00D8046F" w:rsidRDefault="00991BFC" w14:paraId="3DA4B066" w14:textId="2A0A3BD8">
      <w:pPr>
        <w:numPr>
          <w:ilvl w:val="0"/>
          <w:numId w:val="17"/>
        </w:numPr>
        <w:rPr>
          <w:rFonts w:ascii="Palatino Linotype" w:hAnsi="Palatino Linotype"/>
          <w:szCs w:val="26"/>
        </w:rPr>
      </w:pPr>
      <w:r>
        <w:rPr>
          <w:rFonts w:ascii="Palatino Linotype" w:hAnsi="Palatino Linotype"/>
          <w:szCs w:val="26"/>
        </w:rPr>
        <w:t>A</w:t>
      </w:r>
      <w:r w:rsidRPr="0026322C" w:rsidR="0026322C">
        <w:rPr>
          <w:rFonts w:ascii="Palatino Linotype" w:hAnsi="Palatino Linotype"/>
          <w:szCs w:val="26"/>
        </w:rPr>
        <w:t>ssociated cost recovery.</w:t>
      </w:r>
    </w:p>
    <w:p w:rsidRPr="00643A79" w:rsidR="00AB2BD4" w:rsidP="009D535E" w:rsidRDefault="00AB2BD4" w14:paraId="721001A9" w14:textId="77777777">
      <w:pPr>
        <w:rPr>
          <w:rFonts w:ascii="Palatino Linotype" w:hAnsi="Palatino Linotype"/>
          <w:szCs w:val="26"/>
          <w:highlight w:val="yellow"/>
        </w:rPr>
      </w:pPr>
    </w:p>
    <w:p w:rsidRPr="00617656" w:rsidR="005D09C6" w:rsidP="009D535E" w:rsidRDefault="005D09C6" w14:paraId="6B1C9612" w14:textId="576C5A32">
      <w:pPr>
        <w:rPr>
          <w:rFonts w:ascii="Palatino Linotype" w:hAnsi="Palatino Linotype"/>
          <w:szCs w:val="26"/>
        </w:rPr>
      </w:pPr>
      <w:r w:rsidRPr="00617656">
        <w:rPr>
          <w:rFonts w:ascii="Palatino Linotype" w:hAnsi="Palatino Linotype"/>
          <w:szCs w:val="26"/>
        </w:rPr>
        <w:t>Aera Energy</w:t>
      </w:r>
      <w:r w:rsidR="003A32D1">
        <w:rPr>
          <w:rFonts w:ascii="Palatino Linotype" w:hAnsi="Palatino Linotype"/>
          <w:szCs w:val="26"/>
        </w:rPr>
        <w:t>,</w:t>
      </w:r>
      <w:r w:rsidRPr="00617656">
        <w:rPr>
          <w:rFonts w:ascii="Palatino Linotype" w:hAnsi="Palatino Linotype"/>
          <w:szCs w:val="26"/>
        </w:rPr>
        <w:t xml:space="preserve"> LLC’s South Belridge Cogeneration facility </w:t>
      </w:r>
      <w:r w:rsidR="00220D48">
        <w:rPr>
          <w:rFonts w:ascii="Palatino Linotype" w:hAnsi="Palatino Linotype"/>
          <w:szCs w:val="26"/>
        </w:rPr>
        <w:t xml:space="preserve">is a Qualifying Facility (QF) that </w:t>
      </w:r>
      <w:r w:rsidRPr="00617656">
        <w:rPr>
          <w:rFonts w:ascii="Palatino Linotype" w:hAnsi="Palatino Linotype"/>
          <w:szCs w:val="26"/>
        </w:rPr>
        <w:t xml:space="preserve">currently has an existing 7-year As-Available CHP PPA with PG&amp;E </w:t>
      </w:r>
      <w:r w:rsidR="00C04812">
        <w:rPr>
          <w:rFonts w:ascii="Palatino Linotype" w:hAnsi="Palatino Linotype"/>
          <w:szCs w:val="26"/>
        </w:rPr>
        <w:t>that</w:t>
      </w:r>
      <w:r w:rsidRPr="00617656">
        <w:rPr>
          <w:rFonts w:ascii="Palatino Linotype" w:hAnsi="Palatino Linotype"/>
          <w:szCs w:val="26"/>
        </w:rPr>
        <w:t xml:space="preserve"> expire</w:t>
      </w:r>
      <w:r w:rsidR="00C04812">
        <w:rPr>
          <w:rFonts w:ascii="Palatino Linotype" w:hAnsi="Palatino Linotype"/>
          <w:szCs w:val="26"/>
        </w:rPr>
        <w:t>d</w:t>
      </w:r>
      <w:r w:rsidRPr="00617656">
        <w:rPr>
          <w:rFonts w:ascii="Palatino Linotype" w:hAnsi="Palatino Linotype"/>
          <w:szCs w:val="26"/>
        </w:rPr>
        <w:t xml:space="preserve"> on September 30, 2019, and seeks to sign another 7-year As-Available CHP PPA</w:t>
      </w:r>
      <w:r w:rsidR="002277FC">
        <w:rPr>
          <w:rFonts w:ascii="Palatino Linotype" w:hAnsi="Palatino Linotype"/>
          <w:szCs w:val="26"/>
        </w:rPr>
        <w:t>.</w:t>
      </w:r>
      <w:r w:rsidR="004D7931">
        <w:rPr>
          <w:rStyle w:val="FootnoteReference"/>
          <w:rFonts w:ascii="Palatino Linotype" w:hAnsi="Palatino Linotype"/>
          <w:szCs w:val="26"/>
        </w:rPr>
        <w:footnoteReference w:id="2"/>
      </w:r>
      <w:r w:rsidR="00195530">
        <w:rPr>
          <w:rFonts w:ascii="Palatino Linotype" w:hAnsi="Palatino Linotype"/>
          <w:szCs w:val="26"/>
        </w:rPr>
        <w:t xml:space="preserve"> </w:t>
      </w:r>
      <w:bookmarkStart w:name="_Hlk37173316" w:id="1"/>
      <w:r w:rsidR="00195530">
        <w:rPr>
          <w:rFonts w:ascii="Palatino Linotype" w:hAnsi="Palatino Linotype"/>
          <w:szCs w:val="26"/>
        </w:rPr>
        <w:t xml:space="preserve">The South Belridge Cogeneration facility is a 20 MW </w:t>
      </w:r>
      <w:r w:rsidR="00B9454C">
        <w:rPr>
          <w:rFonts w:ascii="Palatino Linotype" w:hAnsi="Palatino Linotype"/>
          <w:szCs w:val="26"/>
        </w:rPr>
        <w:t>CHP</w:t>
      </w:r>
      <w:r w:rsidR="00195530">
        <w:rPr>
          <w:rFonts w:ascii="Palatino Linotype" w:hAnsi="Palatino Linotype"/>
          <w:szCs w:val="26"/>
        </w:rPr>
        <w:t xml:space="preserve"> facility fueled by natural gas.</w:t>
      </w:r>
      <w:bookmarkEnd w:id="1"/>
    </w:p>
    <w:p w:rsidRPr="00617656" w:rsidR="005D09C6" w:rsidP="009D535E" w:rsidRDefault="005D09C6" w14:paraId="42B61D1C" w14:textId="77777777">
      <w:pPr>
        <w:rPr>
          <w:rFonts w:ascii="Palatino Linotype" w:hAnsi="Palatino Linotype"/>
          <w:szCs w:val="26"/>
        </w:rPr>
      </w:pPr>
    </w:p>
    <w:p w:rsidRPr="00617656" w:rsidR="00601674" w:rsidP="009D535E" w:rsidRDefault="005D09C6" w14:paraId="5F879CA7" w14:textId="63324EA2">
      <w:pPr>
        <w:rPr>
          <w:rFonts w:ascii="Palatino Linotype" w:hAnsi="Palatino Linotype"/>
          <w:szCs w:val="26"/>
        </w:rPr>
      </w:pPr>
      <w:r w:rsidRPr="00617656">
        <w:rPr>
          <w:rFonts w:ascii="Palatino Linotype" w:hAnsi="Palatino Linotype"/>
          <w:szCs w:val="26"/>
        </w:rPr>
        <w:t>Berry Petroleum, LLC’s T</w:t>
      </w:r>
      <w:r w:rsidR="00C04812">
        <w:rPr>
          <w:rFonts w:ascii="Palatino Linotype" w:hAnsi="Palatino Linotype"/>
          <w:szCs w:val="26"/>
        </w:rPr>
        <w:t>a</w:t>
      </w:r>
      <w:r w:rsidRPr="00617656">
        <w:rPr>
          <w:rFonts w:ascii="Palatino Linotype" w:hAnsi="Palatino Linotype"/>
          <w:szCs w:val="26"/>
        </w:rPr>
        <w:t xml:space="preserve">nnehill facility is an existing </w:t>
      </w:r>
      <w:r w:rsidR="00B506A4">
        <w:rPr>
          <w:rFonts w:ascii="Palatino Linotype" w:hAnsi="Palatino Linotype"/>
          <w:szCs w:val="26"/>
        </w:rPr>
        <w:t xml:space="preserve">Qualifying </w:t>
      </w:r>
      <w:r w:rsidR="00320E93">
        <w:rPr>
          <w:rFonts w:ascii="Palatino Linotype" w:hAnsi="Palatino Linotype"/>
          <w:szCs w:val="26"/>
        </w:rPr>
        <w:t xml:space="preserve">Facility </w:t>
      </w:r>
      <w:r w:rsidRPr="00617656" w:rsidR="00320E93">
        <w:rPr>
          <w:rFonts w:ascii="Palatino Linotype" w:hAnsi="Palatino Linotype"/>
          <w:szCs w:val="26"/>
        </w:rPr>
        <w:t>whose</w:t>
      </w:r>
      <w:r w:rsidRPr="00617656">
        <w:rPr>
          <w:rFonts w:ascii="Palatino Linotype" w:hAnsi="Palatino Linotype"/>
          <w:szCs w:val="26"/>
        </w:rPr>
        <w:t xml:space="preserve"> Legacy QF contract with PG&amp;E expire</w:t>
      </w:r>
      <w:r w:rsidR="00C04812">
        <w:rPr>
          <w:rFonts w:ascii="Palatino Linotype" w:hAnsi="Palatino Linotype"/>
          <w:szCs w:val="26"/>
        </w:rPr>
        <w:t>d</w:t>
      </w:r>
      <w:r w:rsidRPr="00617656">
        <w:rPr>
          <w:rFonts w:ascii="Palatino Linotype" w:hAnsi="Palatino Linotype"/>
          <w:szCs w:val="26"/>
        </w:rPr>
        <w:t xml:space="preserve"> in September, 2019, and now seeks a </w:t>
      </w:r>
      <w:r w:rsidR="00761342">
        <w:rPr>
          <w:rFonts w:ascii="Palatino Linotype" w:hAnsi="Palatino Linotype"/>
          <w:szCs w:val="26"/>
        </w:rPr>
        <w:br/>
      </w:r>
      <w:r w:rsidRPr="00617656" w:rsidR="004D7931">
        <w:rPr>
          <w:rFonts w:ascii="Palatino Linotype" w:hAnsi="Palatino Linotype"/>
          <w:szCs w:val="26"/>
        </w:rPr>
        <w:t xml:space="preserve">≤20 </w:t>
      </w:r>
      <w:r w:rsidR="00D77129">
        <w:rPr>
          <w:rFonts w:ascii="Palatino Linotype" w:hAnsi="Palatino Linotype"/>
          <w:szCs w:val="26"/>
        </w:rPr>
        <w:t>megawatt (</w:t>
      </w:r>
      <w:r w:rsidRPr="00617656" w:rsidR="004D7931">
        <w:rPr>
          <w:rFonts w:ascii="Palatino Linotype" w:hAnsi="Palatino Linotype"/>
          <w:szCs w:val="26"/>
        </w:rPr>
        <w:t>MW</w:t>
      </w:r>
      <w:r w:rsidR="00D77129">
        <w:rPr>
          <w:rFonts w:ascii="Palatino Linotype" w:hAnsi="Palatino Linotype"/>
          <w:szCs w:val="26"/>
        </w:rPr>
        <w:t xml:space="preserve">) </w:t>
      </w:r>
      <w:r w:rsidRPr="00617656" w:rsidR="004D7931">
        <w:rPr>
          <w:rFonts w:ascii="Palatino Linotype" w:hAnsi="Palatino Linotype"/>
          <w:szCs w:val="26"/>
        </w:rPr>
        <w:t>PURPA contract</w:t>
      </w:r>
      <w:r w:rsidR="004D7931">
        <w:rPr>
          <w:rFonts w:ascii="Palatino Linotype" w:hAnsi="Palatino Linotype"/>
          <w:szCs w:val="26"/>
        </w:rPr>
        <w:t xml:space="preserve"> f</w:t>
      </w:r>
      <w:r w:rsidR="00C04812">
        <w:rPr>
          <w:rFonts w:ascii="Palatino Linotype" w:hAnsi="Palatino Linotype"/>
          <w:szCs w:val="26"/>
        </w:rPr>
        <w:t xml:space="preserve">or a duration of </w:t>
      </w:r>
      <w:r w:rsidR="00F21112">
        <w:rPr>
          <w:rFonts w:ascii="Palatino Linotype" w:hAnsi="Palatino Linotype"/>
          <w:szCs w:val="26"/>
        </w:rPr>
        <w:t>7 years</w:t>
      </w:r>
      <w:r w:rsidRPr="00617656" w:rsidR="00617656">
        <w:rPr>
          <w:rFonts w:ascii="Palatino Linotype" w:hAnsi="Palatino Linotype"/>
          <w:szCs w:val="26"/>
        </w:rPr>
        <w:t>.</w:t>
      </w:r>
      <w:r w:rsidR="00195530">
        <w:rPr>
          <w:rFonts w:ascii="Palatino Linotype" w:hAnsi="Palatino Linotype"/>
          <w:szCs w:val="26"/>
        </w:rPr>
        <w:t xml:space="preserve"> The </w:t>
      </w:r>
      <w:bookmarkStart w:name="_Hlk37173367" w:id="2"/>
      <w:r w:rsidR="00195530">
        <w:rPr>
          <w:rFonts w:ascii="Palatino Linotype" w:hAnsi="Palatino Linotype"/>
          <w:szCs w:val="26"/>
        </w:rPr>
        <w:t xml:space="preserve">Tannehill facility is a 15.5 MW </w:t>
      </w:r>
      <w:r w:rsidR="00CA57BB">
        <w:rPr>
          <w:rFonts w:ascii="Palatino Linotype" w:hAnsi="Palatino Linotype"/>
          <w:szCs w:val="26"/>
        </w:rPr>
        <w:t xml:space="preserve">CHP </w:t>
      </w:r>
      <w:r w:rsidR="00195530">
        <w:rPr>
          <w:rFonts w:ascii="Palatino Linotype" w:hAnsi="Palatino Linotype"/>
          <w:szCs w:val="26"/>
        </w:rPr>
        <w:t>facility fueled by natural gas.</w:t>
      </w:r>
      <w:bookmarkEnd w:id="2"/>
    </w:p>
    <w:p w:rsidRPr="00617656" w:rsidR="008E6A92" w:rsidP="009D535E" w:rsidRDefault="008E6A92" w14:paraId="70919891" w14:textId="77777777">
      <w:pPr>
        <w:rPr>
          <w:rFonts w:ascii="Palatino Linotype" w:hAnsi="Palatino Linotype"/>
          <w:szCs w:val="26"/>
        </w:rPr>
      </w:pPr>
    </w:p>
    <w:p w:rsidRPr="00617656" w:rsidR="008E266A" w:rsidP="006727A2" w:rsidRDefault="00617656" w14:paraId="1C96F414" w14:textId="6F4FE53D">
      <w:pPr>
        <w:rPr>
          <w:rFonts w:ascii="Palatino Linotype" w:hAnsi="Palatino Linotype"/>
          <w:szCs w:val="26"/>
        </w:rPr>
      </w:pPr>
      <w:r w:rsidRPr="00617656">
        <w:rPr>
          <w:rFonts w:ascii="Palatino Linotype" w:hAnsi="Palatino Linotype"/>
          <w:szCs w:val="26"/>
        </w:rPr>
        <w:t xml:space="preserve">EIF Haypress, LLC’s </w:t>
      </w:r>
      <w:r w:rsidR="004D7931">
        <w:rPr>
          <w:rFonts w:ascii="Palatino Linotype" w:hAnsi="Palatino Linotype"/>
          <w:szCs w:val="26"/>
        </w:rPr>
        <w:t xml:space="preserve">facility named </w:t>
      </w:r>
      <w:r w:rsidR="002277FC">
        <w:rPr>
          <w:rFonts w:ascii="Palatino Linotype" w:hAnsi="Palatino Linotype"/>
          <w:szCs w:val="26"/>
        </w:rPr>
        <w:t>“</w:t>
      </w:r>
      <w:r w:rsidRPr="00617656">
        <w:rPr>
          <w:rFonts w:ascii="Palatino Linotype" w:hAnsi="Palatino Linotype"/>
          <w:szCs w:val="26"/>
        </w:rPr>
        <w:t>Haypress Creek-Lower Haypress, Middle</w:t>
      </w:r>
      <w:r w:rsidR="002277FC">
        <w:rPr>
          <w:rFonts w:ascii="Palatino Linotype" w:hAnsi="Palatino Linotype"/>
          <w:szCs w:val="26"/>
        </w:rPr>
        <w:t>”</w:t>
      </w:r>
      <w:r w:rsidRPr="00617656">
        <w:rPr>
          <w:rFonts w:ascii="Palatino Linotype" w:hAnsi="Palatino Linotype"/>
          <w:szCs w:val="26"/>
        </w:rPr>
        <w:t xml:space="preserve"> </w:t>
      </w:r>
      <w:r w:rsidR="004D7931">
        <w:rPr>
          <w:rFonts w:ascii="Palatino Linotype" w:hAnsi="Palatino Linotype"/>
          <w:szCs w:val="26"/>
        </w:rPr>
        <w:t>i</w:t>
      </w:r>
      <w:r w:rsidRPr="00617656">
        <w:rPr>
          <w:rFonts w:ascii="Palatino Linotype" w:hAnsi="Palatino Linotype"/>
          <w:szCs w:val="26"/>
        </w:rPr>
        <w:t>s an existing QF whose Legacy QF contract with PG&amp;E expired in April 2019, and s</w:t>
      </w:r>
      <w:r w:rsidR="006727A2">
        <w:rPr>
          <w:rFonts w:ascii="Palatino Linotype" w:hAnsi="Palatino Linotype"/>
          <w:szCs w:val="26"/>
        </w:rPr>
        <w:t>ought</w:t>
      </w:r>
      <w:r w:rsidRPr="00617656">
        <w:rPr>
          <w:rFonts w:ascii="Palatino Linotype" w:hAnsi="Palatino Linotype"/>
          <w:szCs w:val="26"/>
        </w:rPr>
        <w:t xml:space="preserve"> to execute the ≤20 MW PURPA contract</w:t>
      </w:r>
      <w:r w:rsidR="00C04812">
        <w:rPr>
          <w:rFonts w:ascii="Palatino Linotype" w:hAnsi="Palatino Linotype"/>
          <w:szCs w:val="26"/>
        </w:rPr>
        <w:t xml:space="preserve"> for a duration of </w:t>
      </w:r>
      <w:r w:rsidR="006727A2">
        <w:rPr>
          <w:rFonts w:ascii="Palatino Linotype" w:hAnsi="Palatino Linotype"/>
          <w:szCs w:val="26"/>
        </w:rPr>
        <w:t>8</w:t>
      </w:r>
      <w:r w:rsidR="00C04812">
        <w:rPr>
          <w:rFonts w:ascii="Palatino Linotype" w:hAnsi="Palatino Linotype"/>
          <w:szCs w:val="26"/>
        </w:rPr>
        <w:t xml:space="preserve"> months</w:t>
      </w:r>
      <w:r w:rsidRPr="00617656">
        <w:rPr>
          <w:rFonts w:ascii="Palatino Linotype" w:hAnsi="Palatino Linotype"/>
          <w:szCs w:val="26"/>
        </w:rPr>
        <w:t>.</w:t>
      </w:r>
      <w:r w:rsidR="006727A2">
        <w:rPr>
          <w:rFonts w:ascii="Palatino Linotype" w:hAnsi="Palatino Linotype"/>
          <w:szCs w:val="26"/>
        </w:rPr>
        <w:t xml:space="preserve"> Subsequently, EIF Haypress, LLC </w:t>
      </w:r>
      <w:r w:rsidRPr="006727A2" w:rsidR="006727A2">
        <w:rPr>
          <w:rFonts w:ascii="Palatino Linotype" w:hAnsi="Palatino Linotype"/>
          <w:szCs w:val="26"/>
        </w:rPr>
        <w:t xml:space="preserve">requested an extension for their ≤20 MW PURPA contract term </w:t>
      </w:r>
      <w:r w:rsidR="006727A2">
        <w:rPr>
          <w:rFonts w:ascii="Palatino Linotype" w:hAnsi="Palatino Linotype"/>
          <w:szCs w:val="26"/>
        </w:rPr>
        <w:t>from 8 to 16 months</w:t>
      </w:r>
      <w:r w:rsidR="005638F6">
        <w:rPr>
          <w:rFonts w:ascii="Palatino Linotype" w:hAnsi="Palatino Linotype"/>
          <w:szCs w:val="26"/>
        </w:rPr>
        <w:t xml:space="preserve"> and</w:t>
      </w:r>
      <w:r w:rsidR="006727A2">
        <w:rPr>
          <w:rFonts w:ascii="Palatino Linotype" w:hAnsi="Palatino Linotype"/>
          <w:szCs w:val="26"/>
        </w:rPr>
        <w:t xml:space="preserve"> PG&amp;E filed a supplemental Advice Letter, AL 5592-E-A, on January 17, 2020, to request approval of this change.</w:t>
      </w:r>
      <w:r w:rsidR="00195530">
        <w:rPr>
          <w:rFonts w:ascii="Palatino Linotype" w:hAnsi="Palatino Linotype"/>
          <w:szCs w:val="26"/>
        </w:rPr>
        <w:t xml:space="preserve"> The </w:t>
      </w:r>
      <w:bookmarkStart w:name="_Hlk37173485" w:id="3"/>
      <w:r w:rsidR="00195530">
        <w:rPr>
          <w:rFonts w:ascii="Palatino Linotype" w:hAnsi="Palatino Linotype"/>
          <w:szCs w:val="26"/>
        </w:rPr>
        <w:t>Haypress Creek-Lower Haypress, Middle facility is a 12.5 MW hydroelectric facility.</w:t>
      </w:r>
      <w:bookmarkEnd w:id="3"/>
    </w:p>
    <w:p w:rsidR="00E05FCA" w:rsidP="009D535E" w:rsidRDefault="00E05FCA" w14:paraId="661E716A" w14:textId="77777777">
      <w:pPr>
        <w:rPr>
          <w:rFonts w:ascii="Palatino Linotype" w:hAnsi="Palatino Linotype"/>
          <w:szCs w:val="26"/>
        </w:rPr>
      </w:pPr>
    </w:p>
    <w:p w:rsidR="00CF34E7" w:rsidP="00761342" w:rsidRDefault="009D535E" w14:paraId="768A65F8" w14:textId="62947428">
      <w:pPr>
        <w:pStyle w:val="Heading1"/>
      </w:pPr>
      <w:r>
        <w:t>Background</w:t>
      </w:r>
    </w:p>
    <w:p w:rsidR="00F15E53" w:rsidP="00CF34E7" w:rsidRDefault="00CF34E7" w14:paraId="3AC2BF9A" w14:textId="00750D1D">
      <w:pPr>
        <w:pStyle w:val="standard"/>
        <w:ind w:firstLine="0"/>
        <w:rPr>
          <w:i/>
          <w:iCs/>
          <w:u w:val="single"/>
        </w:rPr>
      </w:pPr>
      <w:r w:rsidRPr="004D512A">
        <w:rPr>
          <w:i/>
          <w:iCs/>
          <w:u w:val="single"/>
        </w:rPr>
        <w:t>Background on PURPA</w:t>
      </w:r>
    </w:p>
    <w:p w:rsidR="00F15E53" w:rsidP="00F15E53" w:rsidRDefault="00220D48" w14:paraId="40490489" w14:textId="1BFF7831">
      <w:pPr>
        <w:pStyle w:val="standard"/>
        <w:spacing w:line="240" w:lineRule="auto"/>
        <w:ind w:firstLine="0"/>
        <w:rPr>
          <w:rFonts w:ascii="Palatino Linotype" w:hAnsi="Palatino Linotype"/>
        </w:rPr>
      </w:pPr>
      <w:r>
        <w:rPr>
          <w:rFonts w:ascii="Palatino Linotype" w:hAnsi="Palatino Linotype"/>
        </w:rPr>
        <w:t>Congress enacted</w:t>
      </w:r>
      <w:r w:rsidRPr="004D512A" w:rsidR="00F15E53">
        <w:rPr>
          <w:rFonts w:ascii="Palatino Linotype" w:hAnsi="Palatino Linotype"/>
        </w:rPr>
        <w:t xml:space="preserve"> PURPA to encourage the development of QFs, which are either small renewable generation facilities or gas-fired cogeneration, and to reduce reliance on fossil fuels nationally. PURPA most importantly requires a utility to </w:t>
      </w:r>
      <w:r w:rsidRPr="004D512A" w:rsidR="00F15E53">
        <w:rPr>
          <w:rFonts w:ascii="Palatino Linotype" w:hAnsi="Palatino Linotype"/>
        </w:rPr>
        <w:lastRenderedPageBreak/>
        <w:t>purchase energy, capacity, or bot</w:t>
      </w:r>
      <w:r>
        <w:rPr>
          <w:rFonts w:ascii="Palatino Linotype" w:hAnsi="Palatino Linotype"/>
        </w:rPr>
        <w:t>h</w:t>
      </w:r>
      <w:r w:rsidRPr="004D512A" w:rsidR="00F15E53">
        <w:rPr>
          <w:rFonts w:ascii="Palatino Linotype" w:hAnsi="Palatino Linotype"/>
        </w:rPr>
        <w:t xml:space="preserve">, from a QF that is under </w:t>
      </w:r>
      <w:r w:rsidR="00AF002A">
        <w:rPr>
          <w:rFonts w:ascii="Palatino Linotype" w:hAnsi="Palatino Linotype"/>
        </w:rPr>
        <w:t xml:space="preserve">or equal to </w:t>
      </w:r>
      <w:r w:rsidRPr="004D512A" w:rsidR="00F15E53">
        <w:rPr>
          <w:rFonts w:ascii="Palatino Linotype" w:hAnsi="Palatino Linotype"/>
        </w:rPr>
        <w:t>a certain megawatt threshold</w:t>
      </w:r>
      <w:r>
        <w:rPr>
          <w:rFonts w:ascii="Palatino Linotype" w:hAnsi="Palatino Linotype"/>
        </w:rPr>
        <w:t xml:space="preserve">. </w:t>
      </w:r>
      <w:r w:rsidR="00511E07">
        <w:t xml:space="preserve">The requirement that the utilities purchase this power is known as the “must-take” requirement, and </w:t>
      </w:r>
      <w:r w:rsidR="00511E07">
        <w:rPr>
          <w:rFonts w:ascii="Palatino Linotype" w:hAnsi="Palatino Linotype"/>
        </w:rPr>
        <w:t>i</w:t>
      </w:r>
      <w:r>
        <w:rPr>
          <w:rFonts w:ascii="Palatino Linotype" w:hAnsi="Palatino Linotype"/>
        </w:rPr>
        <w:t>n California</w:t>
      </w:r>
      <w:r w:rsidR="00511E07">
        <w:rPr>
          <w:rFonts w:ascii="Palatino Linotype" w:hAnsi="Palatino Linotype"/>
        </w:rPr>
        <w:t xml:space="preserve"> the </w:t>
      </w:r>
      <w:r>
        <w:rPr>
          <w:rFonts w:ascii="Palatino Linotype" w:hAnsi="Palatino Linotype"/>
        </w:rPr>
        <w:t xml:space="preserve">threshold is </w:t>
      </w:r>
      <w:r w:rsidR="00761342">
        <w:rPr>
          <w:rFonts w:ascii="Palatino Linotype" w:hAnsi="Palatino Linotype"/>
        </w:rPr>
        <w:br/>
      </w:r>
      <w:r>
        <w:rPr>
          <w:rFonts w:ascii="Palatino Linotype" w:hAnsi="Palatino Linotype"/>
        </w:rPr>
        <w:t>20 MW</w:t>
      </w:r>
      <w:r w:rsidRPr="004D512A" w:rsidR="00F15E53">
        <w:rPr>
          <w:rFonts w:ascii="Palatino Linotype" w:hAnsi="Palatino Linotype"/>
        </w:rPr>
        <w:t xml:space="preserve">. PURPA requires that the amount a utility pays a QF for this purchase – known as avoided cost rates – not exceed the incremental cost to the utility of alternative electric energy to ensure ratepayer indifference to whether the capacity or energy comes from the utility or a QF.  </w:t>
      </w:r>
    </w:p>
    <w:p w:rsidR="00511E07" w:rsidP="00F15E53" w:rsidRDefault="00511E07" w14:paraId="02322C96" w14:textId="77777777">
      <w:pPr>
        <w:pStyle w:val="standard"/>
        <w:spacing w:line="240" w:lineRule="auto"/>
        <w:ind w:firstLine="0"/>
        <w:rPr>
          <w:rFonts w:ascii="Palatino Linotype" w:hAnsi="Palatino Linotype"/>
        </w:rPr>
      </w:pPr>
    </w:p>
    <w:p w:rsidR="00511E07" w:rsidP="00511E07" w:rsidRDefault="00511E07" w14:paraId="4843C59E" w14:textId="32B2B363">
      <w:pPr>
        <w:rPr>
          <w:rFonts w:ascii="Times New Roman" w:hAnsi="Times New Roman"/>
          <w:sz w:val="24"/>
        </w:rPr>
      </w:pPr>
      <w:r w:rsidRPr="004D512A">
        <w:rPr>
          <w:rFonts w:ascii="Palatino Linotype" w:hAnsi="Palatino Linotype"/>
        </w:rPr>
        <w:t xml:space="preserve">QFs fall into two categories: small power production facilities whose primary energy source is renewable, biomass, waste or geothermal; and cogeneration facilities that sequentially produce electricity and another form of useful thermal </w:t>
      </w:r>
      <w:r w:rsidRPr="004D512A">
        <w:rPr>
          <w:rFonts w:ascii="Palatino Linotype" w:hAnsi="Palatino Linotype"/>
          <w:szCs w:val="26"/>
        </w:rPr>
        <w:t xml:space="preserve">energy in a way that is more efficient than the separate production of both forms of </w:t>
      </w:r>
      <w:r w:rsidRPr="00511E07">
        <w:rPr>
          <w:rFonts w:ascii="Palatino Linotype" w:hAnsi="Palatino Linotype"/>
          <w:szCs w:val="26"/>
        </w:rPr>
        <w:t>energy. In order to be considered a qualifying small power production facility, a facility must meet all of the requirements of 18 C.F.R. §§ 292.203(a), 292.203(c</w:t>
      </w:r>
      <w:r w:rsidRPr="00511E07" w:rsidR="00320E93">
        <w:rPr>
          <w:rFonts w:ascii="Palatino Linotype" w:hAnsi="Palatino Linotype"/>
          <w:szCs w:val="26"/>
        </w:rPr>
        <w:t>) and</w:t>
      </w:r>
      <w:r w:rsidRPr="00511E07">
        <w:rPr>
          <w:rFonts w:ascii="Palatino Linotype" w:hAnsi="Palatino Linotype"/>
          <w:szCs w:val="26"/>
        </w:rPr>
        <w:t xml:space="preserve"> </w:t>
      </w:r>
      <w:r w:rsidRPr="00511E07" w:rsidR="00320E93">
        <w:rPr>
          <w:rFonts w:ascii="Palatino Linotype" w:hAnsi="Palatino Linotype"/>
          <w:szCs w:val="26"/>
        </w:rPr>
        <w:t>292.204 for</w:t>
      </w:r>
      <w:r w:rsidRPr="00511E07">
        <w:rPr>
          <w:rFonts w:ascii="Palatino Linotype" w:hAnsi="Palatino Linotype"/>
          <w:szCs w:val="26"/>
        </w:rPr>
        <w:t xml:space="preserve"> size and fuel use, and be certified as a QF pursuant to 18 </w:t>
      </w:r>
      <w:r w:rsidR="00761342">
        <w:rPr>
          <w:rFonts w:ascii="Palatino Linotype" w:hAnsi="Palatino Linotype"/>
          <w:szCs w:val="26"/>
        </w:rPr>
        <w:br/>
      </w:r>
      <w:r w:rsidRPr="00511E07">
        <w:rPr>
          <w:rFonts w:ascii="Palatino Linotype" w:hAnsi="Palatino Linotype"/>
          <w:szCs w:val="26"/>
        </w:rPr>
        <w:t>C.F.R. § 292.207.</w:t>
      </w:r>
      <w:r>
        <w:rPr>
          <w:rFonts w:ascii="Palatino Linotype" w:hAnsi="Palatino Linotype"/>
          <w:szCs w:val="26"/>
        </w:rPr>
        <w:t xml:space="preserve"> </w:t>
      </w:r>
      <w:r w:rsidRPr="00511E07">
        <w:rPr>
          <w:rFonts w:ascii="Palatino Linotype" w:hAnsi="Palatino Linotype"/>
          <w:szCs w:val="26"/>
        </w:rPr>
        <w:t>In order to be considered a qualifying cogeneration facility, a facility must meet all of the requirements of 18 C.F.R. §§ 292.203(b) and 292.</w:t>
      </w:r>
      <w:r>
        <w:rPr>
          <w:rFonts w:ascii="Palatino Linotype" w:hAnsi="Palatino Linotype"/>
          <w:szCs w:val="26"/>
        </w:rPr>
        <w:t>205</w:t>
      </w:r>
      <w:r w:rsidRPr="00511E07">
        <w:rPr>
          <w:rFonts w:ascii="Palatino Linotype" w:hAnsi="Palatino Linotype"/>
          <w:szCs w:val="26"/>
        </w:rPr>
        <w:t xml:space="preserve"> for operation, efficiency and use of energy output, and be certified as a QF pursuant to 18 C.F.R. § 292.207.</w:t>
      </w:r>
    </w:p>
    <w:p w:rsidRPr="004D512A" w:rsidR="00F15E53" w:rsidP="004D512A" w:rsidRDefault="00F15E53" w14:paraId="56226477" w14:textId="77777777">
      <w:pPr>
        <w:pStyle w:val="standard"/>
        <w:spacing w:line="240" w:lineRule="auto"/>
        <w:ind w:firstLine="0"/>
        <w:rPr>
          <w:rFonts w:ascii="Palatino Linotype" w:hAnsi="Palatino Linotype"/>
        </w:rPr>
      </w:pPr>
    </w:p>
    <w:p w:rsidRPr="007B164E" w:rsidR="009D535E" w:rsidP="009D535E" w:rsidRDefault="009D535E" w14:paraId="315E2F21" w14:textId="77777777">
      <w:pPr>
        <w:pStyle w:val="standard"/>
        <w:ind w:firstLine="0"/>
        <w:rPr>
          <w:rFonts w:ascii="Palatino Linotype" w:hAnsi="Palatino Linotype"/>
        </w:rPr>
      </w:pPr>
      <w:r w:rsidRPr="007B164E">
        <w:rPr>
          <w:rFonts w:ascii="Palatino Linotype" w:hAnsi="Palatino Linotype"/>
          <w:i/>
          <w:iCs/>
          <w:szCs w:val="26"/>
          <w:u w:val="single"/>
        </w:rPr>
        <w:t>Background on Relevant terms of the CHP/QF Settlement</w:t>
      </w:r>
      <w:r w:rsidR="00617656">
        <w:rPr>
          <w:rFonts w:ascii="Palatino Linotype" w:hAnsi="Palatino Linotype"/>
          <w:i/>
          <w:iCs/>
          <w:szCs w:val="26"/>
          <w:u w:val="single"/>
        </w:rPr>
        <w:t xml:space="preserve"> and PG&amp;E’s Bankruptcy</w:t>
      </w:r>
    </w:p>
    <w:p w:rsidRPr="007B164E" w:rsidR="009D535E" w:rsidP="009D535E" w:rsidRDefault="009D535E" w14:paraId="0542E580" w14:textId="20B6886E">
      <w:pPr>
        <w:pStyle w:val="Default"/>
        <w:rPr>
          <w:rFonts w:ascii="Palatino Linotype" w:hAnsi="Palatino Linotype"/>
          <w:sz w:val="26"/>
          <w:szCs w:val="26"/>
        </w:rPr>
      </w:pPr>
      <w:r w:rsidRPr="007B164E">
        <w:rPr>
          <w:rFonts w:ascii="Palatino Linotype" w:hAnsi="Palatino Linotype"/>
          <w:sz w:val="26"/>
          <w:szCs w:val="26"/>
        </w:rPr>
        <w:t xml:space="preserve">On December 16, 2010, the </w:t>
      </w:r>
      <w:r w:rsidR="00D8046F">
        <w:rPr>
          <w:rFonts w:ascii="Palatino Linotype" w:hAnsi="Palatino Linotype"/>
          <w:sz w:val="26"/>
          <w:szCs w:val="26"/>
        </w:rPr>
        <w:t>CPUC</w:t>
      </w:r>
      <w:r w:rsidRPr="007B164E" w:rsidR="00D8046F">
        <w:rPr>
          <w:rFonts w:ascii="Palatino Linotype" w:hAnsi="Palatino Linotype"/>
          <w:sz w:val="26"/>
          <w:szCs w:val="26"/>
        </w:rPr>
        <w:t xml:space="preserve"> </w:t>
      </w:r>
      <w:r w:rsidRPr="007B164E">
        <w:rPr>
          <w:rFonts w:ascii="Palatino Linotype" w:hAnsi="Palatino Linotype"/>
          <w:sz w:val="26"/>
          <w:szCs w:val="26"/>
        </w:rPr>
        <w:t>adopted the Qualifying Facility and Combined Heat and Power Program Settlement Agreement</w:t>
      </w:r>
      <w:r>
        <w:rPr>
          <w:rFonts w:ascii="Palatino Linotype" w:hAnsi="Palatino Linotype"/>
          <w:sz w:val="26"/>
          <w:szCs w:val="26"/>
        </w:rPr>
        <w:t xml:space="preserve"> (</w:t>
      </w:r>
      <w:r w:rsidR="009342A2">
        <w:rPr>
          <w:rFonts w:ascii="Palatino Linotype" w:hAnsi="Palatino Linotype"/>
          <w:sz w:val="26"/>
          <w:szCs w:val="26"/>
        </w:rPr>
        <w:t xml:space="preserve">QF/CHP </w:t>
      </w:r>
      <w:r>
        <w:rPr>
          <w:rFonts w:ascii="Palatino Linotype" w:hAnsi="Palatino Linotype"/>
          <w:sz w:val="26"/>
          <w:szCs w:val="26"/>
        </w:rPr>
        <w:t>Settlement)</w:t>
      </w:r>
      <w:r w:rsidRPr="007B164E">
        <w:rPr>
          <w:rFonts w:ascii="Palatino Linotype" w:hAnsi="Palatino Linotype"/>
          <w:sz w:val="26"/>
          <w:szCs w:val="26"/>
        </w:rPr>
        <w:t xml:space="preserve"> with the issuance of D</w:t>
      </w:r>
      <w:r>
        <w:rPr>
          <w:rFonts w:ascii="Palatino Linotype" w:hAnsi="Palatino Linotype"/>
          <w:sz w:val="26"/>
          <w:szCs w:val="26"/>
        </w:rPr>
        <w:t>ecision (D)</w:t>
      </w:r>
      <w:r w:rsidRPr="007B164E">
        <w:rPr>
          <w:rFonts w:ascii="Palatino Linotype" w:hAnsi="Palatino Linotype"/>
          <w:sz w:val="26"/>
          <w:szCs w:val="26"/>
        </w:rPr>
        <w:t xml:space="preserve">.10-12-035. The </w:t>
      </w:r>
      <w:r w:rsidR="009342A2">
        <w:rPr>
          <w:rFonts w:ascii="Palatino Linotype" w:hAnsi="Palatino Linotype"/>
          <w:sz w:val="26"/>
          <w:szCs w:val="26"/>
        </w:rPr>
        <w:t xml:space="preserve">QF/CHP </w:t>
      </w:r>
      <w:r w:rsidRPr="007B164E">
        <w:rPr>
          <w:rFonts w:ascii="Palatino Linotype" w:hAnsi="Palatino Linotype"/>
          <w:sz w:val="26"/>
          <w:szCs w:val="26"/>
        </w:rPr>
        <w:t>Settlement resolve</w:t>
      </w:r>
      <w:r w:rsidR="00E5155A">
        <w:rPr>
          <w:rFonts w:ascii="Palatino Linotype" w:hAnsi="Palatino Linotype"/>
          <w:sz w:val="26"/>
          <w:szCs w:val="26"/>
        </w:rPr>
        <w:t>d</w:t>
      </w:r>
      <w:r w:rsidRPr="007B164E">
        <w:rPr>
          <w:rFonts w:ascii="Palatino Linotype" w:hAnsi="Palatino Linotype"/>
          <w:sz w:val="26"/>
          <w:szCs w:val="26"/>
        </w:rPr>
        <w:t xml:space="preserve"> </w:t>
      </w:r>
      <w:r w:rsidRPr="007B164E" w:rsidR="00DA54C7">
        <w:rPr>
          <w:rFonts w:ascii="Palatino Linotype" w:hAnsi="Palatino Linotype"/>
          <w:sz w:val="26"/>
          <w:szCs w:val="26"/>
        </w:rPr>
        <w:t>several</w:t>
      </w:r>
      <w:r w:rsidRPr="007B164E">
        <w:rPr>
          <w:rFonts w:ascii="Palatino Linotype" w:hAnsi="Palatino Linotype"/>
          <w:sz w:val="26"/>
          <w:szCs w:val="26"/>
        </w:rPr>
        <w:t xml:space="preserve"> longstanding issues regarding the contractual obligations and procurement options for facilities operating under qualifying facility contracts. </w:t>
      </w:r>
    </w:p>
    <w:p w:rsidRPr="007B164E" w:rsidR="009D535E" w:rsidP="009D535E" w:rsidRDefault="009D535E" w14:paraId="726B112D" w14:textId="77777777">
      <w:pPr>
        <w:pStyle w:val="Default"/>
        <w:rPr>
          <w:rFonts w:ascii="Palatino Linotype" w:hAnsi="Palatino Linotype"/>
          <w:sz w:val="26"/>
          <w:szCs w:val="26"/>
        </w:rPr>
      </w:pPr>
    </w:p>
    <w:p w:rsidR="005346C0" w:rsidP="005346C0" w:rsidRDefault="00617656" w14:paraId="107ED599" w14:textId="2FB88464">
      <w:pPr>
        <w:pStyle w:val="Default"/>
        <w:rPr>
          <w:rFonts w:ascii="Palatino Linotype" w:hAnsi="Palatino Linotype" w:cs="Times New Roman"/>
          <w:color w:val="auto"/>
          <w:sz w:val="26"/>
          <w:szCs w:val="26"/>
        </w:rPr>
      </w:pPr>
      <w:r>
        <w:rPr>
          <w:rFonts w:ascii="Palatino Linotype" w:hAnsi="Palatino Linotype" w:cs="Times New Roman"/>
          <w:color w:val="auto"/>
          <w:sz w:val="26"/>
          <w:szCs w:val="26"/>
        </w:rPr>
        <w:t xml:space="preserve">The </w:t>
      </w:r>
      <w:r w:rsidR="009342A2">
        <w:rPr>
          <w:rFonts w:ascii="Palatino Linotype" w:hAnsi="Palatino Linotype" w:cs="Times New Roman"/>
          <w:color w:val="auto"/>
          <w:sz w:val="26"/>
          <w:szCs w:val="26"/>
        </w:rPr>
        <w:t xml:space="preserve">QF/CHP </w:t>
      </w:r>
      <w:r>
        <w:rPr>
          <w:rFonts w:ascii="Palatino Linotype" w:hAnsi="Palatino Linotype" w:cs="Times New Roman"/>
          <w:color w:val="auto"/>
          <w:sz w:val="26"/>
          <w:szCs w:val="26"/>
        </w:rPr>
        <w:t xml:space="preserve">Settlement includes several standard offer contracts for QFs, including the As-Available CHP PPA </w:t>
      </w:r>
      <w:r w:rsidRPr="00617656">
        <w:rPr>
          <w:rFonts w:ascii="Palatino Linotype" w:hAnsi="Palatino Linotype" w:cs="Times New Roman"/>
          <w:color w:val="auto"/>
          <w:sz w:val="26"/>
          <w:szCs w:val="26"/>
        </w:rPr>
        <w:t>and the ≤20 MW PURPA PPA.</w:t>
      </w:r>
      <w:r>
        <w:rPr>
          <w:rFonts w:ascii="Palatino Linotype" w:hAnsi="Palatino Linotype" w:cs="Times New Roman"/>
          <w:color w:val="auto"/>
          <w:sz w:val="26"/>
          <w:szCs w:val="26"/>
        </w:rPr>
        <w:t xml:space="preserve"> Under the </w:t>
      </w:r>
      <w:r w:rsidR="009342A2">
        <w:rPr>
          <w:rFonts w:ascii="Palatino Linotype" w:hAnsi="Palatino Linotype" w:cs="Times New Roman"/>
          <w:color w:val="auto"/>
          <w:sz w:val="26"/>
          <w:szCs w:val="26"/>
        </w:rPr>
        <w:t xml:space="preserve">QF/CHP </w:t>
      </w:r>
      <w:r>
        <w:rPr>
          <w:rFonts w:ascii="Palatino Linotype" w:hAnsi="Palatino Linotype" w:cs="Times New Roman"/>
          <w:color w:val="auto"/>
          <w:sz w:val="26"/>
          <w:szCs w:val="26"/>
        </w:rPr>
        <w:t>Settlement, the Investor-Owned Utilities are required to offer these contracts to QFs on a must-</w:t>
      </w:r>
      <w:r w:rsidR="00C04812">
        <w:rPr>
          <w:rFonts w:ascii="Palatino Linotype" w:hAnsi="Palatino Linotype" w:cs="Times New Roman"/>
          <w:color w:val="auto"/>
          <w:sz w:val="26"/>
          <w:szCs w:val="26"/>
        </w:rPr>
        <w:t>take basis</w:t>
      </w:r>
      <w:r w:rsidR="00DA54C7">
        <w:rPr>
          <w:rFonts w:ascii="Palatino Linotype" w:hAnsi="Palatino Linotype" w:cs="Times New Roman"/>
          <w:color w:val="auto"/>
          <w:sz w:val="26"/>
          <w:szCs w:val="26"/>
        </w:rPr>
        <w:t>.</w:t>
      </w:r>
    </w:p>
    <w:p w:rsidR="00617656" w:rsidP="005346C0" w:rsidRDefault="00617656" w14:paraId="6CD517EF" w14:textId="77777777">
      <w:pPr>
        <w:pStyle w:val="Default"/>
        <w:rPr>
          <w:rFonts w:ascii="Palatino Linotype" w:hAnsi="Palatino Linotype" w:cs="Times New Roman"/>
          <w:color w:val="auto"/>
          <w:sz w:val="26"/>
          <w:szCs w:val="26"/>
        </w:rPr>
      </w:pPr>
    </w:p>
    <w:p w:rsidRPr="005346C0" w:rsidR="00617656" w:rsidP="00617656" w:rsidRDefault="00617656" w14:paraId="4604255C" w14:textId="77777777">
      <w:pPr>
        <w:pStyle w:val="Default"/>
        <w:rPr>
          <w:rFonts w:ascii="Palatino Linotype" w:hAnsi="Palatino Linotype" w:cs="Times New Roman"/>
          <w:color w:val="auto"/>
          <w:sz w:val="26"/>
          <w:szCs w:val="26"/>
        </w:rPr>
      </w:pPr>
      <w:r w:rsidRPr="00617656">
        <w:rPr>
          <w:rFonts w:ascii="Palatino Linotype" w:hAnsi="Palatino Linotype" w:cs="Times New Roman"/>
          <w:color w:val="auto"/>
          <w:sz w:val="26"/>
          <w:szCs w:val="26"/>
        </w:rPr>
        <w:t>On January 29, 2019, PG&amp;E filed for Chapter 11 Bankruptcy. The As-Available</w:t>
      </w:r>
      <w:r>
        <w:rPr>
          <w:rFonts w:ascii="Palatino Linotype" w:hAnsi="Palatino Linotype" w:cs="Times New Roman"/>
          <w:color w:val="auto"/>
          <w:sz w:val="26"/>
          <w:szCs w:val="26"/>
        </w:rPr>
        <w:t xml:space="preserve"> </w:t>
      </w:r>
      <w:r w:rsidRPr="00617656">
        <w:rPr>
          <w:rFonts w:ascii="Palatino Linotype" w:hAnsi="Palatino Linotype" w:cs="Times New Roman"/>
          <w:color w:val="auto"/>
          <w:sz w:val="26"/>
          <w:szCs w:val="26"/>
        </w:rPr>
        <w:t>CHP PPA</w:t>
      </w:r>
      <w:r>
        <w:rPr>
          <w:rFonts w:ascii="Palatino Linotype" w:hAnsi="Palatino Linotype" w:cs="Times New Roman"/>
          <w:color w:val="auto"/>
          <w:sz w:val="26"/>
          <w:szCs w:val="26"/>
        </w:rPr>
        <w:t xml:space="preserve"> </w:t>
      </w:r>
      <w:r w:rsidRPr="00617656">
        <w:rPr>
          <w:rFonts w:ascii="Palatino Linotype" w:hAnsi="Palatino Linotype" w:cs="Times New Roman"/>
          <w:color w:val="auto"/>
          <w:sz w:val="26"/>
          <w:szCs w:val="26"/>
        </w:rPr>
        <w:t>and the ≤20 MW PURPA PPA include provisions that are implicated by PG&amp;E’s</w:t>
      </w:r>
      <w:r>
        <w:rPr>
          <w:rFonts w:ascii="Palatino Linotype" w:hAnsi="Palatino Linotype" w:cs="Times New Roman"/>
          <w:color w:val="auto"/>
          <w:sz w:val="26"/>
          <w:szCs w:val="26"/>
        </w:rPr>
        <w:t xml:space="preserve"> </w:t>
      </w:r>
      <w:r w:rsidRPr="00617656">
        <w:rPr>
          <w:rFonts w:ascii="Palatino Linotype" w:hAnsi="Palatino Linotype" w:cs="Times New Roman"/>
          <w:color w:val="auto"/>
          <w:sz w:val="26"/>
          <w:szCs w:val="26"/>
        </w:rPr>
        <w:t>Chapter</w:t>
      </w:r>
      <w:r>
        <w:rPr>
          <w:rFonts w:ascii="Palatino Linotype" w:hAnsi="Palatino Linotype" w:cs="Times New Roman"/>
          <w:color w:val="auto"/>
          <w:sz w:val="26"/>
          <w:szCs w:val="26"/>
        </w:rPr>
        <w:t xml:space="preserve"> </w:t>
      </w:r>
      <w:r w:rsidRPr="00617656">
        <w:rPr>
          <w:rFonts w:ascii="Palatino Linotype" w:hAnsi="Palatino Linotype" w:cs="Times New Roman"/>
          <w:color w:val="auto"/>
          <w:sz w:val="26"/>
          <w:szCs w:val="26"/>
        </w:rPr>
        <w:t xml:space="preserve">11 Bankruptcy Status. Aera Energy LLC requested to execute </w:t>
      </w:r>
      <w:r w:rsidRPr="00617656">
        <w:rPr>
          <w:rFonts w:ascii="Palatino Linotype" w:hAnsi="Palatino Linotype" w:cs="Times New Roman"/>
          <w:color w:val="auto"/>
          <w:sz w:val="26"/>
          <w:szCs w:val="26"/>
        </w:rPr>
        <w:lastRenderedPageBreak/>
        <w:t>the As-Available</w:t>
      </w:r>
      <w:r>
        <w:rPr>
          <w:rFonts w:ascii="Palatino Linotype" w:hAnsi="Palatino Linotype" w:cs="Times New Roman"/>
          <w:color w:val="auto"/>
          <w:sz w:val="26"/>
          <w:szCs w:val="26"/>
        </w:rPr>
        <w:t xml:space="preserve"> </w:t>
      </w:r>
      <w:r w:rsidRPr="00617656">
        <w:rPr>
          <w:rFonts w:ascii="Palatino Linotype" w:hAnsi="Palatino Linotype" w:cs="Times New Roman"/>
          <w:color w:val="auto"/>
          <w:sz w:val="26"/>
          <w:szCs w:val="26"/>
        </w:rPr>
        <w:t>CHP PPA</w:t>
      </w:r>
      <w:r>
        <w:rPr>
          <w:rFonts w:ascii="Palatino Linotype" w:hAnsi="Palatino Linotype" w:cs="Times New Roman"/>
          <w:color w:val="auto"/>
          <w:sz w:val="26"/>
          <w:szCs w:val="26"/>
        </w:rPr>
        <w:t xml:space="preserve"> </w:t>
      </w:r>
      <w:r w:rsidRPr="00617656">
        <w:rPr>
          <w:rFonts w:ascii="Palatino Linotype" w:hAnsi="Palatino Linotype" w:cs="Times New Roman"/>
          <w:color w:val="auto"/>
          <w:sz w:val="26"/>
          <w:szCs w:val="26"/>
        </w:rPr>
        <w:t>for its South Belridge Cogeneration Facility. Both EIF Haypress, LLC and Berry</w:t>
      </w:r>
      <w:r>
        <w:rPr>
          <w:rFonts w:ascii="Palatino Linotype" w:hAnsi="Palatino Linotype" w:cs="Times New Roman"/>
          <w:color w:val="auto"/>
          <w:sz w:val="26"/>
          <w:szCs w:val="26"/>
        </w:rPr>
        <w:t xml:space="preserve"> </w:t>
      </w:r>
      <w:r w:rsidRPr="00617656">
        <w:rPr>
          <w:rFonts w:ascii="Palatino Linotype" w:hAnsi="Palatino Linotype" w:cs="Times New Roman"/>
          <w:color w:val="auto"/>
          <w:sz w:val="26"/>
          <w:szCs w:val="26"/>
        </w:rPr>
        <w:t>Petroleum, LLC requested to execute the ≤20 MW PURPA PPA for their</w:t>
      </w:r>
      <w:r>
        <w:rPr>
          <w:rFonts w:ascii="Palatino Linotype" w:hAnsi="Palatino Linotype" w:cs="Times New Roman"/>
          <w:color w:val="auto"/>
          <w:sz w:val="26"/>
          <w:szCs w:val="26"/>
        </w:rPr>
        <w:t xml:space="preserve"> </w:t>
      </w:r>
      <w:r w:rsidRPr="00617656">
        <w:rPr>
          <w:rFonts w:ascii="Palatino Linotype" w:hAnsi="Palatino Linotype" w:cs="Times New Roman"/>
          <w:color w:val="auto"/>
          <w:sz w:val="26"/>
          <w:szCs w:val="26"/>
        </w:rPr>
        <w:t>respective</w:t>
      </w:r>
      <w:r>
        <w:rPr>
          <w:rFonts w:ascii="Palatino Linotype" w:hAnsi="Palatino Linotype" w:cs="Times New Roman"/>
          <w:color w:val="auto"/>
          <w:sz w:val="26"/>
          <w:szCs w:val="26"/>
        </w:rPr>
        <w:t xml:space="preserve"> </w:t>
      </w:r>
      <w:r w:rsidRPr="00617656">
        <w:rPr>
          <w:rFonts w:ascii="Palatino Linotype" w:hAnsi="Palatino Linotype" w:cs="Times New Roman"/>
          <w:color w:val="auto"/>
          <w:sz w:val="26"/>
          <w:szCs w:val="26"/>
        </w:rPr>
        <w:t>facilities. As such, PG&amp;E is required to execute the As-Available CHP PPA and</w:t>
      </w:r>
      <w:r>
        <w:rPr>
          <w:rFonts w:ascii="Palatino Linotype" w:hAnsi="Palatino Linotype" w:cs="Times New Roman"/>
          <w:color w:val="auto"/>
          <w:sz w:val="26"/>
          <w:szCs w:val="26"/>
        </w:rPr>
        <w:t xml:space="preserve"> </w:t>
      </w:r>
      <w:r w:rsidRPr="00617656">
        <w:rPr>
          <w:rFonts w:ascii="Palatino Linotype" w:hAnsi="Palatino Linotype" w:cs="Times New Roman"/>
          <w:color w:val="auto"/>
          <w:sz w:val="26"/>
          <w:szCs w:val="26"/>
        </w:rPr>
        <w:t>the</w:t>
      </w:r>
      <w:r>
        <w:rPr>
          <w:rFonts w:ascii="Palatino Linotype" w:hAnsi="Palatino Linotype" w:cs="Times New Roman"/>
          <w:color w:val="auto"/>
          <w:sz w:val="26"/>
          <w:szCs w:val="26"/>
        </w:rPr>
        <w:t xml:space="preserve"> </w:t>
      </w:r>
      <w:r w:rsidRPr="00617656">
        <w:rPr>
          <w:rFonts w:ascii="Palatino Linotype" w:hAnsi="Palatino Linotype" w:cs="Times New Roman"/>
          <w:color w:val="auto"/>
          <w:sz w:val="26"/>
          <w:szCs w:val="26"/>
        </w:rPr>
        <w:t xml:space="preserve">≤20 MW </w:t>
      </w:r>
      <w:r w:rsidRPr="00617656" w:rsidR="004B13B6">
        <w:rPr>
          <w:rFonts w:ascii="Palatino Linotype" w:hAnsi="Palatino Linotype" w:cs="Times New Roman"/>
          <w:color w:val="auto"/>
          <w:sz w:val="26"/>
          <w:szCs w:val="26"/>
        </w:rPr>
        <w:t>PURPA PPAs but</w:t>
      </w:r>
      <w:r w:rsidRPr="00617656">
        <w:rPr>
          <w:rFonts w:ascii="Palatino Linotype" w:hAnsi="Palatino Linotype" w:cs="Times New Roman"/>
          <w:color w:val="auto"/>
          <w:sz w:val="26"/>
          <w:szCs w:val="26"/>
        </w:rPr>
        <w:t xml:space="preserve"> must also modify certain terms that are implicated by</w:t>
      </w:r>
      <w:r>
        <w:rPr>
          <w:rFonts w:ascii="Palatino Linotype" w:hAnsi="Palatino Linotype" w:cs="Times New Roman"/>
          <w:color w:val="auto"/>
          <w:sz w:val="26"/>
          <w:szCs w:val="26"/>
        </w:rPr>
        <w:t xml:space="preserve"> </w:t>
      </w:r>
      <w:r w:rsidRPr="00617656">
        <w:rPr>
          <w:rFonts w:ascii="Palatino Linotype" w:hAnsi="Palatino Linotype" w:cs="Times New Roman"/>
          <w:color w:val="auto"/>
          <w:sz w:val="26"/>
          <w:szCs w:val="26"/>
        </w:rPr>
        <w:t>PG&amp;E’s</w:t>
      </w:r>
      <w:r>
        <w:rPr>
          <w:rFonts w:ascii="Palatino Linotype" w:hAnsi="Palatino Linotype" w:cs="Times New Roman"/>
          <w:color w:val="auto"/>
          <w:sz w:val="26"/>
          <w:szCs w:val="26"/>
        </w:rPr>
        <w:t xml:space="preserve"> </w:t>
      </w:r>
      <w:r w:rsidRPr="00617656">
        <w:rPr>
          <w:rFonts w:ascii="Palatino Linotype" w:hAnsi="Palatino Linotype" w:cs="Times New Roman"/>
          <w:color w:val="auto"/>
          <w:sz w:val="26"/>
          <w:szCs w:val="26"/>
        </w:rPr>
        <w:t>status in Chapter 11 bankruptcy.</w:t>
      </w:r>
    </w:p>
    <w:p w:rsidR="005346C0" w:rsidP="009D535E" w:rsidRDefault="005346C0" w14:paraId="281A05E0" w14:textId="77777777">
      <w:pPr>
        <w:pStyle w:val="Default"/>
        <w:rPr>
          <w:rFonts w:ascii="Palatino Linotype" w:hAnsi="Palatino Linotype" w:cs="Times New Roman"/>
          <w:i/>
          <w:color w:val="auto"/>
          <w:sz w:val="26"/>
          <w:szCs w:val="26"/>
        </w:rPr>
      </w:pPr>
    </w:p>
    <w:p w:rsidR="00617656" w:rsidP="009D535E" w:rsidRDefault="00617656" w14:paraId="096038D9" w14:textId="0D78288C">
      <w:pPr>
        <w:pStyle w:val="Default"/>
        <w:rPr>
          <w:rFonts w:ascii="Palatino Linotype" w:hAnsi="Palatino Linotype" w:cs="Times New Roman"/>
          <w:iCs/>
          <w:color w:val="auto"/>
          <w:sz w:val="26"/>
          <w:szCs w:val="26"/>
        </w:rPr>
      </w:pPr>
      <w:r w:rsidRPr="00617656">
        <w:rPr>
          <w:rFonts w:ascii="Palatino Linotype" w:hAnsi="Palatino Linotype" w:cs="Times New Roman"/>
          <w:iCs/>
          <w:color w:val="auto"/>
          <w:sz w:val="26"/>
          <w:szCs w:val="26"/>
        </w:rPr>
        <w:t xml:space="preserve">Under </w:t>
      </w:r>
      <w:r w:rsidR="004D7931">
        <w:rPr>
          <w:rFonts w:ascii="Palatino Linotype" w:hAnsi="Palatino Linotype" w:cs="Times New Roman"/>
          <w:iCs/>
          <w:color w:val="auto"/>
          <w:sz w:val="26"/>
          <w:szCs w:val="26"/>
        </w:rPr>
        <w:t xml:space="preserve">Section 4.10.2 of the </w:t>
      </w:r>
      <w:r w:rsidR="009342A2">
        <w:rPr>
          <w:rFonts w:ascii="Palatino Linotype" w:hAnsi="Palatino Linotype" w:cs="Times New Roman"/>
          <w:iCs/>
          <w:color w:val="auto"/>
          <w:sz w:val="26"/>
          <w:szCs w:val="26"/>
        </w:rPr>
        <w:t xml:space="preserve">QF/CHP </w:t>
      </w:r>
      <w:r w:rsidRPr="00617656">
        <w:rPr>
          <w:rFonts w:ascii="Palatino Linotype" w:hAnsi="Palatino Linotype" w:cs="Times New Roman"/>
          <w:iCs/>
          <w:color w:val="auto"/>
          <w:sz w:val="26"/>
          <w:szCs w:val="26"/>
        </w:rPr>
        <w:t xml:space="preserve">Settlement, </w:t>
      </w:r>
      <w:r>
        <w:rPr>
          <w:rFonts w:ascii="Palatino Linotype" w:hAnsi="Palatino Linotype" w:cs="Times New Roman"/>
          <w:iCs/>
          <w:color w:val="auto"/>
          <w:sz w:val="26"/>
          <w:szCs w:val="26"/>
        </w:rPr>
        <w:t xml:space="preserve">PG&amp;E would not normally require </w:t>
      </w:r>
      <w:r w:rsidR="002F7E48">
        <w:rPr>
          <w:rFonts w:ascii="Palatino Linotype" w:hAnsi="Palatino Linotype" w:cs="Times New Roman"/>
          <w:iCs/>
          <w:color w:val="auto"/>
          <w:sz w:val="26"/>
          <w:szCs w:val="26"/>
        </w:rPr>
        <w:t xml:space="preserve">CPUC </w:t>
      </w:r>
      <w:r>
        <w:rPr>
          <w:rFonts w:ascii="Palatino Linotype" w:hAnsi="Palatino Linotype" w:cs="Times New Roman"/>
          <w:iCs/>
          <w:color w:val="auto"/>
          <w:sz w:val="26"/>
          <w:szCs w:val="26"/>
        </w:rPr>
        <w:t xml:space="preserve">approval to execute these </w:t>
      </w:r>
      <w:r w:rsidR="000D4192">
        <w:rPr>
          <w:rFonts w:ascii="Palatino Linotype" w:hAnsi="Palatino Linotype" w:cs="Times New Roman"/>
          <w:iCs/>
          <w:color w:val="auto"/>
          <w:sz w:val="26"/>
          <w:szCs w:val="26"/>
        </w:rPr>
        <w:t>s</w:t>
      </w:r>
      <w:r>
        <w:rPr>
          <w:rFonts w:ascii="Palatino Linotype" w:hAnsi="Palatino Linotype" w:cs="Times New Roman"/>
          <w:iCs/>
          <w:color w:val="auto"/>
          <w:sz w:val="26"/>
          <w:szCs w:val="26"/>
        </w:rPr>
        <w:t xml:space="preserve">tandard </w:t>
      </w:r>
      <w:r w:rsidR="000D4192">
        <w:rPr>
          <w:rFonts w:ascii="Palatino Linotype" w:hAnsi="Palatino Linotype" w:cs="Times New Roman"/>
          <w:iCs/>
          <w:color w:val="auto"/>
          <w:sz w:val="26"/>
          <w:szCs w:val="26"/>
        </w:rPr>
        <w:t>o</w:t>
      </w:r>
      <w:r>
        <w:rPr>
          <w:rFonts w:ascii="Palatino Linotype" w:hAnsi="Palatino Linotype" w:cs="Times New Roman"/>
          <w:iCs/>
          <w:color w:val="auto"/>
          <w:sz w:val="26"/>
          <w:szCs w:val="26"/>
        </w:rPr>
        <w:t xml:space="preserve">ffer contracts. Due to the modifications necessitated by PG&amp;E’s bankruptcy, PG&amp;E must now seek </w:t>
      </w:r>
      <w:r w:rsidR="00D8046F">
        <w:rPr>
          <w:rFonts w:ascii="Palatino Linotype" w:hAnsi="Palatino Linotype" w:cs="Times New Roman"/>
          <w:iCs/>
          <w:color w:val="auto"/>
          <w:sz w:val="26"/>
          <w:szCs w:val="26"/>
        </w:rPr>
        <w:t xml:space="preserve">CPUC </w:t>
      </w:r>
      <w:r>
        <w:rPr>
          <w:rFonts w:ascii="Palatino Linotype" w:hAnsi="Palatino Linotype" w:cs="Times New Roman"/>
          <w:iCs/>
          <w:color w:val="auto"/>
          <w:sz w:val="26"/>
          <w:szCs w:val="26"/>
        </w:rPr>
        <w:t xml:space="preserve">approval for these modified contracts. </w:t>
      </w:r>
    </w:p>
    <w:p w:rsidR="00617656" w:rsidP="009D535E" w:rsidRDefault="00617656" w14:paraId="4B718179" w14:textId="77777777">
      <w:pPr>
        <w:pStyle w:val="Default"/>
        <w:rPr>
          <w:rFonts w:ascii="Palatino Linotype" w:hAnsi="Palatino Linotype" w:cs="Times New Roman"/>
          <w:iCs/>
          <w:color w:val="auto"/>
          <w:sz w:val="26"/>
          <w:szCs w:val="26"/>
        </w:rPr>
      </w:pPr>
    </w:p>
    <w:p w:rsidR="00617656" w:rsidP="009D535E" w:rsidRDefault="00617656" w14:paraId="5C80D1FA" w14:textId="77777777">
      <w:pPr>
        <w:pStyle w:val="Default"/>
        <w:rPr>
          <w:rFonts w:ascii="Palatino Linotype" w:hAnsi="Palatino Linotype" w:cs="Times New Roman"/>
          <w:i/>
          <w:color w:val="auto"/>
          <w:sz w:val="26"/>
          <w:szCs w:val="26"/>
          <w:u w:val="single"/>
        </w:rPr>
      </w:pPr>
      <w:r w:rsidRPr="00617656">
        <w:rPr>
          <w:rFonts w:ascii="Palatino Linotype" w:hAnsi="Palatino Linotype" w:cs="Times New Roman"/>
          <w:i/>
          <w:color w:val="auto"/>
          <w:sz w:val="26"/>
          <w:szCs w:val="26"/>
          <w:u w:val="single"/>
        </w:rPr>
        <w:t>Background on Rider and Amendments</w:t>
      </w:r>
    </w:p>
    <w:p w:rsidRPr="00BB408B" w:rsidR="00617656" w:rsidP="009D535E" w:rsidRDefault="00617656" w14:paraId="5504478D" w14:textId="77777777">
      <w:pPr>
        <w:pStyle w:val="Default"/>
        <w:rPr>
          <w:rFonts w:ascii="Palatino Linotype" w:hAnsi="Palatino Linotype" w:cs="Times New Roman"/>
          <w:i/>
          <w:color w:val="auto"/>
          <w:sz w:val="26"/>
          <w:szCs w:val="26"/>
          <w:u w:val="single"/>
        </w:rPr>
      </w:pPr>
    </w:p>
    <w:p w:rsidRPr="00BB408B" w:rsidR="00617656" w:rsidP="009D535E" w:rsidRDefault="00BB408B" w14:paraId="2039BCFF" w14:textId="6A4FF197">
      <w:pPr>
        <w:pStyle w:val="Default"/>
        <w:rPr>
          <w:rFonts w:ascii="Palatino Linotype" w:hAnsi="Palatino Linotype"/>
          <w:sz w:val="26"/>
          <w:szCs w:val="26"/>
        </w:rPr>
      </w:pPr>
      <w:r w:rsidRPr="00BB408B">
        <w:rPr>
          <w:rFonts w:ascii="Palatino Linotype" w:hAnsi="Palatino Linotype" w:cs="Times New Roman"/>
          <w:iCs/>
          <w:color w:val="auto"/>
          <w:sz w:val="26"/>
          <w:szCs w:val="26"/>
        </w:rPr>
        <w:t xml:space="preserve">PG&amp;E is seeking approval of four changes to the </w:t>
      </w:r>
      <w:r w:rsidR="00B94FD9">
        <w:rPr>
          <w:rFonts w:ascii="Palatino Linotype" w:hAnsi="Palatino Linotype" w:cs="Times New Roman"/>
          <w:iCs/>
          <w:color w:val="auto"/>
          <w:sz w:val="26"/>
          <w:szCs w:val="26"/>
        </w:rPr>
        <w:t xml:space="preserve">new </w:t>
      </w:r>
      <w:r w:rsidRPr="00BB408B">
        <w:rPr>
          <w:rFonts w:ascii="Palatino Linotype" w:hAnsi="Palatino Linotype" w:cs="Times New Roman"/>
          <w:iCs/>
          <w:color w:val="auto"/>
          <w:sz w:val="26"/>
          <w:szCs w:val="26"/>
        </w:rPr>
        <w:t>agreements with</w:t>
      </w:r>
      <w:r w:rsidRPr="00BB408B">
        <w:rPr>
          <w:rFonts w:ascii="Palatino Linotype" w:hAnsi="Palatino Linotype"/>
          <w:sz w:val="26"/>
          <w:szCs w:val="26"/>
        </w:rPr>
        <w:t xml:space="preserve"> Aera Energy, LLC; Berry Petroleum, LLC; and EIF Haypress, LLC.</w:t>
      </w:r>
      <w:r w:rsidR="002F7E48">
        <w:rPr>
          <w:rFonts w:ascii="Palatino Linotype" w:hAnsi="Palatino Linotype"/>
          <w:sz w:val="26"/>
          <w:szCs w:val="26"/>
        </w:rPr>
        <w:t xml:space="preserve"> All four changes </w:t>
      </w:r>
      <w:r w:rsidR="00991BFC">
        <w:rPr>
          <w:rFonts w:ascii="Palatino Linotype" w:hAnsi="Palatino Linotype"/>
          <w:sz w:val="26"/>
          <w:szCs w:val="26"/>
        </w:rPr>
        <w:t>stem from</w:t>
      </w:r>
      <w:r w:rsidR="002F7E48">
        <w:rPr>
          <w:rFonts w:ascii="Palatino Linotype" w:hAnsi="Palatino Linotype"/>
          <w:sz w:val="26"/>
          <w:szCs w:val="26"/>
        </w:rPr>
        <w:t xml:space="preserve"> PG&amp;E’s bankruptcy status.</w:t>
      </w:r>
      <w:r w:rsidRPr="00BB408B">
        <w:rPr>
          <w:rFonts w:ascii="Palatino Linotype" w:hAnsi="Palatino Linotype"/>
          <w:sz w:val="26"/>
          <w:szCs w:val="26"/>
        </w:rPr>
        <w:t xml:space="preserve"> In order to maintain the cont</w:t>
      </w:r>
      <w:r w:rsidR="00DA54C7">
        <w:rPr>
          <w:rFonts w:ascii="Palatino Linotype" w:hAnsi="Palatino Linotype"/>
          <w:sz w:val="26"/>
          <w:szCs w:val="26"/>
        </w:rPr>
        <w:t>r</w:t>
      </w:r>
      <w:r w:rsidRPr="00BB408B">
        <w:rPr>
          <w:rFonts w:ascii="Palatino Linotype" w:hAnsi="Palatino Linotype"/>
          <w:sz w:val="26"/>
          <w:szCs w:val="26"/>
        </w:rPr>
        <w:t>acts to the exten</w:t>
      </w:r>
      <w:r w:rsidR="002F7E48">
        <w:rPr>
          <w:rFonts w:ascii="Palatino Linotype" w:hAnsi="Palatino Linotype"/>
          <w:sz w:val="26"/>
          <w:szCs w:val="26"/>
        </w:rPr>
        <w:t>t</w:t>
      </w:r>
      <w:r w:rsidRPr="00BB408B">
        <w:rPr>
          <w:rFonts w:ascii="Palatino Linotype" w:hAnsi="Palatino Linotype"/>
          <w:sz w:val="26"/>
          <w:szCs w:val="26"/>
        </w:rPr>
        <w:t xml:space="preserve"> possible, PG&amp;E has submitted to the </w:t>
      </w:r>
      <w:r w:rsidR="002F7E48">
        <w:rPr>
          <w:rFonts w:ascii="Palatino Linotype" w:hAnsi="Palatino Linotype"/>
          <w:sz w:val="26"/>
          <w:szCs w:val="26"/>
        </w:rPr>
        <w:t>CPUC</w:t>
      </w:r>
      <w:r w:rsidRPr="00BB408B" w:rsidR="002F7E48">
        <w:rPr>
          <w:rFonts w:ascii="Palatino Linotype" w:hAnsi="Palatino Linotype"/>
          <w:sz w:val="26"/>
          <w:szCs w:val="26"/>
        </w:rPr>
        <w:t xml:space="preserve"> </w:t>
      </w:r>
      <w:r w:rsidR="00991BFC">
        <w:rPr>
          <w:rFonts w:ascii="Palatino Linotype" w:hAnsi="Palatino Linotype"/>
          <w:sz w:val="26"/>
          <w:szCs w:val="26"/>
        </w:rPr>
        <w:t>a</w:t>
      </w:r>
      <w:r w:rsidRPr="00BB408B">
        <w:rPr>
          <w:rFonts w:ascii="Palatino Linotype" w:hAnsi="Palatino Linotype"/>
          <w:sz w:val="26"/>
          <w:szCs w:val="26"/>
        </w:rPr>
        <w:t xml:space="preserve"> rider</w:t>
      </w:r>
      <w:r w:rsidR="00991BFC">
        <w:rPr>
          <w:rStyle w:val="FootnoteReference"/>
          <w:rFonts w:ascii="Palatino Linotype" w:hAnsi="Palatino Linotype"/>
          <w:sz w:val="26"/>
          <w:szCs w:val="26"/>
        </w:rPr>
        <w:footnoteReference w:id="3"/>
      </w:r>
      <w:r w:rsidR="00991BFC">
        <w:rPr>
          <w:rFonts w:ascii="Palatino Linotype" w:hAnsi="Palatino Linotype"/>
          <w:sz w:val="26"/>
          <w:szCs w:val="26"/>
        </w:rPr>
        <w:t xml:space="preserve"> to each contract t</w:t>
      </w:r>
      <w:r w:rsidRPr="00BB408B">
        <w:rPr>
          <w:rFonts w:ascii="Palatino Linotype" w:hAnsi="Palatino Linotype"/>
          <w:sz w:val="26"/>
          <w:szCs w:val="26"/>
        </w:rPr>
        <w:t>o cure the bankruptcy related deficiencies, rather than modify the contracts themselves.</w:t>
      </w:r>
      <w:r w:rsidR="00051E24">
        <w:rPr>
          <w:rFonts w:ascii="Palatino Linotype" w:hAnsi="Palatino Linotype"/>
          <w:sz w:val="26"/>
          <w:szCs w:val="26"/>
        </w:rPr>
        <w:t xml:space="preserve"> </w:t>
      </w:r>
    </w:p>
    <w:p w:rsidRPr="00BB408B" w:rsidR="00BB408B" w:rsidP="009D535E" w:rsidRDefault="00BB408B" w14:paraId="62145522" w14:textId="77777777">
      <w:pPr>
        <w:pStyle w:val="Default"/>
        <w:rPr>
          <w:rFonts w:ascii="Palatino Linotype" w:hAnsi="Palatino Linotype"/>
          <w:sz w:val="26"/>
          <w:szCs w:val="26"/>
        </w:rPr>
      </w:pPr>
    </w:p>
    <w:p w:rsidR="00BB408B" w:rsidP="00BB408B" w:rsidRDefault="00BB408B" w14:paraId="4112D2AB" w14:textId="10D448F7">
      <w:pPr>
        <w:pStyle w:val="Default"/>
        <w:rPr>
          <w:rFonts w:ascii="Palatino Linotype" w:hAnsi="Palatino Linotype"/>
          <w:sz w:val="26"/>
          <w:szCs w:val="26"/>
        </w:rPr>
      </w:pPr>
      <w:r w:rsidRPr="00BB408B">
        <w:rPr>
          <w:rFonts w:ascii="Palatino Linotype" w:hAnsi="Palatino Linotype"/>
          <w:sz w:val="26"/>
          <w:szCs w:val="26"/>
        </w:rPr>
        <w:t xml:space="preserve">First, both </w:t>
      </w:r>
      <w:r w:rsidR="00B94FD9">
        <w:rPr>
          <w:rFonts w:ascii="Palatino Linotype" w:hAnsi="Palatino Linotype"/>
          <w:sz w:val="26"/>
          <w:szCs w:val="26"/>
        </w:rPr>
        <w:t xml:space="preserve">forms of </w:t>
      </w:r>
      <w:r w:rsidRPr="00BB408B">
        <w:rPr>
          <w:rFonts w:ascii="Palatino Linotype" w:hAnsi="Palatino Linotype"/>
          <w:sz w:val="26"/>
          <w:szCs w:val="26"/>
        </w:rPr>
        <w:t>standard offer contracts apply representations and warranties to the</w:t>
      </w:r>
      <w:r>
        <w:rPr>
          <w:rFonts w:ascii="Palatino Linotype" w:hAnsi="Palatino Linotype"/>
          <w:sz w:val="26"/>
          <w:szCs w:val="26"/>
        </w:rPr>
        <w:t xml:space="preserve"> counterparties as of the contract’s Effective Date. However, </w:t>
      </w:r>
      <w:r w:rsidRPr="00BB408B">
        <w:rPr>
          <w:rFonts w:ascii="Palatino Linotype" w:hAnsi="Palatino Linotype"/>
          <w:sz w:val="26"/>
          <w:szCs w:val="26"/>
        </w:rPr>
        <w:t>due to</w:t>
      </w:r>
      <w:r>
        <w:rPr>
          <w:rFonts w:ascii="Palatino Linotype" w:hAnsi="Palatino Linotype"/>
          <w:sz w:val="26"/>
          <w:szCs w:val="26"/>
        </w:rPr>
        <w:t xml:space="preserve"> </w:t>
      </w:r>
      <w:r w:rsidRPr="00BB408B">
        <w:rPr>
          <w:rFonts w:ascii="Palatino Linotype" w:hAnsi="Palatino Linotype"/>
          <w:sz w:val="26"/>
          <w:szCs w:val="26"/>
        </w:rPr>
        <w:t>PG&amp;E’s</w:t>
      </w:r>
      <w:r>
        <w:rPr>
          <w:rFonts w:ascii="Palatino Linotype" w:hAnsi="Palatino Linotype"/>
          <w:sz w:val="26"/>
          <w:szCs w:val="26"/>
        </w:rPr>
        <w:t xml:space="preserve"> </w:t>
      </w:r>
      <w:r w:rsidRPr="00BB408B">
        <w:rPr>
          <w:rFonts w:ascii="Palatino Linotype" w:hAnsi="Palatino Linotype"/>
          <w:sz w:val="26"/>
          <w:szCs w:val="26"/>
        </w:rPr>
        <w:t>Chapter 11 status, it cannot represent and warrant that “there is not pending, or</w:t>
      </w:r>
      <w:r>
        <w:rPr>
          <w:rFonts w:ascii="Palatino Linotype" w:hAnsi="Palatino Linotype"/>
          <w:sz w:val="26"/>
          <w:szCs w:val="26"/>
        </w:rPr>
        <w:t xml:space="preserve"> </w:t>
      </w:r>
      <w:r w:rsidRPr="00BB408B">
        <w:rPr>
          <w:rFonts w:ascii="Palatino Linotype" w:hAnsi="Palatino Linotype"/>
          <w:sz w:val="26"/>
          <w:szCs w:val="26"/>
        </w:rPr>
        <w:t>to its knowledge, threatened against it or,…any legal proceeding that could</w:t>
      </w:r>
      <w:r>
        <w:rPr>
          <w:rFonts w:ascii="Palatino Linotype" w:hAnsi="Palatino Linotype"/>
          <w:sz w:val="26"/>
          <w:szCs w:val="26"/>
        </w:rPr>
        <w:t xml:space="preserve"> </w:t>
      </w:r>
      <w:r w:rsidRPr="00BB408B">
        <w:rPr>
          <w:rFonts w:ascii="Palatino Linotype" w:hAnsi="Palatino Linotype"/>
          <w:sz w:val="26"/>
          <w:szCs w:val="26"/>
        </w:rPr>
        <w:t>materially</w:t>
      </w:r>
      <w:r>
        <w:rPr>
          <w:rFonts w:ascii="Palatino Linotype" w:hAnsi="Palatino Linotype"/>
          <w:sz w:val="26"/>
          <w:szCs w:val="26"/>
        </w:rPr>
        <w:t xml:space="preserve"> </w:t>
      </w:r>
      <w:r w:rsidRPr="00BB408B">
        <w:rPr>
          <w:rFonts w:ascii="Palatino Linotype" w:hAnsi="Palatino Linotype"/>
          <w:sz w:val="26"/>
          <w:szCs w:val="26"/>
        </w:rPr>
        <w:t>adversely affect its ability to perform under this Agreement,” as</w:t>
      </w:r>
      <w:r>
        <w:rPr>
          <w:rFonts w:ascii="Palatino Linotype" w:hAnsi="Palatino Linotype"/>
          <w:sz w:val="26"/>
          <w:szCs w:val="26"/>
        </w:rPr>
        <w:t xml:space="preserve"> </w:t>
      </w:r>
      <w:r w:rsidR="002F7E48">
        <w:rPr>
          <w:rFonts w:ascii="Palatino Linotype" w:hAnsi="Palatino Linotype"/>
          <w:sz w:val="26"/>
          <w:szCs w:val="26"/>
        </w:rPr>
        <w:t>stated in</w:t>
      </w:r>
      <w:r w:rsidRPr="00BB408B">
        <w:rPr>
          <w:rFonts w:ascii="Palatino Linotype" w:hAnsi="Palatino Linotype"/>
          <w:sz w:val="26"/>
          <w:szCs w:val="26"/>
        </w:rPr>
        <w:t xml:space="preserve"> Section</w:t>
      </w:r>
      <w:r>
        <w:rPr>
          <w:rFonts w:ascii="Palatino Linotype" w:hAnsi="Palatino Linotype"/>
          <w:sz w:val="26"/>
          <w:szCs w:val="26"/>
        </w:rPr>
        <w:t xml:space="preserve"> </w:t>
      </w:r>
      <w:r w:rsidRPr="00BB408B">
        <w:rPr>
          <w:rFonts w:ascii="Palatino Linotype" w:hAnsi="Palatino Linotype"/>
          <w:sz w:val="26"/>
          <w:szCs w:val="26"/>
        </w:rPr>
        <w:t>9.01(a)(iv)</w:t>
      </w:r>
      <w:r w:rsidR="002F7E48">
        <w:rPr>
          <w:rFonts w:ascii="Palatino Linotype" w:hAnsi="Palatino Linotype"/>
          <w:sz w:val="26"/>
          <w:szCs w:val="26"/>
        </w:rPr>
        <w:t xml:space="preserve"> of the standard offer contract</w:t>
      </w:r>
      <w:r w:rsidRPr="00BB408B">
        <w:rPr>
          <w:rFonts w:ascii="Palatino Linotype" w:hAnsi="Palatino Linotype"/>
          <w:sz w:val="26"/>
          <w:szCs w:val="26"/>
        </w:rPr>
        <w:t>.</w:t>
      </w:r>
      <w:r>
        <w:rPr>
          <w:rFonts w:ascii="Palatino Linotype" w:hAnsi="Palatino Linotype"/>
          <w:sz w:val="26"/>
          <w:szCs w:val="26"/>
        </w:rPr>
        <w:t xml:space="preserve"> </w:t>
      </w:r>
      <w:r w:rsidRPr="00BB408B">
        <w:rPr>
          <w:rFonts w:ascii="Palatino Linotype" w:hAnsi="Palatino Linotype"/>
          <w:sz w:val="26"/>
          <w:szCs w:val="26"/>
        </w:rPr>
        <w:t>Section I of the Rider removes this Representation and Warranty with respect to</w:t>
      </w:r>
      <w:r>
        <w:rPr>
          <w:rFonts w:ascii="Palatino Linotype" w:hAnsi="Palatino Linotype"/>
          <w:sz w:val="26"/>
          <w:szCs w:val="26"/>
        </w:rPr>
        <w:t xml:space="preserve"> </w:t>
      </w:r>
      <w:r w:rsidRPr="00BB408B">
        <w:rPr>
          <w:rFonts w:ascii="Palatino Linotype" w:hAnsi="Palatino Linotype"/>
          <w:sz w:val="26"/>
          <w:szCs w:val="26"/>
        </w:rPr>
        <w:t>PG&amp;E.</w:t>
      </w:r>
      <w:r>
        <w:rPr>
          <w:rFonts w:ascii="Palatino Linotype" w:hAnsi="Palatino Linotype"/>
          <w:sz w:val="26"/>
          <w:szCs w:val="26"/>
        </w:rPr>
        <w:t xml:space="preserve"> </w:t>
      </w:r>
      <w:r w:rsidRPr="00BB408B">
        <w:rPr>
          <w:rFonts w:ascii="Palatino Linotype" w:hAnsi="Palatino Linotype"/>
          <w:sz w:val="26"/>
          <w:szCs w:val="26"/>
        </w:rPr>
        <w:t>As such, PG&amp;E can execute the contracts without conflict with Section 9.01(a)(iv).</w:t>
      </w:r>
    </w:p>
    <w:p w:rsidR="00BB408B" w:rsidP="00BB408B" w:rsidRDefault="00BB408B" w14:paraId="0A28B162" w14:textId="77777777">
      <w:pPr>
        <w:pStyle w:val="Default"/>
        <w:rPr>
          <w:rFonts w:ascii="Palatino Linotype" w:hAnsi="Palatino Linotype"/>
          <w:sz w:val="26"/>
          <w:szCs w:val="26"/>
        </w:rPr>
      </w:pPr>
    </w:p>
    <w:p w:rsidR="00BB408B" w:rsidP="00BB408B" w:rsidRDefault="00BB408B" w14:paraId="5629A61C" w14:textId="671A4CBE">
      <w:pPr>
        <w:pStyle w:val="Default"/>
        <w:rPr>
          <w:rFonts w:ascii="Palatino Linotype" w:hAnsi="Palatino Linotype"/>
          <w:sz w:val="26"/>
          <w:szCs w:val="26"/>
        </w:rPr>
      </w:pPr>
      <w:r>
        <w:rPr>
          <w:rFonts w:ascii="Palatino Linotype" w:hAnsi="Palatino Linotype"/>
          <w:sz w:val="26"/>
          <w:szCs w:val="26"/>
        </w:rPr>
        <w:t xml:space="preserve">Second, </w:t>
      </w:r>
      <w:r w:rsidRPr="00511E07">
        <w:rPr>
          <w:rFonts w:ascii="Palatino Linotype" w:hAnsi="Palatino Linotype"/>
          <w:sz w:val="26"/>
          <w:szCs w:val="26"/>
        </w:rPr>
        <w:t>both</w:t>
      </w:r>
      <w:r>
        <w:rPr>
          <w:rFonts w:ascii="Palatino Linotype" w:hAnsi="Palatino Linotype"/>
          <w:sz w:val="26"/>
          <w:szCs w:val="26"/>
        </w:rPr>
        <w:t xml:space="preserve"> </w:t>
      </w:r>
      <w:r w:rsidR="00B94FD9">
        <w:rPr>
          <w:rFonts w:ascii="Palatino Linotype" w:hAnsi="Palatino Linotype"/>
          <w:sz w:val="26"/>
          <w:szCs w:val="26"/>
        </w:rPr>
        <w:t xml:space="preserve">forms of </w:t>
      </w:r>
      <w:r>
        <w:rPr>
          <w:rFonts w:ascii="Palatino Linotype" w:hAnsi="Palatino Linotype"/>
          <w:sz w:val="26"/>
          <w:szCs w:val="26"/>
        </w:rPr>
        <w:t xml:space="preserve">standard offer contracts construe an Event of Default as: </w:t>
      </w:r>
      <w:r w:rsidRPr="00BB408B">
        <w:rPr>
          <w:rFonts w:ascii="Palatino Linotype" w:hAnsi="Palatino Linotype"/>
          <w:sz w:val="26"/>
          <w:szCs w:val="26"/>
        </w:rPr>
        <w:t>1)</w:t>
      </w:r>
      <w:r>
        <w:rPr>
          <w:rFonts w:ascii="Palatino Linotype" w:hAnsi="Palatino Linotype"/>
          <w:sz w:val="26"/>
          <w:szCs w:val="26"/>
        </w:rPr>
        <w:t xml:space="preserve"> </w:t>
      </w:r>
      <w:r w:rsidRPr="00BB408B">
        <w:rPr>
          <w:rFonts w:ascii="Palatino Linotype" w:hAnsi="Palatino Linotype"/>
          <w:sz w:val="26"/>
          <w:szCs w:val="26"/>
        </w:rPr>
        <w:t>either party becomes bankrupt, or 2) either party consolidates, merges, or</w:t>
      </w:r>
      <w:r>
        <w:rPr>
          <w:rFonts w:ascii="Palatino Linotype" w:hAnsi="Palatino Linotype"/>
          <w:sz w:val="26"/>
          <w:szCs w:val="26"/>
        </w:rPr>
        <w:t xml:space="preserve"> </w:t>
      </w:r>
      <w:r w:rsidRPr="00BB408B">
        <w:rPr>
          <w:rFonts w:ascii="Palatino Linotype" w:hAnsi="Palatino Linotype"/>
          <w:sz w:val="26"/>
          <w:szCs w:val="26"/>
        </w:rPr>
        <w:lastRenderedPageBreak/>
        <w:t>transfers</w:t>
      </w:r>
      <w:r>
        <w:rPr>
          <w:rFonts w:ascii="Palatino Linotype" w:hAnsi="Palatino Linotype"/>
          <w:sz w:val="26"/>
          <w:szCs w:val="26"/>
        </w:rPr>
        <w:t xml:space="preserve"> </w:t>
      </w:r>
      <w:r w:rsidRPr="00BB408B">
        <w:rPr>
          <w:rFonts w:ascii="Palatino Linotype" w:hAnsi="Palatino Linotype"/>
          <w:sz w:val="26"/>
          <w:szCs w:val="26"/>
        </w:rPr>
        <w:t>assets to another entity and the contract obligations are not assumed.</w:t>
      </w:r>
      <w:r>
        <w:rPr>
          <w:rFonts w:ascii="Palatino Linotype" w:hAnsi="Palatino Linotype"/>
          <w:sz w:val="26"/>
          <w:szCs w:val="26"/>
        </w:rPr>
        <w:t xml:space="preserve"> </w:t>
      </w:r>
      <w:r w:rsidRPr="00BB408B">
        <w:rPr>
          <w:rFonts w:ascii="Palatino Linotype" w:hAnsi="Palatino Linotype"/>
          <w:sz w:val="26"/>
          <w:szCs w:val="26"/>
        </w:rPr>
        <w:t>It is</w:t>
      </w:r>
      <w:r>
        <w:rPr>
          <w:rFonts w:ascii="Palatino Linotype" w:hAnsi="Palatino Linotype"/>
          <w:sz w:val="26"/>
          <w:szCs w:val="26"/>
        </w:rPr>
        <w:t xml:space="preserve"> </w:t>
      </w:r>
      <w:r w:rsidRPr="00BB408B">
        <w:rPr>
          <w:rFonts w:ascii="Palatino Linotype" w:hAnsi="Palatino Linotype"/>
          <w:sz w:val="26"/>
          <w:szCs w:val="26"/>
        </w:rPr>
        <w:t>necessary to</w:t>
      </w:r>
      <w:r>
        <w:rPr>
          <w:rFonts w:ascii="Palatino Linotype" w:hAnsi="Palatino Linotype"/>
          <w:sz w:val="26"/>
          <w:szCs w:val="26"/>
        </w:rPr>
        <w:t xml:space="preserve"> </w:t>
      </w:r>
      <w:r w:rsidRPr="00BB408B">
        <w:rPr>
          <w:rFonts w:ascii="Palatino Linotype" w:hAnsi="Palatino Linotype"/>
          <w:sz w:val="26"/>
          <w:szCs w:val="26"/>
        </w:rPr>
        <w:t>amend these provisions because PG&amp;E would be in default immediately upon contrac</w:t>
      </w:r>
      <w:r>
        <w:rPr>
          <w:rFonts w:ascii="Palatino Linotype" w:hAnsi="Palatino Linotype"/>
          <w:sz w:val="26"/>
          <w:szCs w:val="26"/>
        </w:rPr>
        <w:t xml:space="preserve">t </w:t>
      </w:r>
      <w:r w:rsidRPr="00BB408B">
        <w:rPr>
          <w:rFonts w:ascii="Palatino Linotype" w:hAnsi="Palatino Linotype"/>
          <w:sz w:val="26"/>
          <w:szCs w:val="26"/>
        </w:rPr>
        <w:t xml:space="preserve">execution due to </w:t>
      </w:r>
      <w:r>
        <w:rPr>
          <w:rFonts w:ascii="Palatino Linotype" w:hAnsi="Palatino Linotype"/>
          <w:sz w:val="26"/>
          <w:szCs w:val="26"/>
        </w:rPr>
        <w:t>its</w:t>
      </w:r>
      <w:r w:rsidRPr="00BB408B">
        <w:rPr>
          <w:rFonts w:ascii="Palatino Linotype" w:hAnsi="Palatino Linotype"/>
          <w:sz w:val="26"/>
          <w:szCs w:val="26"/>
        </w:rPr>
        <w:t xml:space="preserve"> status in Chapter 11 bankruptcy.</w:t>
      </w:r>
      <w:r>
        <w:rPr>
          <w:rFonts w:ascii="Palatino Linotype" w:hAnsi="Palatino Linotype"/>
          <w:sz w:val="26"/>
          <w:szCs w:val="26"/>
        </w:rPr>
        <w:t xml:space="preserve"> </w:t>
      </w:r>
      <w:r w:rsidRPr="00BB408B">
        <w:rPr>
          <w:rFonts w:ascii="Palatino Linotype" w:hAnsi="Palatino Linotype"/>
          <w:sz w:val="26"/>
          <w:szCs w:val="26"/>
        </w:rPr>
        <w:t>Section II of the Rider amends the two Event of Default provisions so that they do not apply to PG&amp;E until its exit from Chapter 11 has occurred.</w:t>
      </w:r>
    </w:p>
    <w:p w:rsidR="00BB408B" w:rsidP="00BB408B" w:rsidRDefault="00BB408B" w14:paraId="16D67224" w14:textId="77777777">
      <w:pPr>
        <w:pStyle w:val="Default"/>
        <w:rPr>
          <w:rFonts w:ascii="Palatino Linotype" w:hAnsi="Palatino Linotype"/>
          <w:sz w:val="26"/>
          <w:szCs w:val="26"/>
        </w:rPr>
      </w:pPr>
    </w:p>
    <w:p w:rsidR="006727A2" w:rsidP="00BB408B" w:rsidRDefault="00BB408B" w14:paraId="3BE58D1F" w14:textId="77777777">
      <w:pPr>
        <w:pStyle w:val="Default"/>
        <w:rPr>
          <w:rFonts w:ascii="Palatino Linotype" w:hAnsi="Palatino Linotype"/>
          <w:sz w:val="26"/>
          <w:szCs w:val="26"/>
        </w:rPr>
      </w:pPr>
      <w:r>
        <w:rPr>
          <w:rFonts w:ascii="Palatino Linotype" w:hAnsi="Palatino Linotype"/>
          <w:sz w:val="26"/>
          <w:szCs w:val="26"/>
        </w:rPr>
        <w:t>Third, in order to</w:t>
      </w:r>
      <w:r w:rsidR="006727A2">
        <w:rPr>
          <w:rFonts w:ascii="Palatino Linotype" w:hAnsi="Palatino Linotype"/>
          <w:sz w:val="26"/>
          <w:szCs w:val="26"/>
        </w:rPr>
        <w:t xml:space="preserve"> ensure a common understanding of amendment two above, it is necessary </w:t>
      </w:r>
      <w:r w:rsidR="00DA54C7">
        <w:rPr>
          <w:rFonts w:ascii="Palatino Linotype" w:hAnsi="Palatino Linotype"/>
          <w:sz w:val="26"/>
          <w:szCs w:val="26"/>
        </w:rPr>
        <w:t xml:space="preserve">to </w:t>
      </w:r>
      <w:r>
        <w:rPr>
          <w:rFonts w:ascii="Palatino Linotype" w:hAnsi="Palatino Linotype"/>
          <w:sz w:val="26"/>
          <w:szCs w:val="26"/>
        </w:rPr>
        <w:t>define when PG&amp;E’s bankruptcy status terminates, and thus when the original Event of Default provisions in Section 6.01 apply to PG&amp;E</w:t>
      </w:r>
      <w:r w:rsidR="006727A2">
        <w:rPr>
          <w:rFonts w:ascii="Palatino Linotype" w:hAnsi="Palatino Linotype"/>
          <w:sz w:val="26"/>
          <w:szCs w:val="26"/>
        </w:rPr>
        <w:t xml:space="preserve">. </w:t>
      </w:r>
      <w:r w:rsidR="00D8046F">
        <w:rPr>
          <w:rFonts w:ascii="Palatino Linotype" w:hAnsi="Palatino Linotype"/>
          <w:sz w:val="26"/>
          <w:szCs w:val="26"/>
        </w:rPr>
        <w:t>Following,</w:t>
      </w:r>
      <w:r w:rsidR="005C3C50">
        <w:rPr>
          <w:rFonts w:ascii="Palatino Linotype" w:hAnsi="Palatino Linotype"/>
          <w:sz w:val="26"/>
          <w:szCs w:val="26"/>
        </w:rPr>
        <w:t xml:space="preserve"> </w:t>
      </w:r>
      <w:r>
        <w:rPr>
          <w:rFonts w:ascii="Palatino Linotype" w:hAnsi="Palatino Linotype"/>
          <w:sz w:val="26"/>
          <w:szCs w:val="26"/>
        </w:rPr>
        <w:t>Section II of the Rider also defines “Chapter 11 Cases</w:t>
      </w:r>
      <w:r w:rsidR="006727A2">
        <w:rPr>
          <w:rFonts w:ascii="Palatino Linotype" w:hAnsi="Palatino Linotype"/>
          <w:sz w:val="26"/>
          <w:szCs w:val="26"/>
        </w:rPr>
        <w:t>,</w:t>
      </w:r>
      <w:r>
        <w:rPr>
          <w:rFonts w:ascii="Palatino Linotype" w:hAnsi="Palatino Linotype"/>
          <w:sz w:val="26"/>
          <w:szCs w:val="26"/>
        </w:rPr>
        <w:t>”</w:t>
      </w:r>
      <w:r w:rsidR="006727A2">
        <w:rPr>
          <w:rFonts w:ascii="Palatino Linotype" w:hAnsi="Palatino Linotype"/>
          <w:sz w:val="26"/>
          <w:szCs w:val="26"/>
        </w:rPr>
        <w:t xml:space="preserve"> so that there is a shared understanding between counterparties of when PG&amp;E is no longer in Chapter 11 bankruptcy.</w:t>
      </w:r>
    </w:p>
    <w:p w:rsidR="00BB408B" w:rsidP="00BB408B" w:rsidRDefault="00BB408B" w14:paraId="7063A105" w14:textId="77777777">
      <w:pPr>
        <w:pStyle w:val="Default"/>
        <w:rPr>
          <w:rFonts w:ascii="Palatino Linotype" w:hAnsi="Palatino Linotype"/>
          <w:sz w:val="26"/>
          <w:szCs w:val="26"/>
        </w:rPr>
      </w:pPr>
    </w:p>
    <w:p w:rsidR="00BB408B" w:rsidP="00E9065B" w:rsidRDefault="00BB408B" w14:paraId="392536F3" w14:textId="3CF233C2">
      <w:pPr>
        <w:pStyle w:val="Default"/>
        <w:rPr>
          <w:rFonts w:ascii="Palatino Linotype" w:hAnsi="Palatino Linotype"/>
          <w:sz w:val="26"/>
          <w:szCs w:val="26"/>
        </w:rPr>
      </w:pPr>
      <w:r>
        <w:rPr>
          <w:rFonts w:ascii="Palatino Linotype" w:hAnsi="Palatino Linotype"/>
          <w:sz w:val="26"/>
          <w:szCs w:val="26"/>
        </w:rPr>
        <w:t xml:space="preserve">Fourth, </w:t>
      </w:r>
      <w:r w:rsidR="002F7E48">
        <w:rPr>
          <w:rFonts w:ascii="Palatino Linotype" w:hAnsi="Palatino Linotype"/>
          <w:sz w:val="26"/>
          <w:szCs w:val="26"/>
        </w:rPr>
        <w:t xml:space="preserve">both </w:t>
      </w:r>
      <w:r w:rsidR="001D4872">
        <w:rPr>
          <w:rFonts w:ascii="Palatino Linotype" w:hAnsi="Palatino Linotype"/>
          <w:sz w:val="26"/>
          <w:szCs w:val="26"/>
        </w:rPr>
        <w:t xml:space="preserve">forms of </w:t>
      </w:r>
      <w:r w:rsidR="002F7E48">
        <w:rPr>
          <w:rFonts w:ascii="Palatino Linotype" w:hAnsi="Palatino Linotype"/>
          <w:sz w:val="26"/>
          <w:szCs w:val="26"/>
        </w:rPr>
        <w:t xml:space="preserve">standard offer contracts </w:t>
      </w:r>
      <w:r w:rsidRPr="00E9065B" w:rsidR="00E9065B">
        <w:rPr>
          <w:rFonts w:ascii="Palatino Linotype" w:hAnsi="Palatino Linotype"/>
          <w:sz w:val="26"/>
          <w:szCs w:val="26"/>
        </w:rPr>
        <w:t>do not require CPUC approval</w:t>
      </w:r>
      <w:r w:rsidR="00E9065B">
        <w:rPr>
          <w:rFonts w:ascii="Palatino Linotype" w:hAnsi="Palatino Linotype"/>
          <w:sz w:val="26"/>
          <w:szCs w:val="26"/>
        </w:rPr>
        <w:t xml:space="preserve"> </w:t>
      </w:r>
      <w:r w:rsidRPr="00E9065B" w:rsidR="00E9065B">
        <w:rPr>
          <w:rFonts w:ascii="Palatino Linotype" w:hAnsi="Palatino Linotype"/>
          <w:sz w:val="26"/>
          <w:szCs w:val="26"/>
        </w:rPr>
        <w:t>for PG&amp;E to execute</w:t>
      </w:r>
      <w:r w:rsidR="00E9065B">
        <w:rPr>
          <w:rFonts w:ascii="Palatino Linotype" w:hAnsi="Palatino Linotype"/>
          <w:sz w:val="26"/>
          <w:szCs w:val="26"/>
        </w:rPr>
        <w:t xml:space="preserve">. As such, both are normally “effective” at the execution date. However, due to the riders and amendment the CPUC must now approve these contracts. To address the possibility that the CPUC could reject or amend the contracts, the Rider adds a provision that either party may elect to terminate the contract if (1) CPUC approval is not granted or (2) the CPUC modifies the Rider in a manner that is unacceptable to either party. </w:t>
      </w:r>
    </w:p>
    <w:p w:rsidRPr="00BB408B" w:rsidR="009D535E" w:rsidP="009D535E" w:rsidRDefault="009D535E" w14:paraId="63B9E51D" w14:textId="77777777">
      <w:pPr>
        <w:rPr>
          <w:b/>
          <w:szCs w:val="26"/>
          <w:u w:val="single"/>
        </w:rPr>
      </w:pPr>
    </w:p>
    <w:p w:rsidR="009D535E" w:rsidP="009D535E" w:rsidRDefault="009D535E" w14:paraId="6D976565" w14:textId="77777777">
      <w:pPr>
        <w:pStyle w:val="Heading1"/>
      </w:pPr>
      <w:r>
        <w:t xml:space="preserve">Notice </w:t>
      </w:r>
    </w:p>
    <w:p w:rsidRPr="004B10D1" w:rsidR="009D535E" w:rsidP="009D535E" w:rsidRDefault="009D535E" w14:paraId="6419C80E" w14:textId="77777777">
      <w:pPr>
        <w:rPr>
          <w:rFonts w:ascii="Palatino Linotype" w:hAnsi="Palatino Linotype"/>
        </w:rPr>
      </w:pPr>
      <w:r w:rsidRPr="00E9065B">
        <w:rPr>
          <w:rFonts w:ascii="Palatino Linotype" w:hAnsi="Palatino Linotype"/>
        </w:rPr>
        <w:t xml:space="preserve">Notice of </w:t>
      </w:r>
      <w:r w:rsidR="00051E24">
        <w:rPr>
          <w:rFonts w:ascii="Palatino Linotype" w:hAnsi="Palatino Linotype"/>
        </w:rPr>
        <w:t xml:space="preserve">both </w:t>
      </w:r>
      <w:r w:rsidRPr="00E9065B">
        <w:rPr>
          <w:rFonts w:ascii="Palatino Linotype" w:hAnsi="Palatino Linotype"/>
        </w:rPr>
        <w:t xml:space="preserve">AL </w:t>
      </w:r>
      <w:r w:rsidRPr="00E9065B" w:rsidR="00E9065B">
        <w:rPr>
          <w:rFonts w:ascii="Palatino Linotype" w:hAnsi="Palatino Linotype"/>
        </w:rPr>
        <w:t>5592</w:t>
      </w:r>
      <w:r w:rsidRPr="00E9065B">
        <w:rPr>
          <w:rFonts w:ascii="Palatino Linotype" w:hAnsi="Palatino Linotype"/>
        </w:rPr>
        <w:t xml:space="preserve">-E </w:t>
      </w:r>
      <w:r w:rsidR="00051E24">
        <w:rPr>
          <w:rFonts w:ascii="Palatino Linotype" w:hAnsi="Palatino Linotype"/>
        </w:rPr>
        <w:t xml:space="preserve">and AL 5592-E-A </w:t>
      </w:r>
      <w:r w:rsidRPr="00E9065B">
        <w:rPr>
          <w:rFonts w:ascii="Palatino Linotype" w:hAnsi="Palatino Linotype"/>
        </w:rPr>
        <w:t>was made by publication in th</w:t>
      </w:r>
      <w:r w:rsidRPr="00E9065B" w:rsidR="00B9039D">
        <w:rPr>
          <w:rFonts w:ascii="Palatino Linotype" w:hAnsi="Palatino Linotype"/>
        </w:rPr>
        <w:t xml:space="preserve">e </w:t>
      </w:r>
      <w:r w:rsidR="00D8046F">
        <w:rPr>
          <w:rFonts w:ascii="Palatino Linotype" w:hAnsi="Palatino Linotype"/>
        </w:rPr>
        <w:t>CPUC</w:t>
      </w:r>
      <w:r w:rsidRPr="00E9065B" w:rsidR="00D8046F">
        <w:rPr>
          <w:rFonts w:ascii="Palatino Linotype" w:hAnsi="Palatino Linotype"/>
        </w:rPr>
        <w:t xml:space="preserve">’s </w:t>
      </w:r>
      <w:r w:rsidRPr="00E9065B" w:rsidR="00B9039D">
        <w:rPr>
          <w:rFonts w:ascii="Palatino Linotype" w:hAnsi="Palatino Linotype"/>
        </w:rPr>
        <w:t xml:space="preserve">Daily Calendar. </w:t>
      </w:r>
      <w:r w:rsidRPr="00E9065B" w:rsidR="00E9065B">
        <w:rPr>
          <w:rFonts w:ascii="Palatino Linotype" w:hAnsi="Palatino Linotype"/>
        </w:rPr>
        <w:t>Pacific Gas and Electric Company</w:t>
      </w:r>
      <w:r w:rsidRPr="00E9065B" w:rsidR="00B9039D">
        <w:rPr>
          <w:rFonts w:ascii="Palatino Linotype" w:hAnsi="Palatino Linotype"/>
        </w:rPr>
        <w:t xml:space="preserve"> </w:t>
      </w:r>
      <w:r w:rsidRPr="00E9065B">
        <w:rPr>
          <w:rFonts w:ascii="Palatino Linotype" w:hAnsi="Palatino Linotype"/>
        </w:rPr>
        <w:t xml:space="preserve">states that a copy of the Advice Letter </w:t>
      </w:r>
      <w:r w:rsidR="00051E24">
        <w:rPr>
          <w:rFonts w:ascii="Palatino Linotype" w:hAnsi="Palatino Linotype"/>
        </w:rPr>
        <w:t xml:space="preserve">and Supplement </w:t>
      </w:r>
      <w:r w:rsidRPr="00E9065B">
        <w:rPr>
          <w:rFonts w:ascii="Palatino Linotype" w:hAnsi="Palatino Linotype"/>
        </w:rPr>
        <w:t>was mailed and distributed in accordance with Section 4 of General Order 96-B.</w:t>
      </w:r>
      <w:r w:rsidRPr="004B10D1">
        <w:rPr>
          <w:rFonts w:ascii="Palatino Linotype" w:hAnsi="Palatino Linotype"/>
        </w:rPr>
        <w:t xml:space="preserve"> </w:t>
      </w:r>
    </w:p>
    <w:p w:rsidR="009D535E" w:rsidP="009D535E" w:rsidRDefault="009D535E" w14:paraId="4C1C9E5F" w14:textId="77777777"/>
    <w:p w:rsidR="009D535E" w:rsidP="009D535E" w:rsidRDefault="009D535E" w14:paraId="00F481D3" w14:textId="77777777">
      <w:pPr>
        <w:pStyle w:val="Heading1"/>
      </w:pPr>
      <w:r>
        <w:t>Protests</w:t>
      </w:r>
    </w:p>
    <w:p w:rsidRPr="004B10D1" w:rsidR="009D535E" w:rsidP="009D535E" w:rsidRDefault="00051E24" w14:paraId="3F2530ED" w14:textId="77777777">
      <w:pPr>
        <w:rPr>
          <w:rFonts w:ascii="Palatino Linotype" w:hAnsi="Palatino Linotype"/>
        </w:rPr>
      </w:pPr>
      <w:r>
        <w:rPr>
          <w:rFonts w:ascii="Palatino Linotype" w:hAnsi="Palatino Linotype"/>
        </w:rPr>
        <w:t>Neither AL 5592-E nor</w:t>
      </w:r>
      <w:r w:rsidR="00B9039D">
        <w:rPr>
          <w:rFonts w:ascii="Palatino Linotype" w:hAnsi="Palatino Linotype"/>
        </w:rPr>
        <w:t xml:space="preserve"> </w:t>
      </w:r>
      <w:r w:rsidRPr="00E9065B" w:rsidR="00B9039D">
        <w:rPr>
          <w:rFonts w:ascii="Palatino Linotype" w:hAnsi="Palatino Linotype"/>
        </w:rPr>
        <w:t xml:space="preserve">AL </w:t>
      </w:r>
      <w:r w:rsidR="00E9065B">
        <w:rPr>
          <w:rFonts w:ascii="Palatino Linotype" w:hAnsi="Palatino Linotype"/>
        </w:rPr>
        <w:t>5592-E</w:t>
      </w:r>
      <w:r w:rsidR="00C04812">
        <w:rPr>
          <w:rFonts w:ascii="Palatino Linotype" w:hAnsi="Palatino Linotype"/>
        </w:rPr>
        <w:t>-A</w:t>
      </w:r>
      <w:r w:rsidRPr="004B10D1" w:rsidR="009D535E">
        <w:rPr>
          <w:rFonts w:ascii="Palatino Linotype" w:hAnsi="Palatino Linotype"/>
        </w:rPr>
        <w:t xml:space="preserve"> w</w:t>
      </w:r>
      <w:r>
        <w:rPr>
          <w:rFonts w:ascii="Palatino Linotype" w:hAnsi="Palatino Linotype"/>
        </w:rPr>
        <w:t>ere</w:t>
      </w:r>
      <w:r w:rsidRPr="004B10D1" w:rsidR="009D535E">
        <w:rPr>
          <w:rFonts w:ascii="Palatino Linotype" w:hAnsi="Palatino Linotype"/>
        </w:rPr>
        <w:t xml:space="preserve"> protested.  </w:t>
      </w:r>
    </w:p>
    <w:p w:rsidR="009D535E" w:rsidP="009D535E" w:rsidRDefault="009D535E" w14:paraId="10D2D390" w14:textId="77777777"/>
    <w:p w:rsidR="009D535E" w:rsidP="009D535E" w:rsidRDefault="009D535E" w14:paraId="030AE3A1" w14:textId="77777777">
      <w:pPr>
        <w:pStyle w:val="Heading1"/>
      </w:pPr>
      <w:r>
        <w:lastRenderedPageBreak/>
        <w:t>Discussion</w:t>
      </w:r>
    </w:p>
    <w:p w:rsidRPr="00532F8F" w:rsidR="009D535E" w:rsidP="009D535E" w:rsidRDefault="00B9039D" w14:paraId="4D051E56" w14:textId="487C02D0">
      <w:pPr>
        <w:rPr>
          <w:rFonts w:ascii="Palatino Linotype" w:hAnsi="Palatino Linotype"/>
        </w:rPr>
      </w:pPr>
      <w:r w:rsidRPr="00AC14E8">
        <w:rPr>
          <w:rFonts w:ascii="Palatino Linotype" w:hAnsi="Palatino Linotype"/>
        </w:rPr>
        <w:t>On July 2</w:t>
      </w:r>
      <w:r w:rsidRPr="00AC14E8" w:rsidR="00DD4C05">
        <w:rPr>
          <w:rFonts w:ascii="Palatino Linotype" w:hAnsi="Palatino Linotype"/>
        </w:rPr>
        <w:t>4</w:t>
      </w:r>
      <w:r w:rsidRPr="00AC14E8">
        <w:rPr>
          <w:rFonts w:ascii="Palatino Linotype" w:hAnsi="Palatino Linotype"/>
        </w:rPr>
        <w:t>, 201</w:t>
      </w:r>
      <w:r w:rsidRPr="00AC14E8" w:rsidR="00DD4C05">
        <w:rPr>
          <w:rFonts w:ascii="Palatino Linotype" w:hAnsi="Palatino Linotype"/>
        </w:rPr>
        <w:t>9</w:t>
      </w:r>
      <w:r w:rsidRPr="00AC14E8" w:rsidR="009D535E">
        <w:rPr>
          <w:rFonts w:ascii="Palatino Linotype" w:hAnsi="Palatino Linotype"/>
        </w:rPr>
        <w:t xml:space="preserve">, </w:t>
      </w:r>
      <w:r w:rsidRPr="00AC14E8" w:rsidR="00DD4C05">
        <w:rPr>
          <w:rFonts w:ascii="Palatino Linotype" w:hAnsi="Palatino Linotype"/>
        </w:rPr>
        <w:t>PG</w:t>
      </w:r>
      <w:r w:rsidRPr="00AC14E8">
        <w:rPr>
          <w:rFonts w:ascii="Palatino Linotype" w:hAnsi="Palatino Linotype"/>
        </w:rPr>
        <w:t>&amp;E</w:t>
      </w:r>
      <w:r w:rsidRPr="00AC14E8" w:rsidR="009D535E">
        <w:rPr>
          <w:rFonts w:ascii="Palatino Linotype" w:hAnsi="Palatino Linotype"/>
        </w:rPr>
        <w:t xml:space="preserve"> </w:t>
      </w:r>
      <w:r w:rsidRPr="00AC14E8">
        <w:rPr>
          <w:rFonts w:ascii="Palatino Linotype" w:hAnsi="Palatino Linotype"/>
        </w:rPr>
        <w:t xml:space="preserve">filed Advice Letter </w:t>
      </w:r>
      <w:r w:rsidRPr="00AC14E8" w:rsidR="00DD4C05">
        <w:rPr>
          <w:rFonts w:ascii="Palatino Linotype" w:hAnsi="Palatino Linotype"/>
        </w:rPr>
        <w:t>5592</w:t>
      </w:r>
      <w:r w:rsidRPr="00AC14E8" w:rsidR="009D535E">
        <w:rPr>
          <w:rFonts w:ascii="Palatino Linotype" w:hAnsi="Palatino Linotype"/>
        </w:rPr>
        <w:t xml:space="preserve">-E requesting </w:t>
      </w:r>
      <w:r w:rsidR="00D8046F">
        <w:rPr>
          <w:rFonts w:ascii="Palatino Linotype" w:hAnsi="Palatino Linotype"/>
        </w:rPr>
        <w:t>CPUC</w:t>
      </w:r>
      <w:r w:rsidRPr="00AC14E8" w:rsidR="00D8046F">
        <w:rPr>
          <w:rFonts w:ascii="Palatino Linotype" w:hAnsi="Palatino Linotype"/>
        </w:rPr>
        <w:t xml:space="preserve"> </w:t>
      </w:r>
      <w:r w:rsidRPr="00AC14E8" w:rsidR="009D535E">
        <w:rPr>
          <w:rFonts w:ascii="Palatino Linotype" w:hAnsi="Palatino Linotype"/>
        </w:rPr>
        <w:t>app</w:t>
      </w:r>
      <w:r w:rsidRPr="00AC14E8" w:rsidR="00D65AB4">
        <w:rPr>
          <w:rFonts w:ascii="Palatino Linotype" w:hAnsi="Palatino Linotype"/>
        </w:rPr>
        <w:t xml:space="preserve">roval of </w:t>
      </w:r>
      <w:r w:rsidR="002F7E48">
        <w:rPr>
          <w:rFonts w:ascii="Palatino Linotype" w:hAnsi="Palatino Linotype"/>
        </w:rPr>
        <w:t>three power purchase agreements</w:t>
      </w:r>
      <w:r w:rsidR="00DD4C05">
        <w:rPr>
          <w:rFonts w:ascii="Palatino Linotype" w:hAnsi="Palatino Linotype"/>
        </w:rPr>
        <w:t xml:space="preserve"> and the associated cost recovery.</w:t>
      </w:r>
      <w:r w:rsidR="00121C1A">
        <w:rPr>
          <w:rFonts w:ascii="Palatino Linotype" w:hAnsi="Palatino Linotype"/>
        </w:rPr>
        <w:t xml:space="preserve"> </w:t>
      </w:r>
      <w:r w:rsidRPr="00532F8F" w:rsidR="00121C1A">
        <w:rPr>
          <w:rFonts w:ascii="Palatino Linotype" w:hAnsi="Palatino Linotype"/>
        </w:rPr>
        <w:t>I</w:t>
      </w:r>
      <w:r w:rsidRPr="00532F8F" w:rsidR="009D535E">
        <w:rPr>
          <w:rFonts w:ascii="Palatino Linotype" w:hAnsi="Palatino Linotype"/>
        </w:rPr>
        <w:t>n Advice Letter</w:t>
      </w:r>
      <w:r w:rsidR="00590218">
        <w:rPr>
          <w:rFonts w:ascii="Palatino Linotype" w:hAnsi="Palatino Linotype"/>
        </w:rPr>
        <w:t xml:space="preserve"> 5592-E</w:t>
      </w:r>
      <w:r w:rsidRPr="00532F8F" w:rsidR="009D535E">
        <w:rPr>
          <w:rFonts w:ascii="Palatino Linotype" w:hAnsi="Palatino Linotype"/>
        </w:rPr>
        <w:t xml:space="preserve">, </w:t>
      </w:r>
      <w:r w:rsidRPr="00532F8F" w:rsidR="00DD4C05">
        <w:rPr>
          <w:rFonts w:ascii="Palatino Linotype" w:hAnsi="Palatino Linotype"/>
        </w:rPr>
        <w:t>P</w:t>
      </w:r>
      <w:r w:rsidRPr="00532F8F" w:rsidR="00935355">
        <w:rPr>
          <w:rFonts w:ascii="Palatino Linotype" w:hAnsi="Palatino Linotype"/>
        </w:rPr>
        <w:t>G&amp;E</w:t>
      </w:r>
      <w:r w:rsidRPr="00532F8F" w:rsidR="009D535E">
        <w:rPr>
          <w:rFonts w:ascii="Palatino Linotype" w:hAnsi="Palatino Linotype"/>
        </w:rPr>
        <w:t xml:space="preserve"> requested that the </w:t>
      </w:r>
      <w:r w:rsidR="00D8046F">
        <w:rPr>
          <w:rFonts w:ascii="Palatino Linotype" w:hAnsi="Palatino Linotype"/>
        </w:rPr>
        <w:t>CPUC</w:t>
      </w:r>
      <w:r w:rsidRPr="00532F8F" w:rsidR="009D535E">
        <w:rPr>
          <w:rFonts w:ascii="Palatino Linotype" w:hAnsi="Palatino Linotype"/>
        </w:rPr>
        <w:t>:</w:t>
      </w:r>
    </w:p>
    <w:p w:rsidR="009D535E" w:rsidP="009D535E" w:rsidRDefault="009D535E" w14:paraId="5869A5ED" w14:textId="77777777"/>
    <w:p w:rsidRPr="001956E2" w:rsidR="009D535E" w:rsidP="00DD4C05" w:rsidRDefault="00DD4C05" w14:paraId="680F6962" w14:textId="5884BA3B">
      <w:pPr>
        <w:numPr>
          <w:ilvl w:val="0"/>
          <w:numId w:val="20"/>
        </w:numPr>
        <w:rPr>
          <w:rFonts w:ascii="Palatino Linotype" w:hAnsi="Palatino Linotype"/>
        </w:rPr>
      </w:pPr>
      <w:r w:rsidRPr="001956E2">
        <w:rPr>
          <w:rFonts w:ascii="Palatino Linotype" w:hAnsi="Palatino Linotype"/>
        </w:rPr>
        <w:t>Approve the modified As-Available CHP PPA with Aera Energy, LLC in its entirety.</w:t>
      </w:r>
    </w:p>
    <w:p w:rsidRPr="001956E2" w:rsidR="00DD4C05" w:rsidP="00DD4C05" w:rsidRDefault="00DD4C05" w14:paraId="324AD135" w14:textId="76E94D03">
      <w:pPr>
        <w:numPr>
          <w:ilvl w:val="0"/>
          <w:numId w:val="20"/>
        </w:numPr>
        <w:rPr>
          <w:rFonts w:ascii="Palatino Linotype" w:hAnsi="Palatino Linotype"/>
        </w:rPr>
      </w:pPr>
      <w:r w:rsidRPr="001956E2">
        <w:rPr>
          <w:rFonts w:ascii="Palatino Linotype" w:hAnsi="Palatino Linotype"/>
        </w:rPr>
        <w:t>Approve the modified PURPA PPA</w:t>
      </w:r>
      <w:r w:rsidRPr="001956E2" w:rsidR="00C04812">
        <w:rPr>
          <w:rFonts w:ascii="Palatino Linotype" w:hAnsi="Palatino Linotype"/>
        </w:rPr>
        <w:t>s</w:t>
      </w:r>
      <w:r w:rsidRPr="001956E2">
        <w:rPr>
          <w:rFonts w:ascii="Palatino Linotype" w:hAnsi="Palatino Linotype"/>
        </w:rPr>
        <w:t xml:space="preserve"> with EIF Haypress, LLC and Berry Petroleum, LLC in their entirety.</w:t>
      </w:r>
    </w:p>
    <w:p w:rsidRPr="001956E2" w:rsidR="00DD4C05" w:rsidP="00DD4C05" w:rsidRDefault="00DD4C05" w14:paraId="7B48BAB6" w14:textId="6F3C5549">
      <w:pPr>
        <w:numPr>
          <w:ilvl w:val="0"/>
          <w:numId w:val="20"/>
        </w:numPr>
        <w:rPr>
          <w:rFonts w:ascii="Palatino Linotype" w:hAnsi="Palatino Linotype"/>
        </w:rPr>
      </w:pPr>
      <w:bookmarkStart w:name="_Hlk31099783" w:id="4"/>
      <w:r w:rsidRPr="001956E2">
        <w:rPr>
          <w:rFonts w:ascii="Palatino Linotype" w:hAnsi="Palatino Linotype"/>
        </w:rPr>
        <w:t>Determine that all costs incurred from execution date of the modified PURPA PPAs and As-Available CHP PPA are reasonable and recoverable through rates.</w:t>
      </w:r>
    </w:p>
    <w:p w:rsidRPr="001956E2" w:rsidR="00DD4C05" w:rsidP="00DD4C05" w:rsidRDefault="00DD4C05" w14:paraId="302FDDDE" w14:textId="78A0D29E">
      <w:pPr>
        <w:numPr>
          <w:ilvl w:val="0"/>
          <w:numId w:val="20"/>
        </w:numPr>
        <w:rPr>
          <w:rFonts w:ascii="Palatino Linotype" w:hAnsi="Palatino Linotype"/>
        </w:rPr>
      </w:pPr>
      <w:r w:rsidRPr="001956E2">
        <w:rPr>
          <w:rFonts w:ascii="Palatino Linotype" w:hAnsi="Palatino Linotype"/>
        </w:rPr>
        <w:t xml:space="preserve">Determine that all costs incurred from execution date of the modified As-Available CHP PPA with AERA Energy, LLC, are recoverable </w:t>
      </w:r>
      <w:r w:rsidRPr="001956E2" w:rsidR="00CF6FD5">
        <w:rPr>
          <w:rFonts w:ascii="Palatino Linotype" w:hAnsi="Palatino Linotype"/>
        </w:rPr>
        <w:t xml:space="preserve">through the </w:t>
      </w:r>
      <w:r w:rsidRPr="001956E2" w:rsidR="002A3CE0">
        <w:rPr>
          <w:rFonts w:ascii="Palatino Linotype" w:hAnsi="Palatino Linotype"/>
        </w:rPr>
        <w:t>Cost Allocation Mechanism</w:t>
      </w:r>
      <w:r w:rsidRPr="001956E2" w:rsidR="00CF6FD5">
        <w:rPr>
          <w:rFonts w:ascii="Palatino Linotype" w:hAnsi="Palatino Linotype"/>
        </w:rPr>
        <w:t>.</w:t>
      </w:r>
    </w:p>
    <w:p w:rsidRPr="001956E2" w:rsidR="00CF6FD5" w:rsidP="00DD4C05" w:rsidRDefault="00CF6FD5" w14:paraId="375F49F7" w14:textId="4CBCF667">
      <w:pPr>
        <w:numPr>
          <w:ilvl w:val="0"/>
          <w:numId w:val="20"/>
        </w:numPr>
        <w:rPr>
          <w:rFonts w:ascii="Palatino Linotype" w:hAnsi="Palatino Linotype"/>
        </w:rPr>
      </w:pPr>
      <w:r w:rsidRPr="001956E2">
        <w:rPr>
          <w:rFonts w:ascii="Palatino Linotype" w:hAnsi="Palatino Linotype"/>
        </w:rPr>
        <w:t xml:space="preserve">Determine that all costs incurred from execution date of the modified PURPA PPA with Berry Petroleum, LLC are recoverable through the </w:t>
      </w:r>
      <w:r w:rsidRPr="001956E2" w:rsidR="002A3CE0">
        <w:rPr>
          <w:rFonts w:ascii="Palatino Linotype" w:hAnsi="Palatino Linotype"/>
        </w:rPr>
        <w:t>Cost Allocation Mechanism</w:t>
      </w:r>
      <w:r w:rsidRPr="001956E2">
        <w:rPr>
          <w:rFonts w:ascii="Palatino Linotype" w:hAnsi="Palatino Linotype"/>
        </w:rPr>
        <w:t>.</w:t>
      </w:r>
    </w:p>
    <w:p w:rsidRPr="001956E2" w:rsidR="00CF6FD5" w:rsidP="00DD4C05" w:rsidRDefault="00CF6FD5" w14:paraId="5DA56B09" w14:textId="0845A2C4">
      <w:pPr>
        <w:numPr>
          <w:ilvl w:val="0"/>
          <w:numId w:val="20"/>
        </w:numPr>
        <w:rPr>
          <w:rFonts w:ascii="Palatino Linotype" w:hAnsi="Palatino Linotype"/>
        </w:rPr>
      </w:pPr>
      <w:r w:rsidRPr="001956E2">
        <w:rPr>
          <w:rFonts w:ascii="Palatino Linotype" w:hAnsi="Palatino Linotype"/>
        </w:rPr>
        <w:t>Determine that all costs incurred from execution date of the modified PURPA PPA with EIF Haypress, LLC are recoverable through the Portfolio Allocation Balancing Account on a non-vintaged basis.</w:t>
      </w:r>
    </w:p>
    <w:p w:rsidRPr="001956E2" w:rsidR="00CF6FD5" w:rsidP="00DD4C05" w:rsidRDefault="00CF6FD5" w14:paraId="2E081E19" w14:textId="7281E868">
      <w:pPr>
        <w:numPr>
          <w:ilvl w:val="0"/>
          <w:numId w:val="20"/>
        </w:numPr>
        <w:rPr>
          <w:rFonts w:ascii="Palatino Linotype" w:hAnsi="Palatino Linotype"/>
        </w:rPr>
      </w:pPr>
      <w:r w:rsidRPr="001956E2">
        <w:rPr>
          <w:rFonts w:ascii="Palatino Linotype" w:hAnsi="Palatino Linotype"/>
        </w:rPr>
        <w:t xml:space="preserve">Issue a finding of fact that both Tannehill facility and South Belridge Cogeneration Facility comply with the </w:t>
      </w:r>
      <w:r w:rsidRPr="001956E2" w:rsidR="002A3CE0">
        <w:rPr>
          <w:rFonts w:ascii="Palatino Linotype" w:hAnsi="Palatino Linotype"/>
        </w:rPr>
        <w:t>Emissions Performance Standard</w:t>
      </w:r>
      <w:r w:rsidRPr="001956E2">
        <w:rPr>
          <w:rFonts w:ascii="Palatino Linotype" w:hAnsi="Palatino Linotype"/>
        </w:rPr>
        <w:t>.</w:t>
      </w:r>
    </w:p>
    <w:bookmarkEnd w:id="4"/>
    <w:p w:rsidR="00CF6FD5" w:rsidP="00CF6FD5" w:rsidRDefault="00CF6FD5" w14:paraId="08777928" w14:textId="3C58C9A7"/>
    <w:p w:rsidR="00960CBE" w:rsidP="00CF6FD5" w:rsidRDefault="00960CBE" w14:paraId="353CEA3A" w14:textId="7CBDC840">
      <w:r>
        <w:rPr>
          <w:rFonts w:ascii="Palatino Linotype" w:hAnsi="Palatino Linotype"/>
        </w:rPr>
        <w:t xml:space="preserve">PG&amp;E then filed supplemental Advice Letter 5592-E-A on January 17, 2020 which extended the power purchase agreement with </w:t>
      </w:r>
      <w:r w:rsidRPr="00D8046F">
        <w:rPr>
          <w:rFonts w:ascii="Palatino Linotype" w:hAnsi="Palatino Linotype"/>
        </w:rPr>
        <w:t>EIF Haypress, LLC</w:t>
      </w:r>
      <w:r>
        <w:rPr>
          <w:rFonts w:ascii="Palatino Linotype" w:hAnsi="Palatino Linotype"/>
        </w:rPr>
        <w:t xml:space="preserve"> from 8 to 16 months</w:t>
      </w:r>
      <w:r w:rsidR="00B94FD9">
        <w:rPr>
          <w:rFonts w:ascii="Palatino Linotype" w:hAnsi="Palatino Linotype"/>
        </w:rPr>
        <w:t xml:space="preserve"> and provided safety plans for the facilities.</w:t>
      </w:r>
    </w:p>
    <w:p w:rsidR="00CF6FD5" w:rsidP="00CF6FD5" w:rsidRDefault="00CF6FD5" w14:paraId="6A6F9F5D" w14:textId="77777777"/>
    <w:p w:rsidRPr="007B164E" w:rsidR="009D535E" w:rsidP="009D535E" w:rsidRDefault="009D535E" w14:paraId="57419697" w14:textId="77777777">
      <w:pPr>
        <w:spacing w:after="120"/>
        <w:rPr>
          <w:rFonts w:ascii="Palatino Linotype" w:hAnsi="Palatino Linotype"/>
        </w:rPr>
      </w:pPr>
      <w:bookmarkStart w:name="_Hlk37171205" w:id="5"/>
      <w:r w:rsidRPr="007B164E">
        <w:rPr>
          <w:rFonts w:ascii="Palatino Linotype" w:hAnsi="Palatino Linotype"/>
          <w:b/>
        </w:rPr>
        <w:t>Energy Division evaluated the Proposed PPA</w:t>
      </w:r>
      <w:r w:rsidR="00B524B9">
        <w:rPr>
          <w:rFonts w:ascii="Palatino Linotype" w:hAnsi="Palatino Linotype"/>
          <w:b/>
        </w:rPr>
        <w:t>s</w:t>
      </w:r>
      <w:r w:rsidRPr="007B164E">
        <w:rPr>
          <w:rFonts w:ascii="Palatino Linotype" w:hAnsi="Palatino Linotype"/>
          <w:b/>
        </w:rPr>
        <w:t xml:space="preserve"> based on the following criteria</w:t>
      </w:r>
    </w:p>
    <w:p w:rsidRPr="007B164E" w:rsidR="009D535E" w:rsidP="009D535E" w:rsidRDefault="009D535E" w14:paraId="0A3AF69A" w14:textId="130DCF64">
      <w:pPr>
        <w:numPr>
          <w:ilvl w:val="0"/>
          <w:numId w:val="12"/>
        </w:numPr>
        <w:rPr>
          <w:rFonts w:ascii="Palatino Linotype" w:hAnsi="Palatino Linotype"/>
        </w:rPr>
      </w:pPr>
      <w:r w:rsidRPr="007B164E">
        <w:rPr>
          <w:rFonts w:ascii="Palatino Linotype" w:hAnsi="Palatino Linotype"/>
        </w:rPr>
        <w:t xml:space="preserve">Consistency with the </w:t>
      </w:r>
      <w:r w:rsidR="00B94FD9">
        <w:rPr>
          <w:rFonts w:ascii="Palatino Linotype" w:hAnsi="Palatino Linotype"/>
        </w:rPr>
        <w:t xml:space="preserve">QF/CHP </w:t>
      </w:r>
      <w:r w:rsidRPr="007B164E">
        <w:rPr>
          <w:rFonts w:ascii="Palatino Linotype" w:hAnsi="Palatino Linotype"/>
        </w:rPr>
        <w:t>Settlement</w:t>
      </w:r>
    </w:p>
    <w:p w:rsidRPr="0050182C" w:rsidR="00073A20" w:rsidP="00073A20" w:rsidRDefault="00073A20" w14:paraId="131319F6" w14:textId="77777777">
      <w:pPr>
        <w:pStyle w:val="Default"/>
        <w:numPr>
          <w:ilvl w:val="0"/>
          <w:numId w:val="12"/>
        </w:numPr>
        <w:rPr>
          <w:rFonts w:ascii="Palatino Linotype" w:hAnsi="Palatino Linotype"/>
          <w:sz w:val="26"/>
          <w:szCs w:val="26"/>
        </w:rPr>
      </w:pPr>
      <w:r>
        <w:rPr>
          <w:rFonts w:ascii="Palatino Linotype" w:hAnsi="Palatino Linotype"/>
          <w:sz w:val="26"/>
          <w:szCs w:val="26"/>
        </w:rPr>
        <w:t>Reasonableness of the Riders</w:t>
      </w:r>
    </w:p>
    <w:p w:rsidRPr="007B164E" w:rsidR="009D535E" w:rsidP="00051E24" w:rsidRDefault="009D535E" w14:paraId="5ED7A5B1" w14:textId="77777777">
      <w:pPr>
        <w:numPr>
          <w:ilvl w:val="0"/>
          <w:numId w:val="12"/>
        </w:numPr>
        <w:rPr>
          <w:rFonts w:ascii="Palatino Linotype" w:hAnsi="Palatino Linotype"/>
        </w:rPr>
      </w:pPr>
      <w:r w:rsidRPr="007B164E">
        <w:rPr>
          <w:rFonts w:ascii="Palatino Linotype" w:hAnsi="Palatino Linotype"/>
        </w:rPr>
        <w:t>Need for Procurement</w:t>
      </w:r>
    </w:p>
    <w:p w:rsidR="009D535E" w:rsidP="00051E24" w:rsidRDefault="009D535E" w14:paraId="11FC6167" w14:textId="77777777">
      <w:pPr>
        <w:numPr>
          <w:ilvl w:val="0"/>
          <w:numId w:val="12"/>
        </w:numPr>
        <w:rPr>
          <w:rFonts w:ascii="Palatino Linotype" w:hAnsi="Palatino Linotype"/>
        </w:rPr>
      </w:pPr>
      <w:r w:rsidRPr="007B164E">
        <w:rPr>
          <w:rFonts w:ascii="Palatino Linotype" w:hAnsi="Palatino Linotype"/>
        </w:rPr>
        <w:t>Cost Reasonableness</w:t>
      </w:r>
    </w:p>
    <w:p w:rsidRPr="007B164E" w:rsidR="00366786" w:rsidP="00051E24" w:rsidRDefault="00366786" w14:paraId="1A3167B0" w14:textId="77777777">
      <w:pPr>
        <w:numPr>
          <w:ilvl w:val="0"/>
          <w:numId w:val="12"/>
        </w:numPr>
        <w:rPr>
          <w:rFonts w:ascii="Palatino Linotype" w:hAnsi="Palatino Linotype"/>
        </w:rPr>
      </w:pPr>
      <w:r>
        <w:rPr>
          <w:rFonts w:ascii="Palatino Linotype" w:hAnsi="Palatino Linotype"/>
        </w:rPr>
        <w:t>Cost Recovery</w:t>
      </w:r>
    </w:p>
    <w:p w:rsidRPr="007B164E" w:rsidR="009D535E" w:rsidP="00051E24" w:rsidRDefault="009D535E" w14:paraId="74639869" w14:textId="77777777">
      <w:pPr>
        <w:numPr>
          <w:ilvl w:val="0"/>
          <w:numId w:val="12"/>
        </w:numPr>
        <w:rPr>
          <w:rFonts w:ascii="Palatino Linotype" w:hAnsi="Palatino Linotype"/>
        </w:rPr>
      </w:pPr>
      <w:r w:rsidRPr="007B164E">
        <w:rPr>
          <w:rFonts w:ascii="Palatino Linotype" w:hAnsi="Palatino Linotype"/>
        </w:rPr>
        <w:t>Public Safety</w:t>
      </w:r>
    </w:p>
    <w:p w:rsidRPr="007B164E" w:rsidR="009D535E" w:rsidP="00051E24" w:rsidRDefault="009D535E" w14:paraId="2BDAED4E" w14:textId="77777777">
      <w:pPr>
        <w:numPr>
          <w:ilvl w:val="0"/>
          <w:numId w:val="12"/>
        </w:numPr>
        <w:rPr>
          <w:rFonts w:ascii="Palatino Linotype" w:hAnsi="Palatino Linotype"/>
        </w:rPr>
      </w:pPr>
      <w:r w:rsidRPr="007B164E">
        <w:rPr>
          <w:rFonts w:ascii="Palatino Linotype" w:hAnsi="Palatino Linotype"/>
        </w:rPr>
        <w:lastRenderedPageBreak/>
        <w:t>Consistency with the Emissions Performance Standard</w:t>
      </w:r>
    </w:p>
    <w:p w:rsidRPr="007B164E" w:rsidR="009D535E" w:rsidP="00051E24" w:rsidRDefault="009D535E" w14:paraId="08CE983D" w14:textId="77777777">
      <w:pPr>
        <w:numPr>
          <w:ilvl w:val="0"/>
          <w:numId w:val="12"/>
        </w:numPr>
        <w:rPr>
          <w:rFonts w:ascii="Palatino Linotype" w:hAnsi="Palatino Linotype"/>
        </w:rPr>
      </w:pPr>
      <w:r w:rsidRPr="007B164E">
        <w:rPr>
          <w:rFonts w:ascii="Palatino Linotype" w:hAnsi="Palatino Linotype"/>
        </w:rPr>
        <w:t xml:space="preserve">Cost Allocation Mechanism Group </w:t>
      </w:r>
      <w:r w:rsidR="00051E24">
        <w:rPr>
          <w:rFonts w:ascii="Palatino Linotype" w:hAnsi="Palatino Linotype"/>
        </w:rPr>
        <w:t>P</w:t>
      </w:r>
      <w:r w:rsidRPr="007B164E">
        <w:rPr>
          <w:rFonts w:ascii="Palatino Linotype" w:hAnsi="Palatino Linotype"/>
        </w:rPr>
        <w:t>articipation</w:t>
      </w:r>
    </w:p>
    <w:p w:rsidR="009D535E" w:rsidP="00051E24" w:rsidRDefault="009D535E" w14:paraId="78B319E6" w14:textId="77777777">
      <w:pPr>
        <w:pStyle w:val="Default"/>
        <w:numPr>
          <w:ilvl w:val="0"/>
          <w:numId w:val="12"/>
        </w:numPr>
        <w:rPr>
          <w:rFonts w:ascii="Palatino Linotype" w:hAnsi="Palatino Linotype"/>
          <w:sz w:val="26"/>
          <w:szCs w:val="26"/>
        </w:rPr>
      </w:pPr>
      <w:r>
        <w:rPr>
          <w:rFonts w:ascii="Palatino Linotype" w:hAnsi="Palatino Linotype"/>
          <w:sz w:val="26"/>
          <w:szCs w:val="26"/>
        </w:rPr>
        <w:t>Disadvantaged Community Designation</w:t>
      </w:r>
    </w:p>
    <w:bookmarkEnd w:id="5"/>
    <w:p w:rsidR="009D535E" w:rsidP="009D535E" w:rsidRDefault="009D535E" w14:paraId="09F5802C" w14:textId="77777777"/>
    <w:p w:rsidRPr="007B164E" w:rsidR="009D535E" w:rsidP="009D535E" w:rsidRDefault="009D535E" w14:paraId="2A42D5F4" w14:textId="5B3523F5">
      <w:pPr>
        <w:pStyle w:val="Default"/>
        <w:spacing w:after="120"/>
        <w:rPr>
          <w:rFonts w:ascii="Palatino Linotype" w:hAnsi="Palatino Linotype"/>
        </w:rPr>
      </w:pPr>
      <w:r w:rsidRPr="007B164E">
        <w:rPr>
          <w:rFonts w:ascii="Palatino Linotype" w:hAnsi="Palatino Linotype"/>
          <w:b/>
        </w:rPr>
        <w:t xml:space="preserve">Consistency with </w:t>
      </w:r>
      <w:r w:rsidRPr="00907716">
        <w:rPr>
          <w:rFonts w:ascii="Palatino Linotype" w:hAnsi="Palatino Linotype"/>
          <w:b/>
        </w:rPr>
        <w:t>the QF/CHP Settlement</w:t>
      </w:r>
    </w:p>
    <w:p w:rsidR="00283511" w:rsidP="009D535E" w:rsidRDefault="00283511" w14:paraId="6116AD6F" w14:textId="77777777">
      <w:pPr>
        <w:rPr>
          <w:rFonts w:ascii="Palatino Linotype" w:hAnsi="Palatino Linotype"/>
        </w:rPr>
      </w:pPr>
    </w:p>
    <w:p w:rsidR="001C159D" w:rsidP="009D535E" w:rsidRDefault="001C159D" w14:paraId="3E085337" w14:textId="20B14E97">
      <w:pPr>
        <w:rPr>
          <w:rFonts w:ascii="Palatino Linotype" w:hAnsi="Palatino Linotype"/>
        </w:rPr>
      </w:pPr>
      <w:r>
        <w:rPr>
          <w:rFonts w:ascii="Palatino Linotype" w:hAnsi="Palatino Linotype"/>
        </w:rPr>
        <w:t xml:space="preserve">In D.10-12-035, the </w:t>
      </w:r>
      <w:r w:rsidR="00D8046F">
        <w:rPr>
          <w:rFonts w:ascii="Palatino Linotype" w:hAnsi="Palatino Linotype"/>
        </w:rPr>
        <w:t xml:space="preserve">CPUC </w:t>
      </w:r>
      <w:r>
        <w:rPr>
          <w:rFonts w:ascii="Palatino Linotype" w:hAnsi="Palatino Linotype"/>
        </w:rPr>
        <w:t xml:space="preserve">approved the QF/CHP Settlement Agreement, which includes several standard offer contracts for Qualifying Facilities, including the As-Available CHP PPA and the </w:t>
      </w:r>
      <w:r w:rsidRPr="001C159D">
        <w:rPr>
          <w:rFonts w:ascii="Palatino Linotype" w:hAnsi="Palatino Linotype"/>
        </w:rPr>
        <w:t>≤20 MW PURPA PPA</w:t>
      </w:r>
      <w:r w:rsidR="004D0157">
        <w:rPr>
          <w:rFonts w:ascii="Palatino Linotype" w:hAnsi="Palatino Linotype"/>
        </w:rPr>
        <w:t>.</w:t>
      </w:r>
      <w:r>
        <w:rPr>
          <w:rFonts w:ascii="Palatino Linotype" w:hAnsi="Palatino Linotype"/>
        </w:rPr>
        <w:t xml:space="preserve"> </w:t>
      </w:r>
      <w:r w:rsidR="004D0157">
        <w:rPr>
          <w:rFonts w:ascii="Palatino Linotype" w:hAnsi="Palatino Linotype"/>
        </w:rPr>
        <w:t xml:space="preserve">PG&amp;E </w:t>
      </w:r>
      <w:r>
        <w:rPr>
          <w:rFonts w:ascii="Palatino Linotype" w:hAnsi="Palatino Linotype"/>
        </w:rPr>
        <w:t xml:space="preserve">cannot execute the pro-forma </w:t>
      </w:r>
      <w:r w:rsidR="002D1E82">
        <w:rPr>
          <w:rFonts w:ascii="Palatino Linotype" w:hAnsi="Palatino Linotype"/>
        </w:rPr>
        <w:t xml:space="preserve">Agreements </w:t>
      </w:r>
      <w:r w:rsidR="00B05828">
        <w:rPr>
          <w:rFonts w:ascii="Palatino Linotype" w:hAnsi="Palatino Linotype"/>
        </w:rPr>
        <w:t xml:space="preserve">as written </w:t>
      </w:r>
      <w:r w:rsidR="002D1E82">
        <w:rPr>
          <w:rFonts w:ascii="Palatino Linotype" w:hAnsi="Palatino Linotype"/>
        </w:rPr>
        <w:t xml:space="preserve">due to its bankruptcy. </w:t>
      </w:r>
      <w:r w:rsidR="00745CF5">
        <w:rPr>
          <w:rFonts w:ascii="Palatino Linotype" w:hAnsi="Palatino Linotype"/>
        </w:rPr>
        <w:t xml:space="preserve">Section 4.10.2 of the </w:t>
      </w:r>
      <w:r w:rsidR="00B94FD9">
        <w:rPr>
          <w:rFonts w:ascii="Palatino Linotype" w:hAnsi="Palatino Linotype"/>
        </w:rPr>
        <w:t xml:space="preserve">QF/CHP </w:t>
      </w:r>
      <w:r w:rsidR="002D1E82">
        <w:rPr>
          <w:rFonts w:ascii="Palatino Linotype" w:hAnsi="Palatino Linotype"/>
        </w:rPr>
        <w:t>Settlement Term Sheet permits modified</w:t>
      </w:r>
      <w:r w:rsidR="00B94FD9">
        <w:rPr>
          <w:rFonts w:ascii="Palatino Linotype" w:hAnsi="Palatino Linotype"/>
        </w:rPr>
        <w:t xml:space="preserve"> QF/CHP</w:t>
      </w:r>
      <w:r w:rsidR="002D1E82">
        <w:rPr>
          <w:rFonts w:ascii="Palatino Linotype" w:hAnsi="Palatino Linotype"/>
        </w:rPr>
        <w:t xml:space="preserve"> Settlement PPAs if approved via a Tier 3 advice letter. </w:t>
      </w:r>
      <w:r w:rsidR="001830F1">
        <w:rPr>
          <w:rFonts w:ascii="Palatino Linotype" w:hAnsi="Palatino Linotype"/>
        </w:rPr>
        <w:t xml:space="preserve">The proposed modifications to the PPAs do not modify the underlying structure of the PPAs. </w:t>
      </w:r>
      <w:r w:rsidR="002D1E82">
        <w:rPr>
          <w:rFonts w:ascii="Palatino Linotype" w:hAnsi="Palatino Linotype"/>
        </w:rPr>
        <w:t xml:space="preserve">By submitting this advice letter, PG&amp;E </w:t>
      </w:r>
      <w:r w:rsidR="00051E24">
        <w:rPr>
          <w:rFonts w:ascii="Palatino Linotype" w:hAnsi="Palatino Linotype"/>
        </w:rPr>
        <w:t xml:space="preserve">used the appropriate procedural mechanism as specified in the </w:t>
      </w:r>
      <w:r w:rsidR="00B94FD9">
        <w:rPr>
          <w:rFonts w:ascii="Palatino Linotype" w:hAnsi="Palatino Linotype"/>
        </w:rPr>
        <w:t xml:space="preserve">QF/CHP </w:t>
      </w:r>
      <w:r w:rsidR="00051E24">
        <w:rPr>
          <w:rFonts w:ascii="Palatino Linotype" w:hAnsi="Palatino Linotype"/>
        </w:rPr>
        <w:t>Settlement</w:t>
      </w:r>
      <w:r w:rsidR="001830F1">
        <w:rPr>
          <w:rFonts w:ascii="Palatino Linotype" w:hAnsi="Palatino Linotype"/>
        </w:rPr>
        <w:t xml:space="preserve"> and submitted QF/CHP Settlement compliant PPAs</w:t>
      </w:r>
      <w:r w:rsidR="002D1E82">
        <w:rPr>
          <w:rFonts w:ascii="Palatino Linotype" w:hAnsi="Palatino Linotype"/>
        </w:rPr>
        <w:t>.</w:t>
      </w:r>
    </w:p>
    <w:p w:rsidR="001C159D" w:rsidP="009D535E" w:rsidRDefault="001C159D" w14:paraId="606D414A" w14:textId="6F162284">
      <w:pPr>
        <w:rPr>
          <w:rFonts w:ascii="Palatino Linotype" w:hAnsi="Palatino Linotype"/>
        </w:rPr>
      </w:pPr>
    </w:p>
    <w:p w:rsidR="00073A20" w:rsidP="00073A20" w:rsidRDefault="00073A20" w14:paraId="5A6EABB1" w14:textId="77777777">
      <w:pPr>
        <w:rPr>
          <w:rFonts w:ascii="Palatino Linotype" w:hAnsi="Palatino Linotype"/>
          <w:b/>
        </w:rPr>
      </w:pPr>
      <w:r>
        <w:rPr>
          <w:rFonts w:ascii="Palatino Linotype" w:hAnsi="Palatino Linotype"/>
          <w:b/>
        </w:rPr>
        <w:t>Reasonableness of the Riders</w:t>
      </w:r>
    </w:p>
    <w:p w:rsidRPr="00D03019" w:rsidR="00073A20" w:rsidP="00073A20" w:rsidRDefault="00073A20" w14:paraId="62BD9026" w14:textId="77777777">
      <w:pPr>
        <w:rPr>
          <w:rFonts w:ascii="Palatino Linotype" w:hAnsi="Palatino Linotype"/>
          <w:b/>
        </w:rPr>
      </w:pPr>
    </w:p>
    <w:p w:rsidR="00511E07" w:rsidP="00073A20" w:rsidRDefault="00073A20" w14:paraId="62171119" w14:textId="234421D4">
      <w:pPr>
        <w:spacing w:after="240"/>
        <w:rPr>
          <w:rFonts w:ascii="Palatino Linotype" w:hAnsi="Palatino Linotype"/>
          <w:szCs w:val="26"/>
        </w:rPr>
      </w:pPr>
      <w:r>
        <w:rPr>
          <w:rFonts w:ascii="Palatino Linotype" w:hAnsi="Palatino Linotype"/>
          <w:szCs w:val="26"/>
        </w:rPr>
        <w:t xml:space="preserve">Pursuant to PURPA, </w:t>
      </w:r>
      <w:r w:rsidRPr="00D8046F">
        <w:rPr>
          <w:rFonts w:ascii="Palatino Linotype" w:hAnsi="Palatino Linotype"/>
          <w:szCs w:val="26"/>
        </w:rPr>
        <w:t>CPUC has approved a series of standard offer contracts</w:t>
      </w:r>
      <w:r w:rsidR="001846C7">
        <w:rPr>
          <w:rFonts w:ascii="Palatino Linotype" w:hAnsi="Palatino Linotype"/>
          <w:szCs w:val="26"/>
        </w:rPr>
        <w:t xml:space="preserve">, such as the </w:t>
      </w:r>
      <w:r w:rsidRPr="00D8046F" w:rsidR="001846C7">
        <w:rPr>
          <w:rFonts w:ascii="Palatino Linotype" w:hAnsi="Palatino Linotype"/>
          <w:szCs w:val="26"/>
        </w:rPr>
        <w:t>As-Available CHP PPA and the ≤20 MW PURPA contract</w:t>
      </w:r>
      <w:r w:rsidR="001846C7">
        <w:rPr>
          <w:rFonts w:ascii="Palatino Linotype" w:hAnsi="Palatino Linotype"/>
          <w:szCs w:val="26"/>
        </w:rPr>
        <w:t>,</w:t>
      </w:r>
      <w:r w:rsidRPr="00D8046F">
        <w:rPr>
          <w:rFonts w:ascii="Palatino Linotype" w:hAnsi="Palatino Linotype"/>
          <w:szCs w:val="26"/>
        </w:rPr>
        <w:t xml:space="preserve"> available to </w:t>
      </w:r>
      <w:r w:rsidR="001846C7">
        <w:rPr>
          <w:rFonts w:ascii="Palatino Linotype" w:hAnsi="Palatino Linotype"/>
          <w:szCs w:val="26"/>
        </w:rPr>
        <w:t>QFs</w:t>
      </w:r>
      <w:r w:rsidR="009D1A2A">
        <w:rPr>
          <w:rFonts w:ascii="Palatino Linotype" w:hAnsi="Palatino Linotype"/>
          <w:szCs w:val="26"/>
        </w:rPr>
        <w:t>.</w:t>
      </w:r>
      <w:r w:rsidR="005C3C50">
        <w:rPr>
          <w:rFonts w:ascii="Palatino Linotype" w:hAnsi="Palatino Linotype"/>
          <w:szCs w:val="26"/>
        </w:rPr>
        <w:t xml:space="preserve"> </w:t>
      </w:r>
      <w:r>
        <w:rPr>
          <w:rFonts w:ascii="Palatino Linotype" w:hAnsi="Palatino Linotype"/>
          <w:szCs w:val="26"/>
        </w:rPr>
        <w:t>PG&amp;E is required to execute such standard offer contracts</w:t>
      </w:r>
      <w:r w:rsidR="00B60620">
        <w:rPr>
          <w:rFonts w:ascii="Palatino Linotype" w:hAnsi="Palatino Linotype"/>
          <w:szCs w:val="26"/>
        </w:rPr>
        <w:t xml:space="preserve"> with QFs, but d</w:t>
      </w:r>
      <w:r>
        <w:rPr>
          <w:rFonts w:ascii="Palatino Linotype" w:hAnsi="Palatino Linotype"/>
          <w:szCs w:val="26"/>
        </w:rPr>
        <w:t xml:space="preserve">ue to its status in Chapter 11 Bankruptcy, PG&amp;E is unable to execute these standard offer contracts as it would immediately be in breach of specific terms that guarantee parties are not in bankruptcy. In order to address this, PG&amp;E has submitted a series of riders to the standard offer contracts </w:t>
      </w:r>
      <w:r w:rsidR="00D77814">
        <w:rPr>
          <w:rFonts w:ascii="Palatino Linotype" w:hAnsi="Palatino Linotype"/>
          <w:szCs w:val="26"/>
        </w:rPr>
        <w:t>to</w:t>
      </w:r>
      <w:r>
        <w:rPr>
          <w:rFonts w:ascii="Palatino Linotype" w:hAnsi="Palatino Linotype"/>
          <w:szCs w:val="26"/>
        </w:rPr>
        <w:t xml:space="preserve"> accommodate its Chapter 11 Bankruptcy status. </w:t>
      </w:r>
    </w:p>
    <w:p w:rsidR="00511E07" w:rsidP="00073A20" w:rsidRDefault="00511E07" w14:paraId="0872090C" w14:textId="665695F2">
      <w:pPr>
        <w:spacing w:after="240"/>
        <w:rPr>
          <w:rFonts w:ascii="Palatino Linotype" w:hAnsi="Palatino Linotype"/>
          <w:szCs w:val="26"/>
        </w:rPr>
      </w:pPr>
      <w:r w:rsidRPr="00BB408B">
        <w:rPr>
          <w:rFonts w:ascii="Palatino Linotype" w:hAnsi="Palatino Linotype"/>
          <w:szCs w:val="26"/>
        </w:rPr>
        <w:t xml:space="preserve">First, both </w:t>
      </w:r>
      <w:r>
        <w:rPr>
          <w:rFonts w:ascii="Palatino Linotype" w:hAnsi="Palatino Linotype"/>
          <w:szCs w:val="26"/>
        </w:rPr>
        <w:t xml:space="preserve">forms of </w:t>
      </w:r>
      <w:r w:rsidRPr="00BB408B">
        <w:rPr>
          <w:rFonts w:ascii="Palatino Linotype" w:hAnsi="Palatino Linotype"/>
          <w:szCs w:val="26"/>
        </w:rPr>
        <w:t>standard offer contracts apply representations and warranties to the</w:t>
      </w:r>
      <w:r>
        <w:rPr>
          <w:rFonts w:ascii="Palatino Linotype" w:hAnsi="Palatino Linotype"/>
          <w:szCs w:val="26"/>
        </w:rPr>
        <w:t xml:space="preserve"> counterparties as of the contract’s Effective Date. However, </w:t>
      </w:r>
      <w:r w:rsidRPr="00BB408B">
        <w:rPr>
          <w:rFonts w:ascii="Palatino Linotype" w:hAnsi="Palatino Linotype"/>
          <w:szCs w:val="26"/>
        </w:rPr>
        <w:t>due to</w:t>
      </w:r>
      <w:r>
        <w:rPr>
          <w:rFonts w:ascii="Palatino Linotype" w:hAnsi="Palatino Linotype"/>
          <w:szCs w:val="26"/>
        </w:rPr>
        <w:t xml:space="preserve"> </w:t>
      </w:r>
      <w:r w:rsidRPr="00BB408B">
        <w:rPr>
          <w:rFonts w:ascii="Palatino Linotype" w:hAnsi="Palatino Linotype"/>
          <w:szCs w:val="26"/>
        </w:rPr>
        <w:t>PG&amp;E’s</w:t>
      </w:r>
      <w:r>
        <w:rPr>
          <w:rFonts w:ascii="Palatino Linotype" w:hAnsi="Palatino Linotype"/>
          <w:szCs w:val="26"/>
        </w:rPr>
        <w:t xml:space="preserve"> </w:t>
      </w:r>
      <w:r w:rsidRPr="00BB408B">
        <w:rPr>
          <w:rFonts w:ascii="Palatino Linotype" w:hAnsi="Palatino Linotype"/>
          <w:szCs w:val="26"/>
        </w:rPr>
        <w:t>Chapter 11 status, it cannot represent and warrant that “there is not pending, or</w:t>
      </w:r>
      <w:r>
        <w:rPr>
          <w:rFonts w:ascii="Palatino Linotype" w:hAnsi="Palatino Linotype"/>
          <w:szCs w:val="26"/>
        </w:rPr>
        <w:t xml:space="preserve"> </w:t>
      </w:r>
      <w:r w:rsidRPr="00BB408B">
        <w:rPr>
          <w:rFonts w:ascii="Palatino Linotype" w:hAnsi="Palatino Linotype"/>
          <w:szCs w:val="26"/>
        </w:rPr>
        <w:t>to its knowledge, threatened against it or,…any legal proceeding that could</w:t>
      </w:r>
      <w:r>
        <w:rPr>
          <w:rFonts w:ascii="Palatino Linotype" w:hAnsi="Palatino Linotype"/>
          <w:szCs w:val="26"/>
        </w:rPr>
        <w:t xml:space="preserve"> </w:t>
      </w:r>
      <w:r w:rsidRPr="00BB408B">
        <w:rPr>
          <w:rFonts w:ascii="Palatino Linotype" w:hAnsi="Palatino Linotype"/>
          <w:szCs w:val="26"/>
        </w:rPr>
        <w:t>materially</w:t>
      </w:r>
      <w:r>
        <w:rPr>
          <w:rFonts w:ascii="Palatino Linotype" w:hAnsi="Palatino Linotype"/>
          <w:szCs w:val="26"/>
        </w:rPr>
        <w:t xml:space="preserve"> </w:t>
      </w:r>
      <w:r w:rsidRPr="00BB408B">
        <w:rPr>
          <w:rFonts w:ascii="Palatino Linotype" w:hAnsi="Palatino Linotype"/>
          <w:szCs w:val="26"/>
        </w:rPr>
        <w:t>adversely affect its ability to perform under this Agreement,” as</w:t>
      </w:r>
      <w:r>
        <w:rPr>
          <w:rFonts w:ascii="Palatino Linotype" w:hAnsi="Palatino Linotype"/>
          <w:szCs w:val="26"/>
        </w:rPr>
        <w:t xml:space="preserve"> stated in</w:t>
      </w:r>
      <w:r w:rsidRPr="00BB408B">
        <w:rPr>
          <w:rFonts w:ascii="Palatino Linotype" w:hAnsi="Palatino Linotype"/>
          <w:szCs w:val="26"/>
        </w:rPr>
        <w:t xml:space="preserve"> Section</w:t>
      </w:r>
      <w:r>
        <w:rPr>
          <w:rFonts w:ascii="Palatino Linotype" w:hAnsi="Palatino Linotype"/>
          <w:szCs w:val="26"/>
        </w:rPr>
        <w:t xml:space="preserve"> </w:t>
      </w:r>
      <w:r w:rsidRPr="00BB408B">
        <w:rPr>
          <w:rFonts w:ascii="Palatino Linotype" w:hAnsi="Palatino Linotype"/>
          <w:szCs w:val="26"/>
        </w:rPr>
        <w:t>9.01(a)(iv)</w:t>
      </w:r>
      <w:r>
        <w:rPr>
          <w:rFonts w:ascii="Palatino Linotype" w:hAnsi="Palatino Linotype"/>
          <w:szCs w:val="26"/>
        </w:rPr>
        <w:t xml:space="preserve"> of the standard offer contract</w:t>
      </w:r>
      <w:r w:rsidRPr="00BB408B">
        <w:rPr>
          <w:rFonts w:ascii="Palatino Linotype" w:hAnsi="Palatino Linotype"/>
          <w:szCs w:val="26"/>
        </w:rPr>
        <w:t>.</w:t>
      </w:r>
      <w:r>
        <w:rPr>
          <w:rFonts w:ascii="Palatino Linotype" w:hAnsi="Palatino Linotype"/>
          <w:szCs w:val="26"/>
        </w:rPr>
        <w:t xml:space="preserve"> </w:t>
      </w:r>
      <w:r w:rsidRPr="00BB408B">
        <w:rPr>
          <w:rFonts w:ascii="Palatino Linotype" w:hAnsi="Palatino Linotype"/>
          <w:szCs w:val="26"/>
        </w:rPr>
        <w:t>Section I of the Rider removes this Representation and Warranty with respect to</w:t>
      </w:r>
      <w:r>
        <w:rPr>
          <w:rFonts w:ascii="Palatino Linotype" w:hAnsi="Palatino Linotype"/>
          <w:szCs w:val="26"/>
        </w:rPr>
        <w:t xml:space="preserve"> </w:t>
      </w:r>
      <w:r w:rsidRPr="00BB408B">
        <w:rPr>
          <w:rFonts w:ascii="Palatino Linotype" w:hAnsi="Palatino Linotype"/>
          <w:szCs w:val="26"/>
        </w:rPr>
        <w:t>PG&amp;E.</w:t>
      </w:r>
      <w:r>
        <w:rPr>
          <w:rFonts w:ascii="Palatino Linotype" w:hAnsi="Palatino Linotype"/>
          <w:szCs w:val="26"/>
        </w:rPr>
        <w:t xml:space="preserve"> Energy Division Staff reviewed this modification and finds this reasonable as it allows PG&amp;E to execute </w:t>
      </w:r>
      <w:r w:rsidR="00650C6F">
        <w:rPr>
          <w:rFonts w:ascii="Palatino Linotype" w:hAnsi="Palatino Linotype"/>
          <w:szCs w:val="26"/>
        </w:rPr>
        <w:t>standard offer contracts without increasing risks for ratepayers.</w:t>
      </w:r>
    </w:p>
    <w:p w:rsidR="00650C6F" w:rsidP="00907716" w:rsidRDefault="00650C6F" w14:paraId="246EF507" w14:textId="76FF1154">
      <w:pPr>
        <w:spacing w:after="240"/>
        <w:rPr>
          <w:rFonts w:ascii="Palatino Linotype" w:hAnsi="Palatino Linotype"/>
          <w:szCs w:val="26"/>
        </w:rPr>
      </w:pPr>
      <w:r>
        <w:rPr>
          <w:rFonts w:ascii="Palatino Linotype" w:hAnsi="Palatino Linotype"/>
          <w:szCs w:val="26"/>
        </w:rPr>
        <w:lastRenderedPageBreak/>
        <w:t xml:space="preserve">Second, </w:t>
      </w:r>
      <w:r w:rsidRPr="00511E07">
        <w:rPr>
          <w:rFonts w:ascii="Palatino Linotype" w:hAnsi="Palatino Linotype"/>
          <w:szCs w:val="26"/>
        </w:rPr>
        <w:t>both</w:t>
      </w:r>
      <w:r>
        <w:rPr>
          <w:rFonts w:ascii="Palatino Linotype" w:hAnsi="Palatino Linotype"/>
          <w:szCs w:val="26"/>
        </w:rPr>
        <w:t xml:space="preserve"> forms of standard offer contracts construe an Event of Default as: </w:t>
      </w:r>
      <w:r w:rsidRPr="00BB408B">
        <w:rPr>
          <w:rFonts w:ascii="Palatino Linotype" w:hAnsi="Palatino Linotype"/>
          <w:szCs w:val="26"/>
        </w:rPr>
        <w:t>1)</w:t>
      </w:r>
      <w:r>
        <w:rPr>
          <w:rFonts w:ascii="Palatino Linotype" w:hAnsi="Palatino Linotype"/>
          <w:szCs w:val="26"/>
        </w:rPr>
        <w:t xml:space="preserve"> </w:t>
      </w:r>
      <w:r w:rsidRPr="00BB408B">
        <w:rPr>
          <w:rFonts w:ascii="Palatino Linotype" w:hAnsi="Palatino Linotype"/>
          <w:szCs w:val="26"/>
        </w:rPr>
        <w:t>either party becomes bankrupt, or 2) either party consolidates, merges, or</w:t>
      </w:r>
      <w:r>
        <w:rPr>
          <w:rFonts w:ascii="Palatino Linotype" w:hAnsi="Palatino Linotype"/>
          <w:szCs w:val="26"/>
        </w:rPr>
        <w:t xml:space="preserve"> </w:t>
      </w:r>
      <w:r w:rsidRPr="00BB408B">
        <w:rPr>
          <w:rFonts w:ascii="Palatino Linotype" w:hAnsi="Palatino Linotype"/>
          <w:szCs w:val="26"/>
        </w:rPr>
        <w:t>transfers</w:t>
      </w:r>
      <w:r>
        <w:rPr>
          <w:rFonts w:ascii="Palatino Linotype" w:hAnsi="Palatino Linotype"/>
          <w:szCs w:val="26"/>
        </w:rPr>
        <w:t xml:space="preserve"> </w:t>
      </w:r>
      <w:r w:rsidRPr="00BB408B">
        <w:rPr>
          <w:rFonts w:ascii="Palatino Linotype" w:hAnsi="Palatino Linotype"/>
          <w:szCs w:val="26"/>
        </w:rPr>
        <w:t>assets to another entity and the contract obligations are not assumed.</w:t>
      </w:r>
      <w:r>
        <w:rPr>
          <w:rFonts w:ascii="Palatino Linotype" w:hAnsi="Palatino Linotype"/>
          <w:szCs w:val="26"/>
        </w:rPr>
        <w:t xml:space="preserve"> </w:t>
      </w:r>
      <w:r w:rsidRPr="00BB408B">
        <w:rPr>
          <w:rFonts w:ascii="Palatino Linotype" w:hAnsi="Palatino Linotype"/>
          <w:szCs w:val="26"/>
        </w:rPr>
        <w:t>It is</w:t>
      </w:r>
      <w:r>
        <w:rPr>
          <w:rFonts w:ascii="Palatino Linotype" w:hAnsi="Palatino Linotype"/>
          <w:szCs w:val="26"/>
        </w:rPr>
        <w:t xml:space="preserve"> </w:t>
      </w:r>
      <w:r w:rsidRPr="00BB408B">
        <w:rPr>
          <w:rFonts w:ascii="Palatino Linotype" w:hAnsi="Palatino Linotype"/>
          <w:szCs w:val="26"/>
        </w:rPr>
        <w:t>necessary to</w:t>
      </w:r>
      <w:r>
        <w:rPr>
          <w:rFonts w:ascii="Palatino Linotype" w:hAnsi="Palatino Linotype"/>
          <w:szCs w:val="26"/>
        </w:rPr>
        <w:t xml:space="preserve"> </w:t>
      </w:r>
      <w:r w:rsidRPr="00BB408B">
        <w:rPr>
          <w:rFonts w:ascii="Palatino Linotype" w:hAnsi="Palatino Linotype"/>
          <w:szCs w:val="26"/>
        </w:rPr>
        <w:t>amend these provisions because PG&amp;E would be in default immediately upon contrac</w:t>
      </w:r>
      <w:r>
        <w:rPr>
          <w:rFonts w:ascii="Palatino Linotype" w:hAnsi="Palatino Linotype"/>
          <w:szCs w:val="26"/>
        </w:rPr>
        <w:t xml:space="preserve">t </w:t>
      </w:r>
      <w:r w:rsidRPr="00BB408B">
        <w:rPr>
          <w:rFonts w:ascii="Palatino Linotype" w:hAnsi="Palatino Linotype"/>
          <w:szCs w:val="26"/>
        </w:rPr>
        <w:t xml:space="preserve">execution due to </w:t>
      </w:r>
      <w:r>
        <w:rPr>
          <w:rFonts w:ascii="Palatino Linotype" w:hAnsi="Palatino Linotype"/>
          <w:szCs w:val="26"/>
        </w:rPr>
        <w:t>its</w:t>
      </w:r>
      <w:r w:rsidRPr="00BB408B">
        <w:rPr>
          <w:rFonts w:ascii="Palatino Linotype" w:hAnsi="Palatino Linotype"/>
          <w:szCs w:val="26"/>
        </w:rPr>
        <w:t xml:space="preserve"> status in Chapter 11 bankruptcy.</w:t>
      </w:r>
      <w:r>
        <w:rPr>
          <w:rFonts w:ascii="Palatino Linotype" w:hAnsi="Palatino Linotype"/>
          <w:szCs w:val="26"/>
        </w:rPr>
        <w:t xml:space="preserve"> </w:t>
      </w:r>
      <w:r w:rsidRPr="00BB408B">
        <w:rPr>
          <w:rFonts w:ascii="Palatino Linotype" w:hAnsi="Palatino Linotype"/>
          <w:szCs w:val="26"/>
        </w:rPr>
        <w:t>Section II of the Rider amends the two Event of Default provisions so that they do not apply to PG&amp;E until its exit from Chapter 11 has occurred.</w:t>
      </w:r>
      <w:r>
        <w:rPr>
          <w:rFonts w:ascii="Palatino Linotype" w:hAnsi="Palatino Linotype"/>
          <w:szCs w:val="26"/>
        </w:rPr>
        <w:t xml:space="preserve"> Energy Division Staff reviewed this modification and finds this reasonable as it allows PG&amp;E to execute standard offer contracts without increasing risks for ratepayers.</w:t>
      </w:r>
    </w:p>
    <w:p w:rsidR="00650C6F" w:rsidP="00907716" w:rsidRDefault="00650C6F" w14:paraId="4DC1C980" w14:textId="442840C4">
      <w:pPr>
        <w:spacing w:after="240"/>
        <w:rPr>
          <w:rFonts w:ascii="Palatino Linotype" w:hAnsi="Palatino Linotype"/>
          <w:szCs w:val="26"/>
        </w:rPr>
      </w:pPr>
      <w:r>
        <w:rPr>
          <w:rFonts w:ascii="Palatino Linotype" w:hAnsi="Palatino Linotype"/>
          <w:szCs w:val="26"/>
        </w:rPr>
        <w:t>Third, in order to ensure a common understanding of amendment two above, it is necessary to define when PG&amp;E’s bankruptcy status terminates, and thus when the original Event of Default provisions in Section 6.01 apply to PG&amp;E. Following, Section II of the Rider also defines “Chapter 11 Cases,” so that there is a shared understanding between counterparties of when PG&amp;E is no longer in Chapter 11 bankruptcy. Energy Division Staff reviewed this modification and finds this reasonable as it facilitates the two above modifications needed for PG&amp;E to execute standard offer contracts without increasing risks for ratepayers.</w:t>
      </w:r>
    </w:p>
    <w:p w:rsidR="00650C6F" w:rsidP="00650C6F" w:rsidRDefault="00650C6F" w14:paraId="72A47DF5" w14:textId="588CCEC0">
      <w:pPr>
        <w:spacing w:after="240"/>
        <w:rPr>
          <w:rFonts w:ascii="Palatino Linotype" w:hAnsi="Palatino Linotype"/>
          <w:szCs w:val="26"/>
        </w:rPr>
      </w:pPr>
      <w:r>
        <w:rPr>
          <w:rFonts w:ascii="Palatino Linotype" w:hAnsi="Palatino Linotype"/>
          <w:szCs w:val="26"/>
        </w:rPr>
        <w:t xml:space="preserve">Fourth, both </w:t>
      </w:r>
      <w:r w:rsidR="00F76C06">
        <w:rPr>
          <w:rFonts w:ascii="Palatino Linotype" w:hAnsi="Palatino Linotype"/>
          <w:szCs w:val="26"/>
        </w:rPr>
        <w:t xml:space="preserve">forms of </w:t>
      </w:r>
      <w:r>
        <w:rPr>
          <w:rFonts w:ascii="Palatino Linotype" w:hAnsi="Palatino Linotype"/>
          <w:szCs w:val="26"/>
        </w:rPr>
        <w:t xml:space="preserve">standard offer contracts </w:t>
      </w:r>
      <w:r w:rsidRPr="00E9065B">
        <w:rPr>
          <w:rFonts w:ascii="Palatino Linotype" w:hAnsi="Palatino Linotype"/>
          <w:szCs w:val="26"/>
        </w:rPr>
        <w:t>do not require CPUC approval</w:t>
      </w:r>
      <w:r>
        <w:rPr>
          <w:rFonts w:ascii="Palatino Linotype" w:hAnsi="Palatino Linotype"/>
          <w:szCs w:val="26"/>
        </w:rPr>
        <w:t xml:space="preserve"> </w:t>
      </w:r>
      <w:r w:rsidRPr="00E9065B">
        <w:rPr>
          <w:rFonts w:ascii="Palatino Linotype" w:hAnsi="Palatino Linotype"/>
          <w:szCs w:val="26"/>
        </w:rPr>
        <w:t>for PG&amp;E to execute</w:t>
      </w:r>
      <w:r>
        <w:rPr>
          <w:rFonts w:ascii="Palatino Linotype" w:hAnsi="Palatino Linotype"/>
          <w:szCs w:val="26"/>
        </w:rPr>
        <w:t>. As such, both are normally “effective” at the execution date. However, due to the riders and amendment the CPUC must now approve these contracts. To address the possibility that the CPUC could reject or amend the contracts, the Rider adds a provision that either party may elect to terminate the contract if (1) CPUC approval is not granted or (2) the CPUC modifies the Rider in a manner that is unacceptable to either party. Energy Division Staff reviewed this modification and finds this reasonable as it allows PG&amp;E to execute standard offer contracts without increasing risks for ratepayers.</w:t>
      </w:r>
    </w:p>
    <w:p w:rsidRPr="00B547A4" w:rsidR="009D535E" w:rsidP="009D535E" w:rsidRDefault="009D535E" w14:paraId="1BC6D953" w14:textId="77777777">
      <w:pPr>
        <w:rPr>
          <w:rFonts w:ascii="Palatino Linotype" w:hAnsi="Palatino Linotype"/>
          <w:b/>
        </w:rPr>
      </w:pPr>
      <w:r w:rsidRPr="00B547A4">
        <w:rPr>
          <w:rFonts w:ascii="Palatino Linotype" w:hAnsi="Palatino Linotype"/>
          <w:b/>
        </w:rPr>
        <w:t>Need for Procurement</w:t>
      </w:r>
    </w:p>
    <w:p w:rsidR="009D535E" w:rsidP="00650C6F" w:rsidRDefault="009D535E" w14:paraId="368BF555" w14:textId="77777777">
      <w:pPr>
        <w:rPr>
          <w:rFonts w:ascii="Palatino Linotype" w:hAnsi="Palatino Linotype"/>
        </w:rPr>
      </w:pPr>
    </w:p>
    <w:p w:rsidR="001553D8" w:rsidP="009D535E" w:rsidRDefault="002D1E82" w14:paraId="324F8FDA" w14:textId="7F09F11B">
      <w:pPr>
        <w:rPr>
          <w:rFonts w:ascii="Palatino Linotype" w:hAnsi="Palatino Linotype"/>
        </w:rPr>
      </w:pPr>
      <w:r>
        <w:rPr>
          <w:rFonts w:ascii="Palatino Linotype" w:hAnsi="Palatino Linotype"/>
        </w:rPr>
        <w:t xml:space="preserve">Under the </w:t>
      </w:r>
      <w:r w:rsidR="00B94FD9">
        <w:rPr>
          <w:rFonts w:ascii="Palatino Linotype" w:hAnsi="Palatino Linotype"/>
        </w:rPr>
        <w:t xml:space="preserve">QF/CHP </w:t>
      </w:r>
      <w:r>
        <w:rPr>
          <w:rFonts w:ascii="Palatino Linotype" w:hAnsi="Palatino Linotype"/>
        </w:rPr>
        <w:t xml:space="preserve">Settlement, PG&amp;E is required to offer these contracts to QFs, and </w:t>
      </w:r>
      <w:r w:rsidR="004D0157">
        <w:rPr>
          <w:rFonts w:ascii="Palatino Linotype" w:hAnsi="Palatino Linotype"/>
        </w:rPr>
        <w:t>QFs</w:t>
      </w:r>
      <w:r>
        <w:rPr>
          <w:rFonts w:ascii="Palatino Linotype" w:hAnsi="Palatino Linotype"/>
        </w:rPr>
        <w:t xml:space="preserve"> may elect to execute these contracts at their discretion.</w:t>
      </w:r>
      <w:r w:rsidR="001553D8">
        <w:rPr>
          <w:rFonts w:ascii="Palatino Linotype" w:hAnsi="Palatino Linotype"/>
        </w:rPr>
        <w:t xml:space="preserve"> In this resolution, the </w:t>
      </w:r>
      <w:r w:rsidR="00D8046F">
        <w:rPr>
          <w:rFonts w:ascii="Palatino Linotype" w:hAnsi="Palatino Linotype"/>
        </w:rPr>
        <w:t xml:space="preserve">CPUC </w:t>
      </w:r>
      <w:r w:rsidR="001553D8">
        <w:rPr>
          <w:rFonts w:ascii="Palatino Linotype" w:hAnsi="Palatino Linotype"/>
        </w:rPr>
        <w:t xml:space="preserve">does not assess whether PG&amp;E has a need to procure, </w:t>
      </w:r>
      <w:r w:rsidR="00073A20">
        <w:rPr>
          <w:rFonts w:ascii="Palatino Linotype" w:hAnsi="Palatino Linotype"/>
        </w:rPr>
        <w:t>because</w:t>
      </w:r>
      <w:r w:rsidR="001553D8">
        <w:rPr>
          <w:rFonts w:ascii="Palatino Linotype" w:hAnsi="Palatino Linotype"/>
        </w:rPr>
        <w:t xml:space="preserve"> PG&amp;E is obliged to execute these contracts.</w:t>
      </w:r>
    </w:p>
    <w:p w:rsidR="009D535E" w:rsidP="009D535E" w:rsidRDefault="009D535E" w14:paraId="314E6D19" w14:textId="77777777">
      <w:pPr>
        <w:rPr>
          <w:rFonts w:ascii="Palatino Linotype" w:hAnsi="Palatino Linotype"/>
        </w:rPr>
      </w:pPr>
    </w:p>
    <w:p w:rsidR="00761342" w:rsidP="009D535E" w:rsidRDefault="00761342" w14:paraId="556B7D69" w14:textId="77777777">
      <w:pPr>
        <w:rPr>
          <w:rFonts w:ascii="Palatino Linotype" w:hAnsi="Palatino Linotype"/>
          <w:b/>
        </w:rPr>
      </w:pPr>
    </w:p>
    <w:p w:rsidR="009D535E" w:rsidP="009D535E" w:rsidRDefault="009D535E" w14:paraId="28BC15D3" w14:textId="2CE48267">
      <w:pPr>
        <w:rPr>
          <w:rFonts w:ascii="Palatino Linotype" w:hAnsi="Palatino Linotype"/>
          <w:b/>
        </w:rPr>
      </w:pPr>
      <w:r w:rsidRPr="00B547A4">
        <w:rPr>
          <w:rFonts w:ascii="Palatino Linotype" w:hAnsi="Palatino Linotype"/>
          <w:b/>
        </w:rPr>
        <w:lastRenderedPageBreak/>
        <w:t>Cost Reasonableness</w:t>
      </w:r>
    </w:p>
    <w:p w:rsidR="009D535E" w:rsidP="009D535E" w:rsidRDefault="009D535E" w14:paraId="529E0CE7" w14:textId="77777777">
      <w:pPr>
        <w:rPr>
          <w:rFonts w:ascii="Palatino Linotype" w:hAnsi="Palatino Linotype"/>
          <w:b/>
        </w:rPr>
      </w:pPr>
    </w:p>
    <w:p w:rsidR="009D535E" w:rsidP="009D535E" w:rsidRDefault="002D1E82" w14:paraId="1461DE2D" w14:textId="5E880567">
      <w:pPr>
        <w:rPr>
          <w:rFonts w:ascii="Palatino Linotype" w:hAnsi="Palatino Linotype"/>
        </w:rPr>
      </w:pPr>
      <w:r>
        <w:rPr>
          <w:rFonts w:ascii="Palatino Linotype" w:hAnsi="Palatino Linotype"/>
        </w:rPr>
        <w:t xml:space="preserve">In D.10-12-035, the </w:t>
      </w:r>
      <w:r w:rsidR="00D8046F">
        <w:rPr>
          <w:rFonts w:ascii="Palatino Linotype" w:hAnsi="Palatino Linotype"/>
        </w:rPr>
        <w:t xml:space="preserve">CPUC </w:t>
      </w:r>
      <w:r>
        <w:rPr>
          <w:rFonts w:ascii="Palatino Linotype" w:hAnsi="Palatino Linotype"/>
        </w:rPr>
        <w:t xml:space="preserve">approved the </w:t>
      </w:r>
      <w:r w:rsidR="00B94FD9">
        <w:rPr>
          <w:rFonts w:ascii="Palatino Linotype" w:hAnsi="Palatino Linotype"/>
        </w:rPr>
        <w:t xml:space="preserve">QF/CHP </w:t>
      </w:r>
      <w:r>
        <w:rPr>
          <w:rFonts w:ascii="Palatino Linotype" w:hAnsi="Palatino Linotype"/>
        </w:rPr>
        <w:t xml:space="preserve">Settlement, which includes several standard offer contracts for Qualifying Facilities. </w:t>
      </w:r>
      <w:r w:rsidR="0027049B">
        <w:rPr>
          <w:rFonts w:ascii="Palatino Linotype" w:hAnsi="Palatino Linotype"/>
        </w:rPr>
        <w:t>All</w:t>
      </w:r>
      <w:r>
        <w:rPr>
          <w:rFonts w:ascii="Palatino Linotype" w:hAnsi="Palatino Linotype"/>
        </w:rPr>
        <w:t xml:space="preserve"> these pro forma standard offer contracts </w:t>
      </w:r>
      <w:r w:rsidR="0027049B">
        <w:rPr>
          <w:rFonts w:ascii="Palatino Linotype" w:hAnsi="Palatino Linotype"/>
        </w:rPr>
        <w:t xml:space="preserve">include pricing structures approved by the </w:t>
      </w:r>
      <w:r w:rsidR="00D8046F">
        <w:rPr>
          <w:rFonts w:ascii="Palatino Linotype" w:hAnsi="Palatino Linotype"/>
        </w:rPr>
        <w:t>CPUC</w:t>
      </w:r>
      <w:r w:rsidR="0027049B">
        <w:rPr>
          <w:rFonts w:ascii="Palatino Linotype" w:hAnsi="Palatino Linotype"/>
        </w:rPr>
        <w:t xml:space="preserve">. As these riders do not modify the prices previously approved by the </w:t>
      </w:r>
      <w:r w:rsidR="00D8046F">
        <w:rPr>
          <w:rFonts w:ascii="Palatino Linotype" w:hAnsi="Palatino Linotype"/>
        </w:rPr>
        <w:t>CPUC</w:t>
      </w:r>
      <w:r w:rsidR="0027049B">
        <w:rPr>
          <w:rFonts w:ascii="Palatino Linotype" w:hAnsi="Palatino Linotype"/>
        </w:rPr>
        <w:t>, we find the costs reasonable.</w:t>
      </w:r>
    </w:p>
    <w:p w:rsidR="002D1E82" w:rsidP="009D535E" w:rsidRDefault="002D1E82" w14:paraId="0995192D" w14:textId="77777777">
      <w:pPr>
        <w:rPr>
          <w:rFonts w:ascii="Palatino Linotype" w:hAnsi="Palatino Linotype"/>
        </w:rPr>
      </w:pPr>
    </w:p>
    <w:p w:rsidR="00366786" w:rsidP="00366786" w:rsidRDefault="00366786" w14:paraId="37F388FF" w14:textId="77777777">
      <w:pPr>
        <w:rPr>
          <w:rFonts w:ascii="Palatino Linotype" w:hAnsi="Palatino Linotype"/>
          <w:b/>
        </w:rPr>
      </w:pPr>
      <w:r w:rsidRPr="00B547A4">
        <w:rPr>
          <w:rFonts w:ascii="Palatino Linotype" w:hAnsi="Palatino Linotype"/>
          <w:b/>
        </w:rPr>
        <w:t xml:space="preserve">Cost </w:t>
      </w:r>
      <w:r>
        <w:rPr>
          <w:rFonts w:ascii="Palatino Linotype" w:hAnsi="Palatino Linotype"/>
          <w:b/>
        </w:rPr>
        <w:t>Recovery</w:t>
      </w:r>
    </w:p>
    <w:p w:rsidR="00366786" w:rsidP="00366786" w:rsidRDefault="00366786" w14:paraId="14DB7A94" w14:textId="77777777">
      <w:pPr>
        <w:rPr>
          <w:rFonts w:ascii="Palatino Linotype" w:hAnsi="Palatino Linotype"/>
          <w:b/>
        </w:rPr>
      </w:pPr>
    </w:p>
    <w:p w:rsidR="00366786" w:rsidP="00366786" w:rsidRDefault="00366786" w14:paraId="42FA2E5F" w14:textId="68D98500">
      <w:pPr>
        <w:rPr>
          <w:rFonts w:ascii="Palatino Linotype" w:hAnsi="Palatino Linotype"/>
          <w:bCs/>
        </w:rPr>
      </w:pPr>
      <w:r>
        <w:rPr>
          <w:rFonts w:ascii="Palatino Linotype" w:hAnsi="Palatino Linotype"/>
          <w:bCs/>
        </w:rPr>
        <w:t>According to Section 13.2</w:t>
      </w:r>
      <w:r w:rsidR="00507E2C">
        <w:rPr>
          <w:rFonts w:ascii="Palatino Linotype" w:hAnsi="Palatino Linotype"/>
          <w:bCs/>
        </w:rPr>
        <w:t>.1</w:t>
      </w:r>
      <w:r>
        <w:rPr>
          <w:rFonts w:ascii="Palatino Linotype" w:hAnsi="Palatino Linotype"/>
          <w:bCs/>
        </w:rPr>
        <w:t xml:space="preserve"> of the </w:t>
      </w:r>
      <w:r w:rsidR="002A3CE0">
        <w:rPr>
          <w:rFonts w:ascii="Palatino Linotype" w:hAnsi="Palatino Linotype"/>
          <w:bCs/>
        </w:rPr>
        <w:t xml:space="preserve">QF/CHP </w:t>
      </w:r>
      <w:r>
        <w:rPr>
          <w:rFonts w:ascii="Palatino Linotype" w:hAnsi="Palatino Linotype"/>
          <w:bCs/>
        </w:rPr>
        <w:t xml:space="preserve">Settlement Term Sheet, PG&amp;E shall recover the cost of payments made pursuant to PPAs executed under the </w:t>
      </w:r>
      <w:r w:rsidR="00B94FD9">
        <w:rPr>
          <w:rFonts w:ascii="Palatino Linotype" w:hAnsi="Palatino Linotype"/>
          <w:bCs/>
        </w:rPr>
        <w:t xml:space="preserve">QF/CHP </w:t>
      </w:r>
      <w:r>
        <w:rPr>
          <w:rFonts w:ascii="Palatino Linotype" w:hAnsi="Palatino Linotype"/>
          <w:bCs/>
        </w:rPr>
        <w:t>Settlement in its Energy Resource Recovery Account.</w:t>
      </w:r>
      <w:r w:rsidR="00F91463">
        <w:rPr>
          <w:rFonts w:ascii="Palatino Linotype" w:hAnsi="Palatino Linotype"/>
          <w:bCs/>
        </w:rPr>
        <w:t xml:space="preserve"> D.10-12-035</w:t>
      </w:r>
      <w:r w:rsidR="00D46660">
        <w:rPr>
          <w:rFonts w:ascii="Palatino Linotype" w:hAnsi="Palatino Linotype"/>
          <w:bCs/>
        </w:rPr>
        <w:t xml:space="preserve"> </w:t>
      </w:r>
      <w:r w:rsidR="00F91463">
        <w:rPr>
          <w:rFonts w:ascii="Palatino Linotype" w:hAnsi="Palatino Linotype"/>
          <w:bCs/>
        </w:rPr>
        <w:t xml:space="preserve">orders that costs related to QF procurement via Legacy PPAs are recovered through the Competition Transition Charge for the life of their contracts, and net costs are recovered from Direct Access and </w:t>
      </w:r>
      <w:r w:rsidR="00C20A00">
        <w:rPr>
          <w:rFonts w:ascii="Palatino Linotype" w:hAnsi="Palatino Linotype"/>
          <w:bCs/>
        </w:rPr>
        <w:t xml:space="preserve">Community Choice Aggregation </w:t>
      </w:r>
      <w:r w:rsidR="00F91463">
        <w:rPr>
          <w:rFonts w:ascii="Palatino Linotype" w:hAnsi="Palatino Linotype"/>
          <w:bCs/>
        </w:rPr>
        <w:t>customers on a non-bypassable basis through the Cost Allocation Mechanism (CAM)</w:t>
      </w:r>
      <w:r w:rsidR="00650C6F">
        <w:rPr>
          <w:rFonts w:ascii="Palatino Linotype" w:hAnsi="Palatino Linotype"/>
          <w:bCs/>
        </w:rPr>
        <w:t xml:space="preserve"> per 13.1.4 of the QF/CHP Settlement term sheet</w:t>
      </w:r>
      <w:r w:rsidR="00F91463">
        <w:rPr>
          <w:rFonts w:ascii="Palatino Linotype" w:hAnsi="Palatino Linotype"/>
          <w:bCs/>
        </w:rPr>
        <w:t xml:space="preserve">. PG&amp;E recovers non- </w:t>
      </w:r>
      <w:r w:rsidR="00B94FD9">
        <w:rPr>
          <w:rFonts w:ascii="Palatino Linotype" w:hAnsi="Palatino Linotype"/>
          <w:bCs/>
        </w:rPr>
        <w:t xml:space="preserve">QF/CHP </w:t>
      </w:r>
      <w:r w:rsidR="00F91463">
        <w:rPr>
          <w:rFonts w:ascii="Palatino Linotype" w:hAnsi="Palatino Linotype"/>
          <w:bCs/>
        </w:rPr>
        <w:t xml:space="preserve">Settlement contracts through the Power Charge Indifference Amount </w:t>
      </w:r>
      <w:r w:rsidR="00436EE6">
        <w:rPr>
          <w:rFonts w:ascii="Palatino Linotype" w:hAnsi="Palatino Linotype"/>
          <w:bCs/>
        </w:rPr>
        <w:t xml:space="preserve">(PCIA) </w:t>
      </w:r>
      <w:r w:rsidR="00F91463">
        <w:rPr>
          <w:rFonts w:ascii="Palatino Linotype" w:hAnsi="Palatino Linotype"/>
          <w:bCs/>
        </w:rPr>
        <w:t>mechanism</w:t>
      </w:r>
      <w:r w:rsidR="00907716">
        <w:rPr>
          <w:rFonts w:ascii="Palatino Linotype" w:hAnsi="Palatino Linotype"/>
          <w:bCs/>
        </w:rPr>
        <w:t xml:space="preserve"> </w:t>
      </w:r>
      <w:r w:rsidR="001830F1">
        <w:rPr>
          <w:rFonts w:ascii="Palatino Linotype" w:hAnsi="Palatino Linotype"/>
          <w:bCs/>
        </w:rPr>
        <w:t>pursuant to D.08-09-012</w:t>
      </w:r>
      <w:r w:rsidR="001956E2">
        <w:rPr>
          <w:rFonts w:ascii="Palatino Linotype" w:hAnsi="Palatino Linotype"/>
          <w:bCs/>
        </w:rPr>
        <w:t xml:space="preserve"> </w:t>
      </w:r>
      <w:r w:rsidR="00910C7E">
        <w:rPr>
          <w:rFonts w:ascii="Palatino Linotype" w:hAnsi="Palatino Linotype"/>
          <w:bCs/>
        </w:rPr>
        <w:t xml:space="preserve">and via the </w:t>
      </w:r>
      <w:r w:rsidRPr="001956E2" w:rsidR="00910C7E">
        <w:rPr>
          <w:rFonts w:ascii="Palatino Linotype" w:hAnsi="Palatino Linotype"/>
          <w:bCs/>
        </w:rPr>
        <w:t>Portfolio Allocation Balancing Accounts</w:t>
      </w:r>
      <w:r w:rsidR="00910C7E">
        <w:rPr>
          <w:rFonts w:ascii="Palatino Linotype" w:hAnsi="Palatino Linotype"/>
          <w:bCs/>
        </w:rPr>
        <w:t xml:space="preserve"> (PABA) pursuant to D.18-10-019.</w:t>
      </w:r>
    </w:p>
    <w:p w:rsidR="00F91463" w:rsidP="00366786" w:rsidRDefault="00F91463" w14:paraId="12D1CB9B" w14:textId="77777777">
      <w:pPr>
        <w:rPr>
          <w:rFonts w:ascii="Palatino Linotype" w:hAnsi="Palatino Linotype"/>
          <w:bCs/>
        </w:rPr>
      </w:pPr>
    </w:p>
    <w:p w:rsidR="00F91463" w:rsidP="00366786" w:rsidRDefault="00F91463" w14:paraId="157CABAA" w14:textId="4FC75AEA">
      <w:pPr>
        <w:rPr>
          <w:rFonts w:ascii="Palatino Linotype" w:hAnsi="Palatino Linotype"/>
          <w:bCs/>
        </w:rPr>
      </w:pPr>
      <w:r>
        <w:rPr>
          <w:rFonts w:ascii="Palatino Linotype" w:hAnsi="Palatino Linotype"/>
          <w:bCs/>
        </w:rPr>
        <w:t xml:space="preserve">The South Belridge Cogeneration facility is eligible to have its net capacity costs recovered through the CAM because it is a CHP resource executing a </w:t>
      </w:r>
      <w:r w:rsidR="00B94FD9">
        <w:rPr>
          <w:rFonts w:ascii="Palatino Linotype" w:hAnsi="Palatino Linotype"/>
          <w:bCs/>
        </w:rPr>
        <w:t xml:space="preserve">QF/CHP </w:t>
      </w:r>
      <w:r>
        <w:rPr>
          <w:rFonts w:ascii="Palatino Linotype" w:hAnsi="Palatino Linotype"/>
          <w:bCs/>
        </w:rPr>
        <w:t>Settlement PPA.</w:t>
      </w:r>
    </w:p>
    <w:p w:rsidR="00F91463" w:rsidP="00366786" w:rsidRDefault="00F91463" w14:paraId="6AD24EA1" w14:textId="77777777">
      <w:pPr>
        <w:rPr>
          <w:rFonts w:ascii="Palatino Linotype" w:hAnsi="Palatino Linotype"/>
          <w:bCs/>
        </w:rPr>
      </w:pPr>
    </w:p>
    <w:p w:rsidR="00F91463" w:rsidP="00366786" w:rsidRDefault="00F91463" w14:paraId="211F6755" w14:textId="4AB29D14">
      <w:pPr>
        <w:rPr>
          <w:rFonts w:ascii="Palatino Linotype" w:hAnsi="Palatino Linotype"/>
          <w:bCs/>
        </w:rPr>
      </w:pPr>
      <w:r>
        <w:rPr>
          <w:rFonts w:ascii="Palatino Linotype" w:hAnsi="Palatino Linotype"/>
          <w:bCs/>
        </w:rPr>
        <w:t>The Tannehill facility is eligible to have its net capacity costs recovered through the CAM because it is a CHP resource executing a</w:t>
      </w:r>
      <w:r w:rsidR="00B94FD9">
        <w:rPr>
          <w:rFonts w:ascii="Palatino Linotype" w:hAnsi="Palatino Linotype"/>
          <w:bCs/>
        </w:rPr>
        <w:t xml:space="preserve"> QF/CHP</w:t>
      </w:r>
      <w:r>
        <w:rPr>
          <w:rFonts w:ascii="Palatino Linotype" w:hAnsi="Palatino Linotype"/>
          <w:bCs/>
        </w:rPr>
        <w:t xml:space="preserve"> Settlement PPA.</w:t>
      </w:r>
    </w:p>
    <w:p w:rsidR="00F91463" w:rsidP="00366786" w:rsidRDefault="00F91463" w14:paraId="4CCBF0A2" w14:textId="77777777">
      <w:pPr>
        <w:rPr>
          <w:rFonts w:ascii="Palatino Linotype" w:hAnsi="Palatino Linotype"/>
          <w:bCs/>
        </w:rPr>
      </w:pPr>
    </w:p>
    <w:p w:rsidRPr="00532F8F" w:rsidR="00F91463" w:rsidP="00366786" w:rsidRDefault="00F91463" w14:paraId="46DB5F00" w14:textId="05840612">
      <w:pPr>
        <w:rPr>
          <w:rFonts w:ascii="Palatino Linotype" w:hAnsi="Palatino Linotype"/>
          <w:bCs/>
        </w:rPr>
      </w:pPr>
      <w:r>
        <w:rPr>
          <w:rFonts w:ascii="Palatino Linotype" w:hAnsi="Palatino Linotype"/>
          <w:bCs/>
        </w:rPr>
        <w:t xml:space="preserve">The Haypress Creek-Lower Haypress, Middle facility is </w:t>
      </w:r>
      <w:r w:rsidR="00D90F49">
        <w:rPr>
          <w:rFonts w:ascii="Palatino Linotype" w:hAnsi="Palatino Linotype"/>
          <w:bCs/>
        </w:rPr>
        <w:t xml:space="preserve">eligible to have its costs recovered through the PCIA mechanism </w:t>
      </w:r>
      <w:r w:rsidR="00910C7E">
        <w:rPr>
          <w:rFonts w:ascii="Palatino Linotype" w:hAnsi="Palatino Linotype"/>
          <w:bCs/>
        </w:rPr>
        <w:t xml:space="preserve">via the PABA </w:t>
      </w:r>
      <w:r w:rsidR="00D90F49">
        <w:rPr>
          <w:rFonts w:ascii="Palatino Linotype" w:hAnsi="Palatino Linotype"/>
          <w:bCs/>
        </w:rPr>
        <w:t xml:space="preserve">as </w:t>
      </w:r>
      <w:r>
        <w:rPr>
          <w:rFonts w:ascii="Palatino Linotype" w:hAnsi="Palatino Linotype"/>
          <w:bCs/>
        </w:rPr>
        <w:t xml:space="preserve">an existing </w:t>
      </w:r>
      <w:r w:rsidR="00D90F49">
        <w:rPr>
          <w:rFonts w:ascii="Palatino Linotype" w:hAnsi="Palatino Linotype"/>
          <w:bCs/>
        </w:rPr>
        <w:t xml:space="preserve">non-CHP QF executing a contract. Mandated procurement programs such as PURPA and the </w:t>
      </w:r>
      <w:r w:rsidR="00C20A00">
        <w:rPr>
          <w:rFonts w:ascii="Palatino Linotype" w:hAnsi="Palatino Linotype"/>
          <w:bCs/>
        </w:rPr>
        <w:t>QF/</w:t>
      </w:r>
      <w:r w:rsidR="00D90F49">
        <w:rPr>
          <w:rFonts w:ascii="Palatino Linotype" w:hAnsi="Palatino Linotype"/>
          <w:bCs/>
        </w:rPr>
        <w:t xml:space="preserve">CHP Settlement require the IOUs to procure regardless of their need to service load and both bundled and departed customers benefit from the state or federal policies underpinning the mandated procurement. In 2018, the CPUC recommended in D.18-10-019 that requests for cost recovery through the PCIA </w:t>
      </w:r>
      <w:r w:rsidR="00D90F49">
        <w:rPr>
          <w:rFonts w:ascii="Palatino Linotype" w:hAnsi="Palatino Linotype"/>
          <w:bCs/>
        </w:rPr>
        <w:lastRenderedPageBreak/>
        <w:t>on a non-vintaged basis occur in proceedings approving such procuremen</w:t>
      </w:r>
      <w:r w:rsidR="00AF002A">
        <w:rPr>
          <w:rFonts w:ascii="Palatino Linotype" w:hAnsi="Palatino Linotype"/>
          <w:bCs/>
        </w:rPr>
        <w:t>t</w:t>
      </w:r>
      <w:r w:rsidR="00D90F49">
        <w:rPr>
          <w:rFonts w:ascii="Palatino Linotype" w:hAnsi="Palatino Linotype"/>
          <w:bCs/>
        </w:rPr>
        <w:t>. Allocating these QF costs on a non-vintaged PCIA basis will equitably share costs to all benefitting customers, and as such cost allocation is consistent with the QF/CHP Settlement, which found as a matter of law that all departed customers should share in the costs, we find this request reasonable.</w:t>
      </w:r>
    </w:p>
    <w:p w:rsidR="00366786" w:rsidP="009D535E" w:rsidRDefault="00366786" w14:paraId="68D86F45" w14:textId="77777777">
      <w:pPr>
        <w:rPr>
          <w:rFonts w:ascii="Palatino Linotype" w:hAnsi="Palatino Linotype"/>
        </w:rPr>
      </w:pPr>
    </w:p>
    <w:p w:rsidRPr="00121C1A" w:rsidR="009D535E" w:rsidP="009D535E" w:rsidRDefault="009D535E" w14:paraId="523195F6" w14:textId="77777777">
      <w:pPr>
        <w:rPr>
          <w:rFonts w:ascii="Palatino Linotype" w:hAnsi="Palatino Linotype"/>
          <w:b/>
        </w:rPr>
      </w:pPr>
      <w:r w:rsidRPr="00121C1A">
        <w:rPr>
          <w:rFonts w:ascii="Palatino Linotype" w:hAnsi="Palatino Linotype"/>
          <w:b/>
        </w:rPr>
        <w:t>Public Safety</w:t>
      </w:r>
    </w:p>
    <w:p w:rsidRPr="00121C1A" w:rsidR="009D535E" w:rsidP="009D535E" w:rsidRDefault="009D535E" w14:paraId="5352EDC9" w14:textId="77777777">
      <w:pPr>
        <w:rPr>
          <w:rFonts w:ascii="Palatino Linotype" w:hAnsi="Palatino Linotype"/>
        </w:rPr>
      </w:pPr>
    </w:p>
    <w:p w:rsidRPr="002A738E" w:rsidR="009D535E" w:rsidP="009D535E" w:rsidRDefault="00A97F32" w14:paraId="2F7915AE" w14:textId="1936AA2F">
      <w:pPr>
        <w:rPr>
          <w:rFonts w:ascii="Palatino Linotype" w:hAnsi="Palatino Linotype"/>
        </w:rPr>
      </w:pPr>
      <w:r>
        <w:rPr>
          <w:rFonts w:ascii="Palatino Linotype" w:hAnsi="Palatino Linotype"/>
        </w:rPr>
        <w:t>P</w:t>
      </w:r>
      <w:r w:rsidRPr="00F21112" w:rsidR="007F4DF7">
        <w:rPr>
          <w:rFonts w:ascii="Palatino Linotype" w:hAnsi="Palatino Linotype"/>
        </w:rPr>
        <w:t>G&amp;E</w:t>
      </w:r>
      <w:r w:rsidRPr="00F21112" w:rsidR="009D535E">
        <w:rPr>
          <w:rFonts w:ascii="Palatino Linotype" w:hAnsi="Palatino Linotype"/>
        </w:rPr>
        <w:t xml:space="preserve"> provide</w:t>
      </w:r>
      <w:r w:rsidR="00205224">
        <w:rPr>
          <w:rFonts w:ascii="Palatino Linotype" w:hAnsi="Palatino Linotype"/>
        </w:rPr>
        <w:t>d</w:t>
      </w:r>
      <w:r w:rsidRPr="00F21112" w:rsidR="00F21112">
        <w:rPr>
          <w:rFonts w:ascii="Palatino Linotype" w:hAnsi="Palatino Linotype"/>
        </w:rPr>
        <w:t xml:space="preserve"> </w:t>
      </w:r>
      <w:r w:rsidR="00C20A00">
        <w:rPr>
          <w:rFonts w:ascii="Palatino Linotype" w:hAnsi="Palatino Linotype"/>
        </w:rPr>
        <w:t xml:space="preserve">safety plans and </w:t>
      </w:r>
      <w:r w:rsidRPr="00F21112" w:rsidR="009D535E">
        <w:rPr>
          <w:rFonts w:ascii="Palatino Linotype" w:hAnsi="Palatino Linotype"/>
        </w:rPr>
        <w:t>report</w:t>
      </w:r>
      <w:r w:rsidRPr="00F21112" w:rsidR="00F21112">
        <w:rPr>
          <w:rFonts w:ascii="Palatino Linotype" w:hAnsi="Palatino Linotype"/>
        </w:rPr>
        <w:t>s</w:t>
      </w:r>
      <w:r w:rsidRPr="00F21112" w:rsidR="009D535E">
        <w:rPr>
          <w:rFonts w:ascii="Palatino Linotype" w:hAnsi="Palatino Linotype"/>
        </w:rPr>
        <w:t xml:space="preserve"> from an indep</w:t>
      </w:r>
      <w:r w:rsidRPr="00F21112" w:rsidR="005F6760">
        <w:rPr>
          <w:rFonts w:ascii="Palatino Linotype" w:hAnsi="Palatino Linotype"/>
        </w:rPr>
        <w:t>endent, California l</w:t>
      </w:r>
      <w:r w:rsidRPr="00F21112" w:rsidR="009D535E">
        <w:rPr>
          <w:rFonts w:ascii="Palatino Linotype" w:hAnsi="Palatino Linotype"/>
        </w:rPr>
        <w:t xml:space="preserve">icensed engineer certifying that </w:t>
      </w:r>
      <w:r w:rsidR="001D67D2">
        <w:rPr>
          <w:rFonts w:ascii="Palatino Linotype" w:hAnsi="Palatino Linotype"/>
        </w:rPr>
        <w:t xml:space="preserve">each of </w:t>
      </w:r>
      <w:r w:rsidRPr="00F21112" w:rsidR="009D535E">
        <w:rPr>
          <w:rFonts w:ascii="Palatino Linotype" w:hAnsi="Palatino Linotype"/>
        </w:rPr>
        <w:t xml:space="preserve">the </w:t>
      </w:r>
      <w:r w:rsidR="00C20A00">
        <w:rPr>
          <w:rFonts w:ascii="Palatino Linotype" w:hAnsi="Palatino Linotype"/>
        </w:rPr>
        <w:t>f</w:t>
      </w:r>
      <w:r w:rsidRPr="00F21112" w:rsidR="007F4DF7">
        <w:rPr>
          <w:rFonts w:ascii="Palatino Linotype" w:hAnsi="Palatino Linotype"/>
        </w:rPr>
        <w:t>acilities have</w:t>
      </w:r>
      <w:r w:rsidRPr="00F21112" w:rsidR="009D535E">
        <w:rPr>
          <w:rFonts w:ascii="Palatino Linotype" w:hAnsi="Palatino Linotype"/>
        </w:rPr>
        <w:t xml:space="preserve"> a feasible safety plan. Energy Division </w:t>
      </w:r>
      <w:r w:rsidR="00D34709">
        <w:rPr>
          <w:rFonts w:ascii="Palatino Linotype" w:hAnsi="Palatino Linotype"/>
        </w:rPr>
        <w:t xml:space="preserve">staff </w:t>
      </w:r>
      <w:r w:rsidRPr="00F21112" w:rsidR="009D535E">
        <w:rPr>
          <w:rFonts w:ascii="Palatino Linotype" w:hAnsi="Palatino Linotype"/>
        </w:rPr>
        <w:t>reviewed the safety plan</w:t>
      </w:r>
      <w:r w:rsidR="005C5E80">
        <w:rPr>
          <w:rFonts w:ascii="Palatino Linotype" w:hAnsi="Palatino Linotype"/>
        </w:rPr>
        <w:t xml:space="preserve"> for each facility </w:t>
      </w:r>
      <w:r w:rsidR="00271637">
        <w:rPr>
          <w:rFonts w:ascii="Palatino Linotype" w:hAnsi="Palatino Linotype"/>
        </w:rPr>
        <w:t>and</w:t>
      </w:r>
      <w:r w:rsidRPr="00F21112" w:rsidR="009D535E">
        <w:rPr>
          <w:rFonts w:ascii="Palatino Linotype" w:hAnsi="Palatino Linotype"/>
        </w:rPr>
        <w:t xml:space="preserve"> the engineer’s certification</w:t>
      </w:r>
      <w:r>
        <w:rPr>
          <w:rFonts w:ascii="Palatino Linotype" w:hAnsi="Palatino Linotype"/>
        </w:rPr>
        <w:t>s</w:t>
      </w:r>
      <w:r w:rsidRPr="00F21112" w:rsidR="009D535E">
        <w:rPr>
          <w:rFonts w:ascii="Palatino Linotype" w:hAnsi="Palatino Linotype"/>
        </w:rPr>
        <w:t xml:space="preserve"> and finds </w:t>
      </w:r>
      <w:r>
        <w:rPr>
          <w:rFonts w:ascii="Palatino Linotype" w:hAnsi="Palatino Linotype"/>
        </w:rPr>
        <w:t>that they are reasonable.</w:t>
      </w:r>
    </w:p>
    <w:p w:rsidR="009D535E" w:rsidP="009D535E" w:rsidRDefault="009D535E" w14:paraId="53418FFF" w14:textId="77777777"/>
    <w:p w:rsidRPr="00265233" w:rsidR="009D535E" w:rsidP="009D535E" w:rsidRDefault="009D535E" w14:paraId="153E1709" w14:textId="77777777">
      <w:pPr>
        <w:rPr>
          <w:rFonts w:ascii="Palatino Linotype" w:hAnsi="Palatino Linotype"/>
          <w:b/>
        </w:rPr>
      </w:pPr>
      <w:r w:rsidRPr="00265233">
        <w:rPr>
          <w:rFonts w:ascii="Palatino Linotype" w:hAnsi="Palatino Linotype"/>
          <w:b/>
        </w:rPr>
        <w:t>Consistency with Emissions Performance Standard</w:t>
      </w:r>
    </w:p>
    <w:p w:rsidR="009D535E" w:rsidP="009D535E" w:rsidRDefault="009D535E" w14:paraId="0A066F3E" w14:textId="77777777"/>
    <w:p w:rsidR="009D535E" w:rsidP="007F4DF7" w:rsidRDefault="007F4DF7" w14:paraId="33E64F21" w14:textId="1DA1686C">
      <w:pPr>
        <w:rPr>
          <w:rFonts w:ascii="Palatino Linotype" w:hAnsi="Palatino Linotype"/>
        </w:rPr>
      </w:pPr>
      <w:r w:rsidRPr="00A3756C">
        <w:rPr>
          <w:rFonts w:ascii="Palatino Linotype" w:hAnsi="Palatino Linotype"/>
        </w:rPr>
        <w:t xml:space="preserve">In D.07-01-039, the </w:t>
      </w:r>
      <w:r w:rsidR="00D8046F">
        <w:rPr>
          <w:rFonts w:ascii="Palatino Linotype" w:hAnsi="Palatino Linotype"/>
        </w:rPr>
        <w:t>CPUC</w:t>
      </w:r>
      <w:r w:rsidRPr="00A3756C" w:rsidR="00D8046F">
        <w:rPr>
          <w:rFonts w:ascii="Palatino Linotype" w:hAnsi="Palatino Linotype"/>
        </w:rPr>
        <w:t xml:space="preserve"> </w:t>
      </w:r>
      <w:r w:rsidRPr="00A3756C">
        <w:rPr>
          <w:rFonts w:ascii="Palatino Linotype" w:hAnsi="Palatino Linotype"/>
        </w:rPr>
        <w:t>adopted a greenhouse gas Emissions Performance Standard (EPS) which is applicable to an electricity contract for baseload generation, as defined, having a delivery term of five years or more.  According to D.07-01-039, the EPS applies to generation facilities expected to have a capacity factor in excess of sixty percent</w:t>
      </w:r>
      <w:r w:rsidR="00650C6F">
        <w:rPr>
          <w:rFonts w:ascii="Palatino Linotype" w:hAnsi="Palatino Linotype"/>
        </w:rPr>
        <w:t>.</w:t>
      </w:r>
      <w:r w:rsidRPr="00A3756C">
        <w:rPr>
          <w:rFonts w:ascii="Palatino Linotype" w:hAnsi="Palatino Linotype"/>
        </w:rPr>
        <w:t xml:space="preserve"> CHP facilities with a capacity factor above </w:t>
      </w:r>
      <w:r w:rsidR="00A97F32">
        <w:rPr>
          <w:rFonts w:ascii="Palatino Linotype" w:hAnsi="Palatino Linotype"/>
        </w:rPr>
        <w:t>sixty percent</w:t>
      </w:r>
      <w:r w:rsidRPr="00A3756C">
        <w:rPr>
          <w:rFonts w:ascii="Palatino Linotype" w:hAnsi="Palatino Linotype"/>
        </w:rPr>
        <w:t xml:space="preserve"> and a term of greater than five years</w:t>
      </w:r>
      <w:r w:rsidR="00930422">
        <w:rPr>
          <w:rFonts w:ascii="Palatino Linotype" w:hAnsi="Palatino Linotype"/>
        </w:rPr>
        <w:t xml:space="preserve"> comply with </w:t>
      </w:r>
      <w:r w:rsidRPr="00930422">
        <w:rPr>
          <w:rFonts w:ascii="Palatino Linotype" w:hAnsi="Palatino Linotype"/>
        </w:rPr>
        <w:t xml:space="preserve">the EPS </w:t>
      </w:r>
      <w:r w:rsidRPr="00930422" w:rsidR="00A97F32">
        <w:rPr>
          <w:rFonts w:ascii="Palatino Linotype" w:hAnsi="Palatino Linotype"/>
        </w:rPr>
        <w:t>if</w:t>
      </w:r>
      <w:r w:rsidRPr="00930422">
        <w:rPr>
          <w:rFonts w:ascii="Palatino Linotype" w:hAnsi="Palatino Linotype"/>
        </w:rPr>
        <w:t xml:space="preserve"> </w:t>
      </w:r>
      <w:r w:rsidRPr="00930422" w:rsidR="00A97F32">
        <w:rPr>
          <w:rFonts w:ascii="Palatino Linotype" w:hAnsi="Palatino Linotype"/>
        </w:rPr>
        <w:t>t</w:t>
      </w:r>
      <w:r w:rsidRPr="00930422">
        <w:rPr>
          <w:rFonts w:ascii="Palatino Linotype" w:hAnsi="Palatino Linotype"/>
        </w:rPr>
        <w:t>he</w:t>
      </w:r>
      <w:r w:rsidRPr="00A3756C">
        <w:rPr>
          <w:rFonts w:ascii="Palatino Linotype" w:hAnsi="Palatino Linotype"/>
        </w:rPr>
        <w:t xml:space="preserve"> emissions from th</w:t>
      </w:r>
      <w:r w:rsidR="00A97F32">
        <w:rPr>
          <w:rFonts w:ascii="Palatino Linotype" w:hAnsi="Palatino Linotype"/>
        </w:rPr>
        <w:t>e</w:t>
      </w:r>
      <w:r w:rsidRPr="00A3756C">
        <w:rPr>
          <w:rFonts w:ascii="Palatino Linotype" w:hAnsi="Palatino Linotype"/>
        </w:rPr>
        <w:t xml:space="preserve"> portion of the thermal output that is used to generate electricity under the PPA is less than </w:t>
      </w:r>
      <w:r w:rsidR="00D90F49">
        <w:rPr>
          <w:rFonts w:ascii="Palatino Linotype" w:hAnsi="Palatino Linotype"/>
        </w:rPr>
        <w:t xml:space="preserve">1,100 </w:t>
      </w:r>
      <w:r w:rsidR="00320E93">
        <w:rPr>
          <w:rFonts w:ascii="Palatino Linotype" w:hAnsi="Palatino Linotype"/>
        </w:rPr>
        <w:t xml:space="preserve">pounds </w:t>
      </w:r>
      <w:r w:rsidRPr="00A3756C">
        <w:rPr>
          <w:rFonts w:ascii="Palatino Linotype" w:hAnsi="Palatino Linotype"/>
        </w:rPr>
        <w:t xml:space="preserve">of carbon dioxide per MWh. </w:t>
      </w:r>
    </w:p>
    <w:p w:rsidR="00E57CFF" w:rsidP="007F4DF7" w:rsidRDefault="00E57CFF" w14:paraId="257661E8" w14:textId="77777777">
      <w:pPr>
        <w:rPr>
          <w:rFonts w:ascii="Palatino Linotype" w:hAnsi="Palatino Linotype"/>
        </w:rPr>
      </w:pPr>
    </w:p>
    <w:p w:rsidR="00E57CFF" w:rsidP="007F4DF7" w:rsidRDefault="00E57CFF" w14:paraId="4996CE9B" w14:textId="4874C316">
      <w:pPr>
        <w:rPr>
          <w:rFonts w:ascii="Palatino Linotype" w:hAnsi="Palatino Linotype"/>
        </w:rPr>
      </w:pPr>
      <w:r>
        <w:rPr>
          <w:rFonts w:ascii="Palatino Linotype" w:hAnsi="Palatino Linotype"/>
        </w:rPr>
        <w:t>The South Belridge Cogeneration facility and the Tannehill facility are both subject to the EPS</w:t>
      </w:r>
      <w:r w:rsidR="00CC664D">
        <w:rPr>
          <w:rFonts w:ascii="Palatino Linotype" w:hAnsi="Palatino Linotype"/>
        </w:rPr>
        <w:t xml:space="preserve"> because both facilities have an annualized plant capacity factor of at least </w:t>
      </w:r>
      <w:r w:rsidR="00D90F49">
        <w:rPr>
          <w:rFonts w:ascii="Palatino Linotype" w:hAnsi="Palatino Linotype"/>
        </w:rPr>
        <w:t>sixty percent</w:t>
      </w:r>
      <w:r w:rsidR="00CC664D">
        <w:rPr>
          <w:rFonts w:ascii="Palatino Linotype" w:hAnsi="Palatino Linotype"/>
        </w:rPr>
        <w:t xml:space="preserve">. Upon review of confidential information submitted with the Advice Letter, staff find </w:t>
      </w:r>
      <w:r w:rsidR="004A453D">
        <w:rPr>
          <w:rFonts w:ascii="Palatino Linotype" w:hAnsi="Palatino Linotype"/>
        </w:rPr>
        <w:t xml:space="preserve">each </w:t>
      </w:r>
      <w:r w:rsidR="00CC664D">
        <w:rPr>
          <w:rFonts w:ascii="Palatino Linotype" w:hAnsi="Palatino Linotype"/>
        </w:rPr>
        <w:t>facilit</w:t>
      </w:r>
      <w:r w:rsidR="004A453D">
        <w:rPr>
          <w:rFonts w:ascii="Palatino Linotype" w:hAnsi="Palatino Linotype"/>
        </w:rPr>
        <w:t>y to</w:t>
      </w:r>
      <w:r w:rsidR="00CC664D">
        <w:rPr>
          <w:rFonts w:ascii="Palatino Linotype" w:hAnsi="Palatino Linotype"/>
        </w:rPr>
        <w:t xml:space="preserve"> emit less CO</w:t>
      </w:r>
      <w:r w:rsidRPr="00A3756C" w:rsidR="00CC664D">
        <w:rPr>
          <w:rFonts w:ascii="Palatino Linotype" w:hAnsi="Palatino Linotype"/>
          <w:vertAlign w:val="subscript"/>
        </w:rPr>
        <w:t>2</w:t>
      </w:r>
      <w:r w:rsidR="00187E6B">
        <w:rPr>
          <w:rFonts w:ascii="Palatino Linotype" w:hAnsi="Palatino Linotype"/>
        </w:rPr>
        <w:t xml:space="preserve"> than </w:t>
      </w:r>
      <w:r w:rsidR="00A97F32">
        <w:rPr>
          <w:rFonts w:ascii="Palatino Linotype" w:hAnsi="Palatino Linotype"/>
        </w:rPr>
        <w:t xml:space="preserve">1,100 </w:t>
      </w:r>
      <w:r w:rsidR="00320E93">
        <w:rPr>
          <w:rFonts w:ascii="Palatino Linotype" w:hAnsi="Palatino Linotype"/>
        </w:rPr>
        <w:t>pounds</w:t>
      </w:r>
      <w:r w:rsidRPr="00A3756C" w:rsidR="00A97F32">
        <w:rPr>
          <w:rFonts w:ascii="Palatino Linotype" w:hAnsi="Palatino Linotype"/>
        </w:rPr>
        <w:t xml:space="preserve"> of carbon dioxide per MWh</w:t>
      </w:r>
      <w:r w:rsidR="004A453D">
        <w:rPr>
          <w:rFonts w:ascii="Palatino Linotype" w:hAnsi="Palatino Linotype"/>
        </w:rPr>
        <w:t xml:space="preserve"> attributable to the portion of the thermal output that is used to generate electricity under the PPA</w:t>
      </w:r>
      <w:r w:rsidR="00271637">
        <w:rPr>
          <w:rFonts w:ascii="Palatino Linotype" w:hAnsi="Palatino Linotype"/>
        </w:rPr>
        <w:t>.</w:t>
      </w:r>
      <w:r w:rsidR="00187E6B">
        <w:rPr>
          <w:rFonts w:ascii="Palatino Linotype" w:hAnsi="Palatino Linotype"/>
        </w:rPr>
        <w:t xml:space="preserve"> Both facilities are thus in compliance with </w:t>
      </w:r>
      <w:r w:rsidR="00271637">
        <w:rPr>
          <w:rFonts w:ascii="Palatino Linotype" w:hAnsi="Palatino Linotype"/>
        </w:rPr>
        <w:t xml:space="preserve">the </w:t>
      </w:r>
      <w:r w:rsidR="00187E6B">
        <w:rPr>
          <w:rFonts w:ascii="Palatino Linotype" w:hAnsi="Palatino Linotype"/>
        </w:rPr>
        <w:t>EPS.</w:t>
      </w:r>
    </w:p>
    <w:p w:rsidR="00187E6B" w:rsidP="007F4DF7" w:rsidRDefault="00187E6B" w14:paraId="3980FB88" w14:textId="77777777">
      <w:pPr>
        <w:rPr>
          <w:rFonts w:ascii="Palatino Linotype" w:hAnsi="Palatino Linotype"/>
        </w:rPr>
      </w:pPr>
    </w:p>
    <w:p w:rsidR="00187E6B" w:rsidP="007F4DF7" w:rsidRDefault="00187E6B" w14:paraId="243E677A" w14:textId="3F0D084B">
      <w:pPr>
        <w:rPr>
          <w:rFonts w:ascii="Palatino Linotype" w:hAnsi="Palatino Linotype"/>
        </w:rPr>
      </w:pPr>
      <w:r>
        <w:rPr>
          <w:rFonts w:ascii="Palatino Linotype" w:hAnsi="Palatino Linotype"/>
        </w:rPr>
        <w:t xml:space="preserve">The Haypress facility </w:t>
      </w:r>
      <w:r w:rsidR="00341FF1">
        <w:rPr>
          <w:rFonts w:ascii="Palatino Linotype" w:hAnsi="Palatino Linotype"/>
        </w:rPr>
        <w:t>is a hydropower facility with</w:t>
      </w:r>
      <w:r>
        <w:rPr>
          <w:rFonts w:ascii="Palatino Linotype" w:hAnsi="Palatino Linotype"/>
        </w:rPr>
        <w:t xml:space="preserve"> an annualized plant capacity factor that is lower than </w:t>
      </w:r>
      <w:r w:rsidR="00D90F49">
        <w:rPr>
          <w:rFonts w:ascii="Palatino Linotype" w:hAnsi="Palatino Linotype"/>
        </w:rPr>
        <w:t>sixty percent</w:t>
      </w:r>
      <w:r w:rsidR="00341FF1">
        <w:rPr>
          <w:rFonts w:ascii="Palatino Linotype" w:hAnsi="Palatino Linotype"/>
        </w:rPr>
        <w:t>. It</w:t>
      </w:r>
      <w:r>
        <w:rPr>
          <w:rFonts w:ascii="Palatino Linotype" w:hAnsi="Palatino Linotype"/>
        </w:rPr>
        <w:t xml:space="preserve"> is therefore not subject to the EPS.</w:t>
      </w:r>
    </w:p>
    <w:p w:rsidR="007F4DF7" w:rsidP="007F4DF7" w:rsidRDefault="007F4DF7" w14:paraId="09146959" w14:textId="77777777"/>
    <w:p w:rsidR="00761342" w:rsidP="009D535E" w:rsidRDefault="00761342" w14:paraId="65F01238" w14:textId="77777777">
      <w:pPr>
        <w:rPr>
          <w:rFonts w:ascii="Palatino Linotype" w:hAnsi="Palatino Linotype"/>
          <w:b/>
        </w:rPr>
      </w:pPr>
    </w:p>
    <w:p w:rsidRPr="00265233" w:rsidR="009D535E" w:rsidP="009D535E" w:rsidRDefault="009D535E" w14:paraId="6F1A2D62" w14:textId="17B716BD">
      <w:pPr>
        <w:rPr>
          <w:rFonts w:ascii="Palatino Linotype" w:hAnsi="Palatino Linotype"/>
          <w:b/>
        </w:rPr>
      </w:pPr>
      <w:r w:rsidRPr="00265233">
        <w:rPr>
          <w:rFonts w:ascii="Palatino Linotype" w:hAnsi="Palatino Linotype"/>
          <w:b/>
        </w:rPr>
        <w:lastRenderedPageBreak/>
        <w:t>CAM Group Participation</w:t>
      </w:r>
    </w:p>
    <w:p w:rsidR="009D535E" w:rsidP="009D535E" w:rsidRDefault="009D535E" w14:paraId="5A4BEF54" w14:textId="77777777"/>
    <w:p w:rsidRPr="008B6A44" w:rsidR="009D535E" w:rsidP="00187E6B" w:rsidRDefault="00390D29" w14:paraId="2E29448E" w14:textId="01691E15">
      <w:pPr>
        <w:rPr>
          <w:rFonts w:ascii="Palatino Linotype" w:hAnsi="Palatino Linotype"/>
        </w:rPr>
      </w:pPr>
      <w:r w:rsidRPr="008E6E10">
        <w:rPr>
          <w:rFonts w:ascii="Palatino Linotype" w:hAnsi="Palatino Linotype"/>
        </w:rPr>
        <w:t>D.02-08-071</w:t>
      </w:r>
      <w:r>
        <w:rPr>
          <w:rFonts w:ascii="Palatino Linotype" w:hAnsi="Palatino Linotype"/>
        </w:rPr>
        <w:t xml:space="preserve"> requires the establishment of a Procurement Review Group</w:t>
      </w:r>
      <w:r w:rsidRPr="008E6E10">
        <w:rPr>
          <w:rFonts w:ascii="Palatino Linotype" w:hAnsi="Palatino Linotype"/>
        </w:rPr>
        <w:t xml:space="preserve"> </w:t>
      </w:r>
      <w:r>
        <w:rPr>
          <w:rFonts w:ascii="Palatino Linotype" w:hAnsi="Palatino Linotype"/>
        </w:rPr>
        <w:t>to assess proposed contracts</w:t>
      </w:r>
      <w:r w:rsidR="003A32D1">
        <w:rPr>
          <w:rFonts w:ascii="Palatino Linotype" w:hAnsi="Palatino Linotype"/>
        </w:rPr>
        <w:t>,</w:t>
      </w:r>
      <w:r>
        <w:rPr>
          <w:rFonts w:ascii="Palatino Linotype" w:hAnsi="Palatino Linotype"/>
        </w:rPr>
        <w:t xml:space="preserve"> </w:t>
      </w:r>
      <w:r w:rsidRPr="008E6E10">
        <w:rPr>
          <w:rFonts w:ascii="Palatino Linotype" w:hAnsi="Palatino Linotype"/>
        </w:rPr>
        <w:t>and D.07-12-052 require</w:t>
      </w:r>
      <w:r>
        <w:rPr>
          <w:rFonts w:ascii="Palatino Linotype" w:hAnsi="Palatino Linotype"/>
        </w:rPr>
        <w:t xml:space="preserve">s the investor-owned utilities to include members representing community choice aggregator and direct access customers to its Procurement Review Group should it seek to recover costs from bundled and unbundled customers using the </w:t>
      </w:r>
      <w:r w:rsidR="00F91463">
        <w:rPr>
          <w:rFonts w:ascii="Palatino Linotype" w:hAnsi="Palatino Linotype"/>
        </w:rPr>
        <w:t>CAM</w:t>
      </w:r>
      <w:r>
        <w:rPr>
          <w:rFonts w:ascii="Palatino Linotype" w:hAnsi="Palatino Linotype"/>
        </w:rPr>
        <w:t>.</w:t>
      </w:r>
      <w:r w:rsidRPr="008E6E10">
        <w:rPr>
          <w:rFonts w:ascii="Palatino Linotype" w:hAnsi="Palatino Linotype"/>
        </w:rPr>
        <w:t xml:space="preserve"> </w:t>
      </w:r>
      <w:r w:rsidRPr="00A3756C" w:rsidR="00187E6B">
        <w:rPr>
          <w:rFonts w:ascii="Palatino Linotype" w:hAnsi="Palatino Linotype"/>
        </w:rPr>
        <w:t xml:space="preserve">PG&amp;E did not consult with its CAM group before executing the preapproved PURPA PPAs because the utility must offer this contract to QF generators that meet the eligibility requirements.  </w:t>
      </w:r>
    </w:p>
    <w:p w:rsidR="009D535E" w:rsidP="009D535E" w:rsidRDefault="009D535E" w14:paraId="0037C9AA" w14:textId="77777777"/>
    <w:p w:rsidRPr="00265233" w:rsidR="009D535E" w:rsidP="009D535E" w:rsidRDefault="009D535E" w14:paraId="77403C92" w14:textId="77777777">
      <w:pPr>
        <w:rPr>
          <w:rFonts w:ascii="Palatino Linotype" w:hAnsi="Palatino Linotype"/>
          <w:b/>
        </w:rPr>
      </w:pPr>
      <w:r w:rsidRPr="00265233">
        <w:rPr>
          <w:rFonts w:ascii="Palatino Linotype" w:hAnsi="Palatino Linotype"/>
          <w:b/>
        </w:rPr>
        <w:t>Disadvantaged Community Designation</w:t>
      </w:r>
    </w:p>
    <w:p w:rsidR="009D535E" w:rsidP="009D535E" w:rsidRDefault="009D535E" w14:paraId="7660A79F" w14:textId="77777777"/>
    <w:p w:rsidRPr="008E6E10" w:rsidR="00271637" w:rsidP="00271637" w:rsidRDefault="00271637" w14:paraId="750B6D47" w14:textId="37B3E189">
      <w:pPr>
        <w:spacing w:after="240"/>
        <w:rPr>
          <w:rFonts w:ascii="Palatino Linotype" w:hAnsi="Palatino Linotype"/>
          <w:szCs w:val="26"/>
        </w:rPr>
      </w:pPr>
      <w:r w:rsidRPr="008E6E10">
        <w:rPr>
          <w:rFonts w:ascii="Palatino Linotype" w:hAnsi="Palatino Linotype"/>
          <w:szCs w:val="26"/>
        </w:rPr>
        <w:t xml:space="preserve">Senate Bill 350 (de León, Chapter 547, Stats. 2015) </w:t>
      </w:r>
      <w:r>
        <w:rPr>
          <w:rFonts w:ascii="Palatino Linotype" w:hAnsi="Palatino Linotype"/>
          <w:szCs w:val="26"/>
        </w:rPr>
        <w:t xml:space="preserve">requires consideration </w:t>
      </w:r>
      <w:r w:rsidR="00320E93">
        <w:rPr>
          <w:rFonts w:ascii="Palatino Linotype" w:hAnsi="Palatino Linotype"/>
          <w:szCs w:val="26"/>
        </w:rPr>
        <w:t xml:space="preserve">of </w:t>
      </w:r>
      <w:r w:rsidRPr="008E6E10" w:rsidR="00320E93">
        <w:rPr>
          <w:rFonts w:ascii="Palatino Linotype" w:hAnsi="Palatino Linotype"/>
          <w:szCs w:val="26"/>
        </w:rPr>
        <w:t>disadvantaged</w:t>
      </w:r>
      <w:r w:rsidRPr="008E6E10">
        <w:rPr>
          <w:rFonts w:ascii="Palatino Linotype" w:hAnsi="Palatino Linotype"/>
          <w:szCs w:val="26"/>
        </w:rPr>
        <w:t xml:space="preserve"> communit</w:t>
      </w:r>
      <w:r>
        <w:rPr>
          <w:rFonts w:ascii="Palatino Linotype" w:hAnsi="Palatino Linotype"/>
          <w:szCs w:val="26"/>
        </w:rPr>
        <w:t>ies in many energy program and policy areas, so we find it appropriate to identify whether th</w:t>
      </w:r>
      <w:r w:rsidR="00DD7099">
        <w:rPr>
          <w:rFonts w:ascii="Palatino Linotype" w:hAnsi="Palatino Linotype"/>
          <w:szCs w:val="26"/>
        </w:rPr>
        <w:t xml:space="preserve">ese </w:t>
      </w:r>
      <w:r>
        <w:rPr>
          <w:rFonts w:ascii="Palatino Linotype" w:hAnsi="Palatino Linotype"/>
          <w:szCs w:val="26"/>
        </w:rPr>
        <w:t>facili</w:t>
      </w:r>
      <w:r w:rsidR="00DD7099">
        <w:rPr>
          <w:rFonts w:ascii="Palatino Linotype" w:hAnsi="Palatino Linotype"/>
          <w:szCs w:val="26"/>
        </w:rPr>
        <w:t>ties are</w:t>
      </w:r>
      <w:r>
        <w:rPr>
          <w:rFonts w:ascii="Palatino Linotype" w:hAnsi="Palatino Linotype"/>
          <w:szCs w:val="26"/>
        </w:rPr>
        <w:t xml:space="preserve"> located within a disadvantaged community.</w:t>
      </w:r>
      <w:r w:rsidRPr="008E6E10">
        <w:rPr>
          <w:rFonts w:ascii="Palatino Linotype" w:hAnsi="Palatino Linotype"/>
          <w:szCs w:val="26"/>
        </w:rPr>
        <w:t xml:space="preserve"> </w:t>
      </w:r>
    </w:p>
    <w:p w:rsidRPr="00A3756C" w:rsidR="00187E6B" w:rsidP="009D535E" w:rsidRDefault="00B524B9" w14:paraId="526C39FF" w14:textId="3A09D78A">
      <w:pPr>
        <w:spacing w:after="240"/>
        <w:rPr>
          <w:rFonts w:ascii="Palatino Linotype" w:hAnsi="Palatino Linotype"/>
          <w:szCs w:val="26"/>
        </w:rPr>
      </w:pPr>
      <w:r w:rsidRPr="00A3756C">
        <w:rPr>
          <w:rFonts w:ascii="Palatino Linotype" w:hAnsi="Palatino Linotype"/>
          <w:szCs w:val="26"/>
        </w:rPr>
        <w:t>The</w:t>
      </w:r>
      <w:r w:rsidRPr="00A3756C" w:rsidR="007239C3">
        <w:rPr>
          <w:rFonts w:ascii="Palatino Linotype" w:hAnsi="Palatino Linotype"/>
          <w:szCs w:val="26"/>
        </w:rPr>
        <w:t xml:space="preserve"> </w:t>
      </w:r>
      <w:r w:rsidRPr="00A3756C" w:rsidR="00187E6B">
        <w:rPr>
          <w:rFonts w:ascii="Palatino Linotype" w:hAnsi="Palatino Linotype"/>
          <w:szCs w:val="26"/>
        </w:rPr>
        <w:t>South Belridge Cogeneration Facility</w:t>
      </w:r>
      <w:r w:rsidRPr="00A3756C" w:rsidR="009D535E">
        <w:rPr>
          <w:rFonts w:ascii="Palatino Linotype" w:hAnsi="Palatino Linotype"/>
          <w:szCs w:val="26"/>
        </w:rPr>
        <w:t>, including the CHP generating unit,</w:t>
      </w:r>
      <w:r w:rsidRPr="00A3756C" w:rsidR="00DC6552">
        <w:rPr>
          <w:rFonts w:ascii="Palatino Linotype" w:hAnsi="Palatino Linotype"/>
          <w:szCs w:val="26"/>
        </w:rPr>
        <w:t xml:space="preserve"> </w:t>
      </w:r>
      <w:r w:rsidRPr="00A3756C" w:rsidR="005F6760">
        <w:rPr>
          <w:rFonts w:ascii="Palatino Linotype" w:hAnsi="Palatino Linotype"/>
          <w:szCs w:val="26"/>
        </w:rPr>
        <w:t>lie</w:t>
      </w:r>
      <w:r w:rsidRPr="00A3756C" w:rsidR="00DC6552">
        <w:rPr>
          <w:rFonts w:ascii="Palatino Linotype" w:hAnsi="Palatino Linotype"/>
          <w:szCs w:val="26"/>
        </w:rPr>
        <w:t>s within Census Tract</w:t>
      </w:r>
      <w:r w:rsidR="0015457F">
        <w:rPr>
          <w:rFonts w:ascii="Palatino Linotype" w:hAnsi="Palatino Linotype"/>
          <w:szCs w:val="26"/>
        </w:rPr>
        <w:t xml:space="preserve"> </w:t>
      </w:r>
      <w:r w:rsidRPr="00417A67" w:rsidR="00187E6B">
        <w:rPr>
          <w:rFonts w:ascii="Palatino Linotype" w:hAnsi="Palatino Linotype"/>
          <w:szCs w:val="26"/>
        </w:rPr>
        <w:t>6029003304</w:t>
      </w:r>
      <w:r w:rsidRPr="00A3756C" w:rsidR="00DC6552">
        <w:rPr>
          <w:rFonts w:ascii="Palatino Linotype" w:hAnsi="Palatino Linotype"/>
          <w:bCs/>
          <w:szCs w:val="26"/>
        </w:rPr>
        <w:t xml:space="preserve">, which </w:t>
      </w:r>
      <w:r w:rsidRPr="00566A0D" w:rsidR="00DC6552">
        <w:rPr>
          <w:rFonts w:ascii="Palatino Linotype" w:hAnsi="Palatino Linotype"/>
          <w:bCs/>
          <w:szCs w:val="26"/>
        </w:rPr>
        <w:t xml:space="preserve">is </w:t>
      </w:r>
      <w:r w:rsidR="008E7AB5">
        <w:rPr>
          <w:rFonts w:ascii="Palatino Linotype" w:hAnsi="Palatino Linotype"/>
          <w:bCs/>
          <w:szCs w:val="26"/>
        </w:rPr>
        <w:t xml:space="preserve">not </w:t>
      </w:r>
      <w:r w:rsidRPr="00A3756C" w:rsidR="00DC6552">
        <w:rPr>
          <w:rFonts w:ascii="Palatino Linotype" w:hAnsi="Palatino Linotype"/>
          <w:bCs/>
          <w:szCs w:val="26"/>
        </w:rPr>
        <w:t xml:space="preserve">a </w:t>
      </w:r>
      <w:r w:rsidRPr="00A3756C" w:rsidR="00DC6552">
        <w:rPr>
          <w:rFonts w:ascii="Palatino Linotype" w:hAnsi="Palatino Linotype"/>
          <w:szCs w:val="26"/>
        </w:rPr>
        <w:t xml:space="preserve">CalEnviroScreen Version 3.0 designated Disadvantaged Community. </w:t>
      </w:r>
    </w:p>
    <w:p w:rsidR="009D535E" w:rsidP="009D535E" w:rsidRDefault="007239C3" w14:paraId="1CF9D98F" w14:textId="77777777">
      <w:pPr>
        <w:spacing w:after="240"/>
        <w:rPr>
          <w:rFonts w:ascii="Palatino Linotype" w:hAnsi="Palatino Linotype"/>
          <w:bCs/>
          <w:szCs w:val="26"/>
        </w:rPr>
      </w:pPr>
      <w:r w:rsidRPr="00A3756C">
        <w:rPr>
          <w:rFonts w:ascii="Palatino Linotype" w:hAnsi="Palatino Linotype"/>
          <w:bCs/>
          <w:szCs w:val="26"/>
        </w:rPr>
        <w:t xml:space="preserve">The </w:t>
      </w:r>
      <w:r w:rsidRPr="00A3756C" w:rsidR="00417A67">
        <w:rPr>
          <w:rFonts w:ascii="Palatino Linotype" w:hAnsi="Palatino Linotype"/>
          <w:bCs/>
          <w:szCs w:val="26"/>
        </w:rPr>
        <w:t>Tannehill</w:t>
      </w:r>
      <w:r w:rsidRPr="00A3756C">
        <w:rPr>
          <w:rFonts w:ascii="Palatino Linotype" w:hAnsi="Palatino Linotype"/>
          <w:bCs/>
          <w:szCs w:val="26"/>
        </w:rPr>
        <w:t xml:space="preserve"> facility, including the CHP generating unit</w:t>
      </w:r>
      <w:r w:rsidRPr="00A3756C" w:rsidR="005F6760">
        <w:rPr>
          <w:rFonts w:ascii="Palatino Linotype" w:hAnsi="Palatino Linotype"/>
          <w:bCs/>
          <w:szCs w:val="26"/>
        </w:rPr>
        <w:t>, lie</w:t>
      </w:r>
      <w:r w:rsidRPr="00A3756C" w:rsidR="00BF0BD7">
        <w:rPr>
          <w:rFonts w:ascii="Palatino Linotype" w:hAnsi="Palatino Linotype"/>
          <w:bCs/>
          <w:szCs w:val="26"/>
        </w:rPr>
        <w:t>s within</w:t>
      </w:r>
      <w:r w:rsidRPr="00A3756C">
        <w:rPr>
          <w:rFonts w:ascii="Palatino Linotype" w:hAnsi="Palatino Linotype"/>
          <w:bCs/>
          <w:szCs w:val="26"/>
        </w:rPr>
        <w:t xml:space="preserve"> Census Tract </w:t>
      </w:r>
      <w:r w:rsidRPr="00417A67" w:rsidR="00417A67">
        <w:rPr>
          <w:rFonts w:ascii="Palatino Linotype" w:hAnsi="Palatino Linotype"/>
          <w:bCs/>
          <w:szCs w:val="26"/>
        </w:rPr>
        <w:t>6029003303</w:t>
      </w:r>
      <w:r w:rsidRPr="00A3756C" w:rsidR="00DC6552">
        <w:rPr>
          <w:rFonts w:ascii="Palatino Linotype" w:hAnsi="Palatino Linotype"/>
          <w:bCs/>
          <w:szCs w:val="26"/>
        </w:rPr>
        <w:t xml:space="preserve">, which is not a </w:t>
      </w:r>
      <w:r w:rsidRPr="00A3756C" w:rsidR="00DC6552">
        <w:rPr>
          <w:rFonts w:ascii="Palatino Linotype" w:hAnsi="Palatino Linotype"/>
          <w:szCs w:val="26"/>
        </w:rPr>
        <w:t>CalEnviroScreen Version 3.0 designated Disadvantaged Community</w:t>
      </w:r>
      <w:r w:rsidRPr="00A3756C">
        <w:rPr>
          <w:rFonts w:ascii="Palatino Linotype" w:hAnsi="Palatino Linotype"/>
          <w:bCs/>
          <w:szCs w:val="26"/>
        </w:rPr>
        <w:t>.</w:t>
      </w:r>
    </w:p>
    <w:p w:rsidR="00417A67" w:rsidP="00417A67" w:rsidRDefault="00417A67" w14:paraId="381C0855" w14:textId="77777777">
      <w:pPr>
        <w:spacing w:after="240"/>
        <w:rPr>
          <w:rFonts w:ascii="Palatino Linotype" w:hAnsi="Palatino Linotype"/>
          <w:szCs w:val="26"/>
        </w:rPr>
      </w:pPr>
      <w:r w:rsidRPr="001D6500">
        <w:rPr>
          <w:rFonts w:ascii="Palatino Linotype" w:hAnsi="Palatino Linotype"/>
          <w:szCs w:val="26"/>
        </w:rPr>
        <w:t xml:space="preserve">The </w:t>
      </w:r>
      <w:r>
        <w:rPr>
          <w:rFonts w:ascii="Palatino Linotype" w:hAnsi="Palatino Linotype"/>
          <w:szCs w:val="26"/>
        </w:rPr>
        <w:t>Haypress Creek-Lower Haypress, Middle facility</w:t>
      </w:r>
      <w:r w:rsidRPr="001D6500">
        <w:rPr>
          <w:rFonts w:ascii="Palatino Linotype" w:hAnsi="Palatino Linotype"/>
          <w:szCs w:val="26"/>
        </w:rPr>
        <w:t>, lies within Census Tract</w:t>
      </w:r>
      <w:r>
        <w:rPr>
          <w:rFonts w:ascii="Palatino Linotype" w:hAnsi="Palatino Linotype"/>
          <w:szCs w:val="26"/>
        </w:rPr>
        <w:t xml:space="preserve"> </w:t>
      </w:r>
      <w:r>
        <w:rPr>
          <w:rStyle w:val="esrinumericvalue"/>
        </w:rPr>
        <w:t>6091010000</w:t>
      </w:r>
      <w:r w:rsidRPr="001D6500">
        <w:rPr>
          <w:rFonts w:ascii="Palatino Linotype" w:hAnsi="Palatino Linotype"/>
          <w:bCs/>
          <w:szCs w:val="26"/>
        </w:rPr>
        <w:t xml:space="preserve">, which </w:t>
      </w:r>
      <w:r w:rsidRPr="00A3756C">
        <w:rPr>
          <w:rFonts w:ascii="Palatino Linotype" w:hAnsi="Palatino Linotype"/>
          <w:bCs/>
          <w:szCs w:val="26"/>
        </w:rPr>
        <w:t xml:space="preserve">is </w:t>
      </w:r>
      <w:r>
        <w:rPr>
          <w:rFonts w:ascii="Palatino Linotype" w:hAnsi="Palatino Linotype"/>
          <w:bCs/>
          <w:szCs w:val="26"/>
        </w:rPr>
        <w:t xml:space="preserve">not </w:t>
      </w:r>
      <w:r w:rsidRPr="001D6500">
        <w:rPr>
          <w:rFonts w:ascii="Palatino Linotype" w:hAnsi="Palatino Linotype"/>
          <w:bCs/>
          <w:szCs w:val="26"/>
        </w:rPr>
        <w:t xml:space="preserve">a </w:t>
      </w:r>
      <w:r w:rsidRPr="001D6500">
        <w:rPr>
          <w:rFonts w:ascii="Palatino Linotype" w:hAnsi="Palatino Linotype"/>
          <w:szCs w:val="26"/>
        </w:rPr>
        <w:t xml:space="preserve">CalEnviroScreen Version 3.0 designated Disadvantaged Community. </w:t>
      </w:r>
    </w:p>
    <w:p w:rsidR="009D535E" w:rsidP="009D535E" w:rsidRDefault="009D535E" w14:paraId="2678865D" w14:textId="77777777">
      <w:pPr>
        <w:pStyle w:val="Heading1"/>
      </w:pPr>
      <w:r>
        <w:t>Comments</w:t>
      </w:r>
    </w:p>
    <w:p w:rsidRPr="001956E2" w:rsidR="00A3756C" w:rsidP="00A3756C" w:rsidRDefault="00A3756C" w14:paraId="13541431" w14:textId="0C98B0AA">
      <w:pPr>
        <w:rPr>
          <w:rFonts w:ascii="Palatino Linotype" w:hAnsi="Palatino Linotype"/>
        </w:rPr>
      </w:pPr>
      <w:r w:rsidRPr="002D171A">
        <w:rPr>
          <w:rFonts w:ascii="Palatino Linotype" w:hAnsi="Palatino Linotype"/>
        </w:rPr>
        <w:t xml:space="preserve">Public Utilities Code section 311(g)(1) provides that this resolution must be served on all parties and subject to at least 30 days public review.  Please note that comments are due 20 days from the mailing date of this resolution. Section 311(g)(2) provides that this 30-day review period and 20-day comment period may be reduced or waived upon the stipulation of all parties in the proceeding. </w:t>
      </w:r>
    </w:p>
    <w:p w:rsidRPr="00761342" w:rsidR="009D535E" w:rsidP="00761342" w:rsidRDefault="00A3756C" w14:paraId="1AC87A6D" w14:textId="09DAF060">
      <w:pPr>
        <w:rPr>
          <w:rFonts w:ascii="Palatino Linotype" w:hAnsi="Palatino Linotype"/>
        </w:rPr>
      </w:pPr>
      <w:r w:rsidRPr="001956E2">
        <w:rPr>
          <w:rFonts w:ascii="Palatino Linotype" w:hAnsi="Palatino Linotype"/>
        </w:rPr>
        <w:lastRenderedPageBreak/>
        <w:t xml:space="preserve">The 30-day review and 20-day comment period for the draft of this resolution was neither waived nor reduced.  Accordingly, this draft resolution was mailed to parties for comments, and will be placed on the </w:t>
      </w:r>
      <w:r w:rsidRPr="001956E2" w:rsidR="00D8046F">
        <w:rPr>
          <w:rFonts w:ascii="Palatino Linotype" w:hAnsi="Palatino Linotype"/>
        </w:rPr>
        <w:t xml:space="preserve">CPUC’s </w:t>
      </w:r>
      <w:r w:rsidRPr="001956E2">
        <w:rPr>
          <w:rFonts w:ascii="Palatino Linotype" w:hAnsi="Palatino Linotype"/>
        </w:rPr>
        <w:t>agenda no earlier than 30 days from today.</w:t>
      </w:r>
      <w:r w:rsidR="00761342">
        <w:rPr>
          <w:rFonts w:ascii="Palatino Linotype" w:hAnsi="Palatino Linotype"/>
        </w:rPr>
        <w:br/>
      </w:r>
    </w:p>
    <w:p w:rsidR="009D535E" w:rsidP="009D535E" w:rsidRDefault="009D535E" w14:paraId="180D77B3" w14:textId="77777777">
      <w:pPr>
        <w:pStyle w:val="Heading1"/>
      </w:pPr>
      <w:r>
        <w:t>Findings</w:t>
      </w:r>
    </w:p>
    <w:p w:rsidRPr="001956E2" w:rsidR="004B13B6" w:rsidP="00283511" w:rsidRDefault="00D8046F" w14:paraId="57B5C82C" w14:textId="77777777">
      <w:pPr>
        <w:numPr>
          <w:ilvl w:val="0"/>
          <w:numId w:val="4"/>
        </w:numPr>
        <w:rPr>
          <w:rFonts w:ascii="Palatino Linotype" w:hAnsi="Palatino Linotype"/>
        </w:rPr>
      </w:pPr>
      <w:r w:rsidRPr="001956E2">
        <w:rPr>
          <w:rFonts w:ascii="Palatino Linotype" w:hAnsi="Palatino Linotype"/>
        </w:rPr>
        <w:t xml:space="preserve">CPUC </w:t>
      </w:r>
      <w:r w:rsidRPr="001956E2" w:rsidR="009D535E">
        <w:rPr>
          <w:rFonts w:ascii="Palatino Linotype" w:hAnsi="Palatino Linotype"/>
        </w:rPr>
        <w:t>Decision 10-12-035 directed</w:t>
      </w:r>
      <w:r w:rsidRPr="001956E2" w:rsidR="00EB4C00">
        <w:rPr>
          <w:rFonts w:ascii="Palatino Linotype" w:hAnsi="Palatino Linotype"/>
        </w:rPr>
        <w:t xml:space="preserve"> Pacific Gas and Electric (P</w:t>
      </w:r>
      <w:r w:rsidRPr="001956E2" w:rsidR="00CD1FBD">
        <w:rPr>
          <w:rFonts w:ascii="Palatino Linotype" w:hAnsi="Palatino Linotype"/>
        </w:rPr>
        <w:t>G&amp;E</w:t>
      </w:r>
      <w:r w:rsidRPr="001956E2" w:rsidR="00EB4C00">
        <w:rPr>
          <w:rFonts w:ascii="Palatino Linotype" w:hAnsi="Palatino Linotype"/>
        </w:rPr>
        <w:t>)</w:t>
      </w:r>
      <w:r w:rsidRPr="001956E2" w:rsidR="009D535E">
        <w:rPr>
          <w:rFonts w:ascii="Palatino Linotype" w:hAnsi="Palatino Linotype"/>
        </w:rPr>
        <w:t xml:space="preserve"> to </w:t>
      </w:r>
      <w:r w:rsidRPr="001956E2" w:rsidR="00EB4C00">
        <w:rPr>
          <w:rFonts w:ascii="Palatino Linotype" w:hAnsi="Palatino Linotype"/>
        </w:rPr>
        <w:t>offer Standard Offer Contracts to Qualifying Facilities.</w:t>
      </w:r>
    </w:p>
    <w:p w:rsidRPr="001956E2" w:rsidR="00390D29" w:rsidP="00283511" w:rsidRDefault="00390D29" w14:paraId="73CD1806" w14:textId="77777777">
      <w:pPr>
        <w:numPr>
          <w:ilvl w:val="0"/>
          <w:numId w:val="4"/>
        </w:numPr>
        <w:rPr>
          <w:rFonts w:ascii="Palatino Linotype" w:hAnsi="Palatino Linotype"/>
        </w:rPr>
      </w:pPr>
      <w:r w:rsidRPr="001956E2">
        <w:rPr>
          <w:rFonts w:ascii="Palatino Linotype" w:hAnsi="Palatino Linotype"/>
        </w:rPr>
        <w:t>PG&amp;E on January 29, 2019, filed for Chapter 11 Bankruptcy, and cannot execute the pro-forma Agreements as written due to its bankruptcy.</w:t>
      </w:r>
    </w:p>
    <w:p w:rsidRPr="001956E2" w:rsidR="004B13B6" w:rsidP="00195530" w:rsidRDefault="009D535E" w14:paraId="1E1F886E" w14:textId="28C67E34">
      <w:pPr>
        <w:numPr>
          <w:ilvl w:val="0"/>
          <w:numId w:val="4"/>
        </w:numPr>
        <w:rPr>
          <w:rFonts w:ascii="Palatino Linotype" w:hAnsi="Palatino Linotype"/>
          <w:szCs w:val="26"/>
        </w:rPr>
      </w:pPr>
      <w:r w:rsidRPr="001956E2">
        <w:rPr>
          <w:rFonts w:ascii="Palatino Linotype" w:hAnsi="Palatino Linotype"/>
        </w:rPr>
        <w:t xml:space="preserve">On </w:t>
      </w:r>
      <w:r w:rsidRPr="001956E2" w:rsidR="007239C3">
        <w:rPr>
          <w:rFonts w:ascii="Palatino Linotype" w:hAnsi="Palatino Linotype"/>
        </w:rPr>
        <w:t>July 2</w:t>
      </w:r>
      <w:r w:rsidRPr="001956E2" w:rsidR="00EB4C00">
        <w:rPr>
          <w:rFonts w:ascii="Palatino Linotype" w:hAnsi="Palatino Linotype"/>
        </w:rPr>
        <w:t>4</w:t>
      </w:r>
      <w:r w:rsidRPr="001956E2" w:rsidR="007239C3">
        <w:rPr>
          <w:rFonts w:ascii="Palatino Linotype" w:hAnsi="Palatino Linotype"/>
        </w:rPr>
        <w:t>, 201</w:t>
      </w:r>
      <w:r w:rsidRPr="001956E2" w:rsidR="00EB4C00">
        <w:rPr>
          <w:rFonts w:ascii="Palatino Linotype" w:hAnsi="Palatino Linotype"/>
        </w:rPr>
        <w:t>9</w:t>
      </w:r>
      <w:r w:rsidRPr="001956E2">
        <w:rPr>
          <w:rFonts w:ascii="Palatino Linotype" w:hAnsi="Palatino Linotype"/>
        </w:rPr>
        <w:t>,</w:t>
      </w:r>
      <w:r w:rsidRPr="001956E2" w:rsidR="007239C3">
        <w:rPr>
          <w:rFonts w:ascii="Palatino Linotype" w:hAnsi="Palatino Linotype"/>
        </w:rPr>
        <w:t xml:space="preserve"> </w:t>
      </w:r>
      <w:r w:rsidRPr="001956E2" w:rsidR="00EB4C00">
        <w:rPr>
          <w:rFonts w:ascii="Palatino Linotype" w:hAnsi="Palatino Linotype"/>
        </w:rPr>
        <w:t>PG&amp;E</w:t>
      </w:r>
      <w:r w:rsidRPr="001956E2">
        <w:rPr>
          <w:rFonts w:ascii="Palatino Linotype" w:hAnsi="Palatino Linotype"/>
        </w:rPr>
        <w:t xml:space="preserve"> filed Advice Letter </w:t>
      </w:r>
      <w:r w:rsidRPr="001956E2" w:rsidR="004B13B6">
        <w:rPr>
          <w:rFonts w:ascii="Palatino Linotype" w:hAnsi="Palatino Linotype"/>
        </w:rPr>
        <w:t xml:space="preserve">5592-E, and </w:t>
      </w:r>
      <w:r w:rsidRPr="001956E2" w:rsidR="00CE2532">
        <w:rPr>
          <w:rFonts w:ascii="Palatino Linotype" w:hAnsi="Palatino Linotype"/>
        </w:rPr>
        <w:t xml:space="preserve">filed </w:t>
      </w:r>
      <w:r w:rsidRPr="001956E2" w:rsidR="004B13B6">
        <w:rPr>
          <w:rFonts w:ascii="Palatino Linotype" w:hAnsi="Palatino Linotype"/>
        </w:rPr>
        <w:t xml:space="preserve">supplemental Advice Letter 5592-E-A on January 17, 2020, seeking approval of one As-Available Combined Heat and Power (CHP) Power Purchase Agreement </w:t>
      </w:r>
      <w:r w:rsidRPr="001956E2" w:rsidR="0015457F">
        <w:rPr>
          <w:rFonts w:ascii="Palatino Linotype" w:hAnsi="Palatino Linotype"/>
        </w:rPr>
        <w:t xml:space="preserve">(PPA) </w:t>
      </w:r>
      <w:r w:rsidRPr="001956E2" w:rsidR="004B13B6">
        <w:rPr>
          <w:rFonts w:ascii="Palatino Linotype" w:hAnsi="Palatino Linotype"/>
        </w:rPr>
        <w:t>and two standard contracts for Qualifying Facilities with a Power Rating that is Less than or Equal to 20 MW and associated cost recovery.</w:t>
      </w:r>
    </w:p>
    <w:p w:rsidRPr="001956E2" w:rsidR="00390D29" w:rsidP="00195530" w:rsidRDefault="00390D29" w14:paraId="3AC1AD51" w14:textId="2BBD5C99">
      <w:pPr>
        <w:numPr>
          <w:ilvl w:val="0"/>
          <w:numId w:val="4"/>
        </w:numPr>
        <w:rPr>
          <w:rFonts w:ascii="Palatino Linotype" w:hAnsi="Palatino Linotype"/>
          <w:szCs w:val="26"/>
        </w:rPr>
      </w:pPr>
      <w:r w:rsidRPr="001956E2">
        <w:rPr>
          <w:rFonts w:ascii="Palatino Linotype" w:hAnsi="Palatino Linotype"/>
          <w:szCs w:val="26"/>
        </w:rPr>
        <w:t xml:space="preserve">By submitting this advice letter, PG&amp;E used the appropriate procedural mechanism as specified in the </w:t>
      </w:r>
      <w:r w:rsidRPr="001956E2" w:rsidR="00B94FD9">
        <w:rPr>
          <w:rFonts w:ascii="Palatino Linotype" w:hAnsi="Palatino Linotype"/>
          <w:szCs w:val="26"/>
        </w:rPr>
        <w:t xml:space="preserve">QF/CHP </w:t>
      </w:r>
      <w:r w:rsidRPr="001956E2">
        <w:rPr>
          <w:rFonts w:ascii="Palatino Linotype" w:hAnsi="Palatino Linotype"/>
          <w:szCs w:val="26"/>
        </w:rPr>
        <w:t>Settlement to seek approval of a modified standard offer contract.</w:t>
      </w:r>
    </w:p>
    <w:p w:rsidRPr="001956E2" w:rsidR="00C20A00" w:rsidP="00195530" w:rsidRDefault="00C20A00" w14:paraId="3322CF99" w14:textId="77777777">
      <w:pPr>
        <w:numPr>
          <w:ilvl w:val="0"/>
          <w:numId w:val="4"/>
        </w:numPr>
        <w:rPr>
          <w:rFonts w:ascii="Palatino Linotype" w:hAnsi="Palatino Linotype"/>
          <w:szCs w:val="26"/>
        </w:rPr>
      </w:pPr>
      <w:r w:rsidRPr="001956E2">
        <w:rPr>
          <w:rFonts w:ascii="Palatino Linotype" w:hAnsi="Palatino Linotype"/>
          <w:szCs w:val="26"/>
        </w:rPr>
        <w:t>The riders are reasonable in light of PG&amp;E’s bankruptcy.</w:t>
      </w:r>
    </w:p>
    <w:p w:rsidRPr="001956E2" w:rsidR="004B13B6" w:rsidP="009D535E" w:rsidRDefault="009D535E" w14:paraId="5982EBE2" w14:textId="77777777">
      <w:pPr>
        <w:numPr>
          <w:ilvl w:val="0"/>
          <w:numId w:val="4"/>
        </w:numPr>
        <w:rPr>
          <w:rFonts w:ascii="Palatino Linotype" w:hAnsi="Palatino Linotype"/>
        </w:rPr>
      </w:pPr>
      <w:r w:rsidRPr="001956E2">
        <w:rPr>
          <w:rFonts w:ascii="Palatino Linotype" w:hAnsi="Palatino Linotype"/>
        </w:rPr>
        <w:t>T</w:t>
      </w:r>
      <w:r w:rsidRPr="001956E2" w:rsidR="007239C3">
        <w:rPr>
          <w:rFonts w:ascii="Palatino Linotype" w:hAnsi="Palatino Linotype"/>
        </w:rPr>
        <w:t>he cost</w:t>
      </w:r>
      <w:r w:rsidRPr="001956E2" w:rsidR="00C20A00">
        <w:rPr>
          <w:rFonts w:ascii="Palatino Linotype" w:hAnsi="Palatino Linotype"/>
        </w:rPr>
        <w:t>s</w:t>
      </w:r>
      <w:r w:rsidRPr="001956E2" w:rsidR="007239C3">
        <w:rPr>
          <w:rFonts w:ascii="Palatino Linotype" w:hAnsi="Palatino Linotype"/>
        </w:rPr>
        <w:t xml:space="preserve"> associated with the</w:t>
      </w:r>
      <w:r w:rsidRPr="001956E2">
        <w:rPr>
          <w:rFonts w:ascii="Palatino Linotype" w:hAnsi="Palatino Linotype"/>
        </w:rPr>
        <w:t xml:space="preserve"> PPA</w:t>
      </w:r>
      <w:r w:rsidRPr="001956E2" w:rsidR="007239C3">
        <w:rPr>
          <w:rFonts w:ascii="Palatino Linotype" w:hAnsi="Palatino Linotype"/>
        </w:rPr>
        <w:t xml:space="preserve">s </w:t>
      </w:r>
      <w:r w:rsidRPr="001956E2" w:rsidR="00C20A00">
        <w:rPr>
          <w:rFonts w:ascii="Palatino Linotype" w:hAnsi="Palatino Linotype"/>
        </w:rPr>
        <w:t>are</w:t>
      </w:r>
      <w:r w:rsidRPr="001956E2">
        <w:rPr>
          <w:rFonts w:ascii="Palatino Linotype" w:hAnsi="Palatino Linotype"/>
        </w:rPr>
        <w:t xml:space="preserve"> reasonable.</w:t>
      </w:r>
    </w:p>
    <w:p w:rsidRPr="001956E2" w:rsidR="00147BE5" w:rsidP="00147BE5" w:rsidRDefault="00147BE5" w14:paraId="0EA02C00" w14:textId="77777777">
      <w:pPr>
        <w:numPr>
          <w:ilvl w:val="0"/>
          <w:numId w:val="4"/>
        </w:numPr>
        <w:rPr>
          <w:rFonts w:ascii="Palatino Linotype" w:hAnsi="Palatino Linotype"/>
        </w:rPr>
      </w:pPr>
      <w:r w:rsidRPr="001956E2">
        <w:rPr>
          <w:rFonts w:ascii="Palatino Linotype" w:hAnsi="Palatino Linotype"/>
        </w:rPr>
        <w:t>All costs incurred from execution date of the modified PURPA PPAs and As-Available CHP PPA are reasonable and recoverable through rates.</w:t>
      </w:r>
    </w:p>
    <w:p w:rsidRPr="001956E2" w:rsidR="00147BE5" w:rsidP="00147BE5" w:rsidRDefault="00147BE5" w14:paraId="31C4A8E2" w14:textId="77777777">
      <w:pPr>
        <w:numPr>
          <w:ilvl w:val="0"/>
          <w:numId w:val="4"/>
        </w:numPr>
        <w:rPr>
          <w:rFonts w:ascii="Palatino Linotype" w:hAnsi="Palatino Linotype"/>
        </w:rPr>
      </w:pPr>
      <w:r w:rsidRPr="001956E2">
        <w:rPr>
          <w:rFonts w:ascii="Palatino Linotype" w:hAnsi="Palatino Linotype"/>
        </w:rPr>
        <w:t xml:space="preserve">All costs incurred from execution date of the modified As-Available CHP PPA with AERA Energy, LLC, are recoverable through the </w:t>
      </w:r>
      <w:r w:rsidRPr="001956E2" w:rsidR="0015457F">
        <w:rPr>
          <w:rFonts w:ascii="Palatino Linotype" w:hAnsi="Palatino Linotype"/>
        </w:rPr>
        <w:t>Cost Allocation Mechanism</w:t>
      </w:r>
      <w:r w:rsidRPr="001956E2">
        <w:rPr>
          <w:rFonts w:ascii="Palatino Linotype" w:hAnsi="Palatino Linotype"/>
        </w:rPr>
        <w:t>.</w:t>
      </w:r>
    </w:p>
    <w:p w:rsidRPr="001956E2" w:rsidR="00147BE5" w:rsidP="00147BE5" w:rsidRDefault="00147BE5" w14:paraId="608FB85F" w14:textId="77777777">
      <w:pPr>
        <w:numPr>
          <w:ilvl w:val="0"/>
          <w:numId w:val="4"/>
        </w:numPr>
        <w:rPr>
          <w:rFonts w:ascii="Palatino Linotype" w:hAnsi="Palatino Linotype"/>
        </w:rPr>
      </w:pPr>
      <w:r w:rsidRPr="001956E2">
        <w:rPr>
          <w:rFonts w:ascii="Palatino Linotype" w:hAnsi="Palatino Linotype"/>
        </w:rPr>
        <w:t xml:space="preserve">All costs incurred from execution date of the modified PURPA PPA with Berry Petroleum, LLC are recoverable through the </w:t>
      </w:r>
      <w:r w:rsidRPr="001956E2" w:rsidR="0015457F">
        <w:rPr>
          <w:rFonts w:ascii="Palatino Linotype" w:hAnsi="Palatino Linotype"/>
        </w:rPr>
        <w:t>Cost Allocation Mechanism</w:t>
      </w:r>
      <w:r w:rsidRPr="001956E2">
        <w:rPr>
          <w:rFonts w:ascii="Palatino Linotype" w:hAnsi="Palatino Linotype"/>
        </w:rPr>
        <w:t>.</w:t>
      </w:r>
    </w:p>
    <w:p w:rsidRPr="001956E2" w:rsidR="00147BE5" w:rsidP="00147BE5" w:rsidRDefault="00147BE5" w14:paraId="04A0FF4A" w14:textId="5037504F">
      <w:pPr>
        <w:numPr>
          <w:ilvl w:val="0"/>
          <w:numId w:val="4"/>
        </w:numPr>
        <w:rPr>
          <w:rFonts w:ascii="Palatino Linotype" w:hAnsi="Palatino Linotype"/>
        </w:rPr>
      </w:pPr>
      <w:r w:rsidRPr="001956E2">
        <w:rPr>
          <w:rFonts w:ascii="Palatino Linotype" w:hAnsi="Palatino Linotype"/>
        </w:rPr>
        <w:t xml:space="preserve">All costs incurred from execution date of the modified PURPA PPA with EIF Haypress, LLC are recoverable through the </w:t>
      </w:r>
      <w:r w:rsidRPr="001956E2" w:rsidR="00907716">
        <w:rPr>
          <w:rFonts w:ascii="Palatino Linotype" w:hAnsi="Palatino Linotype"/>
        </w:rPr>
        <w:t>PCIA</w:t>
      </w:r>
      <w:r w:rsidRPr="001956E2">
        <w:rPr>
          <w:rFonts w:ascii="Palatino Linotype" w:hAnsi="Palatino Linotype"/>
        </w:rPr>
        <w:t xml:space="preserve"> </w:t>
      </w:r>
      <w:r w:rsidR="00910C7E">
        <w:rPr>
          <w:rFonts w:ascii="Palatino Linotype" w:hAnsi="Palatino Linotype"/>
        </w:rPr>
        <w:t>via the PABA on a</w:t>
      </w:r>
      <w:r w:rsidRPr="001956E2">
        <w:rPr>
          <w:rFonts w:ascii="Palatino Linotype" w:hAnsi="Palatino Linotype"/>
        </w:rPr>
        <w:t xml:space="preserve"> non-vintaged basis.</w:t>
      </w:r>
    </w:p>
    <w:p w:rsidRPr="001956E2" w:rsidR="00147BE5" w:rsidP="00147BE5" w:rsidRDefault="00147BE5" w14:paraId="2F6E6724" w14:textId="77777777">
      <w:pPr>
        <w:numPr>
          <w:ilvl w:val="0"/>
          <w:numId w:val="4"/>
        </w:numPr>
        <w:rPr>
          <w:rFonts w:ascii="Palatino Linotype" w:hAnsi="Palatino Linotype"/>
        </w:rPr>
      </w:pPr>
      <w:r w:rsidRPr="001956E2">
        <w:rPr>
          <w:rFonts w:ascii="Palatino Linotype" w:hAnsi="Palatino Linotype"/>
        </w:rPr>
        <w:t xml:space="preserve">Both Tannehill facility and South Belridge Cogeneration Facility comply with the </w:t>
      </w:r>
      <w:r w:rsidRPr="001956E2" w:rsidR="0015457F">
        <w:rPr>
          <w:rFonts w:ascii="Palatino Linotype" w:hAnsi="Palatino Linotype"/>
        </w:rPr>
        <w:t>Emissions Performance Standard</w:t>
      </w:r>
      <w:r w:rsidRPr="001956E2">
        <w:rPr>
          <w:rFonts w:ascii="Palatino Linotype" w:hAnsi="Palatino Linotype"/>
        </w:rPr>
        <w:t>.</w:t>
      </w:r>
    </w:p>
    <w:p w:rsidRPr="001956E2" w:rsidR="00147BE5" w:rsidP="004B13B6" w:rsidRDefault="00147BE5" w14:paraId="39779ED4" w14:textId="7D685698">
      <w:pPr>
        <w:numPr>
          <w:ilvl w:val="0"/>
          <w:numId w:val="4"/>
        </w:numPr>
        <w:rPr>
          <w:rFonts w:ascii="Palatino Linotype" w:hAnsi="Palatino Linotype"/>
        </w:rPr>
      </w:pPr>
      <w:r w:rsidRPr="001956E2">
        <w:rPr>
          <w:rFonts w:ascii="Palatino Linotype" w:hAnsi="Palatino Linotype"/>
        </w:rPr>
        <w:t xml:space="preserve">The Haypress facility is not subject to </w:t>
      </w:r>
      <w:r w:rsidRPr="001956E2" w:rsidR="000B1AF7">
        <w:rPr>
          <w:rFonts w:ascii="Palatino Linotype" w:hAnsi="Palatino Linotype"/>
        </w:rPr>
        <w:t xml:space="preserve">the </w:t>
      </w:r>
      <w:r w:rsidRPr="001956E2" w:rsidR="0015457F">
        <w:rPr>
          <w:rFonts w:ascii="Palatino Linotype" w:hAnsi="Palatino Linotype"/>
        </w:rPr>
        <w:t>Emissions Performance Standard</w:t>
      </w:r>
      <w:r w:rsidRPr="001956E2">
        <w:rPr>
          <w:rFonts w:ascii="Palatino Linotype" w:hAnsi="Palatino Linotype"/>
        </w:rPr>
        <w:t>.</w:t>
      </w:r>
    </w:p>
    <w:p w:rsidRPr="001956E2" w:rsidR="009D535E" w:rsidP="00195530" w:rsidRDefault="009D535E" w14:paraId="3D15012F" w14:textId="77777777">
      <w:pPr>
        <w:numPr>
          <w:ilvl w:val="0"/>
          <w:numId w:val="4"/>
        </w:numPr>
        <w:rPr>
          <w:rFonts w:ascii="Palatino Linotype" w:hAnsi="Palatino Linotype"/>
        </w:rPr>
      </w:pPr>
      <w:r w:rsidRPr="001956E2">
        <w:rPr>
          <w:rFonts w:ascii="Palatino Linotype" w:hAnsi="Palatino Linotype"/>
        </w:rPr>
        <w:lastRenderedPageBreak/>
        <w:t xml:space="preserve">The </w:t>
      </w:r>
      <w:r w:rsidRPr="001956E2" w:rsidR="007239C3">
        <w:rPr>
          <w:rFonts w:ascii="Palatino Linotype" w:hAnsi="Palatino Linotype"/>
        </w:rPr>
        <w:t>Facilities are not</w:t>
      </w:r>
      <w:r w:rsidRPr="001956E2">
        <w:rPr>
          <w:rFonts w:ascii="Palatino Linotype" w:hAnsi="Palatino Linotype"/>
        </w:rPr>
        <w:t xml:space="preserve"> located in a disadvantaged community designated by CalEnviroScreen.</w:t>
      </w:r>
    </w:p>
    <w:p w:rsidR="009D535E" w:rsidP="009D535E" w:rsidRDefault="009D535E" w14:paraId="69DB3D91" w14:textId="77777777">
      <w:pPr>
        <w:rPr>
          <w:b/>
        </w:rPr>
      </w:pPr>
    </w:p>
    <w:p w:rsidR="009D535E" w:rsidP="009D535E" w:rsidRDefault="009D535E" w14:paraId="1AD5C72F" w14:textId="77777777">
      <w:pPr>
        <w:pStyle w:val="Heading1"/>
      </w:pPr>
      <w:r>
        <w:t>Therefore it is ordered that:</w:t>
      </w:r>
    </w:p>
    <w:p w:rsidRPr="001956E2" w:rsidR="00195530" w:rsidP="00195530" w:rsidRDefault="009D535E" w14:paraId="164711F2" w14:textId="77777777">
      <w:pPr>
        <w:numPr>
          <w:ilvl w:val="0"/>
          <w:numId w:val="5"/>
        </w:numPr>
        <w:rPr>
          <w:rFonts w:ascii="Palatino Linotype" w:hAnsi="Palatino Linotype"/>
          <w:snapToGrid w:val="0"/>
        </w:rPr>
      </w:pPr>
      <w:r w:rsidRPr="001956E2">
        <w:rPr>
          <w:rFonts w:ascii="Palatino Linotype" w:hAnsi="Palatino Linotype"/>
          <w:snapToGrid w:val="0"/>
        </w:rPr>
        <w:t xml:space="preserve">The request </w:t>
      </w:r>
      <w:r w:rsidRPr="001956E2" w:rsidR="00D65C89">
        <w:rPr>
          <w:rFonts w:ascii="Palatino Linotype" w:hAnsi="Palatino Linotype"/>
          <w:snapToGrid w:val="0"/>
        </w:rPr>
        <w:t xml:space="preserve">of </w:t>
      </w:r>
      <w:r w:rsidRPr="001956E2" w:rsidR="00147BE5">
        <w:rPr>
          <w:rFonts w:ascii="Palatino Linotype" w:hAnsi="Palatino Linotype"/>
          <w:snapToGrid w:val="0"/>
        </w:rPr>
        <w:t>Pacific</w:t>
      </w:r>
      <w:r w:rsidRPr="001956E2" w:rsidR="00D65C89">
        <w:rPr>
          <w:rFonts w:ascii="Palatino Linotype" w:hAnsi="Palatino Linotype"/>
          <w:snapToGrid w:val="0"/>
        </w:rPr>
        <w:t xml:space="preserve"> Gas </w:t>
      </w:r>
      <w:r w:rsidRPr="001956E2" w:rsidR="00147BE5">
        <w:rPr>
          <w:rFonts w:ascii="Palatino Linotype" w:hAnsi="Palatino Linotype"/>
          <w:snapToGrid w:val="0"/>
        </w:rPr>
        <w:t>and</w:t>
      </w:r>
      <w:r w:rsidRPr="001956E2" w:rsidR="00D65C89">
        <w:rPr>
          <w:rFonts w:ascii="Palatino Linotype" w:hAnsi="Palatino Linotype"/>
          <w:snapToGrid w:val="0"/>
        </w:rPr>
        <w:t xml:space="preserve"> Electric</w:t>
      </w:r>
      <w:r w:rsidRPr="001956E2">
        <w:rPr>
          <w:rFonts w:ascii="Palatino Linotype" w:hAnsi="Palatino Linotype"/>
          <w:snapToGrid w:val="0"/>
        </w:rPr>
        <w:t xml:space="preserve"> to approve </w:t>
      </w:r>
      <w:r w:rsidRPr="001956E2" w:rsidR="00B524B9">
        <w:rPr>
          <w:rFonts w:ascii="Palatino Linotype" w:hAnsi="Palatino Linotype"/>
          <w:szCs w:val="26"/>
        </w:rPr>
        <w:t>the</w:t>
      </w:r>
      <w:r w:rsidRPr="001956E2" w:rsidR="00195530">
        <w:rPr>
          <w:rFonts w:ascii="Palatino Linotype" w:hAnsi="Palatino Linotype"/>
          <w:szCs w:val="26"/>
        </w:rPr>
        <w:t xml:space="preserve"> modified As-Available CHP</w:t>
      </w:r>
      <w:r w:rsidRPr="001956E2" w:rsidR="00B524B9">
        <w:rPr>
          <w:rFonts w:ascii="Palatino Linotype" w:hAnsi="Palatino Linotype"/>
          <w:szCs w:val="26"/>
        </w:rPr>
        <w:t xml:space="preserve"> power purchase agreement executed with </w:t>
      </w:r>
      <w:r w:rsidRPr="001956E2" w:rsidR="00195530">
        <w:rPr>
          <w:rFonts w:ascii="Palatino Linotype" w:hAnsi="Palatino Linotype"/>
          <w:szCs w:val="26"/>
        </w:rPr>
        <w:t xml:space="preserve">AERA Energy, LLC, and the modified </w:t>
      </w:r>
      <w:r w:rsidRPr="001956E2" w:rsidR="00195530">
        <w:rPr>
          <w:rFonts w:ascii="Palatino Linotype" w:hAnsi="Palatino Linotype"/>
        </w:rPr>
        <w:t xml:space="preserve">PURPA PPAs with </w:t>
      </w:r>
      <w:r w:rsidRPr="001956E2" w:rsidR="00195530">
        <w:rPr>
          <w:rFonts w:ascii="Palatino Linotype" w:hAnsi="Palatino Linotype"/>
          <w:szCs w:val="26"/>
        </w:rPr>
        <w:t>EIF Haypress, LLC; and Berry Petroleum, LLC is approved.</w:t>
      </w:r>
    </w:p>
    <w:p w:rsidRPr="001956E2" w:rsidR="00195530" w:rsidP="00195530" w:rsidRDefault="00195530" w14:paraId="3F882969" w14:textId="77777777">
      <w:pPr>
        <w:numPr>
          <w:ilvl w:val="0"/>
          <w:numId w:val="5"/>
        </w:numPr>
        <w:rPr>
          <w:rFonts w:ascii="Palatino Linotype" w:hAnsi="Palatino Linotype"/>
          <w:snapToGrid w:val="0"/>
        </w:rPr>
      </w:pPr>
      <w:r w:rsidRPr="001956E2">
        <w:rPr>
          <w:rFonts w:ascii="Palatino Linotype" w:hAnsi="Palatino Linotype"/>
          <w:snapToGrid w:val="0"/>
        </w:rPr>
        <w:t xml:space="preserve">The request of Pacific Gas and Electric to </w:t>
      </w:r>
      <w:r w:rsidRPr="001956E2">
        <w:rPr>
          <w:rFonts w:ascii="Palatino Linotype" w:hAnsi="Palatino Linotype"/>
        </w:rPr>
        <w:t>recover through rates all costs from execution date of the modified PURPA PPAs and As-Available CHP PPA is approved.</w:t>
      </w:r>
    </w:p>
    <w:p w:rsidRPr="001956E2" w:rsidR="00195530" w:rsidP="00195530" w:rsidRDefault="00195530" w14:paraId="65A97955" w14:textId="77777777">
      <w:pPr>
        <w:numPr>
          <w:ilvl w:val="0"/>
          <w:numId w:val="5"/>
        </w:numPr>
        <w:rPr>
          <w:rFonts w:ascii="Palatino Linotype" w:hAnsi="Palatino Linotype"/>
          <w:snapToGrid w:val="0"/>
        </w:rPr>
      </w:pPr>
      <w:r w:rsidRPr="001956E2">
        <w:rPr>
          <w:rFonts w:ascii="Palatino Linotype" w:hAnsi="Palatino Linotype"/>
        </w:rPr>
        <w:t>The request of Pacific Gas and Electric to recover through the Cost Allocation Mechanism all costs incurred from execution date of the modified As-Available CHP PPA with AERA Energy, LLC is approved.</w:t>
      </w:r>
    </w:p>
    <w:p w:rsidRPr="001956E2" w:rsidR="00195530" w:rsidP="00195530" w:rsidRDefault="00195530" w14:paraId="31A0AA11" w14:textId="77777777">
      <w:pPr>
        <w:numPr>
          <w:ilvl w:val="0"/>
          <w:numId w:val="5"/>
        </w:numPr>
        <w:rPr>
          <w:rFonts w:ascii="Palatino Linotype" w:hAnsi="Palatino Linotype"/>
          <w:snapToGrid w:val="0"/>
        </w:rPr>
      </w:pPr>
      <w:r w:rsidRPr="001956E2">
        <w:rPr>
          <w:rFonts w:ascii="Palatino Linotype" w:hAnsi="Palatino Linotype"/>
        </w:rPr>
        <w:t>The request of Pacific Gas and Electric to recover through the Cost Allocation Mechanism all costs incurred from execution date of the modified PURPA PPA with Berry Petroleum, LLC is approved.</w:t>
      </w:r>
    </w:p>
    <w:p w:rsidRPr="001956E2" w:rsidR="00195530" w:rsidP="00195530" w:rsidRDefault="00195530" w14:paraId="7BA90F23" w14:textId="77777777">
      <w:pPr>
        <w:numPr>
          <w:ilvl w:val="0"/>
          <w:numId w:val="5"/>
        </w:numPr>
        <w:rPr>
          <w:rFonts w:ascii="Palatino Linotype" w:hAnsi="Palatino Linotype"/>
          <w:snapToGrid w:val="0"/>
        </w:rPr>
      </w:pPr>
      <w:r w:rsidRPr="001956E2">
        <w:rPr>
          <w:rFonts w:ascii="Palatino Linotype" w:hAnsi="Palatino Linotype"/>
        </w:rPr>
        <w:t>The request of Pacific Gas and Electric to recover through the Portfolio Allocation Balancing Account on a non-vintaged basis all costs incurred from execution date of the modified PURPA PPA with EIF Haypress, LLC is approved.</w:t>
      </w:r>
    </w:p>
    <w:p w:rsidRPr="00195530" w:rsidR="00195530" w:rsidP="00195530" w:rsidRDefault="00195530" w14:paraId="1FB69E10" w14:textId="77777777">
      <w:pPr>
        <w:ind w:left="360"/>
        <w:rPr>
          <w:rFonts w:ascii="Palatino Linotype" w:hAnsi="Palatino Linotype"/>
          <w:snapToGrid w:val="0"/>
        </w:rPr>
      </w:pPr>
    </w:p>
    <w:p w:rsidRPr="00D65C89" w:rsidR="00D65C89" w:rsidP="00D65C89" w:rsidRDefault="00D65C89" w14:paraId="3BDA9877" w14:textId="77777777">
      <w:pPr>
        <w:rPr>
          <w:rFonts w:ascii="Palatino Linotype" w:hAnsi="Palatino Linotype"/>
          <w:snapToGrid w:val="0"/>
        </w:rPr>
      </w:pPr>
    </w:p>
    <w:p w:rsidR="00761342" w:rsidP="009D535E" w:rsidRDefault="00761342" w14:paraId="66F2F765" w14:textId="77777777">
      <w:pPr>
        <w:tabs>
          <w:tab w:val="left" w:pos="720"/>
          <w:tab w:val="left" w:pos="1296"/>
          <w:tab w:val="left" w:pos="2016"/>
          <w:tab w:val="left" w:pos="2736"/>
          <w:tab w:val="left" w:pos="3456"/>
          <w:tab w:val="left" w:pos="4176"/>
          <w:tab w:val="left" w:pos="5760"/>
        </w:tabs>
        <w:rPr>
          <w:rFonts w:ascii="Palatino Linotype" w:hAnsi="Palatino Linotype"/>
        </w:rPr>
      </w:pPr>
    </w:p>
    <w:p w:rsidR="00761342" w:rsidP="009D535E" w:rsidRDefault="00761342" w14:paraId="1C5970FB" w14:textId="77777777">
      <w:pPr>
        <w:tabs>
          <w:tab w:val="left" w:pos="720"/>
          <w:tab w:val="left" w:pos="1296"/>
          <w:tab w:val="left" w:pos="2016"/>
          <w:tab w:val="left" w:pos="2736"/>
          <w:tab w:val="left" w:pos="3456"/>
          <w:tab w:val="left" w:pos="4176"/>
          <w:tab w:val="left" w:pos="5760"/>
        </w:tabs>
        <w:rPr>
          <w:rFonts w:ascii="Palatino Linotype" w:hAnsi="Palatino Linotype"/>
        </w:rPr>
      </w:pPr>
    </w:p>
    <w:p w:rsidR="00761342" w:rsidP="009D535E" w:rsidRDefault="00761342" w14:paraId="52EA8EE1" w14:textId="77777777">
      <w:pPr>
        <w:tabs>
          <w:tab w:val="left" w:pos="720"/>
          <w:tab w:val="left" w:pos="1296"/>
          <w:tab w:val="left" w:pos="2016"/>
          <w:tab w:val="left" w:pos="2736"/>
          <w:tab w:val="left" w:pos="3456"/>
          <w:tab w:val="left" w:pos="4176"/>
          <w:tab w:val="left" w:pos="5760"/>
        </w:tabs>
        <w:rPr>
          <w:rFonts w:ascii="Palatino Linotype" w:hAnsi="Palatino Linotype"/>
        </w:rPr>
      </w:pPr>
    </w:p>
    <w:p w:rsidR="00761342" w:rsidP="009D535E" w:rsidRDefault="00761342" w14:paraId="1B738BDD" w14:textId="77777777">
      <w:pPr>
        <w:tabs>
          <w:tab w:val="left" w:pos="720"/>
          <w:tab w:val="left" w:pos="1296"/>
          <w:tab w:val="left" w:pos="2016"/>
          <w:tab w:val="left" w:pos="2736"/>
          <w:tab w:val="left" w:pos="3456"/>
          <w:tab w:val="left" w:pos="4176"/>
          <w:tab w:val="left" w:pos="5760"/>
        </w:tabs>
        <w:rPr>
          <w:rFonts w:ascii="Palatino Linotype" w:hAnsi="Palatino Linotype"/>
        </w:rPr>
      </w:pPr>
    </w:p>
    <w:p w:rsidR="00761342" w:rsidP="009D535E" w:rsidRDefault="00761342" w14:paraId="59262F42" w14:textId="77777777">
      <w:pPr>
        <w:tabs>
          <w:tab w:val="left" w:pos="720"/>
          <w:tab w:val="left" w:pos="1296"/>
          <w:tab w:val="left" w:pos="2016"/>
          <w:tab w:val="left" w:pos="2736"/>
          <w:tab w:val="left" w:pos="3456"/>
          <w:tab w:val="left" w:pos="4176"/>
          <w:tab w:val="left" w:pos="5760"/>
        </w:tabs>
        <w:rPr>
          <w:rFonts w:ascii="Palatino Linotype" w:hAnsi="Palatino Linotype"/>
        </w:rPr>
      </w:pPr>
    </w:p>
    <w:p w:rsidR="00761342" w:rsidP="009D535E" w:rsidRDefault="00761342" w14:paraId="16DC690D" w14:textId="77777777">
      <w:pPr>
        <w:tabs>
          <w:tab w:val="left" w:pos="720"/>
          <w:tab w:val="left" w:pos="1296"/>
          <w:tab w:val="left" w:pos="2016"/>
          <w:tab w:val="left" w:pos="2736"/>
          <w:tab w:val="left" w:pos="3456"/>
          <w:tab w:val="left" w:pos="4176"/>
          <w:tab w:val="left" w:pos="5760"/>
        </w:tabs>
        <w:rPr>
          <w:rFonts w:ascii="Palatino Linotype" w:hAnsi="Palatino Linotype"/>
        </w:rPr>
      </w:pPr>
    </w:p>
    <w:p w:rsidR="00761342" w:rsidP="009D535E" w:rsidRDefault="00761342" w14:paraId="2355AA65" w14:textId="77777777">
      <w:pPr>
        <w:tabs>
          <w:tab w:val="left" w:pos="720"/>
          <w:tab w:val="left" w:pos="1296"/>
          <w:tab w:val="left" w:pos="2016"/>
          <w:tab w:val="left" w:pos="2736"/>
          <w:tab w:val="left" w:pos="3456"/>
          <w:tab w:val="left" w:pos="4176"/>
          <w:tab w:val="left" w:pos="5760"/>
        </w:tabs>
        <w:rPr>
          <w:rFonts w:ascii="Palatino Linotype" w:hAnsi="Palatino Linotype"/>
        </w:rPr>
      </w:pPr>
    </w:p>
    <w:p w:rsidR="00761342" w:rsidP="009D535E" w:rsidRDefault="00761342" w14:paraId="6B33BEB6" w14:textId="77777777">
      <w:pPr>
        <w:tabs>
          <w:tab w:val="left" w:pos="720"/>
          <w:tab w:val="left" w:pos="1296"/>
          <w:tab w:val="left" w:pos="2016"/>
          <w:tab w:val="left" w:pos="2736"/>
          <w:tab w:val="left" w:pos="3456"/>
          <w:tab w:val="left" w:pos="4176"/>
          <w:tab w:val="left" w:pos="5760"/>
        </w:tabs>
        <w:rPr>
          <w:rFonts w:ascii="Palatino Linotype" w:hAnsi="Palatino Linotype"/>
        </w:rPr>
      </w:pPr>
    </w:p>
    <w:p w:rsidR="00761342" w:rsidP="009D535E" w:rsidRDefault="00761342" w14:paraId="0FB20968" w14:textId="77777777">
      <w:pPr>
        <w:tabs>
          <w:tab w:val="left" w:pos="720"/>
          <w:tab w:val="left" w:pos="1296"/>
          <w:tab w:val="left" w:pos="2016"/>
          <w:tab w:val="left" w:pos="2736"/>
          <w:tab w:val="left" w:pos="3456"/>
          <w:tab w:val="left" w:pos="4176"/>
          <w:tab w:val="left" w:pos="5760"/>
        </w:tabs>
        <w:rPr>
          <w:rFonts w:ascii="Palatino Linotype" w:hAnsi="Palatino Linotype"/>
        </w:rPr>
      </w:pPr>
    </w:p>
    <w:p w:rsidR="00761342" w:rsidP="009D535E" w:rsidRDefault="00761342" w14:paraId="1FF4FEEC" w14:textId="77777777">
      <w:pPr>
        <w:tabs>
          <w:tab w:val="left" w:pos="720"/>
          <w:tab w:val="left" w:pos="1296"/>
          <w:tab w:val="left" w:pos="2016"/>
          <w:tab w:val="left" w:pos="2736"/>
          <w:tab w:val="left" w:pos="3456"/>
          <w:tab w:val="left" w:pos="4176"/>
          <w:tab w:val="left" w:pos="5760"/>
        </w:tabs>
        <w:rPr>
          <w:rFonts w:ascii="Palatino Linotype" w:hAnsi="Palatino Linotype"/>
        </w:rPr>
      </w:pPr>
    </w:p>
    <w:p w:rsidR="00761342" w:rsidP="009D535E" w:rsidRDefault="00761342" w14:paraId="16E9E4AE" w14:textId="77777777">
      <w:pPr>
        <w:tabs>
          <w:tab w:val="left" w:pos="720"/>
          <w:tab w:val="left" w:pos="1296"/>
          <w:tab w:val="left" w:pos="2016"/>
          <w:tab w:val="left" w:pos="2736"/>
          <w:tab w:val="left" w:pos="3456"/>
          <w:tab w:val="left" w:pos="4176"/>
          <w:tab w:val="left" w:pos="5760"/>
        </w:tabs>
        <w:rPr>
          <w:rFonts w:ascii="Palatino Linotype" w:hAnsi="Palatino Linotype"/>
        </w:rPr>
      </w:pPr>
    </w:p>
    <w:p w:rsidR="00761342" w:rsidP="009D535E" w:rsidRDefault="00761342" w14:paraId="02622F0D" w14:textId="77777777">
      <w:pPr>
        <w:tabs>
          <w:tab w:val="left" w:pos="720"/>
          <w:tab w:val="left" w:pos="1296"/>
          <w:tab w:val="left" w:pos="2016"/>
          <w:tab w:val="left" w:pos="2736"/>
          <w:tab w:val="left" w:pos="3456"/>
          <w:tab w:val="left" w:pos="4176"/>
          <w:tab w:val="left" w:pos="5760"/>
        </w:tabs>
        <w:rPr>
          <w:rFonts w:ascii="Palatino Linotype" w:hAnsi="Palatino Linotype"/>
        </w:rPr>
      </w:pPr>
    </w:p>
    <w:p w:rsidR="009D535E" w:rsidP="009D535E" w:rsidRDefault="009D535E" w14:paraId="4C17E01A" w14:textId="25F6A69A">
      <w:pPr>
        <w:tabs>
          <w:tab w:val="left" w:pos="720"/>
          <w:tab w:val="left" w:pos="1296"/>
          <w:tab w:val="left" w:pos="2016"/>
          <w:tab w:val="left" w:pos="2736"/>
          <w:tab w:val="left" w:pos="3456"/>
          <w:tab w:val="left" w:pos="4176"/>
          <w:tab w:val="left" w:pos="5760"/>
        </w:tabs>
        <w:rPr>
          <w:rFonts w:ascii="Palatino Linotype" w:hAnsi="Palatino Linotype"/>
        </w:rPr>
      </w:pPr>
      <w:r w:rsidRPr="005B5397">
        <w:rPr>
          <w:rFonts w:ascii="Palatino Linotype" w:hAnsi="Palatino Linotype"/>
        </w:rPr>
        <w:lastRenderedPageBreak/>
        <w:t>This Resolution is effective today.</w:t>
      </w:r>
    </w:p>
    <w:p w:rsidR="009D535E" w:rsidP="009D535E" w:rsidRDefault="009D535E" w14:paraId="4AFD1B3D" w14:textId="77777777">
      <w:pPr>
        <w:tabs>
          <w:tab w:val="left" w:pos="720"/>
          <w:tab w:val="left" w:pos="1296"/>
          <w:tab w:val="left" w:pos="2016"/>
          <w:tab w:val="left" w:pos="2736"/>
          <w:tab w:val="left" w:pos="3456"/>
          <w:tab w:val="left" w:pos="4176"/>
          <w:tab w:val="left" w:pos="5760"/>
        </w:tabs>
        <w:rPr>
          <w:rFonts w:ascii="Palatino Linotype" w:hAnsi="Palatino Linotype"/>
        </w:rPr>
      </w:pPr>
    </w:p>
    <w:p w:rsidR="009D535E" w:rsidP="009D535E" w:rsidRDefault="009D535E" w14:paraId="6B0ACC2C" w14:textId="77777777">
      <w:pPr>
        <w:tabs>
          <w:tab w:val="left" w:pos="720"/>
          <w:tab w:val="left" w:pos="1296"/>
          <w:tab w:val="left" w:pos="2016"/>
          <w:tab w:val="left" w:pos="2736"/>
          <w:tab w:val="left" w:pos="3456"/>
          <w:tab w:val="left" w:pos="4176"/>
          <w:tab w:val="left" w:pos="5760"/>
        </w:tabs>
        <w:rPr>
          <w:rFonts w:ascii="Palatino Linotype" w:hAnsi="Palatino Linotype"/>
        </w:rPr>
      </w:pPr>
    </w:p>
    <w:p w:rsidRPr="005B5397" w:rsidR="009D535E" w:rsidP="009D535E" w:rsidRDefault="009D535E" w14:paraId="1847AC19" w14:textId="57397DEA">
      <w:pPr>
        <w:tabs>
          <w:tab w:val="left" w:pos="720"/>
          <w:tab w:val="left" w:pos="1296"/>
          <w:tab w:val="left" w:pos="2016"/>
          <w:tab w:val="left" w:pos="2736"/>
          <w:tab w:val="left" w:pos="3456"/>
          <w:tab w:val="left" w:pos="4176"/>
          <w:tab w:val="left" w:pos="5760"/>
        </w:tabs>
        <w:rPr>
          <w:rFonts w:ascii="Palatino Linotype" w:hAnsi="Palatino Linotype"/>
          <w:snapToGrid w:val="0"/>
        </w:rPr>
      </w:pPr>
      <w:r>
        <w:rPr>
          <w:rFonts w:ascii="Palatino Linotype" w:hAnsi="Palatino Linotype"/>
          <w:snapToGrid w:val="0"/>
        </w:rPr>
        <w:t xml:space="preserve"> </w:t>
      </w:r>
      <w:r w:rsidRPr="005B5397">
        <w:rPr>
          <w:rFonts w:ascii="Palatino Linotype" w:hAnsi="Palatino Linotype"/>
          <w:snapToGrid w:val="0"/>
        </w:rPr>
        <w:t xml:space="preserve">I certify that the foregoing resolution was duly introduced, passed and adopted </w:t>
      </w:r>
      <w:r w:rsidRPr="00532F8F">
        <w:rPr>
          <w:rFonts w:ascii="Palatino Linotype" w:hAnsi="Palatino Linotype"/>
          <w:snapToGrid w:val="0"/>
        </w:rPr>
        <w:t>at a conference of the Public Utilities Commission of the State of California held on</w:t>
      </w:r>
      <w:r w:rsidRPr="00532F8F" w:rsidR="00D65C89">
        <w:rPr>
          <w:rFonts w:ascii="Palatino Linotype" w:hAnsi="Palatino Linotype"/>
          <w:snapToGrid w:val="0"/>
        </w:rPr>
        <w:t xml:space="preserve"> </w:t>
      </w:r>
      <w:r w:rsidRPr="00532F8F" w:rsidR="005C3C50">
        <w:rPr>
          <w:rFonts w:ascii="Palatino Linotype" w:hAnsi="Palatino Linotype"/>
          <w:snapToGrid w:val="0"/>
        </w:rPr>
        <w:t xml:space="preserve">May </w:t>
      </w:r>
      <w:r w:rsidR="004625FA">
        <w:rPr>
          <w:rFonts w:ascii="Palatino Linotype" w:hAnsi="Palatino Linotype"/>
          <w:snapToGrid w:val="0"/>
        </w:rPr>
        <w:t>28</w:t>
      </w:r>
      <w:r w:rsidRPr="00532F8F" w:rsidR="00DC6552">
        <w:rPr>
          <w:rFonts w:ascii="Palatino Linotype" w:hAnsi="Palatino Linotype"/>
          <w:snapToGrid w:val="0"/>
        </w:rPr>
        <w:t>, 20</w:t>
      </w:r>
      <w:r w:rsidRPr="00532F8F" w:rsidR="00A3756C">
        <w:rPr>
          <w:rFonts w:ascii="Palatino Linotype" w:hAnsi="Palatino Linotype"/>
          <w:snapToGrid w:val="0"/>
        </w:rPr>
        <w:t>20</w:t>
      </w:r>
      <w:r w:rsidRPr="00532F8F">
        <w:rPr>
          <w:rFonts w:ascii="Palatino Linotype" w:hAnsi="Palatino Linotype"/>
          <w:snapToGrid w:val="0"/>
        </w:rPr>
        <w:t>; the following Commissioners</w:t>
      </w:r>
      <w:r w:rsidRPr="005B5397">
        <w:rPr>
          <w:rFonts w:ascii="Palatino Linotype" w:hAnsi="Palatino Linotype"/>
          <w:snapToGrid w:val="0"/>
        </w:rPr>
        <w:t xml:space="preserve"> voting favorably thereon:</w:t>
      </w:r>
    </w:p>
    <w:p w:rsidRPr="005B5397" w:rsidR="009D535E" w:rsidP="009D535E" w:rsidRDefault="009D535E" w14:paraId="10A1F528" w14:textId="77777777">
      <w:pPr>
        <w:tabs>
          <w:tab w:val="left" w:pos="720"/>
          <w:tab w:val="left" w:pos="1152"/>
          <w:tab w:val="left" w:pos="1728"/>
          <w:tab w:val="left" w:pos="3168"/>
          <w:tab w:val="left" w:pos="5040"/>
        </w:tabs>
        <w:ind w:right="144"/>
        <w:rPr>
          <w:rFonts w:ascii="Palatino Linotype" w:hAnsi="Palatino Linotype"/>
        </w:rPr>
      </w:pPr>
    </w:p>
    <w:p w:rsidRPr="005B5397" w:rsidR="009D535E" w:rsidP="009D535E" w:rsidRDefault="009D535E" w14:paraId="3046AA3E" w14:textId="77777777">
      <w:pPr>
        <w:tabs>
          <w:tab w:val="left" w:pos="720"/>
          <w:tab w:val="left" w:pos="1152"/>
          <w:tab w:val="left" w:pos="1728"/>
          <w:tab w:val="left" w:pos="3168"/>
          <w:tab w:val="left" w:pos="5040"/>
        </w:tabs>
        <w:ind w:right="144"/>
        <w:rPr>
          <w:rFonts w:ascii="Palatino Linotype" w:hAnsi="Palatino Linotype"/>
        </w:rPr>
      </w:pPr>
    </w:p>
    <w:p w:rsidRPr="005B5397" w:rsidR="009D535E" w:rsidP="009D535E" w:rsidRDefault="009D535E" w14:paraId="21FDD488" w14:textId="77777777">
      <w:pPr>
        <w:tabs>
          <w:tab w:val="left" w:pos="720"/>
          <w:tab w:val="left" w:pos="1152"/>
          <w:tab w:val="left" w:pos="1728"/>
          <w:tab w:val="left" w:pos="3168"/>
          <w:tab w:val="left" w:pos="5040"/>
        </w:tabs>
        <w:ind w:right="144"/>
        <w:rPr>
          <w:rFonts w:ascii="Palatino Linotype" w:hAnsi="Palatino Linotype"/>
        </w:rPr>
      </w:pPr>
    </w:p>
    <w:p w:rsidRPr="005B5397" w:rsidR="009D535E" w:rsidP="009D535E" w:rsidRDefault="009D535E" w14:paraId="21CF2E3D" w14:textId="77777777">
      <w:pPr>
        <w:tabs>
          <w:tab w:val="left" w:pos="720"/>
          <w:tab w:val="left" w:pos="1152"/>
          <w:tab w:val="left" w:pos="1728"/>
          <w:tab w:val="left" w:pos="3168"/>
          <w:tab w:val="left" w:pos="5040"/>
        </w:tabs>
        <w:ind w:right="144"/>
        <w:rPr>
          <w:rFonts w:ascii="Palatino Linotype" w:hAnsi="Palatino Linotype"/>
        </w:rPr>
      </w:pPr>
    </w:p>
    <w:p w:rsidRPr="005B5397" w:rsidR="009D535E" w:rsidP="00761342" w:rsidRDefault="009D535E" w14:paraId="242DA2EB" w14:textId="77777777">
      <w:pPr>
        <w:tabs>
          <w:tab w:val="left" w:pos="720"/>
          <w:tab w:val="left" w:pos="1152"/>
          <w:tab w:val="left" w:pos="1728"/>
          <w:tab w:val="left" w:pos="3168"/>
          <w:tab w:val="left" w:pos="5040"/>
        </w:tabs>
        <w:ind w:right="144"/>
        <w:jc w:val="right"/>
        <w:rPr>
          <w:rFonts w:ascii="Palatino Linotype" w:hAnsi="Palatino Linotype"/>
        </w:rPr>
      </w:pPr>
      <w:r w:rsidRPr="005B5397">
        <w:rPr>
          <w:rFonts w:ascii="Palatino Linotype" w:hAnsi="Palatino Linotype"/>
        </w:rPr>
        <w:tab/>
      </w:r>
      <w:r w:rsidRPr="005B5397">
        <w:rPr>
          <w:rFonts w:ascii="Palatino Linotype" w:hAnsi="Palatino Linotype"/>
        </w:rPr>
        <w:tab/>
      </w:r>
      <w:r w:rsidRPr="005B5397">
        <w:rPr>
          <w:rFonts w:ascii="Palatino Linotype" w:hAnsi="Palatino Linotype"/>
        </w:rPr>
        <w:tab/>
      </w:r>
      <w:r w:rsidRPr="005B5397">
        <w:rPr>
          <w:rFonts w:ascii="Palatino Linotype" w:hAnsi="Palatino Linotype"/>
        </w:rPr>
        <w:tab/>
      </w:r>
      <w:r w:rsidRPr="005B5397">
        <w:rPr>
          <w:rFonts w:ascii="Palatino Linotype" w:hAnsi="Palatino Linotype"/>
        </w:rPr>
        <w:tab/>
      </w:r>
      <w:r w:rsidRPr="005B5397">
        <w:rPr>
          <w:rFonts w:ascii="Palatino Linotype" w:hAnsi="Palatino Linotype"/>
        </w:rPr>
        <w:tab/>
        <w:t>_____________________</w:t>
      </w:r>
      <w:r>
        <w:rPr>
          <w:rFonts w:ascii="Palatino Linotype" w:hAnsi="Palatino Linotype"/>
        </w:rPr>
        <w:t>______</w:t>
      </w:r>
    </w:p>
    <w:p w:rsidRPr="005B5397" w:rsidR="009D535E" w:rsidP="00761342" w:rsidRDefault="00A3756C" w14:paraId="05CFD329" w14:textId="38F12638">
      <w:pPr>
        <w:ind w:left="4320" w:firstLine="720"/>
        <w:jc w:val="center"/>
        <w:rPr>
          <w:rFonts w:ascii="Palatino Linotype" w:hAnsi="Palatino Linotype"/>
        </w:rPr>
      </w:pPr>
      <w:r>
        <w:rPr>
          <w:rFonts w:ascii="Palatino Linotype" w:hAnsi="Palatino Linotype"/>
        </w:rPr>
        <w:t>ALICE STEBBINS</w:t>
      </w:r>
    </w:p>
    <w:p w:rsidR="009D535E" w:rsidP="00761342" w:rsidRDefault="009D535E" w14:paraId="10E491CE" w14:textId="23D4AAD5">
      <w:pPr>
        <w:ind w:left="4320" w:firstLine="720"/>
        <w:jc w:val="center"/>
        <w:rPr>
          <w:rFonts w:ascii="Palatino Linotype" w:hAnsi="Palatino Linotype"/>
          <w:i/>
        </w:rPr>
      </w:pPr>
      <w:r w:rsidRPr="005B5397">
        <w:rPr>
          <w:rFonts w:ascii="Palatino Linotype" w:hAnsi="Palatino Linotype"/>
        </w:rPr>
        <w:t>Executive Director</w:t>
      </w:r>
    </w:p>
    <w:p w:rsidRPr="009D535E" w:rsidR="00955F12" w:rsidP="009D535E" w:rsidRDefault="00955F12" w14:paraId="2BBA515F" w14:textId="77777777"/>
    <w:sectPr w:rsidRPr="009D535E" w:rsidR="00955F12">
      <w:headerReference w:type="default" r:id="rId11"/>
      <w:footerReference w:type="default" r:id="rId12"/>
      <w:headerReference w:type="first" r:id="rId13"/>
      <w:footerReference w:type="first" r:id="rId14"/>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42631" w14:textId="77777777" w:rsidR="00F94308" w:rsidRDefault="00F94308">
      <w:r>
        <w:separator/>
      </w:r>
    </w:p>
  </w:endnote>
  <w:endnote w:type="continuationSeparator" w:id="0">
    <w:p w14:paraId="7F969213" w14:textId="77777777" w:rsidR="00F94308" w:rsidRDefault="00F9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6AFE8" w14:textId="77777777" w:rsidR="00A97508" w:rsidRDefault="00A97508">
    <w:pPr>
      <w:pStyle w:val="Footer"/>
    </w:pPr>
    <w:r>
      <w:rPr>
        <w:rStyle w:val="PageNumber"/>
      </w:rPr>
      <w:fldChar w:fldCharType="begin"/>
    </w:r>
    <w:r>
      <w:rPr>
        <w:rStyle w:val="PageNumber"/>
      </w:rPr>
      <w:instrText xml:space="preserve"> PAGE </w:instrText>
    </w:r>
    <w:r>
      <w:rPr>
        <w:rStyle w:val="PageNumber"/>
      </w:rPr>
      <w:fldChar w:fldCharType="separate"/>
    </w:r>
    <w:r w:rsidR="001553D8">
      <w:rPr>
        <w:rStyle w:val="PageNumber"/>
        <w:noProof/>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4058A" w14:textId="54F97A5D" w:rsidR="00A97508" w:rsidRDefault="001C5054" w:rsidP="001C5054">
    <w:pPr>
      <w:pStyle w:val="Footer"/>
      <w:tabs>
        <w:tab w:val="clear" w:pos="4320"/>
        <w:tab w:val="center" w:pos="4680"/>
      </w:tabs>
      <w:jc w:val="left"/>
    </w:pPr>
    <w:r w:rsidRPr="001C5054">
      <w:rPr>
        <w:rStyle w:val="PageNumber"/>
      </w:rPr>
      <w:t>333875634</w:t>
    </w:r>
    <w:r>
      <w:rPr>
        <w:rStyle w:val="PageNumber"/>
      </w:rPr>
      <w:tab/>
    </w:r>
    <w:r w:rsidR="00A97508">
      <w:rPr>
        <w:rStyle w:val="PageNumber"/>
      </w:rPr>
      <w:fldChar w:fldCharType="begin"/>
    </w:r>
    <w:r w:rsidR="00A97508">
      <w:rPr>
        <w:rStyle w:val="PageNumber"/>
      </w:rPr>
      <w:instrText xml:space="preserve"> PAGE </w:instrText>
    </w:r>
    <w:r w:rsidR="00A97508">
      <w:rPr>
        <w:rStyle w:val="PageNumber"/>
      </w:rPr>
      <w:fldChar w:fldCharType="separate"/>
    </w:r>
    <w:r w:rsidR="001553D8">
      <w:rPr>
        <w:rStyle w:val="PageNumber"/>
        <w:noProof/>
      </w:rPr>
      <w:t>1</w:t>
    </w:r>
    <w:r w:rsidR="00A9750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E7692" w14:textId="77777777" w:rsidR="00F94308" w:rsidRDefault="00F94308">
      <w:r>
        <w:separator/>
      </w:r>
    </w:p>
  </w:footnote>
  <w:footnote w:type="continuationSeparator" w:id="0">
    <w:p w14:paraId="7A83C6A3" w14:textId="77777777" w:rsidR="00F94308" w:rsidRDefault="00F94308">
      <w:r>
        <w:continuationSeparator/>
      </w:r>
    </w:p>
  </w:footnote>
  <w:footnote w:type="continuationNotice" w:id="1">
    <w:p w14:paraId="391AD9F8" w14:textId="77777777" w:rsidR="00F94308" w:rsidRDefault="00F94308">
      <w:pPr>
        <w:rPr>
          <w:sz w:val="22"/>
        </w:rPr>
      </w:pPr>
    </w:p>
    <w:p w14:paraId="5628CAC5" w14:textId="77777777" w:rsidR="00F94308" w:rsidRDefault="00F94308">
      <w:pPr>
        <w:jc w:val="right"/>
        <w:rPr>
          <w:sz w:val="22"/>
        </w:rPr>
      </w:pPr>
      <w:r>
        <w:rPr>
          <w:i/>
          <w:sz w:val="22"/>
        </w:rPr>
        <w:t>Footnote continued on next page</w:t>
      </w:r>
    </w:p>
  </w:footnote>
  <w:footnote w:id="2">
    <w:p w14:paraId="621E354A" w14:textId="044EE2BA" w:rsidR="004D7931" w:rsidRPr="00BF5503" w:rsidRDefault="004D7931">
      <w:pPr>
        <w:pStyle w:val="FootnoteText"/>
        <w:rPr>
          <w:rFonts w:ascii="Palatino Linotype" w:hAnsi="Palatino Linotype"/>
          <w:szCs w:val="24"/>
        </w:rPr>
      </w:pPr>
      <w:r w:rsidRPr="00BF5503">
        <w:rPr>
          <w:rStyle w:val="FootnoteReference"/>
          <w:rFonts w:ascii="Palatino Linotype" w:hAnsi="Palatino Linotype"/>
          <w:szCs w:val="24"/>
        </w:rPr>
        <w:footnoteRef/>
      </w:r>
      <w:r w:rsidRPr="00BF5503">
        <w:rPr>
          <w:rFonts w:ascii="Palatino Linotype" w:hAnsi="Palatino Linotype"/>
          <w:szCs w:val="24"/>
        </w:rPr>
        <w:t xml:space="preserve"> As part of implementing the federal Public Utility Regulatory Policies Act of 1978 (PURPA), the CPUC has approved a series of standard offer contracts available to facilities with varying terms</w:t>
      </w:r>
      <w:r w:rsidR="004D0157" w:rsidRPr="00BF5503">
        <w:rPr>
          <w:rFonts w:ascii="Palatino Linotype" w:hAnsi="Palatino Linotype"/>
          <w:szCs w:val="24"/>
        </w:rPr>
        <w:t>.</w:t>
      </w:r>
      <w:r w:rsidRPr="00BF5503">
        <w:rPr>
          <w:rFonts w:ascii="Palatino Linotype" w:hAnsi="Palatino Linotype"/>
          <w:szCs w:val="24"/>
        </w:rPr>
        <w:t xml:space="preserve"> </w:t>
      </w:r>
      <w:r w:rsidR="004D0157" w:rsidRPr="00BF5503">
        <w:rPr>
          <w:rFonts w:ascii="Palatino Linotype" w:hAnsi="Palatino Linotype"/>
          <w:szCs w:val="24"/>
        </w:rPr>
        <w:t>T</w:t>
      </w:r>
      <w:r w:rsidRPr="00BF5503">
        <w:rPr>
          <w:rFonts w:ascii="Palatino Linotype" w:hAnsi="Palatino Linotype"/>
          <w:szCs w:val="24"/>
        </w:rPr>
        <w:t>he As-Available CHP PPA and the ≤20 MW PURPA contract are examples of such standard offer contracts.</w:t>
      </w:r>
    </w:p>
  </w:footnote>
  <w:footnote w:id="3">
    <w:p w14:paraId="355A12F0" w14:textId="3248AA78" w:rsidR="00991BFC" w:rsidRPr="00BF5503" w:rsidRDefault="00991BFC" w:rsidP="00BF5503">
      <w:r w:rsidRPr="00BF5503">
        <w:rPr>
          <w:rStyle w:val="FootnoteReference"/>
          <w:rFonts w:ascii="Palatino Linotype" w:hAnsi="Palatino Linotype"/>
          <w:sz w:val="24"/>
          <w:szCs w:val="24"/>
        </w:rPr>
        <w:footnoteRef/>
      </w:r>
      <w:r w:rsidRPr="00BF5503">
        <w:rPr>
          <w:rFonts w:ascii="Palatino Linotype" w:hAnsi="Palatino Linotype"/>
          <w:sz w:val="24"/>
          <w:szCs w:val="24"/>
        </w:rPr>
        <w:t xml:space="preserve"> A rider is an addendum to a contract with additional information, requirements or term that is not found in the main contract. In this instance, the rider only amends and adds provisions that are necessary to eliminate the conflicts created by PG&amp;E’s status in Chapter 11 bankruptcy.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CB64A" w14:textId="138B0D60" w:rsidR="00265233" w:rsidRDefault="00A97508">
    <w:pPr>
      <w:pStyle w:val="Header"/>
      <w:tabs>
        <w:tab w:val="clear" w:pos="4320"/>
        <w:tab w:val="clear" w:pos="8640"/>
        <w:tab w:val="center" w:pos="4680"/>
        <w:tab w:val="right" w:pos="9180"/>
      </w:tabs>
    </w:pPr>
    <w:r>
      <w:t>R</w:t>
    </w:r>
    <w:r w:rsidR="0078060D">
      <w:t>esolution E-</w:t>
    </w:r>
    <w:r w:rsidR="0026322C">
      <w:t>5037</w:t>
    </w:r>
    <w:r>
      <w:tab/>
      <w:t>DRAFT</w:t>
    </w:r>
    <w:r>
      <w:tab/>
    </w:r>
    <w:r w:rsidR="005C3C50" w:rsidRPr="00532F8F">
      <w:t>May</w:t>
    </w:r>
    <w:r w:rsidR="00761342">
      <w:t xml:space="preserve"> 28</w:t>
    </w:r>
    <w:r w:rsidR="00265233" w:rsidRPr="00532F8F">
      <w:t>, 20</w:t>
    </w:r>
    <w:r w:rsidR="005C3C50" w:rsidRPr="00532F8F">
      <w:t>20</w:t>
    </w:r>
  </w:p>
  <w:p w14:paraId="6C4A1B9B" w14:textId="77777777" w:rsidR="00A97508" w:rsidRDefault="0026322C">
    <w:pPr>
      <w:pStyle w:val="Header"/>
      <w:tabs>
        <w:tab w:val="clear" w:pos="4320"/>
        <w:tab w:val="clear" w:pos="8640"/>
        <w:tab w:val="center" w:pos="4680"/>
        <w:tab w:val="right" w:pos="9180"/>
      </w:tabs>
    </w:pPr>
    <w:r>
      <w:t>PG&amp;E AL 5592-E</w:t>
    </w:r>
    <w:r w:rsidR="00073A20">
      <w:t xml:space="preserve"> and 5592-E-A</w:t>
    </w:r>
    <w:r w:rsidR="0078060D">
      <w:t>/DM</w:t>
    </w:r>
  </w:p>
  <w:p w14:paraId="72120AA2" w14:textId="77777777" w:rsidR="00A97508" w:rsidRDefault="00A975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D707B" w14:textId="77777777" w:rsidR="00A97508" w:rsidRPr="00761342" w:rsidRDefault="00A97508">
    <w:pPr>
      <w:pStyle w:val="Header"/>
      <w:rPr>
        <w:rFonts w:ascii="Helvetica" w:hAnsi="Helvetica"/>
        <w:bCs/>
        <w:sz w:val="28"/>
      </w:rPr>
    </w:pPr>
    <w:r>
      <w:tab/>
    </w:r>
    <w:r w:rsidRPr="00761342">
      <w:rPr>
        <w:bCs/>
      </w:rPr>
      <w:t>DRAFT</w:t>
    </w:r>
    <w:r w:rsidRPr="00761342">
      <w:rPr>
        <w:bCs/>
      </w:rPr>
      <w:tab/>
    </w:r>
    <w:r w:rsidRPr="00761342">
      <w:rPr>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11A63"/>
    <w:multiLevelType w:val="hybridMultilevel"/>
    <w:tmpl w:val="EA4AA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2" w15:restartNumberingAfterBreak="0">
    <w:nsid w:val="0B44583E"/>
    <w:multiLevelType w:val="hybridMultilevel"/>
    <w:tmpl w:val="09BCD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42319"/>
    <w:multiLevelType w:val="hybridMultilevel"/>
    <w:tmpl w:val="52B8B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DB7819"/>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0D3C5BB0"/>
    <w:multiLevelType w:val="hybridMultilevel"/>
    <w:tmpl w:val="7FB4A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80B1D"/>
    <w:multiLevelType w:val="multilevel"/>
    <w:tmpl w:val="C98CB7D4"/>
    <w:lvl w:ilvl="0">
      <w:start w:val="1"/>
      <w:numFmt w:val="decimal"/>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 w15:restartNumberingAfterBreak="0">
    <w:nsid w:val="21ED2CFD"/>
    <w:multiLevelType w:val="hybridMultilevel"/>
    <w:tmpl w:val="227E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8414F"/>
    <w:multiLevelType w:val="hybridMultilevel"/>
    <w:tmpl w:val="9A3C5A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0C232B"/>
    <w:multiLevelType w:val="hybridMultilevel"/>
    <w:tmpl w:val="D30C2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DD6421"/>
    <w:multiLevelType w:val="hybridMultilevel"/>
    <w:tmpl w:val="209209D8"/>
    <w:lvl w:ilvl="0" w:tplc="2376AA7A">
      <w:start w:val="1"/>
      <w:numFmt w:val="decimal"/>
      <w:lvlText w:val="(%1)"/>
      <w:lvlJc w:val="left"/>
      <w:pPr>
        <w:ind w:left="735" w:hanging="375"/>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88135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14" w15:restartNumberingAfterBreak="0">
    <w:nsid w:val="6BB84711"/>
    <w:multiLevelType w:val="hybridMultilevel"/>
    <w:tmpl w:val="3CA6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7E72B88"/>
    <w:multiLevelType w:val="hybridMultilevel"/>
    <w:tmpl w:val="1D6E8C5A"/>
    <w:lvl w:ilvl="0" w:tplc="8C46D9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1E58C1"/>
    <w:multiLevelType w:val="multilevel"/>
    <w:tmpl w:val="C98CB7D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7" w15:restartNumberingAfterBreak="0">
    <w:nsid w:val="7D335353"/>
    <w:multiLevelType w:val="hybridMultilevel"/>
    <w:tmpl w:val="B6EE4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36349C"/>
    <w:multiLevelType w:val="hybridMultilevel"/>
    <w:tmpl w:val="FA424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6"/>
  </w:num>
  <w:num w:numId="4">
    <w:abstractNumId w:val="13"/>
  </w:num>
  <w:num w:numId="5">
    <w:abstractNumId w:val="4"/>
  </w:num>
  <w:num w:numId="6">
    <w:abstractNumId w:val="16"/>
  </w:num>
  <w:num w:numId="7">
    <w:abstractNumId w:val="1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
  </w:num>
  <w:num w:numId="11">
    <w:abstractNumId w:val="0"/>
  </w:num>
  <w:num w:numId="12">
    <w:abstractNumId w:val="5"/>
  </w:num>
  <w:num w:numId="13">
    <w:abstractNumId w:val="15"/>
  </w:num>
  <w:num w:numId="14">
    <w:abstractNumId w:val="17"/>
  </w:num>
  <w:num w:numId="15">
    <w:abstractNumId w:val="3"/>
  </w:num>
  <w:num w:numId="16">
    <w:abstractNumId w:val="7"/>
  </w:num>
  <w:num w:numId="17">
    <w:abstractNumId w:val="8"/>
  </w:num>
  <w:num w:numId="18">
    <w:abstractNumId w:val="14"/>
  </w:num>
  <w:num w:numId="19">
    <w:abstractNumId w:val="18"/>
  </w:num>
  <w:num w:numId="2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lang="en-US" w:vendorID="8" w:dllVersion="513" w:checkStyle="1"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13A"/>
    <w:rsid w:val="00012122"/>
    <w:rsid w:val="00024006"/>
    <w:rsid w:val="00031109"/>
    <w:rsid w:val="00033A58"/>
    <w:rsid w:val="00037039"/>
    <w:rsid w:val="0004297F"/>
    <w:rsid w:val="00043418"/>
    <w:rsid w:val="000439F5"/>
    <w:rsid w:val="00051E24"/>
    <w:rsid w:val="00052107"/>
    <w:rsid w:val="00052E5A"/>
    <w:rsid w:val="000703A7"/>
    <w:rsid w:val="00073A20"/>
    <w:rsid w:val="0007581D"/>
    <w:rsid w:val="0008762E"/>
    <w:rsid w:val="000938A0"/>
    <w:rsid w:val="0009468C"/>
    <w:rsid w:val="00095AD0"/>
    <w:rsid w:val="000A7341"/>
    <w:rsid w:val="000B0548"/>
    <w:rsid w:val="000B1AF7"/>
    <w:rsid w:val="000B5377"/>
    <w:rsid w:val="000B5D11"/>
    <w:rsid w:val="000C62E8"/>
    <w:rsid w:val="000D05B2"/>
    <w:rsid w:val="000D4192"/>
    <w:rsid w:val="000D52A6"/>
    <w:rsid w:val="000D61F2"/>
    <w:rsid w:val="000D6205"/>
    <w:rsid w:val="00104698"/>
    <w:rsid w:val="001119AE"/>
    <w:rsid w:val="00121C1A"/>
    <w:rsid w:val="001241C6"/>
    <w:rsid w:val="00132141"/>
    <w:rsid w:val="00136821"/>
    <w:rsid w:val="0014019F"/>
    <w:rsid w:val="00147BE5"/>
    <w:rsid w:val="0015034A"/>
    <w:rsid w:val="0015457F"/>
    <w:rsid w:val="001553D8"/>
    <w:rsid w:val="00156B0E"/>
    <w:rsid w:val="00172D68"/>
    <w:rsid w:val="00172E4B"/>
    <w:rsid w:val="0018013A"/>
    <w:rsid w:val="001830F1"/>
    <w:rsid w:val="001846C7"/>
    <w:rsid w:val="00187E6B"/>
    <w:rsid w:val="00192C53"/>
    <w:rsid w:val="00195530"/>
    <w:rsid w:val="001956E2"/>
    <w:rsid w:val="001B292C"/>
    <w:rsid w:val="001B3F86"/>
    <w:rsid w:val="001B5962"/>
    <w:rsid w:val="001B5F09"/>
    <w:rsid w:val="001C0FA9"/>
    <w:rsid w:val="001C159D"/>
    <w:rsid w:val="001C5054"/>
    <w:rsid w:val="001C6F68"/>
    <w:rsid w:val="001D4872"/>
    <w:rsid w:val="001D4C9F"/>
    <w:rsid w:val="001D67D2"/>
    <w:rsid w:val="001E37DF"/>
    <w:rsid w:val="001E691C"/>
    <w:rsid w:val="001E6ABC"/>
    <w:rsid w:val="001F086F"/>
    <w:rsid w:val="001F0B30"/>
    <w:rsid w:val="001F14D2"/>
    <w:rsid w:val="001F1E04"/>
    <w:rsid w:val="001F322A"/>
    <w:rsid w:val="001F4347"/>
    <w:rsid w:val="002011EB"/>
    <w:rsid w:val="00205224"/>
    <w:rsid w:val="00220D48"/>
    <w:rsid w:val="002264AE"/>
    <w:rsid w:val="002276A9"/>
    <w:rsid w:val="002277FC"/>
    <w:rsid w:val="00231031"/>
    <w:rsid w:val="00235E07"/>
    <w:rsid w:val="002410D6"/>
    <w:rsid w:val="00253EA6"/>
    <w:rsid w:val="0025669A"/>
    <w:rsid w:val="00257510"/>
    <w:rsid w:val="0026122B"/>
    <w:rsid w:val="0026322C"/>
    <w:rsid w:val="002638F2"/>
    <w:rsid w:val="002641B3"/>
    <w:rsid w:val="00265233"/>
    <w:rsid w:val="0027049B"/>
    <w:rsid w:val="00271637"/>
    <w:rsid w:val="0027352F"/>
    <w:rsid w:val="00275296"/>
    <w:rsid w:val="0028158A"/>
    <w:rsid w:val="00283511"/>
    <w:rsid w:val="00295E8E"/>
    <w:rsid w:val="00297BE7"/>
    <w:rsid w:val="002A3CE0"/>
    <w:rsid w:val="002A5156"/>
    <w:rsid w:val="002A7B4C"/>
    <w:rsid w:val="002A7F03"/>
    <w:rsid w:val="002B4055"/>
    <w:rsid w:val="002B4C73"/>
    <w:rsid w:val="002B5EDB"/>
    <w:rsid w:val="002B65E7"/>
    <w:rsid w:val="002C3683"/>
    <w:rsid w:val="002C3DF3"/>
    <w:rsid w:val="002D1E82"/>
    <w:rsid w:val="002F54D0"/>
    <w:rsid w:val="002F6F39"/>
    <w:rsid w:val="002F7E48"/>
    <w:rsid w:val="003108F9"/>
    <w:rsid w:val="003144F3"/>
    <w:rsid w:val="0031505B"/>
    <w:rsid w:val="00320E93"/>
    <w:rsid w:val="003219BB"/>
    <w:rsid w:val="00326016"/>
    <w:rsid w:val="00341FF1"/>
    <w:rsid w:val="0034597E"/>
    <w:rsid w:val="00345E9F"/>
    <w:rsid w:val="00353413"/>
    <w:rsid w:val="003561E8"/>
    <w:rsid w:val="003648C5"/>
    <w:rsid w:val="00366786"/>
    <w:rsid w:val="00375955"/>
    <w:rsid w:val="0038201D"/>
    <w:rsid w:val="0038499A"/>
    <w:rsid w:val="0038529E"/>
    <w:rsid w:val="00390D29"/>
    <w:rsid w:val="0039367C"/>
    <w:rsid w:val="003A32D1"/>
    <w:rsid w:val="003B1E3B"/>
    <w:rsid w:val="003D0129"/>
    <w:rsid w:val="003D3891"/>
    <w:rsid w:val="003D5116"/>
    <w:rsid w:val="003D6FB8"/>
    <w:rsid w:val="003E7FD8"/>
    <w:rsid w:val="003F4D83"/>
    <w:rsid w:val="003F66EB"/>
    <w:rsid w:val="00401058"/>
    <w:rsid w:val="0040442D"/>
    <w:rsid w:val="00406D50"/>
    <w:rsid w:val="00411524"/>
    <w:rsid w:val="00414CBC"/>
    <w:rsid w:val="00417A67"/>
    <w:rsid w:val="00420707"/>
    <w:rsid w:val="00424BFF"/>
    <w:rsid w:val="0043667C"/>
    <w:rsid w:val="00436EE6"/>
    <w:rsid w:val="00440AB7"/>
    <w:rsid w:val="004424C0"/>
    <w:rsid w:val="004431BA"/>
    <w:rsid w:val="00450ACC"/>
    <w:rsid w:val="00454FAB"/>
    <w:rsid w:val="0045526F"/>
    <w:rsid w:val="004625FA"/>
    <w:rsid w:val="00462661"/>
    <w:rsid w:val="00464A39"/>
    <w:rsid w:val="004655D1"/>
    <w:rsid w:val="00471420"/>
    <w:rsid w:val="004905D3"/>
    <w:rsid w:val="00493441"/>
    <w:rsid w:val="004A1364"/>
    <w:rsid w:val="004A453D"/>
    <w:rsid w:val="004A48E1"/>
    <w:rsid w:val="004B0B32"/>
    <w:rsid w:val="004B13B6"/>
    <w:rsid w:val="004B1762"/>
    <w:rsid w:val="004C0FDA"/>
    <w:rsid w:val="004C58F2"/>
    <w:rsid w:val="004C6F37"/>
    <w:rsid w:val="004C77BE"/>
    <w:rsid w:val="004D0157"/>
    <w:rsid w:val="004D43F2"/>
    <w:rsid w:val="004D512A"/>
    <w:rsid w:val="004D7931"/>
    <w:rsid w:val="004E4923"/>
    <w:rsid w:val="004F1CA9"/>
    <w:rsid w:val="004F3615"/>
    <w:rsid w:val="004F385E"/>
    <w:rsid w:val="004F76EE"/>
    <w:rsid w:val="00504526"/>
    <w:rsid w:val="005066AC"/>
    <w:rsid w:val="00507E2C"/>
    <w:rsid w:val="00511E07"/>
    <w:rsid w:val="0052370F"/>
    <w:rsid w:val="00532F8F"/>
    <w:rsid w:val="00534009"/>
    <w:rsid w:val="005346C0"/>
    <w:rsid w:val="005422BB"/>
    <w:rsid w:val="005452CB"/>
    <w:rsid w:val="005545DE"/>
    <w:rsid w:val="005638F6"/>
    <w:rsid w:val="00566730"/>
    <w:rsid w:val="00566A0D"/>
    <w:rsid w:val="00576F72"/>
    <w:rsid w:val="00586566"/>
    <w:rsid w:val="00587707"/>
    <w:rsid w:val="00590218"/>
    <w:rsid w:val="00593807"/>
    <w:rsid w:val="005948BE"/>
    <w:rsid w:val="005A095B"/>
    <w:rsid w:val="005A1763"/>
    <w:rsid w:val="005A424B"/>
    <w:rsid w:val="005B4973"/>
    <w:rsid w:val="005B7595"/>
    <w:rsid w:val="005C0939"/>
    <w:rsid w:val="005C1529"/>
    <w:rsid w:val="005C3C50"/>
    <w:rsid w:val="005C5E80"/>
    <w:rsid w:val="005D0532"/>
    <w:rsid w:val="005D09C6"/>
    <w:rsid w:val="005D4A30"/>
    <w:rsid w:val="005E0EC9"/>
    <w:rsid w:val="005E1432"/>
    <w:rsid w:val="005E63F6"/>
    <w:rsid w:val="005F63CA"/>
    <w:rsid w:val="005F6760"/>
    <w:rsid w:val="00601674"/>
    <w:rsid w:val="00607A61"/>
    <w:rsid w:val="00614947"/>
    <w:rsid w:val="00616AEE"/>
    <w:rsid w:val="00617656"/>
    <w:rsid w:val="00620156"/>
    <w:rsid w:val="00625E2E"/>
    <w:rsid w:val="00630F43"/>
    <w:rsid w:val="006373DD"/>
    <w:rsid w:val="00643A79"/>
    <w:rsid w:val="00645BC6"/>
    <w:rsid w:val="00650C6F"/>
    <w:rsid w:val="00661C08"/>
    <w:rsid w:val="0066243B"/>
    <w:rsid w:val="00663E36"/>
    <w:rsid w:val="00664119"/>
    <w:rsid w:val="00664D57"/>
    <w:rsid w:val="00670AA4"/>
    <w:rsid w:val="006727A2"/>
    <w:rsid w:val="0067694A"/>
    <w:rsid w:val="006873A6"/>
    <w:rsid w:val="00690616"/>
    <w:rsid w:val="006924EB"/>
    <w:rsid w:val="00697305"/>
    <w:rsid w:val="006B110E"/>
    <w:rsid w:val="006B41CC"/>
    <w:rsid w:val="006B63E5"/>
    <w:rsid w:val="006C25D6"/>
    <w:rsid w:val="006D582D"/>
    <w:rsid w:val="006E1AAB"/>
    <w:rsid w:val="006E2B0F"/>
    <w:rsid w:val="006F734C"/>
    <w:rsid w:val="00701E06"/>
    <w:rsid w:val="00703E77"/>
    <w:rsid w:val="0070439E"/>
    <w:rsid w:val="00705972"/>
    <w:rsid w:val="007066A0"/>
    <w:rsid w:val="0071198C"/>
    <w:rsid w:val="00713111"/>
    <w:rsid w:val="007227A3"/>
    <w:rsid w:val="007239C3"/>
    <w:rsid w:val="00731EB9"/>
    <w:rsid w:val="00732ECE"/>
    <w:rsid w:val="00733A74"/>
    <w:rsid w:val="00744D72"/>
    <w:rsid w:val="00745CF5"/>
    <w:rsid w:val="00751208"/>
    <w:rsid w:val="0075561A"/>
    <w:rsid w:val="00760C6C"/>
    <w:rsid w:val="00760CD5"/>
    <w:rsid w:val="00761342"/>
    <w:rsid w:val="00764369"/>
    <w:rsid w:val="007729C1"/>
    <w:rsid w:val="0078060D"/>
    <w:rsid w:val="0078151C"/>
    <w:rsid w:val="00781E82"/>
    <w:rsid w:val="007970B2"/>
    <w:rsid w:val="007A281A"/>
    <w:rsid w:val="007A4374"/>
    <w:rsid w:val="007A5314"/>
    <w:rsid w:val="007A6BF1"/>
    <w:rsid w:val="007A75EE"/>
    <w:rsid w:val="007B1A64"/>
    <w:rsid w:val="007B1BE8"/>
    <w:rsid w:val="007B4D0C"/>
    <w:rsid w:val="007B7536"/>
    <w:rsid w:val="007C0BE6"/>
    <w:rsid w:val="007C3210"/>
    <w:rsid w:val="007D407C"/>
    <w:rsid w:val="007E0431"/>
    <w:rsid w:val="007E07CC"/>
    <w:rsid w:val="007E6563"/>
    <w:rsid w:val="007F351C"/>
    <w:rsid w:val="007F4DF7"/>
    <w:rsid w:val="00804976"/>
    <w:rsid w:val="008051C2"/>
    <w:rsid w:val="00811D21"/>
    <w:rsid w:val="008224AB"/>
    <w:rsid w:val="008331B1"/>
    <w:rsid w:val="00836CAF"/>
    <w:rsid w:val="00845FFF"/>
    <w:rsid w:val="0085451C"/>
    <w:rsid w:val="00856D0B"/>
    <w:rsid w:val="00857186"/>
    <w:rsid w:val="008608D1"/>
    <w:rsid w:val="00862576"/>
    <w:rsid w:val="008904E9"/>
    <w:rsid w:val="008979FB"/>
    <w:rsid w:val="008B086E"/>
    <w:rsid w:val="008B78CD"/>
    <w:rsid w:val="008C15A6"/>
    <w:rsid w:val="008C464E"/>
    <w:rsid w:val="008C5493"/>
    <w:rsid w:val="008C611B"/>
    <w:rsid w:val="008D1C3F"/>
    <w:rsid w:val="008D558E"/>
    <w:rsid w:val="008D5B85"/>
    <w:rsid w:val="008D6883"/>
    <w:rsid w:val="008E266A"/>
    <w:rsid w:val="008E35C2"/>
    <w:rsid w:val="008E6A92"/>
    <w:rsid w:val="008E7AB5"/>
    <w:rsid w:val="008F1D15"/>
    <w:rsid w:val="008F6D1C"/>
    <w:rsid w:val="00907716"/>
    <w:rsid w:val="00910C7E"/>
    <w:rsid w:val="00920171"/>
    <w:rsid w:val="00923E2D"/>
    <w:rsid w:val="00924F13"/>
    <w:rsid w:val="00930422"/>
    <w:rsid w:val="009342A2"/>
    <w:rsid w:val="00934698"/>
    <w:rsid w:val="00935355"/>
    <w:rsid w:val="0093643F"/>
    <w:rsid w:val="009411B9"/>
    <w:rsid w:val="00942F85"/>
    <w:rsid w:val="00944618"/>
    <w:rsid w:val="009452F5"/>
    <w:rsid w:val="00952916"/>
    <w:rsid w:val="009552FF"/>
    <w:rsid w:val="00955F12"/>
    <w:rsid w:val="00960CBE"/>
    <w:rsid w:val="00991BFC"/>
    <w:rsid w:val="00993557"/>
    <w:rsid w:val="00993A2B"/>
    <w:rsid w:val="009B6C99"/>
    <w:rsid w:val="009B6D8E"/>
    <w:rsid w:val="009D1A2A"/>
    <w:rsid w:val="009D535E"/>
    <w:rsid w:val="009D69F4"/>
    <w:rsid w:val="009E3F74"/>
    <w:rsid w:val="009E7051"/>
    <w:rsid w:val="009F277D"/>
    <w:rsid w:val="00A05417"/>
    <w:rsid w:val="00A073C3"/>
    <w:rsid w:val="00A218B6"/>
    <w:rsid w:val="00A21E46"/>
    <w:rsid w:val="00A3756C"/>
    <w:rsid w:val="00A37744"/>
    <w:rsid w:val="00A37FD1"/>
    <w:rsid w:val="00A42224"/>
    <w:rsid w:val="00A46F3C"/>
    <w:rsid w:val="00A505F6"/>
    <w:rsid w:val="00A55A94"/>
    <w:rsid w:val="00A57211"/>
    <w:rsid w:val="00A609E8"/>
    <w:rsid w:val="00A655B9"/>
    <w:rsid w:val="00A673D3"/>
    <w:rsid w:val="00A74CB8"/>
    <w:rsid w:val="00A82626"/>
    <w:rsid w:val="00A876CF"/>
    <w:rsid w:val="00A90182"/>
    <w:rsid w:val="00A926A4"/>
    <w:rsid w:val="00A97508"/>
    <w:rsid w:val="00A97F32"/>
    <w:rsid w:val="00AA0F13"/>
    <w:rsid w:val="00AA433C"/>
    <w:rsid w:val="00AA47AB"/>
    <w:rsid w:val="00AA7EAC"/>
    <w:rsid w:val="00AB2BD4"/>
    <w:rsid w:val="00AC14E8"/>
    <w:rsid w:val="00AC38B1"/>
    <w:rsid w:val="00AC6777"/>
    <w:rsid w:val="00AD6425"/>
    <w:rsid w:val="00AE3099"/>
    <w:rsid w:val="00AE6530"/>
    <w:rsid w:val="00AE6D8F"/>
    <w:rsid w:val="00AF002A"/>
    <w:rsid w:val="00AF409A"/>
    <w:rsid w:val="00AF447C"/>
    <w:rsid w:val="00AF7AD3"/>
    <w:rsid w:val="00B05828"/>
    <w:rsid w:val="00B059CF"/>
    <w:rsid w:val="00B2173A"/>
    <w:rsid w:val="00B265C6"/>
    <w:rsid w:val="00B34B13"/>
    <w:rsid w:val="00B35404"/>
    <w:rsid w:val="00B36A8F"/>
    <w:rsid w:val="00B506A4"/>
    <w:rsid w:val="00B524B9"/>
    <w:rsid w:val="00B528A1"/>
    <w:rsid w:val="00B60620"/>
    <w:rsid w:val="00B66FF8"/>
    <w:rsid w:val="00B73523"/>
    <w:rsid w:val="00B74C96"/>
    <w:rsid w:val="00B9039D"/>
    <w:rsid w:val="00B92BD9"/>
    <w:rsid w:val="00B9454C"/>
    <w:rsid w:val="00B94FD9"/>
    <w:rsid w:val="00BA4293"/>
    <w:rsid w:val="00BA5B69"/>
    <w:rsid w:val="00BB0F54"/>
    <w:rsid w:val="00BB408B"/>
    <w:rsid w:val="00BC3972"/>
    <w:rsid w:val="00BD139B"/>
    <w:rsid w:val="00BE500F"/>
    <w:rsid w:val="00BE6CD1"/>
    <w:rsid w:val="00BE7309"/>
    <w:rsid w:val="00BE738A"/>
    <w:rsid w:val="00BF0BD7"/>
    <w:rsid w:val="00BF4566"/>
    <w:rsid w:val="00BF5503"/>
    <w:rsid w:val="00C04812"/>
    <w:rsid w:val="00C10117"/>
    <w:rsid w:val="00C12BE5"/>
    <w:rsid w:val="00C20A00"/>
    <w:rsid w:val="00C23760"/>
    <w:rsid w:val="00C30CE0"/>
    <w:rsid w:val="00C3600C"/>
    <w:rsid w:val="00C37341"/>
    <w:rsid w:val="00C4672A"/>
    <w:rsid w:val="00C714DF"/>
    <w:rsid w:val="00C724B6"/>
    <w:rsid w:val="00C92608"/>
    <w:rsid w:val="00CA57BB"/>
    <w:rsid w:val="00CB2E83"/>
    <w:rsid w:val="00CC196B"/>
    <w:rsid w:val="00CC664D"/>
    <w:rsid w:val="00CC6ADC"/>
    <w:rsid w:val="00CD1FBD"/>
    <w:rsid w:val="00CD258A"/>
    <w:rsid w:val="00CE1DC6"/>
    <w:rsid w:val="00CE2532"/>
    <w:rsid w:val="00CE29B6"/>
    <w:rsid w:val="00CF17DE"/>
    <w:rsid w:val="00CF2512"/>
    <w:rsid w:val="00CF2865"/>
    <w:rsid w:val="00CF34E7"/>
    <w:rsid w:val="00CF6FD5"/>
    <w:rsid w:val="00D2564B"/>
    <w:rsid w:val="00D27352"/>
    <w:rsid w:val="00D3128A"/>
    <w:rsid w:val="00D34709"/>
    <w:rsid w:val="00D37AA0"/>
    <w:rsid w:val="00D44B76"/>
    <w:rsid w:val="00D46660"/>
    <w:rsid w:val="00D51235"/>
    <w:rsid w:val="00D5479B"/>
    <w:rsid w:val="00D6551A"/>
    <w:rsid w:val="00D65AB4"/>
    <w:rsid w:val="00D65C89"/>
    <w:rsid w:val="00D66D8C"/>
    <w:rsid w:val="00D70101"/>
    <w:rsid w:val="00D70C1E"/>
    <w:rsid w:val="00D7187F"/>
    <w:rsid w:val="00D77129"/>
    <w:rsid w:val="00D77814"/>
    <w:rsid w:val="00D8046F"/>
    <w:rsid w:val="00D826A9"/>
    <w:rsid w:val="00D851A0"/>
    <w:rsid w:val="00D90F49"/>
    <w:rsid w:val="00DA2618"/>
    <w:rsid w:val="00DA54C7"/>
    <w:rsid w:val="00DB6F2C"/>
    <w:rsid w:val="00DC1259"/>
    <w:rsid w:val="00DC50C1"/>
    <w:rsid w:val="00DC6552"/>
    <w:rsid w:val="00DD3306"/>
    <w:rsid w:val="00DD4C05"/>
    <w:rsid w:val="00DD5CD4"/>
    <w:rsid w:val="00DD7099"/>
    <w:rsid w:val="00DE22C2"/>
    <w:rsid w:val="00E01F23"/>
    <w:rsid w:val="00E039C7"/>
    <w:rsid w:val="00E052C5"/>
    <w:rsid w:val="00E05FCA"/>
    <w:rsid w:val="00E06605"/>
    <w:rsid w:val="00E07209"/>
    <w:rsid w:val="00E07878"/>
    <w:rsid w:val="00E100C4"/>
    <w:rsid w:val="00E300C0"/>
    <w:rsid w:val="00E31211"/>
    <w:rsid w:val="00E324B1"/>
    <w:rsid w:val="00E337C0"/>
    <w:rsid w:val="00E34146"/>
    <w:rsid w:val="00E364ED"/>
    <w:rsid w:val="00E36A32"/>
    <w:rsid w:val="00E42B33"/>
    <w:rsid w:val="00E46642"/>
    <w:rsid w:val="00E5155A"/>
    <w:rsid w:val="00E57CFF"/>
    <w:rsid w:val="00E770F2"/>
    <w:rsid w:val="00E81FC4"/>
    <w:rsid w:val="00E9065B"/>
    <w:rsid w:val="00EA49BC"/>
    <w:rsid w:val="00EA4FB4"/>
    <w:rsid w:val="00EB4C00"/>
    <w:rsid w:val="00EC0AF5"/>
    <w:rsid w:val="00EC1D8D"/>
    <w:rsid w:val="00EC246B"/>
    <w:rsid w:val="00EE49C0"/>
    <w:rsid w:val="00EE6FD8"/>
    <w:rsid w:val="00F04FF5"/>
    <w:rsid w:val="00F05627"/>
    <w:rsid w:val="00F1169E"/>
    <w:rsid w:val="00F149A2"/>
    <w:rsid w:val="00F159CC"/>
    <w:rsid w:val="00F15E53"/>
    <w:rsid w:val="00F16963"/>
    <w:rsid w:val="00F21112"/>
    <w:rsid w:val="00F24500"/>
    <w:rsid w:val="00F4349F"/>
    <w:rsid w:val="00F47721"/>
    <w:rsid w:val="00F52047"/>
    <w:rsid w:val="00F53BC9"/>
    <w:rsid w:val="00F5644C"/>
    <w:rsid w:val="00F56A1E"/>
    <w:rsid w:val="00F73BB1"/>
    <w:rsid w:val="00F73E79"/>
    <w:rsid w:val="00F76C06"/>
    <w:rsid w:val="00F863D5"/>
    <w:rsid w:val="00F866B1"/>
    <w:rsid w:val="00F91463"/>
    <w:rsid w:val="00F94308"/>
    <w:rsid w:val="00FA1A05"/>
    <w:rsid w:val="00FA55F8"/>
    <w:rsid w:val="00FA5796"/>
    <w:rsid w:val="00FC1DC5"/>
    <w:rsid w:val="00FC6441"/>
    <w:rsid w:val="00FC7628"/>
    <w:rsid w:val="00FF0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DE1225"/>
  <w15:chartTrackingRefBased/>
  <w15:docId w15:val="{8BC1DD55-F03F-4F7A-864E-AA522DF4ED1A}"/>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BE5"/>
    <w:rPr>
      <w:rFonts w:ascii="Palatino" w:hAnsi="Palatino"/>
      <w:sz w:val="26"/>
    </w:rPr>
  </w:style>
  <w:style w:type="paragraph" w:styleId="Heading1">
    <w:name w:val="heading 1"/>
    <w:basedOn w:val="Normal"/>
    <w:next w:val="standard"/>
    <w:link w:val="Heading1Char"/>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1 Char,Footnote Text Char Char Char,Char Char,Footnote Text Char2 Char,Footnote Text Char2 Char Char Char Char,Footnote Text Char1 Char1 Char1 Char Char Char,TBG Style Char Char"/>
    <w:basedOn w:val="Normal"/>
    <w:link w:val="FootnoteTextChar"/>
    <w:semiHidden/>
    <w:rsid w:val="008B086E"/>
    <w:pPr>
      <w:spacing w:after="240"/>
    </w:pPr>
    <w:rPr>
      <w:sz w:val="24"/>
    </w:rPr>
  </w:style>
  <w:style w:type="paragraph" w:styleId="EndnoteText">
    <w:name w:val="endnote text"/>
    <w:basedOn w:val="Normal"/>
    <w:semiHidden/>
    <w:rPr>
      <w:sz w:val="20"/>
    </w:rPr>
  </w:style>
  <w:style w:type="paragraph" w:customStyle="1" w:styleId="standard">
    <w:name w:val="standard"/>
    <w:basedOn w:val="Normal"/>
    <w:link w:val="standardChar"/>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aliases w:val="o,fr,Style 3,o1,o2,o3,o4,o5,o6,o11,o21,o7,Footnote Reference1"/>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PlainText">
    <w:name w:val="Plain Text"/>
    <w:basedOn w:val="Normal"/>
    <w:link w:val="PlainTextChar"/>
    <w:uiPriority w:val="99"/>
    <w:unhideWhenUsed/>
    <w:rsid w:val="002641B3"/>
    <w:rPr>
      <w:rFonts w:ascii="Calibri" w:eastAsia="Calibri" w:hAnsi="Calibri" w:cs="Consolas"/>
      <w:sz w:val="22"/>
      <w:szCs w:val="21"/>
    </w:rPr>
  </w:style>
  <w:style w:type="paragraph" w:customStyle="1" w:styleId="Style2">
    <w:name w:val="Style2"/>
    <w:basedOn w:val="Normal"/>
    <w:rsid w:val="007A6BF1"/>
  </w:style>
  <w:style w:type="paragraph" w:customStyle="1" w:styleId="Style3">
    <w:name w:val="Style3"/>
    <w:basedOn w:val="Normal"/>
    <w:rsid w:val="008B086E"/>
  </w:style>
  <w:style w:type="character" w:customStyle="1" w:styleId="PlainTextChar">
    <w:name w:val="Plain Text Char"/>
    <w:link w:val="PlainText"/>
    <w:uiPriority w:val="99"/>
    <w:rsid w:val="002641B3"/>
    <w:rPr>
      <w:rFonts w:ascii="Calibri" w:eastAsia="Calibri" w:hAnsi="Calibri" w:cs="Consolas"/>
      <w:sz w:val="22"/>
      <w:szCs w:val="21"/>
    </w:rPr>
  </w:style>
  <w:style w:type="character" w:customStyle="1" w:styleId="FootnoteTextChar">
    <w:name w:val="Footnote Text Char"/>
    <w:aliases w:val="Footnote Text Char1 Char1,Footnote Text Char Char Char1,Footnote Text Char1 Char Char,Footnote Text Char Char Char Char,Char Char Char,Footnote Text Char2 Char Char,Footnote Text Char2 Char Char Char Char Char,TBG Style Char Char Char"/>
    <w:link w:val="FootnoteText"/>
    <w:semiHidden/>
    <w:locked/>
    <w:rsid w:val="00471420"/>
    <w:rPr>
      <w:rFonts w:ascii="Palatino" w:hAnsi="Palatino"/>
      <w:sz w:val="24"/>
    </w:rPr>
  </w:style>
  <w:style w:type="character" w:styleId="CommentReference">
    <w:name w:val="annotation reference"/>
    <w:rsid w:val="001B3F86"/>
    <w:rPr>
      <w:sz w:val="16"/>
      <w:szCs w:val="16"/>
    </w:rPr>
  </w:style>
  <w:style w:type="paragraph" w:styleId="CommentText">
    <w:name w:val="annotation text"/>
    <w:basedOn w:val="Normal"/>
    <w:link w:val="CommentTextChar"/>
    <w:rsid w:val="001B3F86"/>
    <w:rPr>
      <w:sz w:val="20"/>
    </w:rPr>
  </w:style>
  <w:style w:type="character" w:customStyle="1" w:styleId="CommentTextChar">
    <w:name w:val="Comment Text Char"/>
    <w:link w:val="CommentText"/>
    <w:rsid w:val="001B3F86"/>
    <w:rPr>
      <w:rFonts w:ascii="Palatino" w:hAnsi="Palatino"/>
    </w:rPr>
  </w:style>
  <w:style w:type="paragraph" w:styleId="CommentSubject">
    <w:name w:val="annotation subject"/>
    <w:basedOn w:val="CommentText"/>
    <w:next w:val="CommentText"/>
    <w:link w:val="CommentSubjectChar"/>
    <w:rsid w:val="001B3F86"/>
    <w:rPr>
      <w:b/>
      <w:bCs/>
    </w:rPr>
  </w:style>
  <w:style w:type="character" w:customStyle="1" w:styleId="CommentSubjectChar">
    <w:name w:val="Comment Subject Char"/>
    <w:link w:val="CommentSubject"/>
    <w:rsid w:val="001B3F86"/>
    <w:rPr>
      <w:rFonts w:ascii="Palatino" w:hAnsi="Palatino"/>
      <w:b/>
      <w:bCs/>
    </w:rPr>
  </w:style>
  <w:style w:type="paragraph" w:styleId="BalloonText">
    <w:name w:val="Balloon Text"/>
    <w:basedOn w:val="Normal"/>
    <w:link w:val="BalloonTextChar"/>
    <w:rsid w:val="001B3F86"/>
    <w:rPr>
      <w:rFonts w:ascii="Tahoma" w:hAnsi="Tahoma" w:cs="Tahoma"/>
      <w:sz w:val="16"/>
      <w:szCs w:val="16"/>
    </w:rPr>
  </w:style>
  <w:style w:type="character" w:customStyle="1" w:styleId="BalloonTextChar">
    <w:name w:val="Balloon Text Char"/>
    <w:link w:val="BalloonText"/>
    <w:rsid w:val="001B3F86"/>
    <w:rPr>
      <w:rFonts w:ascii="Tahoma" w:hAnsi="Tahoma" w:cs="Tahoma"/>
      <w:sz w:val="16"/>
      <w:szCs w:val="16"/>
    </w:rPr>
  </w:style>
  <w:style w:type="character" w:styleId="Hyperlink">
    <w:name w:val="Hyperlink"/>
    <w:uiPriority w:val="99"/>
    <w:unhideWhenUsed/>
    <w:rsid w:val="00FA5796"/>
    <w:rPr>
      <w:color w:val="0000FF"/>
      <w:u w:val="single"/>
    </w:rPr>
  </w:style>
  <w:style w:type="table" w:styleId="TableGrid">
    <w:name w:val="Table Grid"/>
    <w:basedOn w:val="TableNormal"/>
    <w:rsid w:val="00EE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D535E"/>
    <w:rPr>
      <w:rFonts w:ascii="Helvetica" w:hAnsi="Helvetica"/>
      <w:b/>
      <w:caps/>
      <w:kern w:val="28"/>
      <w:sz w:val="26"/>
      <w:u w:val="single"/>
    </w:rPr>
  </w:style>
  <w:style w:type="paragraph" w:styleId="ListParagraph">
    <w:name w:val="List Paragraph"/>
    <w:basedOn w:val="Normal"/>
    <w:uiPriority w:val="34"/>
    <w:qFormat/>
    <w:rsid w:val="009D535E"/>
    <w:pPr>
      <w:ind w:left="720"/>
      <w:contextualSpacing/>
    </w:pPr>
  </w:style>
  <w:style w:type="paragraph" w:customStyle="1" w:styleId="Default">
    <w:name w:val="Default"/>
    <w:rsid w:val="009D535E"/>
    <w:pPr>
      <w:autoSpaceDE w:val="0"/>
      <w:autoSpaceDN w:val="0"/>
      <w:adjustRightInd w:val="0"/>
    </w:pPr>
    <w:rPr>
      <w:rFonts w:ascii="Book Antiqua" w:eastAsia="Calibri" w:hAnsi="Book Antiqua" w:cs="Book Antiqua"/>
      <w:color w:val="000000"/>
      <w:sz w:val="24"/>
      <w:szCs w:val="24"/>
    </w:rPr>
  </w:style>
  <w:style w:type="character" w:customStyle="1" w:styleId="cwcot">
    <w:name w:val="cwcot"/>
    <w:rsid w:val="00D65AB4"/>
  </w:style>
  <w:style w:type="paragraph" w:styleId="Revision">
    <w:name w:val="Revision"/>
    <w:hidden/>
    <w:uiPriority w:val="99"/>
    <w:semiHidden/>
    <w:rsid w:val="00B524B9"/>
    <w:rPr>
      <w:rFonts w:ascii="Palatino" w:hAnsi="Palatino"/>
      <w:sz w:val="26"/>
    </w:rPr>
  </w:style>
  <w:style w:type="character" w:customStyle="1" w:styleId="esrinumericvalue">
    <w:name w:val="esrinumericvalue"/>
    <w:rsid w:val="00417A67"/>
  </w:style>
  <w:style w:type="character" w:customStyle="1" w:styleId="standardChar">
    <w:name w:val="standard Char"/>
    <w:link w:val="standard"/>
    <w:locked/>
    <w:rsid w:val="007C3210"/>
    <w:rPr>
      <w:rFonts w:ascii="Palatino" w:hAnsi="Palatino"/>
      <w:sz w:val="26"/>
    </w:rPr>
  </w:style>
  <w:style w:type="character" w:styleId="FollowedHyperlink">
    <w:name w:val="FollowedHyperlink"/>
    <w:basedOn w:val="DefaultParagraphFont"/>
    <w:rsid w:val="00511E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212979">
      <w:bodyDiv w:val="1"/>
      <w:marLeft w:val="0"/>
      <w:marRight w:val="0"/>
      <w:marTop w:val="0"/>
      <w:marBottom w:val="0"/>
      <w:divBdr>
        <w:top w:val="none" w:sz="0" w:space="0" w:color="auto"/>
        <w:left w:val="none" w:sz="0" w:space="0" w:color="auto"/>
        <w:bottom w:val="none" w:sz="0" w:space="0" w:color="auto"/>
        <w:right w:val="none" w:sz="0" w:space="0" w:color="auto"/>
      </w:divBdr>
    </w:div>
    <w:div w:id="1219827893">
      <w:bodyDiv w:val="1"/>
      <w:marLeft w:val="0"/>
      <w:marRight w:val="0"/>
      <w:marTop w:val="0"/>
      <w:marBottom w:val="0"/>
      <w:divBdr>
        <w:top w:val="none" w:sz="0" w:space="0" w:color="auto"/>
        <w:left w:val="none" w:sz="0" w:space="0" w:color="auto"/>
        <w:bottom w:val="none" w:sz="0" w:space="0" w:color="auto"/>
        <w:right w:val="none" w:sz="0" w:space="0" w:color="auto"/>
      </w:divBdr>
    </w:div>
    <w:div w:id="1287469672">
      <w:bodyDiv w:val="1"/>
      <w:marLeft w:val="0"/>
      <w:marRight w:val="0"/>
      <w:marTop w:val="0"/>
      <w:marBottom w:val="0"/>
      <w:divBdr>
        <w:top w:val="none" w:sz="0" w:space="0" w:color="auto"/>
        <w:left w:val="none" w:sz="0" w:space="0" w:color="auto"/>
        <w:bottom w:val="none" w:sz="0" w:space="0" w:color="auto"/>
        <w:right w:val="none" w:sz="0" w:space="0" w:color="auto"/>
      </w:divBdr>
    </w:div>
    <w:div w:id="1552840685">
      <w:bodyDiv w:val="1"/>
      <w:marLeft w:val="0"/>
      <w:marRight w:val="0"/>
      <w:marTop w:val="0"/>
      <w:marBottom w:val="0"/>
      <w:divBdr>
        <w:top w:val="none" w:sz="0" w:space="0" w:color="auto"/>
        <w:left w:val="none" w:sz="0" w:space="0" w:color="auto"/>
        <w:bottom w:val="none" w:sz="0" w:space="0" w:color="auto"/>
        <w:right w:val="none" w:sz="0" w:space="0" w:color="auto"/>
      </w:divBdr>
    </w:div>
    <w:div w:id="1869751974">
      <w:bodyDiv w:val="1"/>
      <w:marLeft w:val="0"/>
      <w:marRight w:val="0"/>
      <w:marTop w:val="0"/>
      <w:marBottom w:val="0"/>
      <w:divBdr>
        <w:top w:val="none" w:sz="0" w:space="0" w:color="auto"/>
        <w:left w:val="none" w:sz="0" w:space="0" w:color="auto"/>
        <w:bottom w:val="none" w:sz="0" w:space="0" w:color="auto"/>
        <w:right w:val="none" w:sz="0" w:space="0" w:color="auto"/>
      </w:divBdr>
    </w:div>
    <w:div w:id="213327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EA77B04D7F8B44956AD586C4D74D6D" ma:contentTypeVersion="4" ma:contentTypeDescription="Create a new document." ma:contentTypeScope="" ma:versionID="983924a2679572ef843234605ffe5d14">
  <xsd:schema xmlns:xsd="http://www.w3.org/2001/XMLSchema" xmlns:xs="http://www.w3.org/2001/XMLSchema" xmlns:p="http://schemas.microsoft.com/office/2006/metadata/properties" xmlns:ns3="5e235464-3eab-4882-a6fa-f70788ea5378" targetNamespace="http://schemas.microsoft.com/office/2006/metadata/properties" ma:root="true" ma:fieldsID="48769c5c9c907721bc0c22c4349244ff" ns3:_="">
    <xsd:import namespace="5e235464-3eab-4882-a6fa-f70788ea53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35464-3eab-4882-a6fa-f70788ea5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19B8E-41BB-4EE4-8ECA-7C07D6BEC6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D400E3-D287-4F52-8BCC-E37BF11D6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35464-3eab-4882-a6fa-f70788ea5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B94D17-E3D1-4BF2-B03D-94C0DD350987}">
  <ds:schemaRefs>
    <ds:schemaRef ds:uri="http://schemas.microsoft.com/sharepoint/v3/contenttype/forms"/>
  </ds:schemaRefs>
</ds:datastoreItem>
</file>

<file path=customXml/itemProps4.xml><?xml version="1.0" encoding="utf-8"?>
<ds:datastoreItem xmlns:ds="http://schemas.openxmlformats.org/officeDocument/2006/customXml" ds:itemID="{995F9571-7708-4550-88F5-55E4A76FC714}">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14</ap:Pages>
  <ap:Words>3599</ap:Words>
  <ap:Characters>20515</ap:Characters>
  <ap:Application>Microsoft Office Word</ap:Application>
  <ap:DocSecurity>0</ap:DocSecurity>
  <ap:Lines>170</ap:Lines>
  <ap:Paragraphs>48</ap:Paragraphs>
  <ap:ScaleCrop>false</ap:ScaleCrop>
  <ap:HeadingPairs>
    <vt:vector baseType="variant" size="2">
      <vt:variant>
        <vt:lpstr>Title</vt:lpstr>
      </vt:variant>
      <vt:variant>
        <vt:i4>1</vt:i4>
      </vt:variant>
    </vt:vector>
  </ap:HeadingPairs>
  <ap:TitlesOfParts>
    <vt:vector baseType="lpstr" size="1">
      <vt:lpstr>Resolution Template</vt:lpstr>
    </vt:vector>
  </ap:TitlesOfParts>
  <ap:Company/>
  <ap:LinksUpToDate>false</ap:LinksUpToDate>
  <ap:CharactersWithSpaces>24066</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2020-03-09T20:30:00Z</cp:lastPrinted>
  <dcterms:created xsi:type="dcterms:W3CDTF">2020-04-20T14:51:21Z</dcterms:created>
  <dcterms:modified xsi:type="dcterms:W3CDTF">2020-04-20T14:51:21Z</dcterms:modified>
</cp:coreProperties>
</file>