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DBD" w:rsidP="004F712C" w:rsidRDefault="003B1DBD" w14:paraId="398CC33F" w14:textId="7D5F9091">
      <w:pPr>
        <w:pStyle w:val="Title"/>
        <w:rPr>
          <w:rFonts w:ascii="Palatino Linotype" w:hAnsi="Palatino Linotype"/>
        </w:rPr>
      </w:pPr>
    </w:p>
    <w:p w:rsidR="003B1DBD" w:rsidP="004F712C" w:rsidRDefault="003B1DBD" w14:paraId="682B15E3" w14:textId="77777777">
      <w:pPr>
        <w:pStyle w:val="Title"/>
        <w:rPr>
          <w:rFonts w:ascii="Palatino Linotype" w:hAnsi="Palatino Linotype"/>
        </w:rPr>
      </w:pPr>
    </w:p>
    <w:p w:rsidRPr="00825ECD" w:rsidR="003B1DBD" w:rsidP="004F712C" w:rsidRDefault="003B1DBD" w14:paraId="57F382AD" w14:textId="77777777">
      <w:pPr>
        <w:pStyle w:val="Title"/>
        <w:rPr>
          <w:rFonts w:ascii="Palatino Linotype" w:hAnsi="Palatino Linotype"/>
        </w:rPr>
      </w:pPr>
      <w:bookmarkStart w:name="_Hlk33519256" w:id="0"/>
      <w:r w:rsidRPr="00825ECD">
        <w:rPr>
          <w:rFonts w:ascii="Palatino Linotype" w:hAnsi="Palatino Linotype"/>
        </w:rPr>
        <w:t>PUBLIC UTILITIES COMMISSION OF THE STATE OF CALIFORNIA</w:t>
      </w:r>
      <w:bookmarkStart w:name="_GoBack" w:id="1"/>
      <w:bookmarkEnd w:id="1"/>
    </w:p>
    <w:p w:rsidR="003B1DBD" w:rsidP="004F712C" w:rsidRDefault="003B1DBD" w14:paraId="33E8FF30" w14:textId="77777777">
      <w:pPr>
        <w:rPr>
          <w:rFonts w:ascii="Palatino Linotype" w:hAnsi="Palatino Linotype"/>
        </w:rPr>
      </w:pPr>
    </w:p>
    <w:p w:rsidRPr="00825ECD" w:rsidR="003B1DBD" w:rsidP="004F712C" w:rsidRDefault="003B1DBD" w14:paraId="0C92B433" w14:textId="77777777">
      <w:pPr>
        <w:rPr>
          <w:rFonts w:ascii="Palatino Linotype" w:hAnsi="Palatino Linotype"/>
        </w:rPr>
      </w:pPr>
    </w:p>
    <w:p w:rsidRPr="00825ECD" w:rsidR="003B1DBD" w:rsidP="004F712C" w:rsidRDefault="003B1DBD" w14:paraId="7317C13F" w14:textId="2A59EC62">
      <w:pPr>
        <w:tabs>
          <w:tab w:val="right" w:pos="9360"/>
        </w:tabs>
        <w:rPr>
          <w:rFonts w:ascii="Palatino Linotype" w:hAnsi="Palatino Linotype"/>
          <w:b/>
        </w:rPr>
      </w:pPr>
      <w:r w:rsidRPr="00825ECD">
        <w:rPr>
          <w:rFonts w:ascii="Palatino Linotype" w:hAnsi="Palatino Linotype"/>
          <w:b/>
        </w:rPr>
        <w:t>Communications Division</w:t>
      </w:r>
      <w:r w:rsidRPr="00825ECD">
        <w:rPr>
          <w:rFonts w:ascii="Palatino Linotype" w:hAnsi="Palatino Linotype"/>
          <w:b/>
        </w:rPr>
        <w:tab/>
        <w:t>RESOLUTION T-</w:t>
      </w:r>
      <w:r w:rsidR="00D43673">
        <w:rPr>
          <w:rFonts w:ascii="Palatino Linotype" w:hAnsi="Palatino Linotype"/>
          <w:b/>
        </w:rPr>
        <w:t>17693</w:t>
      </w:r>
    </w:p>
    <w:p w:rsidRPr="00825ECD" w:rsidR="003B1DBD" w:rsidP="004F712C" w:rsidRDefault="00B119D1" w14:paraId="715D7AFB" w14:textId="16678367">
      <w:pPr>
        <w:tabs>
          <w:tab w:val="right" w:pos="9360"/>
        </w:tabs>
        <w:rPr>
          <w:rFonts w:ascii="Palatino Linotype" w:hAnsi="Palatino Linotype"/>
          <w:b/>
        </w:rPr>
      </w:pPr>
      <w:r>
        <w:rPr>
          <w:rFonts w:ascii="Palatino Linotype" w:hAnsi="Palatino Linotype"/>
          <w:b/>
        </w:rPr>
        <w:t xml:space="preserve">Carrier Oversight </w:t>
      </w:r>
      <w:r w:rsidR="007A4CEF">
        <w:rPr>
          <w:rFonts w:ascii="Palatino Linotype" w:hAnsi="Palatino Linotype"/>
          <w:b/>
        </w:rPr>
        <w:t xml:space="preserve">and Programs </w:t>
      </w:r>
      <w:r w:rsidRPr="00825ECD" w:rsidR="003B1DBD">
        <w:rPr>
          <w:rFonts w:ascii="Palatino Linotype" w:hAnsi="Palatino Linotype"/>
          <w:b/>
        </w:rPr>
        <w:tab/>
      </w:r>
      <w:r w:rsidR="001265BA">
        <w:rPr>
          <w:rFonts w:ascii="Palatino Linotype" w:hAnsi="Palatino Linotype"/>
          <w:b/>
        </w:rPr>
        <w:t xml:space="preserve">May </w:t>
      </w:r>
      <w:r w:rsidR="002A6AF1">
        <w:rPr>
          <w:rFonts w:ascii="Palatino Linotype" w:hAnsi="Palatino Linotype"/>
          <w:b/>
        </w:rPr>
        <w:t>28</w:t>
      </w:r>
      <w:r w:rsidRPr="00825ECD" w:rsidR="003B1DBD">
        <w:rPr>
          <w:rFonts w:ascii="Palatino Linotype" w:hAnsi="Palatino Linotype"/>
          <w:b/>
        </w:rPr>
        <w:t>, 20</w:t>
      </w:r>
      <w:r>
        <w:rPr>
          <w:rFonts w:ascii="Palatino Linotype" w:hAnsi="Palatino Linotype"/>
          <w:b/>
        </w:rPr>
        <w:t>20</w:t>
      </w:r>
    </w:p>
    <w:p w:rsidRPr="00825ECD" w:rsidR="003B1DBD" w:rsidP="004F712C" w:rsidRDefault="003B1DBD" w14:paraId="2A43DB02" w14:textId="655DE05D">
      <w:pPr>
        <w:tabs>
          <w:tab w:val="left" w:pos="6210"/>
        </w:tabs>
        <w:rPr>
          <w:rFonts w:ascii="Palatino Linotype" w:hAnsi="Palatino Linotype"/>
          <w:i/>
          <w:sz w:val="20"/>
        </w:rPr>
      </w:pPr>
      <w:r>
        <w:rPr>
          <w:rFonts w:ascii="Palatino Linotype" w:hAnsi="Palatino Linotype"/>
          <w:b/>
        </w:rPr>
        <w:tab/>
      </w:r>
      <w:r w:rsidR="001716EC">
        <w:rPr>
          <w:rFonts w:ascii="Palatino Linotype" w:hAnsi="Palatino Linotype"/>
          <w:b/>
        </w:rPr>
        <w:t xml:space="preserve">  </w:t>
      </w:r>
      <w:r>
        <w:rPr>
          <w:rFonts w:ascii="Palatino Linotype" w:hAnsi="Palatino Linotype"/>
          <w:b/>
        </w:rPr>
        <w:t xml:space="preserve">     </w:t>
      </w:r>
    </w:p>
    <w:p w:rsidRPr="00825ECD" w:rsidR="003B1DBD" w:rsidP="004F712C" w:rsidRDefault="003B1DBD" w14:paraId="08359DE4" w14:textId="77777777">
      <w:pPr>
        <w:tabs>
          <w:tab w:val="right" w:pos="10080"/>
        </w:tabs>
        <w:rPr>
          <w:rFonts w:ascii="Palatino Linotype" w:hAnsi="Palatino Linotype"/>
        </w:rPr>
      </w:pPr>
    </w:p>
    <w:p w:rsidRPr="00A647B5" w:rsidR="003B1DBD" w:rsidP="004F712C" w:rsidRDefault="003B1DBD" w14:paraId="0BF6F638" w14:textId="77777777">
      <w:pPr>
        <w:tabs>
          <w:tab w:val="right" w:pos="10080"/>
        </w:tabs>
        <w:jc w:val="center"/>
        <w:rPr>
          <w:rFonts w:ascii="Palatino Linotype" w:hAnsi="Palatino Linotype"/>
          <w:b/>
          <w:u w:val="single"/>
        </w:rPr>
      </w:pPr>
      <w:r w:rsidRPr="00A647B5">
        <w:rPr>
          <w:rFonts w:ascii="Palatino Linotype" w:hAnsi="Palatino Linotype"/>
          <w:b/>
          <w:u w:val="single"/>
        </w:rPr>
        <w:t>R E S O L U T I O N</w:t>
      </w:r>
    </w:p>
    <w:p w:rsidRPr="00825ECD" w:rsidR="003B1DBD" w:rsidP="004F712C" w:rsidRDefault="003B1DBD" w14:paraId="1C507346" w14:textId="77777777">
      <w:pPr>
        <w:tabs>
          <w:tab w:val="right" w:pos="10080"/>
        </w:tabs>
        <w:jc w:val="center"/>
        <w:rPr>
          <w:rFonts w:ascii="Palatino Linotype" w:hAnsi="Palatino Linotype"/>
          <w:b/>
        </w:rPr>
      </w:pPr>
    </w:p>
    <w:p w:rsidRPr="00825ECD" w:rsidR="003B1DBD" w:rsidP="004F712C" w:rsidRDefault="003B1DBD" w14:paraId="55630F5B" w14:textId="77777777">
      <w:pPr>
        <w:tabs>
          <w:tab w:val="right" w:pos="10080"/>
        </w:tabs>
        <w:rPr>
          <w:rFonts w:ascii="Palatino Linotype" w:hAnsi="Palatino Linotype"/>
        </w:rPr>
      </w:pPr>
    </w:p>
    <w:p w:rsidRPr="00520FD8" w:rsidR="003B1DBD" w:rsidP="004F712C" w:rsidRDefault="003B1DBD" w14:paraId="43BEF1CF" w14:textId="36A86472">
      <w:pPr>
        <w:tabs>
          <w:tab w:val="right" w:pos="10080"/>
        </w:tabs>
        <w:rPr>
          <w:rFonts w:ascii="Palatino Linotype" w:hAnsi="Palatino Linotype"/>
          <w:b/>
        </w:rPr>
      </w:pPr>
      <w:r w:rsidRPr="00520FD8">
        <w:rPr>
          <w:rFonts w:ascii="Palatino Linotype" w:hAnsi="Palatino Linotype"/>
          <w:b/>
        </w:rPr>
        <w:t>RESOLUTION T-</w:t>
      </w:r>
      <w:r w:rsidR="00290749">
        <w:rPr>
          <w:rFonts w:ascii="Palatino Linotype" w:hAnsi="Palatino Linotype"/>
          <w:b/>
        </w:rPr>
        <w:t>17693</w:t>
      </w:r>
      <w:r w:rsidRPr="00520FD8">
        <w:rPr>
          <w:rFonts w:ascii="Palatino Linotype" w:hAnsi="Palatino Linotype"/>
          <w:b/>
        </w:rPr>
        <w:t xml:space="preserve"> </w:t>
      </w:r>
      <w:r w:rsidR="00C92F6B">
        <w:rPr>
          <w:rFonts w:ascii="Palatino Linotype" w:hAnsi="Palatino Linotype"/>
          <w:b/>
        </w:rPr>
        <w:t>– Adopts</w:t>
      </w:r>
      <w:r w:rsidR="00DC19AF">
        <w:rPr>
          <w:rFonts w:ascii="Palatino Linotype" w:hAnsi="Palatino Linotype"/>
          <w:b/>
        </w:rPr>
        <w:t xml:space="preserve"> a</w:t>
      </w:r>
      <w:r w:rsidR="00C92F6B">
        <w:rPr>
          <w:rFonts w:ascii="Palatino Linotype" w:hAnsi="Palatino Linotype"/>
          <w:b/>
        </w:rPr>
        <w:t xml:space="preserve"> streamlined E</w:t>
      </w:r>
      <w:r w:rsidR="007101B7">
        <w:rPr>
          <w:rFonts w:ascii="Palatino Linotype" w:hAnsi="Palatino Linotype"/>
          <w:b/>
        </w:rPr>
        <w:t xml:space="preserve">ligible </w:t>
      </w:r>
      <w:r w:rsidR="00C92F6B">
        <w:rPr>
          <w:rFonts w:ascii="Palatino Linotype" w:hAnsi="Palatino Linotype"/>
          <w:b/>
        </w:rPr>
        <w:t>T</w:t>
      </w:r>
      <w:r w:rsidR="007101B7">
        <w:rPr>
          <w:rFonts w:ascii="Palatino Linotype" w:hAnsi="Palatino Linotype"/>
          <w:b/>
        </w:rPr>
        <w:t>elecommunications Carrier designation</w:t>
      </w:r>
      <w:r w:rsidR="00C92F6B">
        <w:rPr>
          <w:rFonts w:ascii="Palatino Linotype" w:hAnsi="Palatino Linotype"/>
          <w:b/>
        </w:rPr>
        <w:t xml:space="preserve"> process for the F</w:t>
      </w:r>
      <w:r w:rsidR="007101B7">
        <w:rPr>
          <w:rFonts w:ascii="Palatino Linotype" w:hAnsi="Palatino Linotype"/>
          <w:b/>
        </w:rPr>
        <w:t xml:space="preserve">ederal </w:t>
      </w:r>
      <w:r w:rsidR="00C92F6B">
        <w:rPr>
          <w:rFonts w:ascii="Palatino Linotype" w:hAnsi="Palatino Linotype"/>
          <w:b/>
        </w:rPr>
        <w:t>C</w:t>
      </w:r>
      <w:r w:rsidR="007101B7">
        <w:rPr>
          <w:rFonts w:ascii="Palatino Linotype" w:hAnsi="Palatino Linotype"/>
          <w:b/>
        </w:rPr>
        <w:t xml:space="preserve">ommunication </w:t>
      </w:r>
      <w:r w:rsidR="00C92F6B">
        <w:rPr>
          <w:rFonts w:ascii="Palatino Linotype" w:hAnsi="Palatino Linotype"/>
          <w:b/>
        </w:rPr>
        <w:t>C</w:t>
      </w:r>
      <w:r w:rsidR="007101B7">
        <w:rPr>
          <w:rFonts w:ascii="Palatino Linotype" w:hAnsi="Palatino Linotype"/>
          <w:b/>
        </w:rPr>
        <w:t>ommission</w:t>
      </w:r>
      <w:r w:rsidR="00C92F6B">
        <w:rPr>
          <w:rFonts w:ascii="Palatino Linotype" w:hAnsi="Palatino Linotype"/>
          <w:b/>
        </w:rPr>
        <w:t>’s R</w:t>
      </w:r>
      <w:r w:rsidR="007101B7">
        <w:rPr>
          <w:rFonts w:ascii="Palatino Linotype" w:hAnsi="Palatino Linotype"/>
          <w:b/>
        </w:rPr>
        <w:t xml:space="preserve">ural </w:t>
      </w:r>
      <w:r w:rsidR="00C92F6B">
        <w:rPr>
          <w:rFonts w:ascii="Palatino Linotype" w:hAnsi="Palatino Linotype"/>
          <w:b/>
        </w:rPr>
        <w:t>D</w:t>
      </w:r>
      <w:r w:rsidR="007101B7">
        <w:rPr>
          <w:rFonts w:ascii="Palatino Linotype" w:hAnsi="Palatino Linotype"/>
          <w:b/>
        </w:rPr>
        <w:t xml:space="preserve">igital </w:t>
      </w:r>
      <w:r w:rsidR="00C92F6B">
        <w:rPr>
          <w:rFonts w:ascii="Palatino Linotype" w:hAnsi="Palatino Linotype"/>
          <w:b/>
        </w:rPr>
        <w:t>O</w:t>
      </w:r>
      <w:r w:rsidR="007101B7">
        <w:rPr>
          <w:rFonts w:ascii="Palatino Linotype" w:hAnsi="Palatino Linotype"/>
          <w:b/>
        </w:rPr>
        <w:t xml:space="preserve">pportunity </w:t>
      </w:r>
      <w:r w:rsidR="00C92F6B">
        <w:rPr>
          <w:rFonts w:ascii="Palatino Linotype" w:hAnsi="Palatino Linotype"/>
          <w:b/>
        </w:rPr>
        <w:t>F</w:t>
      </w:r>
      <w:r w:rsidR="007101B7">
        <w:rPr>
          <w:rFonts w:ascii="Palatino Linotype" w:hAnsi="Palatino Linotype"/>
          <w:b/>
        </w:rPr>
        <w:t>und</w:t>
      </w:r>
      <w:r w:rsidR="00C92F6B">
        <w:rPr>
          <w:rFonts w:ascii="Palatino Linotype" w:hAnsi="Palatino Linotype"/>
          <w:b/>
        </w:rPr>
        <w:t xml:space="preserve"> recipients</w:t>
      </w:r>
      <w:r w:rsidR="00DB4129">
        <w:rPr>
          <w:rFonts w:ascii="Palatino Linotype" w:hAnsi="Palatino Linotype"/>
          <w:b/>
        </w:rPr>
        <w:t>,</w:t>
      </w:r>
      <w:r w:rsidR="00C92F6B">
        <w:rPr>
          <w:rFonts w:ascii="Palatino Linotype" w:hAnsi="Palatino Linotype"/>
          <w:b/>
        </w:rPr>
        <w:t xml:space="preserve"> </w:t>
      </w:r>
      <w:r w:rsidR="007C7CAA">
        <w:rPr>
          <w:rFonts w:ascii="Palatino Linotype" w:hAnsi="Palatino Linotype"/>
          <w:b/>
        </w:rPr>
        <w:t>with approved operating authority in California</w:t>
      </w:r>
      <w:r w:rsidR="0053201C">
        <w:rPr>
          <w:rFonts w:ascii="Palatino Linotype" w:hAnsi="Palatino Linotype"/>
          <w:b/>
        </w:rPr>
        <w:t xml:space="preserve"> only</w:t>
      </w:r>
      <w:r w:rsidR="00C92F6B">
        <w:rPr>
          <w:rFonts w:ascii="Palatino Linotype" w:hAnsi="Palatino Linotype"/>
          <w:b/>
        </w:rPr>
        <w:t xml:space="preserve">. </w:t>
      </w:r>
    </w:p>
    <w:p w:rsidRPr="00825ECD" w:rsidR="003B1DBD" w:rsidP="004F712C" w:rsidRDefault="003B1DBD" w14:paraId="0F4F629A" w14:textId="77777777">
      <w:pPr>
        <w:tabs>
          <w:tab w:val="right" w:pos="10080"/>
        </w:tabs>
        <w:rPr>
          <w:rFonts w:ascii="Palatino Linotype" w:hAnsi="Palatino Linotype"/>
        </w:rPr>
      </w:pPr>
    </w:p>
    <w:p w:rsidRPr="00825ECD" w:rsidR="003B1DBD" w:rsidP="004F712C" w:rsidRDefault="003B1DBD" w14:paraId="73865D99" w14:textId="77777777">
      <w:pPr>
        <w:rPr>
          <w:rFonts w:ascii="Palatino Linotype" w:hAnsi="Palatino Linotype"/>
          <w:b/>
          <w:u w:val="single"/>
        </w:rPr>
      </w:pPr>
    </w:p>
    <w:p w:rsidR="003B1DBD" w:rsidP="004F712C" w:rsidRDefault="003B1DBD" w14:paraId="04C1A481" w14:textId="64B29DF1">
      <w:pPr>
        <w:rPr>
          <w:rFonts w:ascii="Palatino Linotype" w:hAnsi="Palatino Linotype"/>
          <w:b/>
          <w:u w:val="single"/>
        </w:rPr>
      </w:pPr>
      <w:r w:rsidRPr="00520FD8">
        <w:rPr>
          <w:rFonts w:ascii="Palatino Linotype" w:hAnsi="Palatino Linotype"/>
          <w:b/>
          <w:u w:val="single"/>
        </w:rPr>
        <w:t>SUMMARY</w:t>
      </w:r>
      <w:r w:rsidR="00F32526">
        <w:rPr>
          <w:rFonts w:ascii="Palatino Linotype" w:hAnsi="Palatino Linotype"/>
          <w:b/>
          <w:u w:val="single"/>
        </w:rPr>
        <w:t xml:space="preserve"> </w:t>
      </w:r>
    </w:p>
    <w:p w:rsidRPr="00520FD8" w:rsidR="00F32526" w:rsidP="004F712C" w:rsidRDefault="00F32526" w14:paraId="336219A4" w14:textId="77777777">
      <w:pPr>
        <w:rPr>
          <w:rFonts w:ascii="Palatino Linotype" w:hAnsi="Palatino Linotype"/>
          <w:b/>
          <w:u w:val="single"/>
        </w:rPr>
      </w:pPr>
    </w:p>
    <w:p w:rsidR="00F57024" w:rsidP="004F712C" w:rsidRDefault="00F57024" w14:paraId="3A7825A7" w14:textId="0B10775C">
      <w:pPr>
        <w:rPr>
          <w:rFonts w:ascii="Palatino Linotype" w:hAnsi="Palatino Linotype"/>
        </w:rPr>
      </w:pPr>
      <w:r>
        <w:rPr>
          <w:rFonts w:ascii="Palatino Linotype" w:hAnsi="Palatino Linotype"/>
        </w:rPr>
        <w:t>On January 30, 2020, the F</w:t>
      </w:r>
      <w:r w:rsidR="00DC19AF">
        <w:rPr>
          <w:rFonts w:ascii="Palatino Linotype" w:hAnsi="Palatino Linotype"/>
        </w:rPr>
        <w:t xml:space="preserve">ederal </w:t>
      </w:r>
      <w:r>
        <w:rPr>
          <w:rFonts w:ascii="Palatino Linotype" w:hAnsi="Palatino Linotype"/>
        </w:rPr>
        <w:t>C</w:t>
      </w:r>
      <w:r w:rsidR="00DC19AF">
        <w:rPr>
          <w:rFonts w:ascii="Palatino Linotype" w:hAnsi="Palatino Linotype"/>
        </w:rPr>
        <w:t xml:space="preserve">ommunications </w:t>
      </w:r>
      <w:r>
        <w:rPr>
          <w:rFonts w:ascii="Palatino Linotype" w:hAnsi="Palatino Linotype"/>
        </w:rPr>
        <w:t>C</w:t>
      </w:r>
      <w:r w:rsidR="00DC19AF">
        <w:rPr>
          <w:rFonts w:ascii="Palatino Linotype" w:hAnsi="Palatino Linotype"/>
        </w:rPr>
        <w:t>ommission (FCC)</w:t>
      </w:r>
      <w:r>
        <w:rPr>
          <w:rFonts w:ascii="Palatino Linotype" w:hAnsi="Palatino Linotype"/>
        </w:rPr>
        <w:t xml:space="preserve"> created the R</w:t>
      </w:r>
      <w:r w:rsidR="00213E4A">
        <w:rPr>
          <w:rFonts w:ascii="Palatino Linotype" w:hAnsi="Palatino Linotype"/>
        </w:rPr>
        <w:t xml:space="preserve">ural </w:t>
      </w:r>
      <w:r>
        <w:rPr>
          <w:rFonts w:ascii="Palatino Linotype" w:hAnsi="Palatino Linotype"/>
        </w:rPr>
        <w:t>D</w:t>
      </w:r>
      <w:r w:rsidR="00213E4A">
        <w:rPr>
          <w:rFonts w:ascii="Palatino Linotype" w:hAnsi="Palatino Linotype"/>
        </w:rPr>
        <w:t xml:space="preserve">igital </w:t>
      </w:r>
      <w:r>
        <w:rPr>
          <w:rFonts w:ascii="Palatino Linotype" w:hAnsi="Palatino Linotype"/>
        </w:rPr>
        <w:t>O</w:t>
      </w:r>
      <w:r w:rsidR="00213E4A">
        <w:rPr>
          <w:rFonts w:ascii="Palatino Linotype" w:hAnsi="Palatino Linotype"/>
        </w:rPr>
        <w:t xml:space="preserve">pportunity </w:t>
      </w:r>
      <w:r>
        <w:rPr>
          <w:rFonts w:ascii="Palatino Linotype" w:hAnsi="Palatino Linotype"/>
        </w:rPr>
        <w:t>F</w:t>
      </w:r>
      <w:r w:rsidR="00213E4A">
        <w:rPr>
          <w:rFonts w:ascii="Palatino Linotype" w:hAnsi="Palatino Linotype"/>
        </w:rPr>
        <w:t>und (RDOF)</w:t>
      </w:r>
      <w:r w:rsidR="00DF0AAA">
        <w:rPr>
          <w:rFonts w:ascii="Palatino Linotype" w:hAnsi="Palatino Linotype"/>
        </w:rPr>
        <w:t>,</w:t>
      </w:r>
      <w:r>
        <w:rPr>
          <w:rFonts w:ascii="Palatino Linotype" w:hAnsi="Palatino Linotype"/>
        </w:rPr>
        <w:t xml:space="preserve"> which will provide</w:t>
      </w:r>
      <w:r w:rsidR="00CC1415">
        <w:rPr>
          <w:rFonts w:ascii="Palatino Linotype" w:hAnsi="Palatino Linotype"/>
        </w:rPr>
        <w:t xml:space="preserve"> up to</w:t>
      </w:r>
      <w:r>
        <w:rPr>
          <w:rFonts w:ascii="Palatino Linotype" w:hAnsi="Palatino Linotype"/>
        </w:rPr>
        <w:t xml:space="preserve"> $20.4 billion</w:t>
      </w:r>
      <w:r w:rsidR="00DB4129">
        <w:rPr>
          <w:rFonts w:ascii="Palatino Linotype" w:hAnsi="Palatino Linotype"/>
        </w:rPr>
        <w:t xml:space="preserve"> in funding</w:t>
      </w:r>
      <w:r w:rsidR="00CC1415">
        <w:rPr>
          <w:rFonts w:ascii="Palatino Linotype" w:hAnsi="Palatino Linotype"/>
        </w:rPr>
        <w:t xml:space="preserve"> over the next 10</w:t>
      </w:r>
      <w:r w:rsidR="00DB4129">
        <w:rPr>
          <w:rFonts w:ascii="Palatino Linotype" w:hAnsi="Palatino Linotype"/>
        </w:rPr>
        <w:t xml:space="preserve"> </w:t>
      </w:r>
      <w:r w:rsidR="00CC1415">
        <w:rPr>
          <w:rFonts w:ascii="Palatino Linotype" w:hAnsi="Palatino Linotype"/>
        </w:rPr>
        <w:t>years</w:t>
      </w:r>
      <w:r>
        <w:rPr>
          <w:rFonts w:ascii="Palatino Linotype" w:hAnsi="Palatino Linotype"/>
        </w:rPr>
        <w:t xml:space="preserve"> to increase broadband infrastructure to rural areas.  All RDOF recipients are required to obtain </w:t>
      </w:r>
      <w:r w:rsidR="00F84328">
        <w:rPr>
          <w:rFonts w:ascii="Palatino Linotype" w:hAnsi="Palatino Linotype"/>
        </w:rPr>
        <w:t>Eligible Telecommunications Carrier (</w:t>
      </w:r>
      <w:r>
        <w:rPr>
          <w:rFonts w:ascii="Palatino Linotype" w:hAnsi="Palatino Linotype"/>
        </w:rPr>
        <w:t>ETC</w:t>
      </w:r>
      <w:r w:rsidR="00F84328">
        <w:rPr>
          <w:rFonts w:ascii="Palatino Linotype" w:hAnsi="Palatino Linotype"/>
        </w:rPr>
        <w:t>)</w:t>
      </w:r>
      <w:r>
        <w:rPr>
          <w:rFonts w:ascii="Palatino Linotype" w:hAnsi="Palatino Linotype"/>
        </w:rPr>
        <w:t xml:space="preserve"> designation</w:t>
      </w:r>
      <w:r w:rsidR="00213E4A">
        <w:rPr>
          <w:rFonts w:ascii="Palatino Linotype" w:hAnsi="Palatino Linotype"/>
        </w:rPr>
        <w:t xml:space="preserve"> within </w:t>
      </w:r>
      <w:r w:rsidR="00CC1415">
        <w:rPr>
          <w:rFonts w:ascii="Palatino Linotype" w:hAnsi="Palatino Linotype"/>
        </w:rPr>
        <w:t>180</w:t>
      </w:r>
      <w:r w:rsidR="00301A83">
        <w:rPr>
          <w:rFonts w:ascii="Palatino Linotype" w:hAnsi="Palatino Linotype"/>
        </w:rPr>
        <w:t xml:space="preserve"> </w:t>
      </w:r>
      <w:r w:rsidR="00CC1415">
        <w:rPr>
          <w:rFonts w:ascii="Palatino Linotype" w:hAnsi="Palatino Linotype"/>
        </w:rPr>
        <w:t>days after the FCC identifies</w:t>
      </w:r>
      <w:r w:rsidR="000E5884">
        <w:rPr>
          <w:rFonts w:ascii="Palatino Linotype" w:hAnsi="Palatino Linotype"/>
        </w:rPr>
        <w:t>,</w:t>
      </w:r>
      <w:r w:rsidR="00CC1415">
        <w:rPr>
          <w:rFonts w:ascii="Palatino Linotype" w:hAnsi="Palatino Linotype"/>
        </w:rPr>
        <w:t xml:space="preserve"> </w:t>
      </w:r>
      <w:r w:rsidR="000E5884">
        <w:rPr>
          <w:rFonts w:ascii="Palatino Linotype" w:hAnsi="Palatino Linotype"/>
        </w:rPr>
        <w:t xml:space="preserve">by public notice, </w:t>
      </w:r>
      <w:r w:rsidR="00CC1415">
        <w:rPr>
          <w:rFonts w:ascii="Palatino Linotype" w:hAnsi="Palatino Linotype"/>
        </w:rPr>
        <w:t>the winning bidders</w:t>
      </w:r>
      <w:r w:rsidR="00213E4A">
        <w:rPr>
          <w:rFonts w:ascii="Palatino Linotype" w:hAnsi="Palatino Linotype"/>
        </w:rPr>
        <w:t>,</w:t>
      </w:r>
      <w:r>
        <w:rPr>
          <w:rFonts w:ascii="Palatino Linotype" w:hAnsi="Palatino Linotype"/>
        </w:rPr>
        <w:t xml:space="preserve"> for the service areas </w:t>
      </w:r>
      <w:r w:rsidR="00DB4129">
        <w:rPr>
          <w:rFonts w:ascii="Palatino Linotype" w:hAnsi="Palatino Linotype"/>
        </w:rPr>
        <w:t xml:space="preserve">in </w:t>
      </w:r>
      <w:r>
        <w:rPr>
          <w:rFonts w:ascii="Palatino Linotype" w:hAnsi="Palatino Linotype"/>
        </w:rPr>
        <w:t xml:space="preserve">which they </w:t>
      </w:r>
      <w:r w:rsidR="00213E4A">
        <w:rPr>
          <w:rFonts w:ascii="Palatino Linotype" w:hAnsi="Palatino Linotype"/>
        </w:rPr>
        <w:t>are identified as the winning bidders</w:t>
      </w:r>
      <w:r>
        <w:rPr>
          <w:rFonts w:ascii="Palatino Linotype" w:hAnsi="Palatino Linotype"/>
        </w:rPr>
        <w:t xml:space="preserve">.  </w:t>
      </w:r>
    </w:p>
    <w:p w:rsidR="00F57024" w:rsidP="004F712C" w:rsidRDefault="00F57024" w14:paraId="09F636DA" w14:textId="77777777">
      <w:pPr>
        <w:rPr>
          <w:rFonts w:ascii="Palatino Linotype" w:hAnsi="Palatino Linotype"/>
        </w:rPr>
      </w:pPr>
    </w:p>
    <w:p w:rsidR="0084679D" w:rsidP="0084679D" w:rsidRDefault="005F4266" w14:paraId="4E4BCE95" w14:textId="2DC0658B">
      <w:pPr>
        <w:rPr>
          <w:rFonts w:ascii="Palatino Linotype" w:hAnsi="Palatino Linotype"/>
        </w:rPr>
      </w:pPr>
      <w:r>
        <w:rPr>
          <w:rFonts w:ascii="Palatino Linotype" w:hAnsi="Palatino Linotype"/>
        </w:rPr>
        <w:t>T</w:t>
      </w:r>
      <w:r w:rsidRPr="00974848">
        <w:rPr>
          <w:rFonts w:ascii="Palatino Linotype" w:hAnsi="Palatino Linotype"/>
        </w:rPr>
        <w:t>his Resolution</w:t>
      </w:r>
      <w:r w:rsidR="00802C60">
        <w:rPr>
          <w:rFonts w:ascii="Palatino Linotype" w:hAnsi="Palatino Linotype"/>
        </w:rPr>
        <w:t xml:space="preserve"> adopts a</w:t>
      </w:r>
      <w:r>
        <w:rPr>
          <w:rFonts w:ascii="Palatino Linotype" w:hAnsi="Palatino Linotype"/>
        </w:rPr>
        <w:t xml:space="preserve"> streamline</w:t>
      </w:r>
      <w:r w:rsidR="00802C60">
        <w:rPr>
          <w:rFonts w:ascii="Palatino Linotype" w:hAnsi="Palatino Linotype"/>
        </w:rPr>
        <w:t>d</w:t>
      </w:r>
      <w:r>
        <w:rPr>
          <w:rFonts w:ascii="Palatino Linotype" w:hAnsi="Palatino Linotype"/>
        </w:rPr>
        <w:t xml:space="preserve"> ETC process specifically for recipients of the FCC’s RDOF program</w:t>
      </w:r>
      <w:r w:rsidR="00EB4A85">
        <w:rPr>
          <w:rFonts w:ascii="Palatino Linotype" w:hAnsi="Palatino Linotype"/>
        </w:rPr>
        <w:t xml:space="preserve"> by</w:t>
      </w:r>
      <w:r w:rsidR="00E27028">
        <w:rPr>
          <w:rFonts w:ascii="Palatino Linotype" w:hAnsi="Palatino Linotype"/>
        </w:rPr>
        <w:t xml:space="preserve"> requiring a two-stage application process consistent with the FCC’s short and long-form application processes.</w:t>
      </w:r>
      <w:r w:rsidR="00EB4A85">
        <w:rPr>
          <w:rFonts w:ascii="Palatino Linotype" w:hAnsi="Palatino Linotype"/>
        </w:rPr>
        <w:t xml:space="preserve"> </w:t>
      </w:r>
      <w:r w:rsidR="00E27028">
        <w:rPr>
          <w:rFonts w:ascii="Palatino Linotype" w:hAnsi="Palatino Linotype"/>
        </w:rPr>
        <w:t xml:space="preserve"> This process is applicable </w:t>
      </w:r>
      <w:r w:rsidR="000E5884">
        <w:rPr>
          <w:rFonts w:ascii="Palatino Linotype" w:hAnsi="Palatino Linotype"/>
        </w:rPr>
        <w:t xml:space="preserve">only </w:t>
      </w:r>
      <w:r w:rsidR="00E27028">
        <w:rPr>
          <w:rFonts w:ascii="Palatino Linotype" w:hAnsi="Palatino Linotype"/>
        </w:rPr>
        <w:t>to</w:t>
      </w:r>
      <w:r w:rsidR="001302E7">
        <w:rPr>
          <w:rFonts w:ascii="Palatino Linotype" w:hAnsi="Palatino Linotype"/>
        </w:rPr>
        <w:t xml:space="preserve"> </w:t>
      </w:r>
      <w:r w:rsidR="00E27028">
        <w:rPr>
          <w:rFonts w:ascii="Palatino Linotype" w:hAnsi="Palatino Linotype"/>
        </w:rPr>
        <w:t>bidders with existing operating authority in California</w:t>
      </w:r>
      <w:r w:rsidR="00DB4129">
        <w:rPr>
          <w:rFonts w:ascii="Palatino Linotype" w:hAnsi="Palatino Linotype"/>
        </w:rPr>
        <w:t>.</w:t>
      </w:r>
      <w:r w:rsidR="00E27028">
        <w:rPr>
          <w:rStyle w:val="FootnoteReference"/>
          <w:rFonts w:ascii="Palatino Linotype" w:hAnsi="Palatino Linotype"/>
        </w:rPr>
        <w:footnoteReference w:id="1"/>
      </w:r>
      <w:r w:rsidR="00E27028">
        <w:rPr>
          <w:rFonts w:ascii="Palatino Linotype" w:hAnsi="Palatino Linotype"/>
        </w:rPr>
        <w:t xml:space="preserve">  </w:t>
      </w:r>
      <w:r>
        <w:rPr>
          <w:rFonts w:ascii="Palatino Linotype" w:hAnsi="Palatino Linotype"/>
        </w:rPr>
        <w:t xml:space="preserve">Service providers must </w:t>
      </w:r>
      <w:r w:rsidR="00DB4129">
        <w:rPr>
          <w:rFonts w:ascii="Palatino Linotype" w:hAnsi="Palatino Linotype"/>
        </w:rPr>
        <w:t>comply with</w:t>
      </w:r>
      <w:r>
        <w:rPr>
          <w:rFonts w:ascii="Palatino Linotype" w:hAnsi="Palatino Linotype"/>
        </w:rPr>
        <w:t xml:space="preserve"> ETC rules and regulations</w:t>
      </w:r>
      <w:r w:rsidR="0053201C">
        <w:rPr>
          <w:rFonts w:ascii="Palatino Linotype" w:hAnsi="Palatino Linotype"/>
        </w:rPr>
        <w:t xml:space="preserve"> </w:t>
      </w:r>
      <w:r>
        <w:rPr>
          <w:rFonts w:ascii="Palatino Linotype" w:hAnsi="Palatino Linotype"/>
        </w:rPr>
        <w:t xml:space="preserve">and are obligated to </w:t>
      </w:r>
      <w:r w:rsidR="000E5884">
        <w:rPr>
          <w:rFonts w:ascii="Palatino Linotype" w:hAnsi="Palatino Linotype"/>
        </w:rPr>
        <w:t xml:space="preserve">offer </w:t>
      </w:r>
      <w:r>
        <w:rPr>
          <w:rFonts w:ascii="Palatino Linotype" w:hAnsi="Palatino Linotype"/>
        </w:rPr>
        <w:t xml:space="preserve">all the services </w:t>
      </w:r>
      <w:r w:rsidR="000E5884">
        <w:rPr>
          <w:rFonts w:ascii="Palatino Linotype" w:hAnsi="Palatino Linotype"/>
        </w:rPr>
        <w:t xml:space="preserve">designated </w:t>
      </w:r>
      <w:r>
        <w:rPr>
          <w:rFonts w:ascii="Palatino Linotype" w:hAnsi="Palatino Linotype"/>
        </w:rPr>
        <w:t>for federal universal service support in the service areas for which they receive federal RDOF funding.</w:t>
      </w:r>
      <w:r w:rsidR="00B95F29">
        <w:rPr>
          <w:rFonts w:ascii="Palatino Linotype" w:hAnsi="Palatino Linotype"/>
        </w:rPr>
        <w:t xml:space="preserve">  ETC designation is </w:t>
      </w:r>
      <w:r w:rsidR="000F2DFF">
        <w:rPr>
          <w:rFonts w:ascii="Palatino Linotype" w:hAnsi="Palatino Linotype"/>
        </w:rPr>
        <w:t xml:space="preserve">limited to the RDOF awarded eligible service areas only.  </w:t>
      </w:r>
    </w:p>
    <w:p w:rsidR="00ED674F" w:rsidRDefault="00ED674F" w14:paraId="6AFA432D" w14:textId="36D4B93D">
      <w:pPr>
        <w:rPr>
          <w:rFonts w:ascii="Palatino Linotype" w:hAnsi="Palatino Linotype"/>
          <w:b/>
          <w:u w:val="single"/>
        </w:rPr>
      </w:pPr>
      <w:r>
        <w:rPr>
          <w:rFonts w:ascii="Palatino Linotype" w:hAnsi="Palatino Linotype"/>
          <w:b/>
          <w:u w:val="single"/>
        </w:rPr>
        <w:br w:type="page"/>
      </w:r>
    </w:p>
    <w:p w:rsidR="00F32526" w:rsidP="00B43820" w:rsidRDefault="003B1DBD" w14:paraId="715E148A" w14:textId="4F2574AF">
      <w:pPr>
        <w:keepNext/>
        <w:widowControl w:val="0"/>
        <w:rPr>
          <w:rFonts w:ascii="Palatino Linotype" w:hAnsi="Palatino Linotype"/>
          <w:b/>
          <w:u w:val="single"/>
        </w:rPr>
      </w:pPr>
      <w:r w:rsidRPr="00520FD8">
        <w:rPr>
          <w:rFonts w:ascii="Palatino Linotype" w:hAnsi="Palatino Linotype"/>
          <w:b/>
          <w:u w:val="single"/>
        </w:rPr>
        <w:lastRenderedPageBreak/>
        <w:t>BACKGROUND</w:t>
      </w:r>
    </w:p>
    <w:p w:rsidRPr="004F712C" w:rsidR="00213E4A" w:rsidP="00B43820" w:rsidRDefault="004F712C" w14:paraId="59044AAA" w14:textId="4904579E">
      <w:pPr>
        <w:keepNext/>
        <w:widowControl w:val="0"/>
        <w:rPr>
          <w:rFonts w:ascii="Palatino Linotype" w:hAnsi="Palatino Linotype"/>
        </w:rPr>
      </w:pPr>
      <w:r>
        <w:rPr>
          <w:rFonts w:ascii="Palatino Linotype" w:hAnsi="Palatino Linotype"/>
          <w:b/>
          <w:u w:val="single"/>
        </w:rPr>
        <w:br/>
      </w:r>
      <w:r w:rsidR="00213E4A">
        <w:rPr>
          <w:rFonts w:ascii="Palatino Linotype" w:hAnsi="Palatino Linotype"/>
        </w:rPr>
        <w:t xml:space="preserve">On </w:t>
      </w:r>
      <w:r w:rsidR="00B92384">
        <w:rPr>
          <w:rFonts w:ascii="Palatino Linotype" w:hAnsi="Palatino Linotype"/>
        </w:rPr>
        <w:t xml:space="preserve">May 25, 2016, </w:t>
      </w:r>
      <w:r w:rsidR="00213E4A">
        <w:rPr>
          <w:rFonts w:ascii="Palatino Linotype" w:hAnsi="Palatino Linotype"/>
        </w:rPr>
        <w:t>the</w:t>
      </w:r>
      <w:r w:rsidR="007A4CEF">
        <w:rPr>
          <w:rFonts w:ascii="Palatino Linotype" w:hAnsi="Palatino Linotype"/>
        </w:rPr>
        <w:t xml:space="preserve"> FCC</w:t>
      </w:r>
      <w:r w:rsidR="00213E4A">
        <w:rPr>
          <w:rFonts w:ascii="Palatino Linotype" w:hAnsi="Palatino Linotype"/>
        </w:rPr>
        <w:t xml:space="preserve"> </w:t>
      </w:r>
      <w:r w:rsidR="00B92384">
        <w:rPr>
          <w:rFonts w:ascii="Palatino Linotype" w:hAnsi="Palatino Linotype"/>
        </w:rPr>
        <w:t xml:space="preserve">implemented a competitive bidding process </w:t>
      </w:r>
      <w:r w:rsidR="007A4CEF">
        <w:rPr>
          <w:rFonts w:ascii="Palatino Linotype" w:hAnsi="Palatino Linotype"/>
        </w:rPr>
        <w:t>for</w:t>
      </w:r>
      <w:r w:rsidR="00B92384">
        <w:rPr>
          <w:rFonts w:ascii="Palatino Linotype" w:hAnsi="Palatino Linotype"/>
        </w:rPr>
        <w:t xml:space="preserve"> the Connect</w:t>
      </w:r>
      <w:r>
        <w:rPr>
          <w:rFonts w:ascii="Palatino Linotype" w:hAnsi="Palatino Linotype"/>
        </w:rPr>
        <w:t xml:space="preserve"> </w:t>
      </w:r>
      <w:r w:rsidR="00B92384">
        <w:rPr>
          <w:rFonts w:ascii="Palatino Linotype" w:hAnsi="Palatino Linotype"/>
        </w:rPr>
        <w:t xml:space="preserve">America </w:t>
      </w:r>
      <w:r w:rsidR="00DB4129">
        <w:rPr>
          <w:rFonts w:ascii="Palatino Linotype" w:hAnsi="Palatino Linotype"/>
        </w:rPr>
        <w:t xml:space="preserve">Fund (CAF) </w:t>
      </w:r>
      <w:r w:rsidR="00B92384">
        <w:rPr>
          <w:rFonts w:ascii="Palatino Linotype" w:hAnsi="Palatino Linotype"/>
        </w:rPr>
        <w:t xml:space="preserve">Phase II </w:t>
      </w:r>
      <w:r w:rsidR="001D5E7D">
        <w:rPr>
          <w:rFonts w:ascii="Palatino Linotype" w:hAnsi="Palatino Linotype"/>
        </w:rPr>
        <w:t>A</w:t>
      </w:r>
      <w:r w:rsidR="00B92384">
        <w:rPr>
          <w:rFonts w:ascii="Palatino Linotype" w:hAnsi="Palatino Linotype"/>
        </w:rPr>
        <w:t>uction</w:t>
      </w:r>
      <w:r w:rsidR="001D5E7D">
        <w:rPr>
          <w:rFonts w:ascii="Palatino Linotype" w:hAnsi="Palatino Linotype"/>
        </w:rPr>
        <w:t xml:space="preserve"> 903</w:t>
      </w:r>
      <w:r w:rsidR="00B92384">
        <w:rPr>
          <w:rFonts w:ascii="Palatino Linotype" w:hAnsi="Palatino Linotype"/>
        </w:rPr>
        <w:t xml:space="preserve">.  </w:t>
      </w:r>
      <w:r w:rsidR="00355F42">
        <w:rPr>
          <w:rFonts w:ascii="Palatino Linotype" w:hAnsi="Palatino Linotype"/>
        </w:rPr>
        <w:t>In th</w:t>
      </w:r>
      <w:r w:rsidR="00DB4129">
        <w:rPr>
          <w:rFonts w:ascii="Palatino Linotype" w:hAnsi="Palatino Linotype"/>
        </w:rPr>
        <w:t>is</w:t>
      </w:r>
      <w:r w:rsidR="00355F42">
        <w:rPr>
          <w:rFonts w:ascii="Palatino Linotype" w:hAnsi="Palatino Linotype"/>
        </w:rPr>
        <w:t xml:space="preserve"> May 2016 </w:t>
      </w:r>
      <w:r w:rsidRPr="004C75F9" w:rsidR="00355F42">
        <w:rPr>
          <w:rFonts w:ascii="Palatino Linotype" w:hAnsi="Palatino Linotype"/>
          <w:i/>
        </w:rPr>
        <w:t>Order</w:t>
      </w:r>
      <w:r w:rsidR="00DB4129">
        <w:rPr>
          <w:rFonts w:ascii="Palatino Linotype" w:hAnsi="Palatino Linotype"/>
        </w:rPr>
        <w:t>,</w:t>
      </w:r>
      <w:r w:rsidR="00355F42">
        <w:rPr>
          <w:rStyle w:val="FootnoteReference"/>
          <w:rFonts w:ascii="Palatino Linotype" w:hAnsi="Palatino Linotype"/>
        </w:rPr>
        <w:footnoteReference w:id="2"/>
      </w:r>
      <w:r w:rsidR="00355F42">
        <w:rPr>
          <w:rFonts w:ascii="Palatino Linotype" w:hAnsi="Palatino Linotype"/>
        </w:rPr>
        <w:t xml:space="preserve"> the FCC adopted, among other things, a minimum performance tier of 10</w:t>
      </w:r>
      <w:r w:rsidR="00DB4129">
        <w:rPr>
          <w:rFonts w:ascii="Palatino Linotype" w:hAnsi="Palatino Linotype"/>
        </w:rPr>
        <w:t xml:space="preserve"> megabits per second (Mbps) downstream </w:t>
      </w:r>
      <w:r w:rsidR="00355F42">
        <w:rPr>
          <w:rFonts w:ascii="Palatino Linotype" w:hAnsi="Palatino Linotype"/>
        </w:rPr>
        <w:t xml:space="preserve">/1 Mbps </w:t>
      </w:r>
      <w:r w:rsidR="00DB4129">
        <w:rPr>
          <w:rFonts w:ascii="Palatino Linotype" w:hAnsi="Palatino Linotype"/>
        </w:rPr>
        <w:t xml:space="preserve">upstream </w:t>
      </w:r>
      <w:r w:rsidR="00355F42">
        <w:rPr>
          <w:rFonts w:ascii="Palatino Linotype" w:hAnsi="Palatino Linotype"/>
        </w:rPr>
        <w:t xml:space="preserve">with 150 GB of monthly usage, </w:t>
      </w:r>
      <w:r w:rsidR="00DB4129">
        <w:rPr>
          <w:rFonts w:ascii="Palatino Linotype" w:hAnsi="Palatino Linotype"/>
        </w:rPr>
        <w:t xml:space="preserve">and </w:t>
      </w:r>
      <w:r w:rsidR="00355F42">
        <w:rPr>
          <w:rFonts w:ascii="Palatino Linotype" w:hAnsi="Palatino Linotype"/>
        </w:rPr>
        <w:t>an annual budget of $215 million of support over 10 years</w:t>
      </w:r>
      <w:r w:rsidR="000E5884">
        <w:rPr>
          <w:rFonts w:ascii="Palatino Linotype" w:hAnsi="Palatino Linotype"/>
        </w:rPr>
        <w:t>.  The FCC Order also</w:t>
      </w:r>
      <w:r w:rsidR="00355F42">
        <w:rPr>
          <w:rFonts w:ascii="Palatino Linotype" w:hAnsi="Palatino Linotype"/>
        </w:rPr>
        <w:t xml:space="preserve"> </w:t>
      </w:r>
      <w:r w:rsidR="00677E59">
        <w:rPr>
          <w:rFonts w:ascii="Palatino Linotype" w:hAnsi="Palatino Linotype"/>
        </w:rPr>
        <w:t>requir</w:t>
      </w:r>
      <w:r w:rsidR="000E5884">
        <w:rPr>
          <w:rFonts w:ascii="Palatino Linotype" w:hAnsi="Palatino Linotype"/>
        </w:rPr>
        <w:t>es</w:t>
      </w:r>
      <w:r w:rsidR="00677E59">
        <w:rPr>
          <w:rFonts w:ascii="Palatino Linotype" w:hAnsi="Palatino Linotype"/>
        </w:rPr>
        <w:t xml:space="preserve"> winning bidders to offer broadband and voice service to all eligible </w:t>
      </w:r>
      <w:r w:rsidR="00277693">
        <w:rPr>
          <w:rFonts w:ascii="Palatino Linotype" w:hAnsi="Palatino Linotype"/>
        </w:rPr>
        <w:t>homes and small business in the service area</w:t>
      </w:r>
      <w:r w:rsidR="00B22984">
        <w:rPr>
          <w:rFonts w:ascii="Palatino Linotype" w:hAnsi="Palatino Linotype"/>
        </w:rPr>
        <w:t>,</w:t>
      </w:r>
      <w:r w:rsidR="00355F42">
        <w:rPr>
          <w:rFonts w:ascii="Palatino Linotype" w:hAnsi="Palatino Linotype"/>
        </w:rPr>
        <w:t xml:space="preserve"> </w:t>
      </w:r>
      <w:r w:rsidR="000E5884">
        <w:rPr>
          <w:rFonts w:ascii="Palatino Linotype" w:hAnsi="Palatino Linotype"/>
        </w:rPr>
        <w:t xml:space="preserve">and establishes </w:t>
      </w:r>
      <w:r w:rsidR="00355F42">
        <w:rPr>
          <w:rFonts w:ascii="Palatino Linotype" w:hAnsi="Palatino Linotype"/>
        </w:rPr>
        <w:t>a two-step application process</w:t>
      </w:r>
      <w:r w:rsidR="000E5884">
        <w:rPr>
          <w:rFonts w:ascii="Palatino Linotype" w:hAnsi="Palatino Linotype"/>
        </w:rPr>
        <w:t>,</w:t>
      </w:r>
      <w:r w:rsidR="00355F42">
        <w:rPr>
          <w:rFonts w:ascii="Palatino Linotype" w:hAnsi="Palatino Linotype"/>
        </w:rPr>
        <w:t xml:space="preserve"> </w:t>
      </w:r>
      <w:r w:rsidR="00277693">
        <w:rPr>
          <w:rFonts w:ascii="Palatino Linotype" w:hAnsi="Palatino Linotype"/>
        </w:rPr>
        <w:t>service milestones</w:t>
      </w:r>
      <w:r w:rsidR="000E5884">
        <w:rPr>
          <w:rFonts w:ascii="Palatino Linotype" w:hAnsi="Palatino Linotype"/>
        </w:rPr>
        <w:t>,</w:t>
      </w:r>
      <w:r w:rsidR="00277693">
        <w:rPr>
          <w:rFonts w:ascii="Palatino Linotype" w:hAnsi="Palatino Linotype"/>
        </w:rPr>
        <w:t xml:space="preserve"> performance standards</w:t>
      </w:r>
      <w:r w:rsidR="000E5884">
        <w:rPr>
          <w:rFonts w:ascii="Palatino Linotype" w:hAnsi="Palatino Linotype"/>
        </w:rPr>
        <w:t>,</w:t>
      </w:r>
      <w:r w:rsidR="00277693">
        <w:rPr>
          <w:rFonts w:ascii="Palatino Linotype" w:hAnsi="Palatino Linotype"/>
        </w:rPr>
        <w:t xml:space="preserve"> reporting requirements</w:t>
      </w:r>
      <w:r w:rsidR="000E5884">
        <w:rPr>
          <w:rFonts w:ascii="Palatino Linotype" w:hAnsi="Palatino Linotype"/>
        </w:rPr>
        <w:t>,</w:t>
      </w:r>
      <w:r w:rsidR="00277693">
        <w:rPr>
          <w:rFonts w:ascii="Palatino Linotype" w:hAnsi="Palatino Linotype"/>
        </w:rPr>
        <w:t xml:space="preserve"> non-compliance measures</w:t>
      </w:r>
      <w:r w:rsidR="000E5884">
        <w:rPr>
          <w:rFonts w:ascii="Palatino Linotype" w:hAnsi="Palatino Linotype"/>
        </w:rPr>
        <w:t>,</w:t>
      </w:r>
      <w:r w:rsidR="00277693">
        <w:rPr>
          <w:rFonts w:ascii="Palatino Linotype" w:hAnsi="Palatino Linotype"/>
        </w:rPr>
        <w:t xml:space="preserve"> and </w:t>
      </w:r>
      <w:r w:rsidR="00871E62">
        <w:rPr>
          <w:rFonts w:ascii="Palatino Linotype" w:hAnsi="Palatino Linotype"/>
        </w:rPr>
        <w:t xml:space="preserve">forfeiture for </w:t>
      </w:r>
      <w:r w:rsidRPr="00871E62" w:rsidR="00277693">
        <w:rPr>
          <w:rFonts w:ascii="Palatino Linotype" w:hAnsi="Palatino Linotype"/>
        </w:rPr>
        <w:t>defaults</w:t>
      </w:r>
      <w:r w:rsidR="00871E62">
        <w:rPr>
          <w:rFonts w:ascii="Palatino Linotype" w:hAnsi="Palatino Linotype"/>
        </w:rPr>
        <w:t xml:space="preserve"> (ineligible or unqualified applicants)</w:t>
      </w:r>
      <w:r w:rsidR="00A40AF3">
        <w:rPr>
          <w:rFonts w:ascii="Palatino Linotype" w:hAnsi="Palatino Linotype"/>
        </w:rPr>
        <w:t>.</w:t>
      </w:r>
      <w:r w:rsidR="00277693">
        <w:rPr>
          <w:rStyle w:val="FootnoteReference"/>
          <w:rFonts w:ascii="Palatino Linotype" w:hAnsi="Palatino Linotype"/>
        </w:rPr>
        <w:footnoteReference w:id="3"/>
      </w:r>
    </w:p>
    <w:p w:rsidR="003B1DBD" w:rsidP="004F712C" w:rsidRDefault="003B1DBD" w14:paraId="51B4DB49" w14:textId="217D348A">
      <w:pPr>
        <w:tabs>
          <w:tab w:val="right" w:pos="10080"/>
        </w:tabs>
        <w:rPr>
          <w:rFonts w:ascii="Palatino Linotype" w:hAnsi="Palatino Linotype"/>
        </w:rPr>
      </w:pPr>
    </w:p>
    <w:p w:rsidR="00DB0360" w:rsidP="004F712C" w:rsidRDefault="0066453D" w14:paraId="19176AFA" w14:textId="385D5814">
      <w:pPr>
        <w:tabs>
          <w:tab w:val="right" w:pos="10080"/>
        </w:tabs>
        <w:rPr>
          <w:rFonts w:ascii="Palatino Linotype" w:hAnsi="Palatino Linotype"/>
        </w:rPr>
      </w:pPr>
      <w:r>
        <w:rPr>
          <w:rFonts w:ascii="Palatino Linotype" w:hAnsi="Palatino Linotype"/>
        </w:rPr>
        <w:t>On</w:t>
      </w:r>
      <w:r w:rsidR="00DB0360">
        <w:rPr>
          <w:rFonts w:ascii="Palatino Linotype" w:hAnsi="Palatino Linotype"/>
        </w:rPr>
        <w:t xml:space="preserve"> January 30, 2020, the FCC adopted </w:t>
      </w:r>
      <w:r w:rsidR="00360508">
        <w:rPr>
          <w:rFonts w:ascii="Palatino Linotype" w:hAnsi="Palatino Linotype"/>
        </w:rPr>
        <w:t>a</w:t>
      </w:r>
      <w:r w:rsidR="001D2828">
        <w:rPr>
          <w:rFonts w:ascii="Palatino Linotype" w:hAnsi="Palatino Linotype"/>
        </w:rPr>
        <w:t xml:space="preserve"> Report and Order </w:t>
      </w:r>
      <w:r w:rsidRPr="001D2828" w:rsidR="001D2828">
        <w:rPr>
          <w:rFonts w:ascii="Palatino Linotype" w:hAnsi="Palatino Linotype"/>
        </w:rPr>
        <w:t>establishing the RDOF framework to build out broadband infrastructure to connect residential and small businesses in rural areas.</w:t>
      </w:r>
      <w:r w:rsidRPr="001D2828" w:rsidR="001D2828">
        <w:rPr>
          <w:rFonts w:ascii="Palatino Linotype" w:hAnsi="Palatino Linotype"/>
          <w:vertAlign w:val="superscript"/>
        </w:rPr>
        <w:footnoteReference w:id="4"/>
      </w:r>
      <w:r w:rsidRPr="001D2828" w:rsidR="001D2828">
        <w:rPr>
          <w:rFonts w:ascii="Palatino Linotype" w:hAnsi="Palatino Linotype"/>
        </w:rPr>
        <w:t xml:space="preserve">  The RDOF program uses procedures and rules that are similar to those which were developed for the CAF Phase II Auction, also known as Auction 903, which was held in 2018.</w:t>
      </w:r>
      <w:r w:rsidR="001D2828">
        <w:rPr>
          <w:rFonts w:ascii="Palatino Linotype" w:hAnsi="Palatino Linotype"/>
        </w:rPr>
        <w:t xml:space="preserve">  </w:t>
      </w:r>
      <w:r w:rsidR="00726666">
        <w:rPr>
          <w:rFonts w:ascii="Palatino Linotype" w:hAnsi="Palatino Linotype"/>
        </w:rPr>
        <w:t xml:space="preserve">The RDOF program </w:t>
      </w:r>
      <w:r w:rsidR="00027427">
        <w:rPr>
          <w:rFonts w:ascii="Palatino Linotype" w:hAnsi="Palatino Linotype"/>
        </w:rPr>
        <w:t>will provide</w:t>
      </w:r>
      <w:r w:rsidR="00726666">
        <w:rPr>
          <w:rFonts w:ascii="Palatino Linotype" w:hAnsi="Palatino Linotype"/>
        </w:rPr>
        <w:t xml:space="preserve"> $20.4 billion over 10 years to increase broadband speeds from 10/1 Mbps to 25/3 Mbps</w:t>
      </w:r>
      <w:r w:rsidR="00726666">
        <w:rPr>
          <w:rStyle w:val="FootnoteReference"/>
          <w:rFonts w:ascii="Palatino Linotype" w:hAnsi="Palatino Linotype"/>
        </w:rPr>
        <w:footnoteReference w:id="5"/>
      </w:r>
      <w:r w:rsidR="00726666">
        <w:rPr>
          <w:rFonts w:ascii="Palatino Linotype" w:hAnsi="Palatino Linotype"/>
        </w:rPr>
        <w:t xml:space="preserve"> in rural areas.  The RDOF program will provide funding in two phases.  </w:t>
      </w:r>
      <w:r w:rsidR="00F279AC">
        <w:rPr>
          <w:rFonts w:ascii="Palatino Linotype" w:hAnsi="Palatino Linotype"/>
        </w:rPr>
        <w:t xml:space="preserve">Phase I </w:t>
      </w:r>
      <w:r w:rsidR="00DB4129">
        <w:rPr>
          <w:rFonts w:ascii="Palatino Linotype" w:hAnsi="Palatino Linotype"/>
        </w:rPr>
        <w:t>is</w:t>
      </w:r>
      <w:r w:rsidR="00F279AC">
        <w:rPr>
          <w:rFonts w:ascii="Palatino Linotype" w:hAnsi="Palatino Linotype"/>
        </w:rPr>
        <w:t xml:space="preserve"> budget</w:t>
      </w:r>
      <w:r w:rsidR="00DB4129">
        <w:rPr>
          <w:rFonts w:ascii="Palatino Linotype" w:hAnsi="Palatino Linotype"/>
        </w:rPr>
        <w:t>ed</w:t>
      </w:r>
      <w:r w:rsidR="00F279AC">
        <w:rPr>
          <w:rFonts w:ascii="Palatino Linotype" w:hAnsi="Palatino Linotype"/>
        </w:rPr>
        <w:t xml:space="preserve"> </w:t>
      </w:r>
      <w:r w:rsidR="00ED75FE">
        <w:rPr>
          <w:rFonts w:ascii="Palatino Linotype" w:hAnsi="Palatino Linotype"/>
        </w:rPr>
        <w:t xml:space="preserve">for </w:t>
      </w:r>
      <w:r w:rsidR="00726666">
        <w:rPr>
          <w:rFonts w:ascii="Palatino Linotype" w:hAnsi="Palatino Linotype"/>
        </w:rPr>
        <w:t xml:space="preserve">$16 billion and Phase II </w:t>
      </w:r>
      <w:r w:rsidR="00DB4129">
        <w:rPr>
          <w:rFonts w:ascii="Palatino Linotype" w:hAnsi="Palatino Linotype"/>
        </w:rPr>
        <w:t>is budgeted for</w:t>
      </w:r>
      <w:r w:rsidR="00726666">
        <w:rPr>
          <w:rFonts w:ascii="Palatino Linotype" w:hAnsi="Palatino Linotype"/>
        </w:rPr>
        <w:t xml:space="preserve"> $4.4 billion</w:t>
      </w:r>
      <w:r w:rsidR="00360508">
        <w:rPr>
          <w:rFonts w:ascii="Palatino Linotype" w:hAnsi="Palatino Linotype"/>
        </w:rPr>
        <w:t>,</w:t>
      </w:r>
      <w:r w:rsidR="00726666">
        <w:rPr>
          <w:rFonts w:ascii="Palatino Linotype" w:hAnsi="Palatino Linotype"/>
        </w:rPr>
        <w:t xml:space="preserve"> </w:t>
      </w:r>
      <w:r w:rsidR="00DB4129">
        <w:rPr>
          <w:rFonts w:ascii="Palatino Linotype" w:hAnsi="Palatino Linotype"/>
        </w:rPr>
        <w:t>with any funds that remain undistributed from Phase I being distributed with the $4.4 billion budgeted for Phase II.</w:t>
      </w:r>
      <w:r w:rsidR="00726666">
        <w:rPr>
          <w:rStyle w:val="FootnoteReference"/>
          <w:rFonts w:ascii="Palatino Linotype" w:hAnsi="Palatino Linotype"/>
        </w:rPr>
        <w:footnoteReference w:id="6"/>
      </w:r>
      <w:r w:rsidR="00726666">
        <w:rPr>
          <w:rFonts w:ascii="Palatino Linotype" w:hAnsi="Palatino Linotype"/>
        </w:rPr>
        <w:t xml:space="preserve"> </w:t>
      </w:r>
    </w:p>
    <w:p w:rsidR="00E866F2" w:rsidP="004F712C" w:rsidRDefault="00E866F2" w14:paraId="4EAEBCDD" w14:textId="65DCAF6E">
      <w:pPr>
        <w:tabs>
          <w:tab w:val="right" w:pos="10080"/>
        </w:tabs>
        <w:rPr>
          <w:rFonts w:ascii="Palatino Linotype" w:hAnsi="Palatino Linotype"/>
        </w:rPr>
      </w:pPr>
    </w:p>
    <w:p w:rsidR="00E866F2" w:rsidP="004F712C" w:rsidRDefault="00F463F2" w14:paraId="5E4305CC" w14:textId="2DDA965B">
      <w:pPr>
        <w:tabs>
          <w:tab w:val="right" w:pos="10080"/>
        </w:tabs>
        <w:rPr>
          <w:rFonts w:ascii="Palatino Linotype" w:hAnsi="Palatino Linotype"/>
        </w:rPr>
      </w:pPr>
      <w:r>
        <w:rPr>
          <w:rFonts w:ascii="Palatino Linotype" w:hAnsi="Palatino Linotype"/>
        </w:rPr>
        <w:t>Consistent with</w:t>
      </w:r>
      <w:r w:rsidR="00C92F6B">
        <w:rPr>
          <w:rFonts w:ascii="Palatino Linotype" w:hAnsi="Palatino Linotype"/>
        </w:rPr>
        <w:t xml:space="preserve"> the </w:t>
      </w:r>
      <w:r w:rsidR="00213E4A">
        <w:rPr>
          <w:rFonts w:ascii="Palatino Linotype" w:hAnsi="Palatino Linotype"/>
        </w:rPr>
        <w:t xml:space="preserve">CAF </w:t>
      </w:r>
      <w:r>
        <w:rPr>
          <w:rFonts w:ascii="Palatino Linotype" w:hAnsi="Palatino Linotype"/>
        </w:rPr>
        <w:t xml:space="preserve">Phase </w:t>
      </w:r>
      <w:r w:rsidR="00C92F6B">
        <w:rPr>
          <w:rFonts w:ascii="Palatino Linotype" w:hAnsi="Palatino Linotype"/>
        </w:rPr>
        <w:t>II</w:t>
      </w:r>
      <w:r w:rsidR="00213E4A">
        <w:rPr>
          <w:rFonts w:ascii="Palatino Linotype" w:hAnsi="Palatino Linotype"/>
        </w:rPr>
        <w:t xml:space="preserve"> Auction 903</w:t>
      </w:r>
      <w:r w:rsidR="00C92F6B">
        <w:rPr>
          <w:rFonts w:ascii="Palatino Linotype" w:hAnsi="Palatino Linotype"/>
        </w:rPr>
        <w:t>, winni</w:t>
      </w:r>
      <w:r w:rsidR="00AF3111">
        <w:rPr>
          <w:rFonts w:ascii="Palatino Linotype" w:hAnsi="Palatino Linotype"/>
        </w:rPr>
        <w:t>n</w:t>
      </w:r>
      <w:r w:rsidR="00C92F6B">
        <w:rPr>
          <w:rFonts w:ascii="Palatino Linotype" w:hAnsi="Palatino Linotype"/>
        </w:rPr>
        <w:t xml:space="preserve">g </w:t>
      </w:r>
      <w:r w:rsidR="00DB4129">
        <w:rPr>
          <w:rFonts w:ascii="Palatino Linotype" w:hAnsi="Palatino Linotype"/>
        </w:rPr>
        <w:t xml:space="preserve">RDOF </w:t>
      </w:r>
      <w:r w:rsidR="00C92F6B">
        <w:rPr>
          <w:rFonts w:ascii="Palatino Linotype" w:hAnsi="Palatino Linotype"/>
        </w:rPr>
        <w:t xml:space="preserve">bidders </w:t>
      </w:r>
      <w:r w:rsidR="00ED1296">
        <w:rPr>
          <w:rFonts w:ascii="Palatino Linotype" w:hAnsi="Palatino Linotype"/>
        </w:rPr>
        <w:t>will be permitted to obtain ETC designation from the</w:t>
      </w:r>
      <w:r w:rsidR="00360508">
        <w:rPr>
          <w:rFonts w:ascii="Palatino Linotype" w:hAnsi="Palatino Linotype"/>
        </w:rPr>
        <w:t xml:space="preserve"> FCC or the </w:t>
      </w:r>
      <w:r w:rsidR="00ED1296">
        <w:rPr>
          <w:rFonts w:ascii="Palatino Linotype" w:hAnsi="Palatino Linotype"/>
        </w:rPr>
        <w:t xml:space="preserve">respective state </w:t>
      </w:r>
      <w:r w:rsidR="00EB74B0">
        <w:rPr>
          <w:rFonts w:ascii="Palatino Linotype" w:hAnsi="Palatino Linotype"/>
        </w:rPr>
        <w:t>c</w:t>
      </w:r>
      <w:r w:rsidR="00ED1296">
        <w:rPr>
          <w:rFonts w:ascii="Palatino Linotype" w:hAnsi="Palatino Linotype"/>
        </w:rPr>
        <w:t xml:space="preserve">ommissions </w:t>
      </w:r>
      <w:r>
        <w:rPr>
          <w:rFonts w:ascii="Palatino Linotype" w:hAnsi="Palatino Linotype"/>
        </w:rPr>
        <w:t xml:space="preserve">after the </w:t>
      </w:r>
      <w:r w:rsidR="00DB4129">
        <w:rPr>
          <w:rFonts w:ascii="Palatino Linotype" w:hAnsi="Palatino Linotype"/>
        </w:rPr>
        <w:t xml:space="preserve">auction </w:t>
      </w:r>
      <w:r>
        <w:rPr>
          <w:rFonts w:ascii="Palatino Linotype" w:hAnsi="Palatino Linotype"/>
        </w:rPr>
        <w:t>close</w:t>
      </w:r>
      <w:r w:rsidR="00DB4129">
        <w:rPr>
          <w:rFonts w:ascii="Palatino Linotype" w:hAnsi="Palatino Linotype"/>
        </w:rPr>
        <w:t>s</w:t>
      </w:r>
      <w:r>
        <w:rPr>
          <w:rFonts w:ascii="Palatino Linotype" w:hAnsi="Palatino Linotype"/>
        </w:rPr>
        <w:t>.</w:t>
      </w:r>
      <w:r>
        <w:rPr>
          <w:rStyle w:val="FootnoteReference"/>
          <w:rFonts w:ascii="Palatino Linotype" w:hAnsi="Palatino Linotype"/>
        </w:rPr>
        <w:footnoteReference w:id="7"/>
      </w:r>
      <w:r w:rsidR="00ED1296">
        <w:rPr>
          <w:rFonts w:ascii="Palatino Linotype" w:hAnsi="Palatino Linotype"/>
        </w:rPr>
        <w:t xml:space="preserve"> </w:t>
      </w:r>
      <w:r w:rsidR="006754CB">
        <w:rPr>
          <w:rFonts w:ascii="Palatino Linotype" w:hAnsi="Palatino Linotype"/>
        </w:rPr>
        <w:t xml:space="preserve"> </w:t>
      </w:r>
      <w:r w:rsidR="00213E4A">
        <w:rPr>
          <w:rFonts w:ascii="Palatino Linotype" w:hAnsi="Palatino Linotype"/>
        </w:rPr>
        <w:t xml:space="preserve">In </w:t>
      </w:r>
      <w:r w:rsidR="00B92384">
        <w:rPr>
          <w:rFonts w:ascii="Palatino Linotype" w:hAnsi="Palatino Linotype"/>
        </w:rPr>
        <w:t>January</w:t>
      </w:r>
      <w:r w:rsidR="00213E4A">
        <w:rPr>
          <w:rFonts w:ascii="Palatino Linotype" w:hAnsi="Palatino Linotype"/>
        </w:rPr>
        <w:t xml:space="preserve"> 2019, t</w:t>
      </w:r>
      <w:r w:rsidR="00E866F2">
        <w:rPr>
          <w:rFonts w:ascii="Palatino Linotype" w:hAnsi="Palatino Linotype"/>
        </w:rPr>
        <w:t>he CPUC</w:t>
      </w:r>
      <w:r w:rsidR="00213E4A">
        <w:rPr>
          <w:rFonts w:ascii="Palatino Linotype" w:hAnsi="Palatino Linotype"/>
        </w:rPr>
        <w:t xml:space="preserve"> approved two ETC designations for CAF II fund recipients</w:t>
      </w:r>
      <w:r w:rsidR="00360508">
        <w:rPr>
          <w:rFonts w:ascii="Palatino Linotype" w:hAnsi="Palatino Linotype"/>
        </w:rPr>
        <w:t>,</w:t>
      </w:r>
      <w:r w:rsidR="00213E4A">
        <w:rPr>
          <w:rStyle w:val="FootnoteReference"/>
          <w:rFonts w:ascii="Palatino Linotype" w:hAnsi="Palatino Linotype"/>
        </w:rPr>
        <w:footnoteReference w:id="8"/>
      </w:r>
      <w:r w:rsidR="00360508">
        <w:rPr>
          <w:rFonts w:ascii="Palatino Linotype" w:hAnsi="Palatino Linotype"/>
        </w:rPr>
        <w:t xml:space="preserve"> and requested that two other applicants seek designation from the FCC.</w:t>
      </w:r>
    </w:p>
    <w:p w:rsidRPr="00D81FEE" w:rsidR="00D81FEE" w:rsidP="004F712C" w:rsidRDefault="00D81FEE" w14:paraId="3DC5C7A7" w14:textId="77777777">
      <w:pPr>
        <w:tabs>
          <w:tab w:val="right" w:pos="10080"/>
        </w:tabs>
        <w:rPr>
          <w:rFonts w:ascii="Palatino Linotype" w:hAnsi="Palatino Linotype"/>
        </w:rPr>
      </w:pPr>
    </w:p>
    <w:p w:rsidRPr="00D81FEE" w:rsidR="00356BC3" w:rsidP="004F712C" w:rsidRDefault="00356BC3" w14:paraId="3CDADEC9" w14:textId="562AB163">
      <w:pPr>
        <w:tabs>
          <w:tab w:val="right" w:pos="10080"/>
        </w:tabs>
        <w:rPr>
          <w:rFonts w:ascii="Palatino Linotype" w:hAnsi="Palatino Linotype"/>
          <w:b/>
        </w:rPr>
      </w:pPr>
      <w:r w:rsidRPr="00D81FEE">
        <w:rPr>
          <w:rFonts w:ascii="Palatino Linotype" w:hAnsi="Palatino Linotype"/>
          <w:b/>
        </w:rPr>
        <w:t>ETC Designation Requirements</w:t>
      </w:r>
    </w:p>
    <w:p w:rsidRPr="00D81FEE" w:rsidR="00D81FEE" w:rsidP="004F712C" w:rsidRDefault="00301A83" w14:paraId="678913C1" w14:textId="35C6E3BF">
      <w:pPr>
        <w:tabs>
          <w:tab w:val="right" w:pos="10080"/>
        </w:tabs>
        <w:rPr>
          <w:rFonts w:ascii="Palatino Linotype" w:hAnsi="Palatino Linotype"/>
        </w:rPr>
      </w:pPr>
      <w:r>
        <w:rPr>
          <w:rFonts w:ascii="Palatino Linotype" w:hAnsi="Palatino Linotype"/>
        </w:rPr>
        <w:lastRenderedPageBreak/>
        <w:t>T</w:t>
      </w:r>
      <w:r w:rsidRPr="00D81FEE" w:rsidR="00D81FEE">
        <w:rPr>
          <w:rFonts w:ascii="Palatino Linotype" w:hAnsi="Palatino Linotype"/>
        </w:rPr>
        <w:t>o receive federal universal service support, an applicant must be designated as an ETC.  Section 254(e) of the Communications Act (the Act),</w:t>
      </w:r>
      <w:r>
        <w:rPr>
          <w:rStyle w:val="FootnoteReference"/>
          <w:rFonts w:ascii="Palatino Linotype" w:hAnsi="Palatino Linotype"/>
        </w:rPr>
        <w:footnoteReference w:id="9"/>
      </w:r>
      <w:r w:rsidRPr="00D81FEE" w:rsidR="00D81FEE">
        <w:rPr>
          <w:rFonts w:ascii="Palatino Linotype" w:hAnsi="Palatino Linotype"/>
        </w:rPr>
        <w:t xml:space="preserve"> as amended, states that “only an eligible telecommunications carrier under section 214(e) shall be eligible to receive specific federal universal service support.”</w:t>
      </w:r>
      <w:r w:rsidRPr="00D81FEE" w:rsidR="00D81FEE">
        <w:rPr>
          <w:rFonts w:ascii="Palatino Linotype" w:hAnsi="Palatino Linotype"/>
          <w:vertAlign w:val="superscript"/>
        </w:rPr>
        <w:footnoteReference w:id="10"/>
      </w:r>
      <w:r w:rsidRPr="00D81FEE" w:rsidR="00D81FEE">
        <w:rPr>
          <w:rFonts w:ascii="Palatino Linotype" w:hAnsi="Palatino Linotype"/>
          <w:vertAlign w:val="superscript"/>
        </w:rPr>
        <w:t xml:space="preserve"> </w:t>
      </w:r>
      <w:r w:rsidRPr="00D81FEE" w:rsidR="00D81FEE">
        <w:rPr>
          <w:rFonts w:ascii="Palatino Linotype" w:hAnsi="Palatino Linotype"/>
        </w:rPr>
        <w:t xml:space="preserve">  </w:t>
      </w:r>
    </w:p>
    <w:p w:rsidRPr="00D81FEE" w:rsidR="00D81FEE" w:rsidP="004F712C" w:rsidRDefault="00D81FEE" w14:paraId="10C7B4E6" w14:textId="77777777">
      <w:pPr>
        <w:tabs>
          <w:tab w:val="right" w:pos="10080"/>
        </w:tabs>
        <w:rPr>
          <w:rFonts w:ascii="Palatino Linotype" w:hAnsi="Palatino Linotype"/>
        </w:rPr>
      </w:pPr>
    </w:p>
    <w:p w:rsidRPr="00D81FEE" w:rsidR="00D81FEE" w:rsidP="004F712C" w:rsidRDefault="00ED75FE" w14:paraId="5873909A" w14:textId="39297B13">
      <w:pPr>
        <w:tabs>
          <w:tab w:val="right" w:pos="10080"/>
        </w:tabs>
        <w:rPr>
          <w:rFonts w:ascii="Palatino Linotype" w:hAnsi="Palatino Linotype"/>
        </w:rPr>
      </w:pPr>
      <w:r>
        <w:rPr>
          <w:rFonts w:ascii="Palatino Linotype" w:hAnsi="Palatino Linotype"/>
        </w:rPr>
        <w:t>The Act delegates to s</w:t>
      </w:r>
      <w:r w:rsidRPr="00D81FEE" w:rsidR="00D81FEE">
        <w:rPr>
          <w:rFonts w:ascii="Palatino Linotype" w:hAnsi="Palatino Linotype"/>
        </w:rPr>
        <w:t xml:space="preserve">tate commissions primary responsibility for designating ETCs in their states. </w:t>
      </w:r>
      <w:r w:rsidR="00B22984">
        <w:rPr>
          <w:rFonts w:ascii="Palatino Linotype" w:hAnsi="Palatino Linotype"/>
        </w:rPr>
        <w:t xml:space="preserve"> </w:t>
      </w:r>
      <w:r w:rsidR="00301A83">
        <w:rPr>
          <w:rFonts w:ascii="Palatino Linotype" w:hAnsi="Palatino Linotype"/>
        </w:rPr>
        <w:t>S</w:t>
      </w:r>
      <w:r w:rsidRPr="00D81FEE" w:rsidR="00D81FEE">
        <w:rPr>
          <w:rFonts w:ascii="Palatino Linotype" w:hAnsi="Palatino Linotype"/>
        </w:rPr>
        <w:t>ection</w:t>
      </w:r>
      <w:r w:rsidR="00301A83">
        <w:rPr>
          <w:rFonts w:ascii="Palatino Linotype" w:hAnsi="Palatino Linotype"/>
        </w:rPr>
        <w:t xml:space="preserve"> 214(e)</w:t>
      </w:r>
      <w:r w:rsidR="00FE56BB">
        <w:rPr>
          <w:rFonts w:ascii="Palatino Linotype" w:hAnsi="Palatino Linotype"/>
        </w:rPr>
        <w:t>(2)</w:t>
      </w:r>
      <w:r w:rsidRPr="00D81FEE" w:rsidR="00D81FEE">
        <w:rPr>
          <w:rFonts w:ascii="Palatino Linotype" w:hAnsi="Palatino Linotype"/>
        </w:rPr>
        <w:t xml:space="preserve"> states that, “[u]</w:t>
      </w:r>
      <w:proofErr w:type="spellStart"/>
      <w:r w:rsidRPr="00D81FEE" w:rsidR="00D81FEE">
        <w:rPr>
          <w:rFonts w:ascii="Palatino Linotype" w:hAnsi="Palatino Linotype"/>
        </w:rPr>
        <w:t>pon</w:t>
      </w:r>
      <w:proofErr w:type="spellEnd"/>
      <w:r w:rsidRPr="00D81FEE" w:rsidR="00D81FEE">
        <w:rPr>
          <w:rFonts w:ascii="Palatino Linotype" w:hAnsi="Palatino Linotype"/>
        </w:rPr>
        <w:t xml:space="preserve"> request and consistent with the public interest, convenience, and necessity, the state commission may, in the case of an area served by a rural telephone company, and shall, in the case of all other areas, designate more than one common carrier as an eligible telecommunications carrier for a service area designated by the state commission” so long as the requesting carrier meets the requirements of Section 214(e)(1).   </w:t>
      </w:r>
    </w:p>
    <w:p w:rsidRPr="00D81FEE" w:rsidR="00D81FEE" w:rsidP="004F712C" w:rsidRDefault="00D81FEE" w14:paraId="647F54DC" w14:textId="77777777">
      <w:pPr>
        <w:tabs>
          <w:tab w:val="right" w:pos="10080"/>
        </w:tabs>
        <w:rPr>
          <w:rFonts w:ascii="Palatino Linotype" w:hAnsi="Palatino Linotype"/>
        </w:rPr>
      </w:pPr>
    </w:p>
    <w:p w:rsidRPr="00D81FEE" w:rsidR="00D81FEE" w:rsidP="004F712C" w:rsidRDefault="00D81FEE" w14:paraId="03E771DD" w14:textId="07E19706">
      <w:pPr>
        <w:tabs>
          <w:tab w:val="right" w:pos="10080"/>
        </w:tabs>
        <w:rPr>
          <w:rFonts w:ascii="Palatino Linotype" w:hAnsi="Palatino Linotype"/>
        </w:rPr>
      </w:pPr>
      <w:r w:rsidRPr="00D81FEE">
        <w:rPr>
          <w:rFonts w:ascii="Palatino Linotype" w:hAnsi="Palatino Linotype"/>
        </w:rPr>
        <w:t xml:space="preserve">Section 214(e)(1) provides that a common carrier designated as an ETC must offer services supported by the federal Universal Service Fund (USF) throughout the designated service area either by using its own facilities, or by </w:t>
      </w:r>
      <w:r w:rsidR="00ED75FE">
        <w:rPr>
          <w:rFonts w:ascii="Palatino Linotype" w:hAnsi="Palatino Linotype"/>
        </w:rPr>
        <w:t xml:space="preserve">employing </w:t>
      </w:r>
      <w:r w:rsidRPr="00D81FEE">
        <w:rPr>
          <w:rFonts w:ascii="Palatino Linotype" w:hAnsi="Palatino Linotype"/>
        </w:rPr>
        <w:t>a combination of its own facilities and resale of another carrier’s services</w:t>
      </w:r>
      <w:r w:rsidR="00ED75FE">
        <w:rPr>
          <w:rFonts w:ascii="Palatino Linotype" w:hAnsi="Palatino Linotype"/>
        </w:rPr>
        <w:t>.  The ETC also</w:t>
      </w:r>
      <w:r w:rsidRPr="00D81FEE">
        <w:rPr>
          <w:rFonts w:ascii="Palatino Linotype" w:hAnsi="Palatino Linotype"/>
        </w:rPr>
        <w:t xml:space="preserve"> must advertise the services and the related charges using advertising media of general distribution throughout the designated service area.  Advertising must include the availability of federal Lifeline services in a manner reasonably designed to reach those likely to qualify for those services.</w:t>
      </w:r>
    </w:p>
    <w:p w:rsidRPr="00D81FEE" w:rsidR="00D81FEE" w:rsidP="004F712C" w:rsidRDefault="00D81FEE" w14:paraId="0458FF36" w14:textId="77777777">
      <w:pPr>
        <w:tabs>
          <w:tab w:val="right" w:pos="10080"/>
        </w:tabs>
        <w:rPr>
          <w:rFonts w:ascii="Palatino Linotype" w:hAnsi="Palatino Linotype"/>
          <w:b/>
          <w:u w:val="single"/>
        </w:rPr>
      </w:pPr>
    </w:p>
    <w:p w:rsidRPr="00D81FEE" w:rsidR="00D81FEE" w:rsidP="004F712C" w:rsidRDefault="00D81FEE" w14:paraId="37B1E465" w14:textId="71E4855A">
      <w:pPr>
        <w:tabs>
          <w:tab w:val="right" w:pos="10080"/>
        </w:tabs>
        <w:rPr>
          <w:rFonts w:ascii="Palatino Linotype" w:hAnsi="Palatino Linotype"/>
        </w:rPr>
      </w:pPr>
      <w:r w:rsidRPr="00D81FEE">
        <w:rPr>
          <w:rFonts w:ascii="Palatino Linotype" w:hAnsi="Palatino Linotype"/>
        </w:rPr>
        <w:t xml:space="preserve">A carrier seeking an ETC designation must comply with </w:t>
      </w:r>
      <w:r w:rsidR="00255CA9">
        <w:rPr>
          <w:rFonts w:ascii="Palatino Linotype" w:hAnsi="Palatino Linotype"/>
        </w:rPr>
        <w:t xml:space="preserve">the federal ETC designation requirements and the </w:t>
      </w:r>
      <w:r w:rsidRPr="00D81FEE">
        <w:rPr>
          <w:rFonts w:ascii="Palatino Linotype" w:hAnsi="Palatino Linotype"/>
        </w:rPr>
        <w:t xml:space="preserve">CPUC’s ETC rules.  In Resolution T-17002 (May 25, 2006), the CPUC adopted </w:t>
      </w:r>
      <w:r w:rsidRPr="00D81FEE">
        <w:rPr>
          <w:rFonts w:ascii="Palatino Linotype" w:hAnsi="Palatino Linotype"/>
          <w:i/>
        </w:rPr>
        <w:t xml:space="preserve">The Comprehensive Procedures and Guidelines for ETC Designation and Requirements for ETCs </w:t>
      </w:r>
      <w:r w:rsidRPr="00D81FEE">
        <w:rPr>
          <w:rFonts w:ascii="Palatino Linotype" w:hAnsi="Palatino Linotype"/>
        </w:rPr>
        <w:t xml:space="preserve">that are consistent with FCC Universal Service Order </w:t>
      </w:r>
      <w:r w:rsidRPr="00D81FEE">
        <w:rPr>
          <w:rFonts w:ascii="Palatino Linotype" w:hAnsi="Palatino Linotype"/>
          <w:vertAlign w:val="superscript"/>
        </w:rPr>
        <w:footnoteReference w:id="11"/>
      </w:r>
      <w:r w:rsidRPr="00D81FEE">
        <w:rPr>
          <w:rFonts w:ascii="Palatino Linotype" w:hAnsi="Palatino Linotype"/>
        </w:rPr>
        <w:t xml:space="preserve"> regarding designation of a telephone carrier as a qualified ETC.  A carrier seeking Federal high-cost support must also comply with Resolution T-17002, Appendix B, Section I and II, and file an advice letter with the CPUC annual</w:t>
      </w:r>
      <w:r w:rsidR="00301A83">
        <w:rPr>
          <w:rFonts w:ascii="Palatino Linotype" w:hAnsi="Palatino Linotype"/>
        </w:rPr>
        <w:t>ly</w:t>
      </w:r>
      <w:r w:rsidRPr="00D81FEE">
        <w:rPr>
          <w:rFonts w:ascii="Palatino Linotype" w:hAnsi="Palatino Linotype"/>
        </w:rPr>
        <w:t>.</w:t>
      </w:r>
    </w:p>
    <w:p w:rsidRPr="00D81FEE" w:rsidR="00D81FEE" w:rsidP="004F712C" w:rsidRDefault="00D81FEE" w14:paraId="3E93CFEE" w14:textId="77777777">
      <w:pPr>
        <w:tabs>
          <w:tab w:val="right" w:pos="10080"/>
        </w:tabs>
        <w:rPr>
          <w:rFonts w:ascii="Palatino Linotype" w:hAnsi="Palatino Linotype"/>
        </w:rPr>
      </w:pPr>
    </w:p>
    <w:p w:rsidRPr="00D81FEE" w:rsidR="00D81FEE" w:rsidP="004F712C" w:rsidRDefault="00D81FEE" w14:paraId="479CC41D" w14:textId="7BF63A78">
      <w:pPr>
        <w:tabs>
          <w:tab w:val="right" w:pos="10080"/>
        </w:tabs>
        <w:rPr>
          <w:rFonts w:ascii="Palatino Linotype" w:hAnsi="Palatino Linotype"/>
        </w:rPr>
      </w:pPr>
      <w:r w:rsidRPr="00D81FEE">
        <w:rPr>
          <w:rFonts w:ascii="Palatino Linotype" w:hAnsi="Palatino Linotype"/>
        </w:rPr>
        <w:t xml:space="preserve">In addition to </w:t>
      </w:r>
      <w:r w:rsidR="0076081B">
        <w:rPr>
          <w:rFonts w:ascii="Palatino Linotype" w:hAnsi="Palatino Linotype"/>
        </w:rPr>
        <w:t xml:space="preserve">complying with the ETC designation rules in </w:t>
      </w:r>
      <w:r w:rsidRPr="00D81FEE">
        <w:rPr>
          <w:rFonts w:ascii="Palatino Linotype" w:hAnsi="Palatino Linotype"/>
        </w:rPr>
        <w:t xml:space="preserve">Resolution T-17002, carriers requesting ETC designation must also comply with General Order (GO) 153, </w:t>
      </w:r>
      <w:r w:rsidR="0076081B">
        <w:rPr>
          <w:rFonts w:ascii="Palatino Linotype" w:hAnsi="Palatino Linotype"/>
        </w:rPr>
        <w:t>as well as</w:t>
      </w:r>
      <w:r w:rsidRPr="00D81FEE" w:rsidR="0076081B">
        <w:rPr>
          <w:rFonts w:ascii="Palatino Linotype" w:hAnsi="Palatino Linotype"/>
        </w:rPr>
        <w:t xml:space="preserve"> </w:t>
      </w:r>
      <w:r w:rsidRPr="00D81FEE">
        <w:rPr>
          <w:rFonts w:ascii="Palatino Linotype" w:hAnsi="Palatino Linotype"/>
        </w:rPr>
        <w:lastRenderedPageBreak/>
        <w:t xml:space="preserve">CPUC User Fee and surcharge obligations.  The CPUC User Fee is levied on </w:t>
      </w:r>
      <w:r w:rsidR="00ED75FE">
        <w:rPr>
          <w:rFonts w:ascii="Palatino Linotype" w:hAnsi="Palatino Linotype"/>
        </w:rPr>
        <w:t>telephone corporations</w:t>
      </w:r>
      <w:r w:rsidR="00DF4F7C">
        <w:rPr>
          <w:rFonts w:ascii="Palatino Linotype" w:hAnsi="Palatino Linotype"/>
        </w:rPr>
        <w:t>, including wireless providers, offering</w:t>
      </w:r>
      <w:r w:rsidRPr="00D81FEE">
        <w:rPr>
          <w:rFonts w:ascii="Palatino Linotype" w:hAnsi="Palatino Linotype"/>
        </w:rPr>
        <w:t xml:space="preserve"> services directly to customers</w:t>
      </w:r>
      <w:r w:rsidR="00ED75FE">
        <w:rPr>
          <w:rFonts w:ascii="Palatino Linotype" w:hAnsi="Palatino Linotype"/>
        </w:rPr>
        <w:t xml:space="preserve">.  </w:t>
      </w:r>
      <w:r w:rsidRPr="00D81FEE">
        <w:rPr>
          <w:rFonts w:ascii="Palatino Linotype" w:hAnsi="Palatino Linotype"/>
        </w:rPr>
        <w:t xml:space="preserve"> </w:t>
      </w:r>
      <w:r w:rsidR="00ED75FE">
        <w:rPr>
          <w:rFonts w:ascii="Palatino Linotype" w:hAnsi="Palatino Linotype"/>
        </w:rPr>
        <w:t>T</w:t>
      </w:r>
      <w:r w:rsidRPr="00D81FEE">
        <w:rPr>
          <w:rFonts w:ascii="Palatino Linotype" w:hAnsi="Palatino Linotype"/>
        </w:rPr>
        <w:t xml:space="preserve">he amount of </w:t>
      </w:r>
      <w:r w:rsidR="00ED75FE">
        <w:rPr>
          <w:rFonts w:ascii="Palatino Linotype" w:hAnsi="Palatino Linotype"/>
        </w:rPr>
        <w:t xml:space="preserve">the </w:t>
      </w:r>
      <w:r w:rsidRPr="00D81FEE">
        <w:rPr>
          <w:rFonts w:ascii="Palatino Linotype" w:hAnsi="Palatino Linotype"/>
        </w:rPr>
        <w:t>fee</w:t>
      </w:r>
      <w:r w:rsidR="00ED75FE">
        <w:rPr>
          <w:rFonts w:ascii="Palatino Linotype" w:hAnsi="Palatino Linotype"/>
        </w:rPr>
        <w:t xml:space="preserve"> each carrier must remit</w:t>
      </w:r>
      <w:r w:rsidRPr="00D81FEE">
        <w:rPr>
          <w:rFonts w:ascii="Palatino Linotype" w:hAnsi="Palatino Linotype"/>
        </w:rPr>
        <w:t xml:space="preserve"> is a percentage calculation based </w:t>
      </w:r>
      <w:r w:rsidRPr="004C75F9">
        <w:rPr>
          <w:rFonts w:ascii="Palatino Linotype" w:hAnsi="Palatino Linotype"/>
        </w:rPr>
        <w:t xml:space="preserve">on customer billings for </w:t>
      </w:r>
      <w:r w:rsidRPr="004C75F9" w:rsidR="00ED75FE">
        <w:rPr>
          <w:rFonts w:ascii="Palatino Linotype" w:hAnsi="Palatino Linotype"/>
        </w:rPr>
        <w:t xml:space="preserve">all intrastate </w:t>
      </w:r>
      <w:r w:rsidRPr="004C75F9">
        <w:rPr>
          <w:rFonts w:ascii="Palatino Linotype" w:hAnsi="Palatino Linotype"/>
        </w:rPr>
        <w:t xml:space="preserve">telecommunications services.  </w:t>
      </w:r>
      <w:r w:rsidRPr="004C75F9" w:rsidR="00ED75FE">
        <w:rPr>
          <w:rFonts w:ascii="Palatino Linotype" w:hAnsi="Palatino Linotype"/>
        </w:rPr>
        <w:t>In addition</w:t>
      </w:r>
      <w:r w:rsidR="00ED75FE">
        <w:rPr>
          <w:rFonts w:ascii="Palatino Linotype" w:hAnsi="Palatino Linotype"/>
        </w:rPr>
        <w:t>, a</w:t>
      </w:r>
      <w:r w:rsidRPr="00D81FEE">
        <w:rPr>
          <w:rFonts w:ascii="Palatino Linotype" w:hAnsi="Palatino Linotype"/>
        </w:rPr>
        <w:t xml:space="preserve">ll </w:t>
      </w:r>
      <w:r w:rsidR="00ED75FE">
        <w:rPr>
          <w:rFonts w:ascii="Palatino Linotype" w:hAnsi="Palatino Linotype"/>
        </w:rPr>
        <w:t xml:space="preserve">telephone corporations, including wireless providers and </w:t>
      </w:r>
      <w:r w:rsidRPr="00D81FEE">
        <w:rPr>
          <w:rFonts w:ascii="Palatino Linotype" w:hAnsi="Palatino Linotype"/>
        </w:rPr>
        <w:t xml:space="preserve">Voice over Internet Protocol </w:t>
      </w:r>
      <w:r w:rsidR="007C7CAA">
        <w:rPr>
          <w:rFonts w:ascii="Palatino Linotype" w:hAnsi="Palatino Linotype"/>
        </w:rPr>
        <w:t xml:space="preserve">(VoIP) </w:t>
      </w:r>
      <w:r w:rsidRPr="00D81FEE">
        <w:rPr>
          <w:rFonts w:ascii="Palatino Linotype" w:hAnsi="Palatino Linotype"/>
        </w:rPr>
        <w:t>providers</w:t>
      </w:r>
      <w:r w:rsidR="00ED75FE">
        <w:rPr>
          <w:rFonts w:ascii="Palatino Linotype" w:hAnsi="Palatino Linotype"/>
        </w:rPr>
        <w:t>,</w:t>
      </w:r>
      <w:r w:rsidRPr="00D81FEE">
        <w:rPr>
          <w:rFonts w:ascii="Palatino Linotype" w:hAnsi="Palatino Linotype"/>
        </w:rPr>
        <w:t xml:space="preserve"> are required to collect </w:t>
      </w:r>
      <w:r w:rsidRPr="00D81FEE" w:rsidR="00ED75FE">
        <w:rPr>
          <w:rFonts w:ascii="Palatino Linotype" w:hAnsi="Palatino Linotype"/>
        </w:rPr>
        <w:t>from</w:t>
      </w:r>
      <w:r w:rsidR="00ED75FE">
        <w:rPr>
          <w:rFonts w:ascii="Palatino Linotype" w:hAnsi="Palatino Linotype"/>
        </w:rPr>
        <w:t xml:space="preserve"> their </w:t>
      </w:r>
      <w:r w:rsidRPr="00D81FEE" w:rsidR="00ED75FE">
        <w:rPr>
          <w:rFonts w:ascii="Palatino Linotype" w:hAnsi="Palatino Linotype"/>
        </w:rPr>
        <w:t xml:space="preserve">end-users </w:t>
      </w:r>
      <w:r w:rsidRPr="00D81FEE">
        <w:rPr>
          <w:rFonts w:ascii="Palatino Linotype" w:hAnsi="Palatino Linotype"/>
        </w:rPr>
        <w:t xml:space="preserve">and remit </w:t>
      </w:r>
      <w:r w:rsidR="00ED75FE">
        <w:rPr>
          <w:rFonts w:ascii="Palatino Linotype" w:hAnsi="Palatino Linotype"/>
        </w:rPr>
        <w:t xml:space="preserve">to the CPUC </w:t>
      </w:r>
      <w:r w:rsidRPr="00D81FEE">
        <w:rPr>
          <w:rFonts w:ascii="Palatino Linotype" w:hAnsi="Palatino Linotype"/>
        </w:rPr>
        <w:t xml:space="preserve">public purpose program surcharges.  These surcharges fund the CPUC’s universal service programs. </w:t>
      </w:r>
    </w:p>
    <w:p w:rsidRPr="00825ECD" w:rsidR="00426552" w:rsidP="004F712C" w:rsidRDefault="00426552" w14:paraId="6ABF3ACC" w14:textId="77777777">
      <w:pPr>
        <w:tabs>
          <w:tab w:val="right" w:pos="10080"/>
        </w:tabs>
        <w:rPr>
          <w:rFonts w:ascii="Palatino Linotype" w:hAnsi="Palatino Linotype"/>
        </w:rPr>
      </w:pPr>
    </w:p>
    <w:p w:rsidR="00E866F2" w:rsidP="004F712C" w:rsidRDefault="003B1DBD" w14:paraId="67ED17CF" w14:textId="5DF8B4EC">
      <w:pPr>
        <w:tabs>
          <w:tab w:val="right" w:pos="10080"/>
        </w:tabs>
        <w:rPr>
          <w:rFonts w:ascii="Palatino Linotype" w:hAnsi="Palatino Linotype"/>
          <w:b/>
          <w:u w:val="single"/>
        </w:rPr>
      </w:pPr>
      <w:r w:rsidRPr="00520FD8">
        <w:rPr>
          <w:rFonts w:ascii="Palatino Linotype" w:hAnsi="Palatino Linotype"/>
          <w:b/>
          <w:u w:val="single"/>
        </w:rPr>
        <w:t>DISCUSSION</w:t>
      </w:r>
    </w:p>
    <w:p w:rsidRPr="00D81FEE" w:rsidR="00F32526" w:rsidP="004F712C" w:rsidRDefault="00F32526" w14:paraId="2941AFF5" w14:textId="77777777">
      <w:pPr>
        <w:tabs>
          <w:tab w:val="right" w:pos="10080"/>
        </w:tabs>
        <w:rPr>
          <w:rFonts w:ascii="Palatino Linotype" w:hAnsi="Palatino Linotype"/>
          <w:b/>
          <w:u w:val="single"/>
        </w:rPr>
      </w:pPr>
    </w:p>
    <w:p w:rsidR="003F0582" w:rsidP="004F712C" w:rsidRDefault="00D91660" w14:paraId="18A96F1F" w14:textId="4D9FCF20">
      <w:pPr>
        <w:tabs>
          <w:tab w:val="right" w:pos="9360"/>
        </w:tabs>
        <w:rPr>
          <w:rFonts w:ascii="Palatino Linotype" w:hAnsi="Palatino Linotype"/>
        </w:rPr>
      </w:pPr>
      <w:r>
        <w:rPr>
          <w:rFonts w:ascii="Palatino Linotype" w:hAnsi="Palatino Linotype"/>
        </w:rPr>
        <w:t>Pursuant to th</w:t>
      </w:r>
      <w:r w:rsidR="00CC1415">
        <w:rPr>
          <w:rFonts w:ascii="Palatino Linotype" w:hAnsi="Palatino Linotype"/>
        </w:rPr>
        <w:t>e</w:t>
      </w:r>
      <w:r w:rsidR="00356BC3">
        <w:rPr>
          <w:rFonts w:ascii="Palatino Linotype" w:hAnsi="Palatino Linotype"/>
        </w:rPr>
        <w:t xml:space="preserve"> </w:t>
      </w:r>
      <w:r>
        <w:rPr>
          <w:rFonts w:ascii="Palatino Linotype" w:hAnsi="Palatino Linotype"/>
        </w:rPr>
        <w:t>RDOF Order, winning bidders must obtain ETC designations for the geographic areas for which they receive RDOF support</w:t>
      </w:r>
      <w:r w:rsidR="007735CB">
        <w:rPr>
          <w:rFonts w:ascii="Palatino Linotype" w:hAnsi="Palatino Linotype"/>
        </w:rPr>
        <w:t>.</w:t>
      </w:r>
      <w:r w:rsidR="000E708E">
        <w:rPr>
          <w:rStyle w:val="FootnoteReference"/>
          <w:rFonts w:ascii="Palatino Linotype" w:hAnsi="Palatino Linotype"/>
        </w:rPr>
        <w:footnoteReference w:id="12"/>
      </w:r>
      <w:r w:rsidR="00CC1415">
        <w:rPr>
          <w:rFonts w:ascii="Palatino Linotype" w:hAnsi="Palatino Linotype"/>
        </w:rPr>
        <w:t xml:space="preserve">  Winning bidders</w:t>
      </w:r>
      <w:r>
        <w:rPr>
          <w:rFonts w:ascii="Palatino Linotype" w:hAnsi="Palatino Linotype"/>
        </w:rPr>
        <w:t xml:space="preserve"> must submit proof of ETC designation</w:t>
      </w:r>
      <w:r w:rsidR="00C23271">
        <w:rPr>
          <w:rFonts w:ascii="Palatino Linotype" w:hAnsi="Palatino Linotype"/>
        </w:rPr>
        <w:t xml:space="preserve"> to the FCC</w:t>
      </w:r>
      <w:r>
        <w:rPr>
          <w:rFonts w:ascii="Palatino Linotype" w:hAnsi="Palatino Linotype"/>
        </w:rPr>
        <w:t xml:space="preserve"> within 180 days of the </w:t>
      </w:r>
      <w:r w:rsidR="00CC1415">
        <w:rPr>
          <w:rFonts w:ascii="Palatino Linotype" w:hAnsi="Palatino Linotype"/>
        </w:rPr>
        <w:t>p</w:t>
      </w:r>
      <w:r>
        <w:rPr>
          <w:rFonts w:ascii="Palatino Linotype" w:hAnsi="Palatino Linotype"/>
        </w:rPr>
        <w:t xml:space="preserve">ublic </w:t>
      </w:r>
      <w:r w:rsidR="00CC1415">
        <w:rPr>
          <w:rFonts w:ascii="Palatino Linotype" w:hAnsi="Palatino Linotype"/>
        </w:rPr>
        <w:t>n</w:t>
      </w:r>
      <w:r>
        <w:rPr>
          <w:rFonts w:ascii="Palatino Linotype" w:hAnsi="Palatino Linotype"/>
        </w:rPr>
        <w:t>otice identifying winning bidders</w:t>
      </w:r>
      <w:r w:rsidR="007735CB">
        <w:rPr>
          <w:rFonts w:ascii="Palatino Linotype" w:hAnsi="Palatino Linotype"/>
        </w:rPr>
        <w:t>.</w:t>
      </w:r>
      <w:r>
        <w:rPr>
          <w:rStyle w:val="FootnoteReference"/>
          <w:rFonts w:ascii="Palatino Linotype" w:hAnsi="Palatino Linotype"/>
        </w:rPr>
        <w:footnoteReference w:id="13"/>
      </w:r>
      <w:r>
        <w:rPr>
          <w:rFonts w:ascii="Palatino Linotype" w:hAnsi="Palatino Linotype"/>
        </w:rPr>
        <w:t xml:space="preserve">  </w:t>
      </w:r>
    </w:p>
    <w:p w:rsidR="003F0582" w:rsidP="004F712C" w:rsidRDefault="003F0582" w14:paraId="4ACBA8F3" w14:textId="77777777">
      <w:pPr>
        <w:tabs>
          <w:tab w:val="right" w:pos="10080"/>
        </w:tabs>
        <w:rPr>
          <w:rFonts w:ascii="Palatino Linotype" w:hAnsi="Palatino Linotype"/>
        </w:rPr>
      </w:pPr>
    </w:p>
    <w:p w:rsidR="001810D2" w:rsidP="004F712C" w:rsidRDefault="003F0582" w14:paraId="4DCFD86F" w14:textId="06DED269">
      <w:pPr>
        <w:tabs>
          <w:tab w:val="right" w:pos="10080"/>
        </w:tabs>
        <w:rPr>
          <w:rFonts w:ascii="Palatino Linotype" w:hAnsi="Palatino Linotype"/>
        </w:rPr>
      </w:pPr>
      <w:r>
        <w:rPr>
          <w:rFonts w:ascii="Palatino Linotype" w:hAnsi="Palatino Linotype"/>
        </w:rPr>
        <w:t>For RDOF recipients</w:t>
      </w:r>
      <w:r w:rsidR="003306DD">
        <w:rPr>
          <w:rFonts w:ascii="Palatino Linotype" w:hAnsi="Palatino Linotype"/>
        </w:rPr>
        <w:t xml:space="preserve">, </w:t>
      </w:r>
      <w:r>
        <w:rPr>
          <w:rFonts w:ascii="Palatino Linotype" w:hAnsi="Palatino Linotype"/>
        </w:rPr>
        <w:t xml:space="preserve">staff proposes a streamlined </w:t>
      </w:r>
      <w:r w:rsidR="001D5E7D">
        <w:rPr>
          <w:rFonts w:ascii="Palatino Linotype" w:hAnsi="Palatino Linotype"/>
        </w:rPr>
        <w:t>process</w:t>
      </w:r>
      <w:r>
        <w:rPr>
          <w:rFonts w:ascii="Palatino Linotype" w:hAnsi="Palatino Linotype"/>
        </w:rPr>
        <w:t xml:space="preserve"> for ETC designation requests</w:t>
      </w:r>
      <w:r w:rsidR="00C23271">
        <w:rPr>
          <w:rFonts w:ascii="Palatino Linotype" w:hAnsi="Palatino Linotype"/>
        </w:rPr>
        <w:t xml:space="preserve"> d</w:t>
      </w:r>
      <w:r w:rsidR="00D91660">
        <w:rPr>
          <w:rFonts w:ascii="Palatino Linotype" w:hAnsi="Palatino Linotype"/>
        </w:rPr>
        <w:t xml:space="preserve">ue to the </w:t>
      </w:r>
      <w:r w:rsidR="003306DD">
        <w:rPr>
          <w:rFonts w:ascii="Palatino Linotype" w:hAnsi="Palatino Linotype"/>
        </w:rPr>
        <w:t xml:space="preserve">potential </w:t>
      </w:r>
      <w:r w:rsidR="00D91660">
        <w:rPr>
          <w:rFonts w:ascii="Palatino Linotype" w:hAnsi="Palatino Linotype"/>
        </w:rPr>
        <w:t>high number of service providers that may request ET</w:t>
      </w:r>
      <w:r>
        <w:rPr>
          <w:rFonts w:ascii="Palatino Linotype" w:hAnsi="Palatino Linotype"/>
        </w:rPr>
        <w:t xml:space="preserve">C </w:t>
      </w:r>
      <w:r w:rsidR="00D91660">
        <w:rPr>
          <w:rFonts w:ascii="Palatino Linotype" w:hAnsi="Palatino Linotype"/>
        </w:rPr>
        <w:t>designation pursuan</w:t>
      </w:r>
      <w:r w:rsidR="00115DDB">
        <w:rPr>
          <w:rFonts w:ascii="Palatino Linotype" w:hAnsi="Palatino Linotype"/>
        </w:rPr>
        <w:t xml:space="preserve">t </w:t>
      </w:r>
      <w:r w:rsidR="00D91660">
        <w:rPr>
          <w:rFonts w:ascii="Palatino Linotype" w:hAnsi="Palatino Linotype"/>
        </w:rPr>
        <w:t xml:space="preserve">to winning bids in </w:t>
      </w:r>
      <w:r w:rsidR="00D974FB">
        <w:rPr>
          <w:rFonts w:ascii="Palatino Linotype" w:hAnsi="Palatino Linotype"/>
        </w:rPr>
        <w:t xml:space="preserve">the </w:t>
      </w:r>
      <w:r w:rsidR="00D91660">
        <w:rPr>
          <w:rFonts w:ascii="Palatino Linotype" w:hAnsi="Palatino Linotype"/>
        </w:rPr>
        <w:t>RDOF</w:t>
      </w:r>
      <w:r w:rsidR="005F651D">
        <w:rPr>
          <w:rFonts w:ascii="Palatino Linotype" w:hAnsi="Palatino Linotype"/>
        </w:rPr>
        <w:t>.  The streamlined process will allow</w:t>
      </w:r>
      <w:r w:rsidR="00D91660">
        <w:rPr>
          <w:rFonts w:ascii="Palatino Linotype" w:hAnsi="Palatino Linotype"/>
        </w:rPr>
        <w:t xml:space="preserve"> </w:t>
      </w:r>
      <w:r>
        <w:rPr>
          <w:rFonts w:ascii="Palatino Linotype" w:hAnsi="Palatino Linotype"/>
        </w:rPr>
        <w:t xml:space="preserve">staff </w:t>
      </w:r>
      <w:r w:rsidR="005F651D">
        <w:rPr>
          <w:rFonts w:ascii="Palatino Linotype" w:hAnsi="Palatino Linotype"/>
        </w:rPr>
        <w:t>to</w:t>
      </w:r>
      <w:r w:rsidR="001810D2">
        <w:rPr>
          <w:rFonts w:ascii="Palatino Linotype" w:hAnsi="Palatino Linotype"/>
        </w:rPr>
        <w:t xml:space="preserve"> </w:t>
      </w:r>
    </w:p>
    <w:p w:rsidR="003306DD" w:rsidP="004F712C" w:rsidRDefault="005F651D" w14:paraId="79266300" w14:textId="6DC5453D">
      <w:pPr>
        <w:tabs>
          <w:tab w:val="right" w:pos="10080"/>
        </w:tabs>
        <w:rPr>
          <w:rFonts w:ascii="Palatino Linotype" w:hAnsi="Palatino Linotype"/>
        </w:rPr>
      </w:pPr>
      <w:r>
        <w:rPr>
          <w:rFonts w:ascii="Palatino Linotype" w:hAnsi="Palatino Linotype"/>
        </w:rPr>
        <w:t>review ETC designations in a more efficient manner and comply with the FCC’s 180-day deadline.</w:t>
      </w:r>
      <w:r w:rsidR="009B7842">
        <w:rPr>
          <w:rFonts w:ascii="Palatino Linotype" w:hAnsi="Palatino Linotype"/>
        </w:rPr>
        <w:t xml:space="preserve">   However, if the designation process takes longer than 180</w:t>
      </w:r>
      <w:r w:rsidR="007735CB">
        <w:rPr>
          <w:rFonts w:ascii="Palatino Linotype" w:hAnsi="Palatino Linotype"/>
        </w:rPr>
        <w:t xml:space="preserve"> </w:t>
      </w:r>
      <w:r w:rsidR="009B7842">
        <w:rPr>
          <w:rFonts w:ascii="Palatino Linotype" w:hAnsi="Palatino Linotype"/>
        </w:rPr>
        <w:t>days, an applicant may seek an extension with the FCC</w:t>
      </w:r>
      <w:r w:rsidR="007735CB">
        <w:rPr>
          <w:rFonts w:ascii="Palatino Linotype" w:hAnsi="Palatino Linotype"/>
        </w:rPr>
        <w:t>.</w:t>
      </w:r>
      <w:r w:rsidR="009B7842">
        <w:rPr>
          <w:rStyle w:val="FootnoteReference"/>
          <w:rFonts w:ascii="Palatino Linotype" w:hAnsi="Palatino Linotype"/>
        </w:rPr>
        <w:footnoteReference w:id="14"/>
      </w:r>
    </w:p>
    <w:p w:rsidR="00C23271" w:rsidP="004F712C" w:rsidRDefault="00C23271" w14:paraId="7CEB6F3E" w14:textId="058D404E">
      <w:pPr>
        <w:tabs>
          <w:tab w:val="right" w:pos="10080"/>
        </w:tabs>
        <w:rPr>
          <w:rFonts w:ascii="Palatino Linotype" w:hAnsi="Palatino Linotype"/>
        </w:rPr>
      </w:pPr>
    </w:p>
    <w:p w:rsidRPr="000926BA" w:rsidR="00F96E7D" w:rsidP="00F96E7D" w:rsidRDefault="00F96E7D" w14:paraId="4D7F8521" w14:textId="77777777">
      <w:pPr>
        <w:tabs>
          <w:tab w:val="right" w:pos="10080"/>
        </w:tabs>
        <w:rPr>
          <w:rFonts w:ascii="Palatino Linotype" w:hAnsi="Palatino Linotype"/>
          <w:b/>
          <w:bCs/>
        </w:rPr>
      </w:pPr>
      <w:r w:rsidRPr="00277693">
        <w:rPr>
          <w:rFonts w:ascii="Palatino Linotype" w:hAnsi="Palatino Linotype"/>
          <w:b/>
          <w:bCs/>
        </w:rPr>
        <w:t>The FCC’s Short</w:t>
      </w:r>
      <w:r>
        <w:rPr>
          <w:rFonts w:ascii="Palatino Linotype" w:hAnsi="Palatino Linotype"/>
          <w:b/>
          <w:bCs/>
        </w:rPr>
        <w:t>-</w:t>
      </w:r>
      <w:r w:rsidRPr="00277693">
        <w:rPr>
          <w:rFonts w:ascii="Palatino Linotype" w:hAnsi="Palatino Linotype"/>
          <w:b/>
          <w:bCs/>
        </w:rPr>
        <w:t>Form/Long</w:t>
      </w:r>
      <w:r>
        <w:rPr>
          <w:rFonts w:ascii="Palatino Linotype" w:hAnsi="Palatino Linotype"/>
          <w:b/>
          <w:bCs/>
        </w:rPr>
        <w:t>-</w:t>
      </w:r>
      <w:r w:rsidRPr="00277693">
        <w:rPr>
          <w:rFonts w:ascii="Palatino Linotype" w:hAnsi="Palatino Linotype"/>
          <w:b/>
          <w:bCs/>
        </w:rPr>
        <w:t>Form Application</w:t>
      </w:r>
    </w:p>
    <w:p w:rsidR="00F96E7D" w:rsidP="00F96E7D" w:rsidRDefault="00F96E7D" w14:paraId="30233435" w14:textId="5E732115">
      <w:pPr>
        <w:tabs>
          <w:tab w:val="right" w:pos="10080"/>
        </w:tabs>
        <w:rPr>
          <w:rFonts w:ascii="Palatino Linotype" w:hAnsi="Palatino Linotype"/>
        </w:rPr>
      </w:pPr>
      <w:r>
        <w:rPr>
          <w:rFonts w:ascii="Palatino Linotype" w:hAnsi="Palatino Linotype"/>
        </w:rPr>
        <w:t>The FCC requires interested applicants applying for RDOF to submit a pre-auction short-form application provid</w:t>
      </w:r>
      <w:r w:rsidR="007735CB">
        <w:rPr>
          <w:rFonts w:ascii="Palatino Linotype" w:hAnsi="Palatino Linotype"/>
        </w:rPr>
        <w:t>ing</w:t>
      </w:r>
      <w:r>
        <w:rPr>
          <w:rFonts w:ascii="Palatino Linotype" w:hAnsi="Palatino Linotype"/>
        </w:rPr>
        <w:t xml:space="preserve"> </w:t>
      </w:r>
      <w:r w:rsidR="00DF4F7C">
        <w:rPr>
          <w:rFonts w:ascii="Palatino Linotype" w:hAnsi="Palatino Linotype"/>
        </w:rPr>
        <w:t>the following</w:t>
      </w:r>
      <w:r w:rsidR="007735CB">
        <w:rPr>
          <w:rFonts w:ascii="Palatino Linotype" w:hAnsi="Palatino Linotype"/>
        </w:rPr>
        <w:t xml:space="preserve"> </w:t>
      </w:r>
      <w:r>
        <w:rPr>
          <w:rFonts w:ascii="Palatino Linotype" w:hAnsi="Palatino Linotype"/>
        </w:rPr>
        <w:t xml:space="preserve">basic information: </w:t>
      </w:r>
      <w:r w:rsidR="00DF4F7C">
        <w:rPr>
          <w:rFonts w:ascii="Palatino Linotype" w:hAnsi="Palatino Linotype"/>
        </w:rPr>
        <w:t xml:space="preserve"> applicant’s </w:t>
      </w:r>
      <w:r>
        <w:rPr>
          <w:rFonts w:ascii="Palatino Linotype" w:hAnsi="Palatino Linotype"/>
        </w:rPr>
        <w:t>identity</w:t>
      </w:r>
      <w:r w:rsidR="00DF4F7C">
        <w:rPr>
          <w:rFonts w:ascii="Palatino Linotype" w:hAnsi="Palatino Linotype"/>
        </w:rPr>
        <w:t>,</w:t>
      </w:r>
      <w:r>
        <w:rPr>
          <w:rFonts w:ascii="Palatino Linotype" w:hAnsi="Palatino Linotype"/>
        </w:rPr>
        <w:t xml:space="preserve"> ownership interest</w:t>
      </w:r>
      <w:r w:rsidR="00DF4F7C">
        <w:rPr>
          <w:rFonts w:ascii="Palatino Linotype" w:hAnsi="Palatino Linotype"/>
        </w:rPr>
        <w:t>,</w:t>
      </w:r>
      <w:r>
        <w:rPr>
          <w:rFonts w:ascii="Palatino Linotype" w:hAnsi="Palatino Linotype"/>
        </w:rPr>
        <w:t xml:space="preserve"> service offering types</w:t>
      </w:r>
      <w:r w:rsidR="00DF4F7C">
        <w:rPr>
          <w:rFonts w:ascii="Palatino Linotype" w:hAnsi="Palatino Linotype"/>
        </w:rPr>
        <w:t>,</w:t>
      </w:r>
      <w:r>
        <w:rPr>
          <w:rFonts w:ascii="Palatino Linotype" w:hAnsi="Palatino Linotype"/>
        </w:rPr>
        <w:t xml:space="preserve"> financial and technical qualifications</w:t>
      </w:r>
      <w:r w:rsidR="00DF4F7C">
        <w:rPr>
          <w:rFonts w:ascii="Palatino Linotype" w:hAnsi="Palatino Linotype"/>
        </w:rPr>
        <w:t>,</w:t>
      </w:r>
      <w:r>
        <w:rPr>
          <w:rFonts w:ascii="Palatino Linotype" w:hAnsi="Palatino Linotype"/>
        </w:rPr>
        <w:t xml:space="preserve"> operational history</w:t>
      </w:r>
      <w:r w:rsidR="00DF4F7C">
        <w:rPr>
          <w:rFonts w:ascii="Palatino Linotype" w:hAnsi="Palatino Linotype"/>
        </w:rPr>
        <w:t>,</w:t>
      </w:r>
      <w:r>
        <w:rPr>
          <w:rFonts w:ascii="Palatino Linotype" w:hAnsi="Palatino Linotype"/>
        </w:rPr>
        <w:t xml:space="preserve"> audited financial</w:t>
      </w:r>
      <w:r w:rsidR="00DF4F7C">
        <w:rPr>
          <w:rFonts w:ascii="Palatino Linotype" w:hAnsi="Palatino Linotype"/>
        </w:rPr>
        <w:t>s,</w:t>
      </w:r>
      <w:r>
        <w:rPr>
          <w:rFonts w:ascii="Palatino Linotype" w:hAnsi="Palatino Linotype"/>
        </w:rPr>
        <w:t xml:space="preserve"> ETC status</w:t>
      </w:r>
      <w:r w:rsidR="00DF4F7C">
        <w:rPr>
          <w:rFonts w:ascii="Palatino Linotype" w:hAnsi="Palatino Linotype"/>
        </w:rPr>
        <w:t>,</w:t>
      </w:r>
      <w:r>
        <w:rPr>
          <w:rFonts w:ascii="Palatino Linotype" w:hAnsi="Palatino Linotype"/>
        </w:rPr>
        <w:t xml:space="preserve"> spectrum access</w:t>
      </w:r>
      <w:r w:rsidR="00DF4F7C">
        <w:rPr>
          <w:rFonts w:ascii="Palatino Linotype" w:hAnsi="Palatino Linotype"/>
        </w:rPr>
        <w:t>,</w:t>
      </w:r>
      <w:r>
        <w:rPr>
          <w:rFonts w:ascii="Palatino Linotype" w:hAnsi="Palatino Linotype"/>
        </w:rPr>
        <w:t xml:space="preserve"> and due diligence certification</w:t>
      </w:r>
      <w:r w:rsidR="007735CB">
        <w:rPr>
          <w:rFonts w:ascii="Palatino Linotype" w:hAnsi="Palatino Linotype"/>
        </w:rPr>
        <w:t>.</w:t>
      </w:r>
      <w:r>
        <w:rPr>
          <w:rStyle w:val="FootnoteReference"/>
          <w:rFonts w:ascii="Palatino Linotype" w:hAnsi="Palatino Linotype"/>
        </w:rPr>
        <w:footnoteReference w:id="15"/>
      </w:r>
      <w:r>
        <w:rPr>
          <w:rFonts w:ascii="Palatino Linotype" w:hAnsi="Palatino Linotype"/>
        </w:rPr>
        <w:t xml:space="preserve">  </w:t>
      </w:r>
    </w:p>
    <w:p w:rsidR="00F96E7D" w:rsidP="00F96E7D" w:rsidRDefault="00F96E7D" w14:paraId="51969A56" w14:textId="77777777">
      <w:pPr>
        <w:tabs>
          <w:tab w:val="right" w:pos="10080"/>
        </w:tabs>
        <w:rPr>
          <w:rFonts w:ascii="Palatino Linotype" w:hAnsi="Palatino Linotype"/>
        </w:rPr>
      </w:pPr>
    </w:p>
    <w:p w:rsidR="00F96E7D" w:rsidP="00F96E7D" w:rsidRDefault="00F96E7D" w14:paraId="19ABC137" w14:textId="46A2253C">
      <w:pPr>
        <w:tabs>
          <w:tab w:val="right" w:pos="10080"/>
        </w:tabs>
        <w:rPr>
          <w:rFonts w:ascii="Palatino Linotype" w:hAnsi="Palatino Linotype"/>
        </w:rPr>
      </w:pPr>
      <w:r>
        <w:rPr>
          <w:rFonts w:ascii="Palatino Linotype" w:hAnsi="Palatino Linotype"/>
        </w:rPr>
        <w:t xml:space="preserve">The FCC’s </w:t>
      </w:r>
      <w:proofErr w:type="gramStart"/>
      <w:r>
        <w:rPr>
          <w:rFonts w:ascii="Palatino Linotype" w:hAnsi="Palatino Linotype"/>
        </w:rPr>
        <w:t>long-form</w:t>
      </w:r>
      <w:proofErr w:type="gramEnd"/>
      <w:r>
        <w:rPr>
          <w:rStyle w:val="FootnoteReference"/>
          <w:rFonts w:ascii="Palatino Linotype" w:hAnsi="Palatino Linotype"/>
        </w:rPr>
        <w:footnoteReference w:id="16"/>
      </w:r>
      <w:r>
        <w:rPr>
          <w:rFonts w:ascii="Palatino Linotype" w:hAnsi="Palatino Linotype"/>
        </w:rPr>
        <w:t xml:space="preserve"> requires applicants to submit more detailed information on:  </w:t>
      </w:r>
      <w:r w:rsidR="009F1A63">
        <w:rPr>
          <w:rFonts w:ascii="Palatino Linotype" w:hAnsi="Palatino Linotype"/>
        </w:rPr>
        <w:t>o</w:t>
      </w:r>
      <w:r w:rsidRPr="00F96E7D">
        <w:rPr>
          <w:rFonts w:ascii="Palatino Linotype" w:hAnsi="Palatino Linotype"/>
        </w:rPr>
        <w:t xml:space="preserve">wnership </w:t>
      </w:r>
      <w:r w:rsidR="009F1A63">
        <w:rPr>
          <w:rFonts w:ascii="Palatino Linotype" w:hAnsi="Palatino Linotype"/>
        </w:rPr>
        <w:t>d</w:t>
      </w:r>
      <w:r w:rsidRPr="00F96E7D">
        <w:rPr>
          <w:rFonts w:ascii="Palatino Linotype" w:hAnsi="Palatino Linotype"/>
        </w:rPr>
        <w:t>isclosure</w:t>
      </w:r>
      <w:r w:rsidR="00DF4F7C">
        <w:rPr>
          <w:rFonts w:ascii="Palatino Linotype" w:hAnsi="Palatino Linotype"/>
        </w:rPr>
        <w:t>,</w:t>
      </w:r>
      <w:r w:rsidRPr="00F96E7D">
        <w:rPr>
          <w:rFonts w:ascii="Palatino Linotype" w:hAnsi="Palatino Linotype"/>
        </w:rPr>
        <w:t xml:space="preserve"> </w:t>
      </w:r>
      <w:r w:rsidR="009F1A63">
        <w:rPr>
          <w:rFonts w:ascii="Palatino Linotype" w:hAnsi="Palatino Linotype"/>
        </w:rPr>
        <w:t>f</w:t>
      </w:r>
      <w:r w:rsidRPr="00F96E7D">
        <w:rPr>
          <w:rFonts w:ascii="Palatino Linotype" w:hAnsi="Palatino Linotype"/>
        </w:rPr>
        <w:t xml:space="preserve">inancial and </w:t>
      </w:r>
      <w:r w:rsidR="009F1A63">
        <w:rPr>
          <w:rFonts w:ascii="Palatino Linotype" w:hAnsi="Palatino Linotype"/>
        </w:rPr>
        <w:t>t</w:t>
      </w:r>
      <w:r w:rsidRPr="00F96E7D">
        <w:rPr>
          <w:rFonts w:ascii="Palatino Linotype" w:hAnsi="Palatino Linotype"/>
        </w:rPr>
        <w:t xml:space="preserve">echnical </w:t>
      </w:r>
      <w:r w:rsidR="009F1A63">
        <w:rPr>
          <w:rFonts w:ascii="Palatino Linotype" w:hAnsi="Palatino Linotype"/>
        </w:rPr>
        <w:t>c</w:t>
      </w:r>
      <w:r w:rsidRPr="00F96E7D">
        <w:rPr>
          <w:rFonts w:ascii="Palatino Linotype" w:hAnsi="Palatino Linotype"/>
        </w:rPr>
        <w:t xml:space="preserve">apability </w:t>
      </w:r>
      <w:r w:rsidR="009F1A63">
        <w:rPr>
          <w:rFonts w:ascii="Palatino Linotype" w:hAnsi="Palatino Linotype"/>
        </w:rPr>
        <w:t>c</w:t>
      </w:r>
      <w:r w:rsidRPr="00F96E7D">
        <w:rPr>
          <w:rFonts w:ascii="Palatino Linotype" w:hAnsi="Palatino Linotype"/>
        </w:rPr>
        <w:t>ertification</w:t>
      </w:r>
      <w:r w:rsidR="00DF4F7C">
        <w:rPr>
          <w:rFonts w:ascii="Palatino Linotype" w:hAnsi="Palatino Linotype"/>
        </w:rPr>
        <w:t>,</w:t>
      </w:r>
      <w:r>
        <w:rPr>
          <w:rFonts w:ascii="Palatino Linotype" w:hAnsi="Palatino Linotype"/>
        </w:rPr>
        <w:t xml:space="preserve"> </w:t>
      </w:r>
      <w:r w:rsidR="009F1A63">
        <w:rPr>
          <w:rFonts w:ascii="Palatino Linotype" w:hAnsi="Palatino Linotype"/>
        </w:rPr>
        <w:t>p</w:t>
      </w:r>
      <w:r w:rsidRPr="00F96E7D">
        <w:rPr>
          <w:rFonts w:ascii="Palatino Linotype" w:hAnsi="Palatino Linotype"/>
        </w:rPr>
        <w:t xml:space="preserve">ublic </w:t>
      </w:r>
      <w:r w:rsidR="009F1A63">
        <w:rPr>
          <w:rFonts w:ascii="Palatino Linotype" w:hAnsi="Palatino Linotype"/>
        </w:rPr>
        <w:t>i</w:t>
      </w:r>
      <w:r w:rsidRPr="00F96E7D">
        <w:rPr>
          <w:rFonts w:ascii="Palatino Linotype" w:hAnsi="Palatino Linotype"/>
        </w:rPr>
        <w:t xml:space="preserve">nterest </w:t>
      </w:r>
      <w:r w:rsidR="009F1A63">
        <w:rPr>
          <w:rFonts w:ascii="Palatino Linotype" w:hAnsi="Palatino Linotype"/>
        </w:rPr>
        <w:t>o</w:t>
      </w:r>
      <w:r w:rsidRPr="00F96E7D">
        <w:rPr>
          <w:rFonts w:ascii="Palatino Linotype" w:hAnsi="Palatino Linotype"/>
        </w:rPr>
        <w:t xml:space="preserve">bligation </w:t>
      </w:r>
      <w:r w:rsidR="009F1A63">
        <w:rPr>
          <w:rFonts w:ascii="Palatino Linotype" w:hAnsi="Palatino Linotype"/>
        </w:rPr>
        <w:t>c</w:t>
      </w:r>
      <w:r w:rsidRPr="00F96E7D">
        <w:rPr>
          <w:rFonts w:ascii="Palatino Linotype" w:hAnsi="Palatino Linotype"/>
        </w:rPr>
        <w:t>ertifications</w:t>
      </w:r>
      <w:r w:rsidR="00DF4F7C">
        <w:rPr>
          <w:rFonts w:ascii="Palatino Linotype" w:hAnsi="Palatino Linotype"/>
        </w:rPr>
        <w:t>,</w:t>
      </w:r>
      <w:r>
        <w:rPr>
          <w:rFonts w:ascii="Palatino Linotype" w:hAnsi="Palatino Linotype"/>
        </w:rPr>
        <w:t xml:space="preserve"> </w:t>
      </w:r>
      <w:r w:rsidR="009F1A63">
        <w:rPr>
          <w:rFonts w:ascii="Palatino Linotype" w:hAnsi="Palatino Linotype"/>
        </w:rPr>
        <w:t>d</w:t>
      </w:r>
      <w:r w:rsidRPr="00F96E7D">
        <w:rPr>
          <w:rFonts w:ascii="Palatino Linotype" w:hAnsi="Palatino Linotype"/>
        </w:rPr>
        <w:t xml:space="preserve">escription of </w:t>
      </w:r>
      <w:r w:rsidR="009F1A63">
        <w:rPr>
          <w:rFonts w:ascii="Palatino Linotype" w:hAnsi="Palatino Linotype"/>
        </w:rPr>
        <w:t>t</w:t>
      </w:r>
      <w:r w:rsidRPr="00F96E7D">
        <w:rPr>
          <w:rFonts w:ascii="Palatino Linotype" w:hAnsi="Palatino Linotype"/>
        </w:rPr>
        <w:t xml:space="preserve">echnology and </w:t>
      </w:r>
      <w:r w:rsidR="009F1A63">
        <w:rPr>
          <w:rFonts w:ascii="Palatino Linotype" w:hAnsi="Palatino Linotype"/>
        </w:rPr>
        <w:t>s</w:t>
      </w:r>
      <w:r w:rsidRPr="00F96E7D">
        <w:rPr>
          <w:rFonts w:ascii="Palatino Linotype" w:hAnsi="Palatino Linotype"/>
        </w:rPr>
        <w:t xml:space="preserve">ystem </w:t>
      </w:r>
      <w:r w:rsidR="009F1A63">
        <w:rPr>
          <w:rFonts w:ascii="Palatino Linotype" w:hAnsi="Palatino Linotype"/>
        </w:rPr>
        <w:t>d</w:t>
      </w:r>
      <w:r w:rsidRPr="00F96E7D">
        <w:rPr>
          <w:rFonts w:ascii="Palatino Linotype" w:hAnsi="Palatino Linotype"/>
        </w:rPr>
        <w:t>esign</w:t>
      </w:r>
      <w:r w:rsidR="00DF4F7C">
        <w:rPr>
          <w:rFonts w:ascii="Palatino Linotype" w:hAnsi="Palatino Linotype"/>
        </w:rPr>
        <w:t>,</w:t>
      </w:r>
      <w:r>
        <w:rPr>
          <w:rFonts w:ascii="Palatino Linotype" w:hAnsi="Palatino Linotype"/>
        </w:rPr>
        <w:t xml:space="preserve"> </w:t>
      </w:r>
      <w:r w:rsidR="009F1A63">
        <w:rPr>
          <w:rFonts w:ascii="Palatino Linotype" w:hAnsi="Palatino Linotype"/>
        </w:rPr>
        <w:t>a</w:t>
      </w:r>
      <w:r w:rsidRPr="00F96E7D">
        <w:rPr>
          <w:rFonts w:ascii="Palatino Linotype" w:hAnsi="Palatino Linotype"/>
        </w:rPr>
        <w:t xml:space="preserve">vailable </w:t>
      </w:r>
      <w:r w:rsidR="009F1A63">
        <w:rPr>
          <w:rFonts w:ascii="Palatino Linotype" w:hAnsi="Palatino Linotype"/>
        </w:rPr>
        <w:t>f</w:t>
      </w:r>
      <w:r w:rsidRPr="00F96E7D">
        <w:rPr>
          <w:rFonts w:ascii="Palatino Linotype" w:hAnsi="Palatino Linotype"/>
        </w:rPr>
        <w:t xml:space="preserve">unds </w:t>
      </w:r>
      <w:r w:rsidR="009F1A63">
        <w:rPr>
          <w:rFonts w:ascii="Palatino Linotype" w:hAnsi="Palatino Linotype"/>
        </w:rPr>
        <w:lastRenderedPageBreak/>
        <w:t>c</w:t>
      </w:r>
      <w:r w:rsidRPr="00F96E7D">
        <w:rPr>
          <w:rFonts w:ascii="Palatino Linotype" w:hAnsi="Palatino Linotype"/>
        </w:rPr>
        <w:t>ertification</w:t>
      </w:r>
      <w:r w:rsidR="00DF4F7C">
        <w:rPr>
          <w:rFonts w:ascii="Palatino Linotype" w:hAnsi="Palatino Linotype"/>
        </w:rPr>
        <w:t>,</w:t>
      </w:r>
      <w:r>
        <w:rPr>
          <w:rFonts w:ascii="Palatino Linotype" w:hAnsi="Palatino Linotype"/>
        </w:rPr>
        <w:t xml:space="preserve"> </w:t>
      </w:r>
      <w:r w:rsidRPr="00F96E7D">
        <w:rPr>
          <w:rFonts w:ascii="Palatino Linotype" w:hAnsi="Palatino Linotype"/>
        </w:rPr>
        <w:t xml:space="preserve">ETC </w:t>
      </w:r>
      <w:r w:rsidR="009F1A63">
        <w:rPr>
          <w:rFonts w:ascii="Palatino Linotype" w:hAnsi="Palatino Linotype"/>
        </w:rPr>
        <w:t>e</w:t>
      </w:r>
      <w:r w:rsidRPr="00F96E7D">
        <w:rPr>
          <w:rFonts w:ascii="Palatino Linotype" w:hAnsi="Palatino Linotype"/>
        </w:rPr>
        <w:t xml:space="preserve">ligibility and </w:t>
      </w:r>
      <w:r w:rsidR="009F1A63">
        <w:rPr>
          <w:rFonts w:ascii="Palatino Linotype" w:hAnsi="Palatino Linotype"/>
        </w:rPr>
        <w:t>d</w:t>
      </w:r>
      <w:r w:rsidRPr="00F96E7D">
        <w:rPr>
          <w:rFonts w:ascii="Palatino Linotype" w:hAnsi="Palatino Linotype"/>
        </w:rPr>
        <w:t>ocumentation</w:t>
      </w:r>
      <w:r w:rsidR="00DF4F7C">
        <w:rPr>
          <w:rFonts w:ascii="Palatino Linotype" w:hAnsi="Palatino Linotype"/>
        </w:rPr>
        <w:t>,</w:t>
      </w:r>
      <w:r>
        <w:rPr>
          <w:rFonts w:ascii="Palatino Linotype" w:hAnsi="Palatino Linotype"/>
        </w:rPr>
        <w:t xml:space="preserve"> </w:t>
      </w:r>
      <w:r w:rsidR="009F1A63">
        <w:rPr>
          <w:rFonts w:ascii="Palatino Linotype" w:hAnsi="Palatino Linotype"/>
        </w:rPr>
        <w:t>f</w:t>
      </w:r>
      <w:r w:rsidRPr="00F96E7D">
        <w:rPr>
          <w:rFonts w:ascii="Palatino Linotype" w:hAnsi="Palatino Linotype"/>
        </w:rPr>
        <w:t>orbearance from the service area redefinition process</w:t>
      </w:r>
      <w:r w:rsidR="00DF4F7C">
        <w:rPr>
          <w:rFonts w:ascii="Palatino Linotype" w:hAnsi="Palatino Linotype"/>
        </w:rPr>
        <w:t>,</w:t>
      </w:r>
      <w:r w:rsidRPr="00F96E7D">
        <w:rPr>
          <w:rFonts w:ascii="Palatino Linotype" w:hAnsi="Palatino Linotype"/>
        </w:rPr>
        <w:t xml:space="preserve"> </w:t>
      </w:r>
      <w:r>
        <w:rPr>
          <w:rFonts w:ascii="Palatino Linotype" w:hAnsi="Palatino Linotype"/>
        </w:rPr>
        <w:t xml:space="preserve">and </w:t>
      </w:r>
      <w:r w:rsidR="009F1A63">
        <w:rPr>
          <w:rFonts w:ascii="Palatino Linotype" w:hAnsi="Palatino Linotype"/>
        </w:rPr>
        <w:t>l</w:t>
      </w:r>
      <w:r w:rsidRPr="00F96E7D">
        <w:rPr>
          <w:rFonts w:ascii="Palatino Linotype" w:hAnsi="Palatino Linotype"/>
        </w:rPr>
        <w:t xml:space="preserve">etters of </w:t>
      </w:r>
      <w:r w:rsidR="009F1A63">
        <w:rPr>
          <w:rFonts w:ascii="Palatino Linotype" w:hAnsi="Palatino Linotype"/>
        </w:rPr>
        <w:t>c</w:t>
      </w:r>
      <w:r w:rsidRPr="00F96E7D">
        <w:rPr>
          <w:rFonts w:ascii="Palatino Linotype" w:hAnsi="Palatino Linotype"/>
        </w:rPr>
        <w:t>redit</w:t>
      </w:r>
      <w:r>
        <w:rPr>
          <w:rFonts w:ascii="Palatino Linotype" w:hAnsi="Palatino Linotype"/>
        </w:rPr>
        <w:t>.</w:t>
      </w:r>
    </w:p>
    <w:p w:rsidRPr="00905005" w:rsidR="007735CB" w:rsidP="00905005" w:rsidRDefault="007735CB" w14:paraId="120BB70C" w14:textId="667A077F">
      <w:pPr>
        <w:tabs>
          <w:tab w:val="right" w:pos="10080"/>
        </w:tabs>
        <w:rPr>
          <w:rFonts w:ascii="Palatino Linotype" w:hAnsi="Palatino Linotype"/>
          <w:b/>
          <w:bCs/>
        </w:rPr>
      </w:pPr>
    </w:p>
    <w:p w:rsidR="00F96E7D" w:rsidP="004C75F9" w:rsidRDefault="007F245A" w14:paraId="114D3AF1" w14:textId="05BCCB6D">
      <w:pPr>
        <w:tabs>
          <w:tab w:val="right" w:pos="10080"/>
        </w:tabs>
        <w:rPr>
          <w:rFonts w:ascii="Palatino Linotype" w:hAnsi="Palatino Linotype"/>
        </w:rPr>
      </w:pPr>
      <w:r>
        <w:rPr>
          <w:rFonts w:ascii="Palatino Linotype" w:hAnsi="Palatino Linotype"/>
        </w:rPr>
        <w:t xml:space="preserve">This Resolution </w:t>
      </w:r>
      <w:r w:rsidR="00B5247F">
        <w:rPr>
          <w:rFonts w:ascii="Palatino Linotype" w:hAnsi="Palatino Linotype"/>
        </w:rPr>
        <w:t xml:space="preserve">addresses how information can be collected from the short and </w:t>
      </w:r>
      <w:r w:rsidR="00ED674F">
        <w:rPr>
          <w:rFonts w:ascii="Palatino Linotype" w:hAnsi="Palatino Linotype"/>
        </w:rPr>
        <w:br/>
      </w:r>
      <w:r w:rsidR="00B5247F">
        <w:rPr>
          <w:rFonts w:ascii="Palatino Linotype" w:hAnsi="Palatino Linotype"/>
        </w:rPr>
        <w:t>long-form applications to satisfy the Federal ETC eligibility requirement</w:t>
      </w:r>
      <w:r w:rsidR="00D4164E">
        <w:rPr>
          <w:rFonts w:ascii="Palatino Linotype" w:hAnsi="Palatino Linotype"/>
        </w:rPr>
        <w:t>s (in areas where information is not available, applicants must separately submit</w:t>
      </w:r>
      <w:r w:rsidR="00426387">
        <w:rPr>
          <w:rFonts w:ascii="Palatino Linotype" w:hAnsi="Palatino Linotype"/>
        </w:rPr>
        <w:t xml:space="preserve"> documentation</w:t>
      </w:r>
      <w:r w:rsidR="00D4164E">
        <w:rPr>
          <w:rFonts w:ascii="Palatino Linotype" w:hAnsi="Palatino Linotype"/>
        </w:rPr>
        <w:t xml:space="preserve"> via </w:t>
      </w:r>
      <w:r w:rsidR="00426387">
        <w:rPr>
          <w:rFonts w:ascii="Palatino Linotype" w:hAnsi="Palatino Linotype"/>
        </w:rPr>
        <w:t xml:space="preserve">the CPUC’s </w:t>
      </w:r>
      <w:r w:rsidR="00D4164E">
        <w:rPr>
          <w:rFonts w:ascii="Palatino Linotype" w:hAnsi="Palatino Linotype"/>
        </w:rPr>
        <w:t xml:space="preserve">Advice Letter </w:t>
      </w:r>
      <w:proofErr w:type="gramStart"/>
      <w:r w:rsidR="00D4164E">
        <w:rPr>
          <w:rFonts w:ascii="Palatino Linotype" w:hAnsi="Palatino Linotype"/>
        </w:rPr>
        <w:t>process)</w:t>
      </w:r>
      <w:r w:rsidR="0090574F">
        <w:rPr>
          <w:rFonts w:ascii="Palatino Linotype" w:hAnsi="Palatino Linotype"/>
        </w:rPr>
        <w:t>(</w:t>
      </w:r>
      <w:proofErr w:type="gramEnd"/>
      <w:r w:rsidR="0090574F">
        <w:rPr>
          <w:rFonts w:ascii="Palatino Linotype" w:hAnsi="Palatino Linotype"/>
        </w:rPr>
        <w:t>See Appendix for summary of the requirements)</w:t>
      </w:r>
      <w:r w:rsidR="00B5247F">
        <w:rPr>
          <w:rFonts w:ascii="Palatino Linotype" w:hAnsi="Palatino Linotype"/>
        </w:rPr>
        <w:t>:</w:t>
      </w:r>
    </w:p>
    <w:p w:rsidR="00B5247F" w:rsidP="004C75F9" w:rsidRDefault="00B5247F" w14:paraId="7DA65898" w14:textId="77777777">
      <w:pPr>
        <w:tabs>
          <w:tab w:val="right" w:pos="10080"/>
        </w:tabs>
        <w:rPr>
          <w:rFonts w:ascii="Palatino Linotype" w:hAnsi="Palatino Linotype"/>
        </w:rPr>
      </w:pPr>
    </w:p>
    <w:p w:rsidR="00F96E7D" w:rsidP="004C75F9" w:rsidRDefault="00A40C70" w14:paraId="16A05F6E" w14:textId="3AEFEFF9">
      <w:pPr>
        <w:pStyle w:val="ListParagraph"/>
        <w:numPr>
          <w:ilvl w:val="0"/>
          <w:numId w:val="14"/>
        </w:numPr>
        <w:tabs>
          <w:tab w:val="right" w:pos="10080"/>
        </w:tabs>
        <w:rPr>
          <w:rFonts w:ascii="Palatino Linotype" w:hAnsi="Palatino Linotype"/>
        </w:rPr>
      </w:pPr>
      <w:r>
        <w:rPr>
          <w:rFonts w:ascii="Palatino Linotype" w:hAnsi="Palatino Linotype"/>
          <w:i/>
          <w:iCs/>
        </w:rPr>
        <w:t>Certification that the applicant offers or intends to offer all services designated for support</w:t>
      </w:r>
      <w:r w:rsidRPr="00B5247F" w:rsidR="00B5247F">
        <w:rPr>
          <w:rFonts w:ascii="Palatino Linotype" w:hAnsi="Palatino Linotype"/>
          <w:i/>
          <w:iCs/>
        </w:rPr>
        <w:t>.</w:t>
      </w:r>
      <w:r w:rsidR="00B5247F">
        <w:rPr>
          <w:rFonts w:ascii="Palatino Linotype" w:hAnsi="Palatino Linotype"/>
        </w:rPr>
        <w:t xml:space="preserve">  </w:t>
      </w:r>
      <w:r w:rsidR="003B5066">
        <w:rPr>
          <w:rFonts w:ascii="Palatino Linotype" w:hAnsi="Palatino Linotype"/>
        </w:rPr>
        <w:t xml:space="preserve">The type of technology to be used to provide service should be shown on the short-form application.  </w:t>
      </w:r>
      <w:r w:rsidR="007735CB">
        <w:rPr>
          <w:rFonts w:ascii="Palatino Linotype" w:hAnsi="Palatino Linotype"/>
        </w:rPr>
        <w:t>To</w:t>
      </w:r>
      <w:r w:rsidR="00A3163C">
        <w:rPr>
          <w:rFonts w:ascii="Palatino Linotype" w:hAnsi="Palatino Linotype"/>
        </w:rPr>
        <w:t xml:space="preserve"> bid on RDOF, applicants must offer broadband and voice services</w:t>
      </w:r>
      <w:r w:rsidR="007735CB">
        <w:rPr>
          <w:rFonts w:ascii="Palatino Linotype" w:hAnsi="Palatino Linotype"/>
        </w:rPr>
        <w:t>.</w:t>
      </w:r>
      <w:r w:rsidR="00A3163C">
        <w:rPr>
          <w:rStyle w:val="FootnoteReference"/>
          <w:rFonts w:ascii="Palatino Linotype" w:hAnsi="Palatino Linotype"/>
        </w:rPr>
        <w:footnoteReference w:id="17"/>
      </w:r>
      <w:r w:rsidR="00A3163C">
        <w:rPr>
          <w:rFonts w:ascii="Palatino Linotype" w:hAnsi="Palatino Linotype"/>
        </w:rPr>
        <w:t xml:space="preserve">  </w:t>
      </w:r>
      <w:r w:rsidR="003B5066">
        <w:rPr>
          <w:rFonts w:ascii="Palatino Linotype" w:hAnsi="Palatino Linotype"/>
        </w:rPr>
        <w:t xml:space="preserve">The FCC requires </w:t>
      </w:r>
      <w:r w:rsidR="00A3163C">
        <w:rPr>
          <w:rFonts w:ascii="Palatino Linotype" w:hAnsi="Palatino Linotype"/>
        </w:rPr>
        <w:t xml:space="preserve">recipients </w:t>
      </w:r>
      <w:r w:rsidRPr="004C75F9" w:rsidR="00A3163C">
        <w:rPr>
          <w:rFonts w:ascii="Palatino Linotype" w:hAnsi="Palatino Linotype"/>
        </w:rPr>
        <w:t>to file</w:t>
      </w:r>
      <w:r w:rsidR="00A3163C">
        <w:rPr>
          <w:rFonts w:ascii="Palatino Linotype" w:hAnsi="Palatino Linotype"/>
        </w:rPr>
        <w:t xml:space="preserve"> </w:t>
      </w:r>
      <w:r w:rsidR="00B5247F">
        <w:rPr>
          <w:rFonts w:ascii="Palatino Linotype" w:hAnsi="Palatino Linotype"/>
        </w:rPr>
        <w:t xml:space="preserve">annual </w:t>
      </w:r>
      <w:r w:rsidR="00204B70">
        <w:rPr>
          <w:rFonts w:ascii="Palatino Linotype" w:hAnsi="Palatino Linotype"/>
        </w:rPr>
        <w:t xml:space="preserve">FCC </w:t>
      </w:r>
      <w:r w:rsidR="005E1453">
        <w:rPr>
          <w:rFonts w:ascii="Palatino Linotype" w:hAnsi="Palatino Linotype"/>
        </w:rPr>
        <w:t>F</w:t>
      </w:r>
      <w:r w:rsidR="00204B70">
        <w:rPr>
          <w:rFonts w:ascii="Palatino Linotype" w:hAnsi="Palatino Linotype"/>
        </w:rPr>
        <w:t>orm 481</w:t>
      </w:r>
      <w:r w:rsidR="00A3163C">
        <w:rPr>
          <w:rFonts w:ascii="Palatino Linotype" w:hAnsi="Palatino Linotype"/>
        </w:rPr>
        <w:t xml:space="preserve">s </w:t>
      </w:r>
      <w:r w:rsidR="00B5247F">
        <w:rPr>
          <w:rFonts w:ascii="Palatino Linotype" w:hAnsi="Palatino Linotype"/>
        </w:rPr>
        <w:t xml:space="preserve">and </w:t>
      </w:r>
      <w:r w:rsidR="00204B70">
        <w:rPr>
          <w:rFonts w:ascii="Palatino Linotype" w:hAnsi="Palatino Linotype"/>
        </w:rPr>
        <w:t>section</w:t>
      </w:r>
      <w:r w:rsidR="00B5247F">
        <w:rPr>
          <w:rFonts w:ascii="Palatino Linotype" w:hAnsi="Palatino Linotype"/>
        </w:rPr>
        <w:t xml:space="preserve"> 54.314</w:t>
      </w:r>
      <w:r w:rsidR="00204B70">
        <w:rPr>
          <w:rFonts w:ascii="Palatino Linotype" w:hAnsi="Palatino Linotype"/>
        </w:rPr>
        <w:t xml:space="preserve"> certifications</w:t>
      </w:r>
      <w:r w:rsidR="007735CB">
        <w:rPr>
          <w:rFonts w:ascii="Palatino Linotype" w:hAnsi="Palatino Linotype"/>
        </w:rPr>
        <w:t>.</w:t>
      </w:r>
      <w:r w:rsidR="00C825E2">
        <w:rPr>
          <w:rStyle w:val="FootnoteReference"/>
          <w:rFonts w:ascii="Palatino Linotype" w:hAnsi="Palatino Linotype"/>
        </w:rPr>
        <w:footnoteReference w:id="18"/>
      </w:r>
    </w:p>
    <w:p w:rsidRPr="00A40C70" w:rsidR="00B5247F" w:rsidP="004C75F9" w:rsidRDefault="00B5247F" w14:paraId="31CCB49B" w14:textId="64394518">
      <w:pPr>
        <w:pStyle w:val="ListParagraph"/>
        <w:numPr>
          <w:ilvl w:val="0"/>
          <w:numId w:val="14"/>
        </w:numPr>
        <w:tabs>
          <w:tab w:val="right" w:pos="10080"/>
        </w:tabs>
        <w:rPr>
          <w:rFonts w:ascii="Palatino Linotype" w:hAnsi="Palatino Linotype"/>
          <w:i/>
          <w:iCs/>
        </w:rPr>
      </w:pPr>
      <w:r w:rsidRPr="00B5247F">
        <w:rPr>
          <w:rFonts w:ascii="Palatino Linotype" w:hAnsi="Palatino Linotype"/>
          <w:i/>
          <w:iCs/>
        </w:rPr>
        <w:t xml:space="preserve">Certification that the applicant offers or intends to offer the supported services using either its own facilities or a combination of its own facilities and resale of another carrier’s services.  </w:t>
      </w:r>
      <w:r>
        <w:rPr>
          <w:rFonts w:ascii="Palatino Linotype" w:hAnsi="Palatino Linotype"/>
        </w:rPr>
        <w:t>Due to the nature of the RDOF program, recipients must build infrastructure to rural areas over a 10-year period</w:t>
      </w:r>
      <w:r w:rsidR="00970AB1">
        <w:rPr>
          <w:rFonts w:ascii="Palatino Linotype" w:hAnsi="Palatino Linotype"/>
        </w:rPr>
        <w:t xml:space="preserve"> or disclose affiliates or partnerships in the short-form application.</w:t>
      </w:r>
    </w:p>
    <w:p w:rsidRPr="00A40C70" w:rsidR="00A40C70" w:rsidP="004C75F9" w:rsidRDefault="00A40C70" w14:paraId="73146737" w14:textId="055BD4A8">
      <w:pPr>
        <w:pStyle w:val="ListParagraph"/>
        <w:numPr>
          <w:ilvl w:val="0"/>
          <w:numId w:val="14"/>
        </w:numPr>
        <w:tabs>
          <w:tab w:val="right" w:pos="10080"/>
        </w:tabs>
        <w:rPr>
          <w:rFonts w:ascii="Palatino Linotype" w:hAnsi="Palatino Linotype"/>
          <w:i/>
          <w:iCs/>
        </w:rPr>
      </w:pPr>
      <w:r>
        <w:rPr>
          <w:rFonts w:ascii="Palatino Linotype" w:hAnsi="Palatino Linotype"/>
          <w:i/>
          <w:iCs/>
        </w:rPr>
        <w:t xml:space="preserve">A description of the marketing plan of the supported services and charges using media of general distribution.  </w:t>
      </w:r>
      <w:r>
        <w:rPr>
          <w:rFonts w:ascii="Palatino Linotype" w:hAnsi="Palatino Linotype"/>
        </w:rPr>
        <w:t>T</w:t>
      </w:r>
      <w:r w:rsidR="00012D6D">
        <w:rPr>
          <w:rFonts w:ascii="Palatino Linotype" w:hAnsi="Palatino Linotype"/>
        </w:rPr>
        <w:t>he FCC does not require submission of t</w:t>
      </w:r>
      <w:r>
        <w:rPr>
          <w:rFonts w:ascii="Palatino Linotype" w:hAnsi="Palatino Linotype"/>
        </w:rPr>
        <w:t xml:space="preserve">he marketing plan </w:t>
      </w:r>
      <w:r w:rsidR="00012D6D">
        <w:rPr>
          <w:rFonts w:ascii="Palatino Linotype" w:hAnsi="Palatino Linotype"/>
        </w:rPr>
        <w:t>with</w:t>
      </w:r>
      <w:r>
        <w:rPr>
          <w:rFonts w:ascii="Palatino Linotype" w:hAnsi="Palatino Linotype"/>
        </w:rPr>
        <w:t xml:space="preserve"> the short </w:t>
      </w:r>
      <w:r w:rsidR="00012D6D">
        <w:rPr>
          <w:rFonts w:ascii="Palatino Linotype" w:hAnsi="Palatino Linotype"/>
        </w:rPr>
        <w:t xml:space="preserve">or </w:t>
      </w:r>
      <w:r>
        <w:rPr>
          <w:rFonts w:ascii="Palatino Linotype" w:hAnsi="Palatino Linotype"/>
        </w:rPr>
        <w:t>long-form applications</w:t>
      </w:r>
      <w:r w:rsidR="007735CB">
        <w:rPr>
          <w:rFonts w:ascii="Palatino Linotype" w:hAnsi="Palatino Linotype"/>
        </w:rPr>
        <w:t>.</w:t>
      </w:r>
      <w:r>
        <w:rPr>
          <w:rFonts w:ascii="Palatino Linotype" w:hAnsi="Palatino Linotype"/>
        </w:rPr>
        <w:t xml:space="preserve"> </w:t>
      </w:r>
      <w:r w:rsidR="00012D6D">
        <w:rPr>
          <w:rFonts w:ascii="Palatino Linotype" w:hAnsi="Palatino Linotype"/>
        </w:rPr>
        <w:t xml:space="preserve"> </w:t>
      </w:r>
      <w:r w:rsidR="007735CB">
        <w:rPr>
          <w:rFonts w:ascii="Palatino Linotype" w:hAnsi="Palatino Linotype"/>
        </w:rPr>
        <w:t>T</w:t>
      </w:r>
      <w:r>
        <w:rPr>
          <w:rFonts w:ascii="Palatino Linotype" w:hAnsi="Palatino Linotype"/>
        </w:rPr>
        <w:t>herefore</w:t>
      </w:r>
      <w:r w:rsidR="00012D6D">
        <w:rPr>
          <w:rFonts w:ascii="Palatino Linotype" w:hAnsi="Palatino Linotype"/>
        </w:rPr>
        <w:t>, the CPUC will collect</w:t>
      </w:r>
      <w:r>
        <w:rPr>
          <w:rFonts w:ascii="Palatino Linotype" w:hAnsi="Palatino Linotype"/>
        </w:rPr>
        <w:t xml:space="preserve"> this information </w:t>
      </w:r>
      <w:r w:rsidR="00012D6D">
        <w:rPr>
          <w:rFonts w:ascii="Palatino Linotype" w:hAnsi="Palatino Linotype"/>
        </w:rPr>
        <w:t>with the</w:t>
      </w:r>
      <w:r>
        <w:rPr>
          <w:rFonts w:ascii="Palatino Linotype" w:hAnsi="Palatino Linotype"/>
        </w:rPr>
        <w:t xml:space="preserve"> </w:t>
      </w:r>
      <w:r w:rsidR="004A6C3C">
        <w:rPr>
          <w:rFonts w:ascii="Palatino Linotype" w:hAnsi="Palatino Linotype"/>
        </w:rPr>
        <w:t>application for ETC designation</w:t>
      </w:r>
      <w:r>
        <w:rPr>
          <w:rFonts w:ascii="Palatino Linotype" w:hAnsi="Palatino Linotype"/>
        </w:rPr>
        <w:t>.</w:t>
      </w:r>
    </w:p>
    <w:p w:rsidRPr="00A40C70" w:rsidR="00A40C70" w:rsidP="004C75F9" w:rsidRDefault="00A40C70" w14:paraId="492FF090" w14:textId="317DEDFF">
      <w:pPr>
        <w:pStyle w:val="ListParagraph"/>
        <w:numPr>
          <w:ilvl w:val="0"/>
          <w:numId w:val="14"/>
        </w:numPr>
        <w:tabs>
          <w:tab w:val="right" w:pos="10080"/>
        </w:tabs>
        <w:rPr>
          <w:rFonts w:ascii="Palatino Linotype" w:hAnsi="Palatino Linotype"/>
          <w:i/>
          <w:iCs/>
        </w:rPr>
      </w:pPr>
      <w:r>
        <w:rPr>
          <w:rFonts w:ascii="Palatino Linotype" w:hAnsi="Palatino Linotype"/>
          <w:i/>
          <w:iCs/>
        </w:rPr>
        <w:t xml:space="preserve">A detailed description of the geographic service area for which the applicant requests ETC designation.  </w:t>
      </w:r>
      <w:r>
        <w:rPr>
          <w:rFonts w:ascii="Palatino Linotype" w:hAnsi="Palatino Linotype"/>
        </w:rPr>
        <w:t xml:space="preserve">RDOF bidders may only bid on areas </w:t>
      </w:r>
      <w:r w:rsidR="00012D6D">
        <w:rPr>
          <w:rFonts w:ascii="Palatino Linotype" w:hAnsi="Palatino Linotype"/>
        </w:rPr>
        <w:t xml:space="preserve">the FCC </w:t>
      </w:r>
      <w:r>
        <w:rPr>
          <w:rFonts w:ascii="Palatino Linotype" w:hAnsi="Palatino Linotype"/>
        </w:rPr>
        <w:t>deem</w:t>
      </w:r>
      <w:r w:rsidR="00012D6D">
        <w:rPr>
          <w:rFonts w:ascii="Palatino Linotype" w:hAnsi="Palatino Linotype"/>
        </w:rPr>
        <w:t>s</w:t>
      </w:r>
      <w:r>
        <w:rPr>
          <w:rFonts w:ascii="Palatino Linotype" w:hAnsi="Palatino Linotype"/>
        </w:rPr>
        <w:t xml:space="preserve"> eligible</w:t>
      </w:r>
      <w:r w:rsidR="007735CB">
        <w:rPr>
          <w:rFonts w:ascii="Palatino Linotype" w:hAnsi="Palatino Linotype"/>
        </w:rPr>
        <w:t>.</w:t>
      </w:r>
      <w:r>
        <w:rPr>
          <w:rFonts w:ascii="Palatino Linotype" w:hAnsi="Palatino Linotype"/>
        </w:rPr>
        <w:t xml:space="preserve"> </w:t>
      </w:r>
      <w:r w:rsidR="009F1A63">
        <w:rPr>
          <w:rFonts w:ascii="Palatino Linotype" w:hAnsi="Palatino Linotype"/>
        </w:rPr>
        <w:t>Therefore,</w:t>
      </w:r>
      <w:r>
        <w:rPr>
          <w:rFonts w:ascii="Palatino Linotype" w:hAnsi="Palatino Linotype"/>
        </w:rPr>
        <w:t xml:space="preserve"> applicants </w:t>
      </w:r>
      <w:r w:rsidR="00012D6D">
        <w:rPr>
          <w:rFonts w:ascii="Palatino Linotype" w:hAnsi="Palatino Linotype"/>
        </w:rPr>
        <w:t>must</w:t>
      </w:r>
      <w:r>
        <w:rPr>
          <w:rFonts w:ascii="Palatino Linotype" w:hAnsi="Palatino Linotype"/>
        </w:rPr>
        <w:t xml:space="preserve"> submit a list of winning geographic service area(s).</w:t>
      </w:r>
    </w:p>
    <w:p w:rsidR="00A40C70" w:rsidP="004C75F9" w:rsidRDefault="00A40C70" w14:paraId="4BB42F5F" w14:textId="51BD2265">
      <w:pPr>
        <w:pStyle w:val="ListParagraph"/>
        <w:numPr>
          <w:ilvl w:val="0"/>
          <w:numId w:val="14"/>
        </w:numPr>
        <w:tabs>
          <w:tab w:val="right" w:pos="10080"/>
        </w:tabs>
        <w:rPr>
          <w:rFonts w:ascii="Palatino Linotype" w:hAnsi="Palatino Linotype"/>
          <w:i/>
          <w:iCs/>
        </w:rPr>
      </w:pPr>
      <w:r>
        <w:rPr>
          <w:rFonts w:ascii="Palatino Linotype" w:hAnsi="Palatino Linotype"/>
          <w:i/>
          <w:iCs/>
        </w:rPr>
        <w:t xml:space="preserve">Certify that it will comply with the service requirements applicable to the service it receives.  </w:t>
      </w:r>
      <w:r w:rsidR="002A3157">
        <w:rPr>
          <w:rFonts w:ascii="Palatino Linotype" w:hAnsi="Palatino Linotype"/>
        </w:rPr>
        <w:t>This requirement will be satisfied by the RDOF program’s service milestones, where support recipients must annually file FCC Form 481s and section 54.314 certifications</w:t>
      </w:r>
      <w:r w:rsidR="00C86FD3">
        <w:rPr>
          <w:rFonts w:ascii="Palatino Linotype" w:hAnsi="Palatino Linotype"/>
        </w:rPr>
        <w:t>.</w:t>
      </w:r>
      <w:r w:rsidR="002A3157">
        <w:rPr>
          <w:rStyle w:val="FootnoteReference"/>
          <w:rFonts w:ascii="Palatino Linotype" w:hAnsi="Palatino Linotype"/>
        </w:rPr>
        <w:footnoteReference w:id="19"/>
      </w:r>
      <w:r w:rsidR="002A3157">
        <w:rPr>
          <w:rFonts w:ascii="Palatino Linotype" w:hAnsi="Palatino Linotype"/>
        </w:rPr>
        <w:t xml:space="preserve">  </w:t>
      </w:r>
    </w:p>
    <w:p w:rsidR="00A40C70" w:rsidP="004C75F9" w:rsidRDefault="00A40C70" w14:paraId="18B8DC3C" w14:textId="2188ECE4">
      <w:pPr>
        <w:pStyle w:val="ListParagraph"/>
        <w:numPr>
          <w:ilvl w:val="0"/>
          <w:numId w:val="14"/>
        </w:numPr>
        <w:tabs>
          <w:tab w:val="right" w:pos="10080"/>
        </w:tabs>
        <w:rPr>
          <w:rFonts w:ascii="Palatino Linotype" w:hAnsi="Palatino Linotype"/>
          <w:i/>
          <w:iCs/>
        </w:rPr>
      </w:pPr>
      <w:r>
        <w:rPr>
          <w:rFonts w:ascii="Palatino Linotype" w:hAnsi="Palatino Linotype"/>
          <w:i/>
          <w:iCs/>
        </w:rPr>
        <w:t>Submit a five-year service plan</w:t>
      </w:r>
      <w:r w:rsidR="00C86FD3">
        <w:rPr>
          <w:rFonts w:ascii="Palatino Linotype" w:hAnsi="Palatino Linotype"/>
          <w:i/>
          <w:iCs/>
        </w:rPr>
        <w:t xml:space="preserve"> (applicable only to high-cost areas)</w:t>
      </w:r>
      <w:r>
        <w:rPr>
          <w:rFonts w:ascii="Palatino Linotype" w:hAnsi="Palatino Linotype"/>
          <w:i/>
          <w:iCs/>
        </w:rPr>
        <w:t xml:space="preserve">.  </w:t>
      </w:r>
      <w:r w:rsidR="004A6C3C">
        <w:rPr>
          <w:rFonts w:ascii="Palatino Linotype" w:hAnsi="Palatino Linotype"/>
        </w:rPr>
        <w:t>This requirement will be satisfied by the RDOF program</w:t>
      </w:r>
      <w:r w:rsidR="002A3157">
        <w:rPr>
          <w:rFonts w:ascii="Palatino Linotype" w:hAnsi="Palatino Linotype"/>
        </w:rPr>
        <w:t>’s</w:t>
      </w:r>
      <w:r w:rsidR="004A6C3C">
        <w:rPr>
          <w:rFonts w:ascii="Palatino Linotype" w:hAnsi="Palatino Linotype"/>
        </w:rPr>
        <w:t xml:space="preserve"> service milestones</w:t>
      </w:r>
      <w:r w:rsidR="00894566">
        <w:rPr>
          <w:rFonts w:ascii="Palatino Linotype" w:hAnsi="Palatino Linotype"/>
        </w:rPr>
        <w:t xml:space="preserve">, where the FCC will </w:t>
      </w:r>
      <w:r w:rsidR="00894566">
        <w:rPr>
          <w:rFonts w:ascii="Palatino Linotype" w:hAnsi="Palatino Linotype"/>
        </w:rPr>
        <w:lastRenderedPageBreak/>
        <w:t>monitor progress in meeting deployment obligations</w:t>
      </w:r>
      <w:r w:rsidR="0040759A">
        <w:rPr>
          <w:rFonts w:ascii="Palatino Linotype" w:hAnsi="Palatino Linotype"/>
        </w:rPr>
        <w:t>.</w:t>
      </w:r>
      <w:r w:rsidR="00894566">
        <w:rPr>
          <w:rStyle w:val="FootnoteReference"/>
          <w:rFonts w:ascii="Palatino Linotype" w:hAnsi="Palatino Linotype"/>
        </w:rPr>
        <w:footnoteReference w:id="20"/>
      </w:r>
      <w:r w:rsidR="00253786">
        <w:rPr>
          <w:rFonts w:ascii="Palatino Linotype" w:hAnsi="Palatino Linotype"/>
        </w:rPr>
        <w:t xml:space="preserve">  </w:t>
      </w:r>
      <w:r w:rsidR="0040759A">
        <w:rPr>
          <w:rFonts w:ascii="Palatino Linotype" w:hAnsi="Palatino Linotype"/>
        </w:rPr>
        <w:t>The FCC waived this requirement for Auction 903 support recipients.</w:t>
      </w:r>
      <w:r w:rsidR="0040759A">
        <w:rPr>
          <w:rStyle w:val="FootnoteReference"/>
          <w:rFonts w:ascii="Palatino Linotype" w:hAnsi="Palatino Linotype"/>
        </w:rPr>
        <w:footnoteReference w:id="21"/>
      </w:r>
      <w:r w:rsidR="0040759A">
        <w:rPr>
          <w:rFonts w:ascii="Palatino Linotype" w:hAnsi="Palatino Linotype"/>
        </w:rPr>
        <w:t xml:space="preserve"> </w:t>
      </w:r>
      <w:r w:rsidR="00027D7B">
        <w:rPr>
          <w:rStyle w:val="FootnoteReference"/>
          <w:rFonts w:ascii="Palatino Linotype" w:hAnsi="Palatino Linotype"/>
        </w:rPr>
        <w:footnoteReference w:id="22"/>
      </w:r>
      <w:r w:rsidR="0040759A">
        <w:rPr>
          <w:rFonts w:ascii="Palatino Linotype" w:hAnsi="Palatino Linotype"/>
        </w:rPr>
        <w:t xml:space="preserve"> </w:t>
      </w:r>
    </w:p>
    <w:p w:rsidR="00A40C70" w:rsidP="004C75F9" w:rsidRDefault="00A40C70" w14:paraId="71EEA23D" w14:textId="4BBA5525">
      <w:pPr>
        <w:pStyle w:val="ListParagraph"/>
        <w:numPr>
          <w:ilvl w:val="0"/>
          <w:numId w:val="14"/>
        </w:numPr>
        <w:tabs>
          <w:tab w:val="right" w:pos="10080"/>
        </w:tabs>
        <w:rPr>
          <w:rFonts w:ascii="Palatino Linotype" w:hAnsi="Palatino Linotype"/>
          <w:i/>
          <w:iCs/>
        </w:rPr>
      </w:pPr>
      <w:r>
        <w:rPr>
          <w:rFonts w:ascii="Palatino Linotype" w:hAnsi="Palatino Linotype"/>
          <w:i/>
          <w:iCs/>
        </w:rPr>
        <w:t>Demonstrate its ability to remain functional in emergency situations.</w:t>
      </w:r>
      <w:r w:rsidR="004A6C3C">
        <w:rPr>
          <w:rFonts w:ascii="Palatino Linotype" w:hAnsi="Palatino Linotype"/>
          <w:i/>
          <w:iCs/>
        </w:rPr>
        <w:t xml:space="preserve">  </w:t>
      </w:r>
      <w:r w:rsidR="004A6C3C">
        <w:rPr>
          <w:rFonts w:ascii="Palatino Linotype" w:hAnsi="Palatino Linotype"/>
        </w:rPr>
        <w:t>Th</w:t>
      </w:r>
      <w:r w:rsidR="00012D6D">
        <w:rPr>
          <w:rFonts w:ascii="Palatino Linotype" w:hAnsi="Palatino Linotype"/>
        </w:rPr>
        <w:t>e CPUC will collect th</w:t>
      </w:r>
      <w:r w:rsidR="004A6C3C">
        <w:rPr>
          <w:rFonts w:ascii="Palatino Linotype" w:hAnsi="Palatino Linotype"/>
        </w:rPr>
        <w:t xml:space="preserve">is information </w:t>
      </w:r>
      <w:r w:rsidR="00012D6D">
        <w:rPr>
          <w:rFonts w:ascii="Palatino Linotype" w:hAnsi="Palatino Linotype"/>
        </w:rPr>
        <w:t>when the</w:t>
      </w:r>
      <w:r w:rsidR="004A6C3C">
        <w:rPr>
          <w:rFonts w:ascii="Palatino Linotype" w:hAnsi="Palatino Linotype"/>
        </w:rPr>
        <w:t xml:space="preserve"> applicant </w:t>
      </w:r>
      <w:r w:rsidR="00012D6D">
        <w:rPr>
          <w:rFonts w:ascii="Palatino Linotype" w:hAnsi="Palatino Linotype"/>
        </w:rPr>
        <w:t xml:space="preserve">files </w:t>
      </w:r>
      <w:r w:rsidR="004A6C3C">
        <w:rPr>
          <w:rFonts w:ascii="Palatino Linotype" w:hAnsi="Palatino Linotype"/>
        </w:rPr>
        <w:t>for ETC designation.</w:t>
      </w:r>
    </w:p>
    <w:p w:rsidRPr="004C75F9" w:rsidR="00A40C70" w:rsidP="004C75F9" w:rsidRDefault="00A40C70" w14:paraId="71F0DA97" w14:textId="6C5F1A9E">
      <w:pPr>
        <w:pStyle w:val="ListParagraph"/>
        <w:numPr>
          <w:ilvl w:val="0"/>
          <w:numId w:val="14"/>
        </w:numPr>
        <w:tabs>
          <w:tab w:val="right" w:pos="10080"/>
        </w:tabs>
        <w:rPr>
          <w:rFonts w:ascii="Palatino Linotype" w:hAnsi="Palatino Linotype"/>
          <w:i/>
          <w:iCs/>
        </w:rPr>
      </w:pPr>
      <w:r>
        <w:rPr>
          <w:rFonts w:ascii="Palatino Linotype" w:hAnsi="Palatino Linotype"/>
          <w:i/>
          <w:iCs/>
        </w:rPr>
        <w:t>Demonstrate its ability to satisfy applicable consumer protection and service quality standards.</w:t>
      </w:r>
      <w:r w:rsidR="004A6C3C">
        <w:rPr>
          <w:rFonts w:ascii="Palatino Linotype" w:hAnsi="Palatino Linotype"/>
        </w:rPr>
        <w:t xml:space="preserve">  </w:t>
      </w:r>
      <w:r w:rsidR="00EB72A5">
        <w:rPr>
          <w:rFonts w:ascii="Palatino Linotype" w:hAnsi="Palatino Linotype"/>
        </w:rPr>
        <w:t>This requirement will be</w:t>
      </w:r>
      <w:r w:rsidR="00944A58">
        <w:rPr>
          <w:rFonts w:ascii="Palatino Linotype" w:hAnsi="Palatino Linotype"/>
        </w:rPr>
        <w:t xml:space="preserve"> demonstrated in </w:t>
      </w:r>
      <w:proofErr w:type="gramStart"/>
      <w:r w:rsidR="00944A58">
        <w:rPr>
          <w:rFonts w:ascii="Palatino Linotype" w:hAnsi="Palatino Linotype"/>
        </w:rPr>
        <w:t xml:space="preserve">both of the </w:t>
      </w:r>
      <w:r w:rsidR="00C86FD3">
        <w:rPr>
          <w:rFonts w:ascii="Palatino Linotype" w:hAnsi="Palatino Linotype"/>
        </w:rPr>
        <w:t>applications</w:t>
      </w:r>
      <w:proofErr w:type="gramEnd"/>
      <w:r w:rsidR="00C86FD3">
        <w:rPr>
          <w:rFonts w:ascii="Palatino Linotype" w:hAnsi="Palatino Linotype"/>
        </w:rPr>
        <w:t xml:space="preserve"> and</w:t>
      </w:r>
      <w:r w:rsidR="00EB72A5">
        <w:rPr>
          <w:rFonts w:ascii="Palatino Linotype" w:hAnsi="Palatino Linotype"/>
        </w:rPr>
        <w:t xml:space="preserve"> satisfied by the RDOF program’s specific service quality standards</w:t>
      </w:r>
      <w:r w:rsidR="00944A58">
        <w:rPr>
          <w:rFonts w:ascii="Palatino Linotype" w:hAnsi="Palatino Linotype"/>
        </w:rPr>
        <w:t xml:space="preserve"> and </w:t>
      </w:r>
      <w:r w:rsidRPr="004C75F9" w:rsidR="00944A58">
        <w:rPr>
          <w:rFonts w:ascii="Palatino Linotype" w:hAnsi="Palatino Linotype"/>
        </w:rPr>
        <w:t>performance quality requirements</w:t>
      </w:r>
      <w:r w:rsidRPr="004C75F9" w:rsidR="00C86FD3">
        <w:rPr>
          <w:rFonts w:ascii="Palatino Linotype" w:hAnsi="Palatino Linotype"/>
        </w:rPr>
        <w:t>.</w:t>
      </w:r>
      <w:r w:rsidRPr="004C75F9" w:rsidR="00944A58">
        <w:rPr>
          <w:rStyle w:val="FootnoteReference"/>
          <w:rFonts w:ascii="Palatino Linotype" w:hAnsi="Palatino Linotype"/>
        </w:rPr>
        <w:footnoteReference w:id="23"/>
      </w:r>
      <w:r w:rsidRPr="004C75F9" w:rsidR="00944A58">
        <w:rPr>
          <w:rFonts w:ascii="Palatino Linotype" w:hAnsi="Palatino Linotype"/>
        </w:rPr>
        <w:t xml:space="preserve">  </w:t>
      </w:r>
      <w:r w:rsidR="0040759A">
        <w:rPr>
          <w:rFonts w:ascii="Palatino Linotype" w:hAnsi="Palatino Linotype"/>
        </w:rPr>
        <w:t>The FCC also waived this requirement for Auction 903 support recipients.</w:t>
      </w:r>
    </w:p>
    <w:p w:rsidRPr="00970AB1" w:rsidR="00970AB1" w:rsidP="004C75F9" w:rsidRDefault="00970AB1" w14:paraId="550F7533" w14:textId="7B37561B">
      <w:pPr>
        <w:pStyle w:val="ListParagraph"/>
        <w:numPr>
          <w:ilvl w:val="0"/>
          <w:numId w:val="14"/>
        </w:numPr>
        <w:tabs>
          <w:tab w:val="right" w:pos="10080"/>
        </w:tabs>
        <w:rPr>
          <w:rFonts w:ascii="Palatino Linotype" w:hAnsi="Palatino Linotype"/>
          <w:i/>
          <w:iCs/>
        </w:rPr>
      </w:pPr>
      <w:r w:rsidRPr="004C75F9">
        <w:rPr>
          <w:rFonts w:ascii="Palatino Linotype" w:hAnsi="Palatino Linotype"/>
          <w:i/>
          <w:iCs/>
        </w:rPr>
        <w:t xml:space="preserve">Demonstrate financial and technical capability of providing Lifeline service.  </w:t>
      </w:r>
      <w:r w:rsidRPr="004C75F9">
        <w:rPr>
          <w:rFonts w:ascii="Palatino Linotype" w:hAnsi="Palatino Linotype"/>
        </w:rPr>
        <w:t>A</w:t>
      </w:r>
      <w:r w:rsidRPr="004C75F9" w:rsidR="00012D6D">
        <w:rPr>
          <w:rFonts w:ascii="Palatino Linotype" w:hAnsi="Palatino Linotype"/>
        </w:rPr>
        <w:t>n a</w:t>
      </w:r>
      <w:r w:rsidRPr="004C75F9">
        <w:rPr>
          <w:rFonts w:ascii="Palatino Linotype" w:hAnsi="Palatino Linotype"/>
        </w:rPr>
        <w:t>pplicant</w:t>
      </w:r>
      <w:r w:rsidRPr="004C75F9" w:rsidR="00012D6D">
        <w:rPr>
          <w:rFonts w:ascii="Palatino Linotype" w:hAnsi="Palatino Linotype"/>
        </w:rPr>
        <w:t xml:space="preserve"> </w:t>
      </w:r>
      <w:r w:rsidRPr="004C75F9">
        <w:rPr>
          <w:rFonts w:ascii="Palatino Linotype" w:hAnsi="Palatino Linotype"/>
        </w:rPr>
        <w:t>must certify in the long-form application that it is financially</w:t>
      </w:r>
      <w:r>
        <w:rPr>
          <w:rFonts w:ascii="Palatino Linotype" w:hAnsi="Palatino Linotype"/>
        </w:rPr>
        <w:t xml:space="preserve"> and technically qualified to meet the public interest obligations established for RDOF support</w:t>
      </w:r>
      <w:r w:rsidR="0040759A">
        <w:rPr>
          <w:rFonts w:ascii="Palatino Linotype" w:hAnsi="Palatino Linotype"/>
        </w:rPr>
        <w:t>.</w:t>
      </w:r>
      <w:r>
        <w:rPr>
          <w:rStyle w:val="FootnoteReference"/>
          <w:rFonts w:ascii="Palatino Linotype" w:hAnsi="Palatino Linotype"/>
        </w:rPr>
        <w:footnoteReference w:id="24"/>
      </w:r>
    </w:p>
    <w:p w:rsidRPr="00B5247F" w:rsidR="00A40C70" w:rsidP="004C75F9" w:rsidRDefault="00A40C70" w14:paraId="42655BD5" w14:textId="660625F3">
      <w:pPr>
        <w:pStyle w:val="ListParagraph"/>
        <w:numPr>
          <w:ilvl w:val="0"/>
          <w:numId w:val="14"/>
        </w:numPr>
        <w:tabs>
          <w:tab w:val="right" w:pos="10080"/>
        </w:tabs>
        <w:rPr>
          <w:rFonts w:ascii="Palatino Linotype" w:hAnsi="Palatino Linotype"/>
          <w:i/>
          <w:iCs/>
        </w:rPr>
      </w:pPr>
      <w:r>
        <w:rPr>
          <w:rFonts w:ascii="Palatino Linotype" w:hAnsi="Palatino Linotype"/>
          <w:i/>
          <w:iCs/>
        </w:rPr>
        <w:t xml:space="preserve">A public interest determination.  </w:t>
      </w:r>
      <w:r w:rsidR="00073E65">
        <w:rPr>
          <w:rFonts w:ascii="Palatino Linotype" w:hAnsi="Palatino Linotype"/>
        </w:rPr>
        <w:t>A</w:t>
      </w:r>
      <w:r w:rsidR="00012D6D">
        <w:rPr>
          <w:rFonts w:ascii="Palatino Linotype" w:hAnsi="Palatino Linotype"/>
        </w:rPr>
        <w:t>n a</w:t>
      </w:r>
      <w:r w:rsidR="00073E65">
        <w:rPr>
          <w:rFonts w:ascii="Palatino Linotype" w:hAnsi="Palatino Linotype"/>
        </w:rPr>
        <w:t xml:space="preserve">pplicant </w:t>
      </w:r>
      <w:r w:rsidR="00102C98">
        <w:rPr>
          <w:rFonts w:ascii="Palatino Linotype" w:hAnsi="Palatino Linotype"/>
        </w:rPr>
        <w:t xml:space="preserve">must certify in the long-form application that it is financially and technically qualified to meet the public interest obligations established for RDOF support. </w:t>
      </w:r>
    </w:p>
    <w:p w:rsidR="00F96E7D" w:rsidP="004C75F9" w:rsidRDefault="00F96E7D" w14:paraId="2A11E61C" w14:textId="0BB5972B">
      <w:pPr>
        <w:tabs>
          <w:tab w:val="right" w:pos="10080"/>
        </w:tabs>
        <w:rPr>
          <w:rFonts w:ascii="Palatino Linotype" w:hAnsi="Palatino Linotype"/>
        </w:rPr>
      </w:pPr>
    </w:p>
    <w:p w:rsidR="00B5247F" w:rsidP="004C75F9" w:rsidRDefault="00B5247F" w14:paraId="627C0389" w14:textId="21495339">
      <w:pPr>
        <w:tabs>
          <w:tab w:val="right" w:pos="10080"/>
        </w:tabs>
        <w:rPr>
          <w:rFonts w:ascii="Palatino Linotype" w:hAnsi="Palatino Linotype"/>
        </w:rPr>
      </w:pPr>
      <w:r>
        <w:rPr>
          <w:rFonts w:ascii="Palatino Linotype" w:hAnsi="Palatino Linotype"/>
        </w:rPr>
        <w:t xml:space="preserve">Given that the requirements in the FCC’s short-form and long-form applications are similar to the information needed to determine federal ETC requests (See </w:t>
      </w:r>
      <w:r w:rsidR="0090574F">
        <w:rPr>
          <w:rFonts w:ascii="Palatino Linotype" w:hAnsi="Palatino Linotype"/>
        </w:rPr>
        <w:t>Appendix</w:t>
      </w:r>
      <w:r>
        <w:rPr>
          <w:rFonts w:ascii="Palatino Linotype" w:hAnsi="Palatino Linotype"/>
        </w:rPr>
        <w:t xml:space="preserve">), Staff proposes to modify the ETC process to allow </w:t>
      </w:r>
      <w:r w:rsidR="00012D6D">
        <w:rPr>
          <w:rFonts w:ascii="Palatino Linotype" w:hAnsi="Palatino Linotype"/>
        </w:rPr>
        <w:t xml:space="preserve">a </w:t>
      </w:r>
      <w:r>
        <w:rPr>
          <w:rFonts w:ascii="Palatino Linotype" w:hAnsi="Palatino Linotype"/>
        </w:rPr>
        <w:t xml:space="preserve">service provider to submit </w:t>
      </w:r>
      <w:r w:rsidR="00012D6D">
        <w:rPr>
          <w:rFonts w:ascii="Palatino Linotype" w:hAnsi="Palatino Linotype"/>
        </w:rPr>
        <w:t xml:space="preserve">CPUC a copy of </w:t>
      </w:r>
      <w:r>
        <w:rPr>
          <w:rFonts w:ascii="Palatino Linotype" w:hAnsi="Palatino Linotype"/>
        </w:rPr>
        <w:t xml:space="preserve">the documentation it submits to the FCC </w:t>
      </w:r>
      <w:r w:rsidR="003B5066">
        <w:rPr>
          <w:rFonts w:ascii="Palatino Linotype" w:hAnsi="Palatino Linotype"/>
        </w:rPr>
        <w:t>during the short-f</w:t>
      </w:r>
      <w:r w:rsidR="0053201C">
        <w:rPr>
          <w:rFonts w:ascii="Palatino Linotype" w:hAnsi="Palatino Linotype"/>
        </w:rPr>
        <w:t>or</w:t>
      </w:r>
      <w:r w:rsidR="003B5066">
        <w:rPr>
          <w:rFonts w:ascii="Palatino Linotype" w:hAnsi="Palatino Linotype"/>
        </w:rPr>
        <w:t>m and long-form application window.</w:t>
      </w:r>
      <w:r w:rsidR="007C2E30">
        <w:rPr>
          <w:rFonts w:ascii="Palatino Linotype" w:hAnsi="Palatino Linotype"/>
        </w:rPr>
        <w:t xml:space="preserve">  </w:t>
      </w:r>
      <w:r>
        <w:rPr>
          <w:rFonts w:ascii="Palatino Linotype" w:hAnsi="Palatino Linotype"/>
        </w:rPr>
        <w:t>Th</w:t>
      </w:r>
      <w:r w:rsidR="003B5066">
        <w:rPr>
          <w:rFonts w:ascii="Palatino Linotype" w:hAnsi="Palatino Linotype"/>
        </w:rPr>
        <w:t>is</w:t>
      </w:r>
      <w:r>
        <w:rPr>
          <w:rFonts w:ascii="Palatino Linotype" w:hAnsi="Palatino Linotype"/>
        </w:rPr>
        <w:t xml:space="preserve"> two-stage process will mirror the FCC’s requirements in the short-form and long-form applications.   </w:t>
      </w:r>
    </w:p>
    <w:p w:rsidR="00F96E7D" w:rsidP="00F96E7D" w:rsidRDefault="00F96E7D" w14:paraId="5074FBAD" w14:textId="77777777">
      <w:pPr>
        <w:tabs>
          <w:tab w:val="right" w:pos="10080"/>
        </w:tabs>
        <w:jc w:val="both"/>
        <w:rPr>
          <w:rFonts w:ascii="Palatino Linotype" w:hAnsi="Palatino Linotype"/>
        </w:rPr>
      </w:pPr>
    </w:p>
    <w:p w:rsidR="00F96E7D" w:rsidP="004C75F9" w:rsidRDefault="00012D6D" w14:paraId="35F48277" w14:textId="7D928F12">
      <w:pPr>
        <w:tabs>
          <w:tab w:val="right" w:pos="10080"/>
        </w:tabs>
        <w:rPr>
          <w:rFonts w:ascii="Palatino Linotype" w:hAnsi="Palatino Linotype"/>
        </w:rPr>
      </w:pPr>
      <w:r>
        <w:rPr>
          <w:rFonts w:ascii="Palatino Linotype" w:hAnsi="Palatino Linotype"/>
        </w:rPr>
        <w:t>In order to</w:t>
      </w:r>
      <w:r w:rsidRPr="00B97F7E">
        <w:rPr>
          <w:rFonts w:ascii="Palatino Linotype" w:hAnsi="Palatino Linotype"/>
        </w:rPr>
        <w:t xml:space="preserve"> </w:t>
      </w:r>
      <w:r>
        <w:rPr>
          <w:rFonts w:ascii="Palatino Linotype" w:hAnsi="Palatino Linotype"/>
        </w:rPr>
        <w:t>satisfy the federal ETC requirements, t</w:t>
      </w:r>
      <w:r w:rsidR="00F96E7D">
        <w:rPr>
          <w:rFonts w:ascii="Palatino Linotype" w:hAnsi="Palatino Linotype"/>
        </w:rPr>
        <w:t>he CPUC will still require service providers to submit additional documentation</w:t>
      </w:r>
      <w:r w:rsidR="00D33253">
        <w:rPr>
          <w:rFonts w:ascii="Palatino Linotype" w:hAnsi="Palatino Linotype"/>
        </w:rPr>
        <w:t xml:space="preserve"> that </w:t>
      </w:r>
      <w:r w:rsidR="007C2E30">
        <w:rPr>
          <w:rFonts w:ascii="Palatino Linotype" w:hAnsi="Palatino Linotype"/>
        </w:rPr>
        <w:t xml:space="preserve">is </w:t>
      </w:r>
      <w:r w:rsidR="00D33253">
        <w:rPr>
          <w:rFonts w:ascii="Palatino Linotype" w:hAnsi="Palatino Linotype"/>
        </w:rPr>
        <w:t xml:space="preserve">not </w:t>
      </w:r>
      <w:r>
        <w:rPr>
          <w:rFonts w:ascii="Palatino Linotype" w:hAnsi="Palatino Linotype"/>
        </w:rPr>
        <w:t>required by</w:t>
      </w:r>
      <w:r w:rsidR="00D33253">
        <w:rPr>
          <w:rFonts w:ascii="Palatino Linotype" w:hAnsi="Palatino Linotype"/>
        </w:rPr>
        <w:t xml:space="preserve"> the short and long-form applications</w:t>
      </w:r>
      <w:r w:rsidR="00F96E7D">
        <w:rPr>
          <w:rFonts w:ascii="Palatino Linotype" w:hAnsi="Palatino Linotype"/>
        </w:rPr>
        <w:t xml:space="preserve">.  </w:t>
      </w:r>
      <w:r>
        <w:rPr>
          <w:rFonts w:ascii="Palatino Linotype" w:hAnsi="Palatino Linotype"/>
        </w:rPr>
        <w:t xml:space="preserve">This </w:t>
      </w:r>
      <w:r w:rsidR="00D33253">
        <w:rPr>
          <w:rFonts w:ascii="Palatino Linotype" w:hAnsi="Palatino Linotype"/>
        </w:rPr>
        <w:t>information includes</w:t>
      </w:r>
      <w:r>
        <w:rPr>
          <w:rFonts w:ascii="Palatino Linotype" w:hAnsi="Palatino Linotype"/>
        </w:rPr>
        <w:t xml:space="preserve"> the following</w:t>
      </w:r>
      <w:r w:rsidR="00F96E7D">
        <w:rPr>
          <w:rFonts w:ascii="Palatino Linotype" w:hAnsi="Palatino Linotype"/>
        </w:rPr>
        <w:t xml:space="preserve">: </w:t>
      </w:r>
    </w:p>
    <w:p w:rsidR="00F96E7D" w:rsidP="00F96E7D" w:rsidRDefault="00F96E7D" w14:paraId="003DE21B" w14:textId="77777777">
      <w:pPr>
        <w:tabs>
          <w:tab w:val="right" w:pos="10080"/>
        </w:tabs>
        <w:jc w:val="both"/>
        <w:rPr>
          <w:rFonts w:ascii="Palatino Linotype" w:hAnsi="Palatino Linotype"/>
        </w:rPr>
      </w:pPr>
    </w:p>
    <w:p w:rsidR="00F96E7D" w:rsidP="00F96E7D" w:rsidRDefault="00BC6184" w14:paraId="6117D53D" w14:textId="47B6B752">
      <w:pPr>
        <w:pStyle w:val="ListParagraph"/>
        <w:numPr>
          <w:ilvl w:val="0"/>
          <w:numId w:val="7"/>
        </w:numPr>
        <w:tabs>
          <w:tab w:val="right" w:pos="10080"/>
        </w:tabs>
        <w:jc w:val="both"/>
        <w:rPr>
          <w:rFonts w:ascii="Palatino Linotype" w:hAnsi="Palatino Linotype"/>
        </w:rPr>
      </w:pPr>
      <w:r>
        <w:rPr>
          <w:rFonts w:ascii="Palatino Linotype" w:hAnsi="Palatino Linotype"/>
        </w:rPr>
        <w:t>Submission of</w:t>
      </w:r>
      <w:r w:rsidR="00F96E7D">
        <w:rPr>
          <w:rFonts w:ascii="Palatino Linotype" w:hAnsi="Palatino Linotype"/>
        </w:rPr>
        <w:t xml:space="preserve"> proof of the FCC’s approval of the long-form application (this may be submitted </w:t>
      </w:r>
      <w:proofErr w:type="gramStart"/>
      <w:r w:rsidR="00F96E7D">
        <w:rPr>
          <w:rFonts w:ascii="Palatino Linotype" w:hAnsi="Palatino Linotype"/>
        </w:rPr>
        <w:t>at a later time</w:t>
      </w:r>
      <w:proofErr w:type="gramEnd"/>
      <w:r w:rsidR="00F96E7D">
        <w:rPr>
          <w:rFonts w:ascii="Palatino Linotype" w:hAnsi="Palatino Linotype"/>
        </w:rPr>
        <w:t>);</w:t>
      </w:r>
    </w:p>
    <w:p w:rsidR="00F96E7D" w:rsidP="00F96E7D" w:rsidRDefault="00BC6184" w14:paraId="6A5C5E2D" w14:textId="23859EBE">
      <w:pPr>
        <w:pStyle w:val="ListParagraph"/>
        <w:numPr>
          <w:ilvl w:val="0"/>
          <w:numId w:val="7"/>
        </w:numPr>
        <w:tabs>
          <w:tab w:val="right" w:pos="10080"/>
        </w:tabs>
        <w:jc w:val="both"/>
        <w:rPr>
          <w:rFonts w:ascii="Palatino Linotype" w:hAnsi="Palatino Linotype"/>
        </w:rPr>
      </w:pPr>
      <w:r>
        <w:rPr>
          <w:rFonts w:ascii="Palatino Linotype" w:hAnsi="Palatino Linotype"/>
        </w:rPr>
        <w:t xml:space="preserve">Submission of </w:t>
      </w:r>
      <w:r w:rsidR="00F96E7D">
        <w:rPr>
          <w:rFonts w:ascii="Palatino Linotype" w:hAnsi="Palatino Linotype"/>
        </w:rPr>
        <w:t>advertisement plan(s) of services with applicable terms and conditions;</w:t>
      </w:r>
    </w:p>
    <w:p w:rsidR="00F96E7D" w:rsidP="00F96E7D" w:rsidRDefault="00BC6184" w14:paraId="7495C47A" w14:textId="6085DE9E">
      <w:pPr>
        <w:pStyle w:val="ListParagraph"/>
        <w:numPr>
          <w:ilvl w:val="0"/>
          <w:numId w:val="7"/>
        </w:numPr>
        <w:tabs>
          <w:tab w:val="right" w:pos="10080"/>
        </w:tabs>
        <w:jc w:val="both"/>
        <w:rPr>
          <w:rFonts w:ascii="Palatino Linotype" w:hAnsi="Palatino Linotype"/>
        </w:rPr>
      </w:pPr>
      <w:r>
        <w:rPr>
          <w:rFonts w:ascii="Palatino Linotype" w:hAnsi="Palatino Linotype"/>
        </w:rPr>
        <w:lastRenderedPageBreak/>
        <w:t xml:space="preserve">Submission of </w:t>
      </w:r>
      <w:r w:rsidR="00F96E7D">
        <w:rPr>
          <w:rFonts w:ascii="Palatino Linotype" w:hAnsi="Palatino Linotype"/>
        </w:rPr>
        <w:t>a list (in excel format) of census blocks and maps of approved service areas; and</w:t>
      </w:r>
    </w:p>
    <w:p w:rsidR="00F96E7D" w:rsidP="00F96E7D" w:rsidRDefault="00BC6184" w14:paraId="309F7E3F" w14:textId="508A83CB">
      <w:pPr>
        <w:pStyle w:val="ListParagraph"/>
        <w:numPr>
          <w:ilvl w:val="0"/>
          <w:numId w:val="7"/>
        </w:numPr>
        <w:tabs>
          <w:tab w:val="right" w:pos="10080"/>
        </w:tabs>
        <w:jc w:val="both"/>
        <w:rPr>
          <w:rFonts w:ascii="Palatino Linotype" w:hAnsi="Palatino Linotype"/>
        </w:rPr>
      </w:pPr>
      <w:r>
        <w:rPr>
          <w:rFonts w:ascii="Palatino Linotype" w:hAnsi="Palatino Linotype"/>
        </w:rPr>
        <w:t>A</w:t>
      </w:r>
      <w:r w:rsidR="00F96E7D">
        <w:rPr>
          <w:rFonts w:ascii="Palatino Linotype" w:hAnsi="Palatino Linotype"/>
        </w:rPr>
        <w:t xml:space="preserve"> demonstration of the ability to remain functional in emergency situations</w:t>
      </w:r>
      <w:r w:rsidR="00CD25C4">
        <w:rPr>
          <w:rFonts w:ascii="Palatino Linotype" w:hAnsi="Palatino Linotype"/>
        </w:rPr>
        <w:t>.</w:t>
      </w:r>
    </w:p>
    <w:p w:rsidR="00F96E7D" w:rsidP="00F96E7D" w:rsidRDefault="00F96E7D" w14:paraId="71BB0F86" w14:textId="77777777">
      <w:pPr>
        <w:tabs>
          <w:tab w:val="right" w:pos="10080"/>
        </w:tabs>
        <w:jc w:val="both"/>
        <w:rPr>
          <w:rFonts w:ascii="Palatino Linotype" w:hAnsi="Palatino Linotype"/>
        </w:rPr>
      </w:pPr>
    </w:p>
    <w:p w:rsidR="00F96E7D" w:rsidP="004C75F9" w:rsidRDefault="00F96E7D" w14:paraId="304F8350" w14:textId="62DAEE9A">
      <w:pPr>
        <w:tabs>
          <w:tab w:val="right" w:pos="10080"/>
        </w:tabs>
        <w:rPr>
          <w:rFonts w:ascii="Palatino Linotype" w:hAnsi="Palatino Linotype"/>
        </w:rPr>
      </w:pPr>
      <w:r>
        <w:rPr>
          <w:rFonts w:ascii="Palatino Linotype" w:hAnsi="Palatino Linotype"/>
        </w:rPr>
        <w:t xml:space="preserve">With the information from the short-form application, CPUC staff will begin reviewing the ETC designation requests.  This modified ETC designation process is contingent on the service provider winning the RDOF award and being deemed eligible to receive support from the FCC and in compliance with all the necessary documentation.  </w:t>
      </w:r>
    </w:p>
    <w:p w:rsidR="00DC35FB" w:rsidP="004C75F9" w:rsidRDefault="00DC35FB" w14:paraId="3F70116A" w14:textId="77777777">
      <w:pPr>
        <w:tabs>
          <w:tab w:val="right" w:pos="10080"/>
        </w:tabs>
        <w:rPr>
          <w:rFonts w:ascii="Palatino Linotype" w:hAnsi="Palatino Linotype"/>
        </w:rPr>
      </w:pPr>
    </w:p>
    <w:p w:rsidR="00EB4A85" w:rsidP="004C75F9" w:rsidRDefault="00001FEC" w14:paraId="4ECD1C69" w14:textId="7D16C4C3">
      <w:pPr>
        <w:tabs>
          <w:tab w:val="right" w:pos="10080"/>
        </w:tabs>
        <w:rPr>
          <w:rFonts w:ascii="Palatino Linotype" w:hAnsi="Palatino Linotype"/>
        </w:rPr>
      </w:pPr>
      <w:r>
        <w:rPr>
          <w:rFonts w:ascii="Palatino Linotype" w:hAnsi="Palatino Linotype"/>
        </w:rPr>
        <w:t xml:space="preserve">The CPUC will also allow minor corrections, if needed, on </w:t>
      </w:r>
      <w:r w:rsidR="00E62DF4">
        <w:rPr>
          <w:rFonts w:ascii="Palatino Linotype" w:hAnsi="Palatino Linotype"/>
        </w:rPr>
        <w:t xml:space="preserve">short-form </w:t>
      </w:r>
      <w:r>
        <w:rPr>
          <w:rFonts w:ascii="Palatino Linotype" w:hAnsi="Palatino Linotype"/>
        </w:rPr>
        <w:t xml:space="preserve">applications consistent with the FCC’s rules on minor corrections.  </w:t>
      </w:r>
      <w:r w:rsidR="00B77CF0">
        <w:rPr>
          <w:rFonts w:ascii="Palatino Linotype" w:hAnsi="Palatino Linotype"/>
        </w:rPr>
        <w:t>Note that a</w:t>
      </w:r>
      <w:r w:rsidR="00772832">
        <w:rPr>
          <w:rFonts w:ascii="Palatino Linotype" w:hAnsi="Palatino Linotype"/>
        </w:rPr>
        <w:t>pplicant</w:t>
      </w:r>
      <w:r w:rsidR="007978DD">
        <w:rPr>
          <w:rFonts w:ascii="Palatino Linotype" w:hAnsi="Palatino Linotype"/>
        </w:rPr>
        <w:t>’s</w:t>
      </w:r>
      <w:r w:rsidR="00772832">
        <w:rPr>
          <w:rFonts w:ascii="Palatino Linotype" w:hAnsi="Palatino Linotype"/>
        </w:rPr>
        <w:t xml:space="preserve"> fil</w:t>
      </w:r>
      <w:r w:rsidR="00C86FD3">
        <w:rPr>
          <w:rFonts w:ascii="Palatino Linotype" w:hAnsi="Palatino Linotype"/>
        </w:rPr>
        <w:t>ing</w:t>
      </w:r>
      <w:r w:rsidR="00772832">
        <w:rPr>
          <w:rFonts w:ascii="Palatino Linotype" w:hAnsi="Palatino Linotype"/>
        </w:rPr>
        <w:t xml:space="preserve"> </w:t>
      </w:r>
      <w:r w:rsidR="00C86FD3">
        <w:rPr>
          <w:rFonts w:ascii="Palatino Linotype" w:hAnsi="Palatino Linotype"/>
        </w:rPr>
        <w:t xml:space="preserve">of </w:t>
      </w:r>
      <w:r w:rsidR="00772832">
        <w:rPr>
          <w:rFonts w:ascii="Palatino Linotype" w:hAnsi="Palatino Linotype"/>
        </w:rPr>
        <w:t xml:space="preserve">required forms and documentation </w:t>
      </w:r>
      <w:r w:rsidR="00BC4CA8">
        <w:rPr>
          <w:rFonts w:ascii="Palatino Linotype" w:hAnsi="Palatino Linotype"/>
        </w:rPr>
        <w:t xml:space="preserve">with the CPUC </w:t>
      </w:r>
      <w:r w:rsidR="00772832">
        <w:rPr>
          <w:rFonts w:ascii="Palatino Linotype" w:hAnsi="Palatino Linotype"/>
        </w:rPr>
        <w:t>does not guarantee</w:t>
      </w:r>
      <w:r w:rsidR="00BC4CA8">
        <w:rPr>
          <w:rFonts w:ascii="Palatino Linotype" w:hAnsi="Palatino Linotype"/>
        </w:rPr>
        <w:t xml:space="preserve"> automatic ETC</w:t>
      </w:r>
      <w:r w:rsidR="00772832">
        <w:rPr>
          <w:rFonts w:ascii="Palatino Linotype" w:hAnsi="Palatino Linotype"/>
        </w:rPr>
        <w:t xml:space="preserve"> designation.</w:t>
      </w:r>
      <w:r w:rsidR="007C7CAA">
        <w:rPr>
          <w:rFonts w:ascii="Palatino Linotype" w:hAnsi="Palatino Linotype"/>
        </w:rPr>
        <w:t xml:space="preserve">  Staff</w:t>
      </w:r>
      <w:r w:rsidRPr="00EB3004" w:rsidR="007C7CAA">
        <w:rPr>
          <w:rFonts w:ascii="Palatino Linotype" w:hAnsi="Palatino Linotype"/>
        </w:rPr>
        <w:t xml:space="preserve"> cannot guarantee ETC designations within 180</w:t>
      </w:r>
      <w:r w:rsidR="00C86FD3">
        <w:rPr>
          <w:rFonts w:ascii="Palatino Linotype" w:hAnsi="Palatino Linotype"/>
        </w:rPr>
        <w:t xml:space="preserve"> </w:t>
      </w:r>
      <w:r w:rsidRPr="00EB3004" w:rsidR="007C7CAA">
        <w:rPr>
          <w:rFonts w:ascii="Palatino Linotype" w:hAnsi="Palatino Linotype"/>
        </w:rPr>
        <w:t xml:space="preserve">days if </w:t>
      </w:r>
      <w:r w:rsidR="007978DD">
        <w:rPr>
          <w:rFonts w:ascii="Palatino Linotype" w:hAnsi="Palatino Linotype"/>
        </w:rPr>
        <w:t xml:space="preserve">an </w:t>
      </w:r>
      <w:r w:rsidR="007C7CAA">
        <w:rPr>
          <w:rFonts w:ascii="Palatino Linotype" w:hAnsi="Palatino Linotype"/>
        </w:rPr>
        <w:t>applicant</w:t>
      </w:r>
      <w:r w:rsidRPr="00EB3004" w:rsidR="007C7CAA">
        <w:rPr>
          <w:rFonts w:ascii="Palatino Linotype" w:hAnsi="Palatino Linotype"/>
        </w:rPr>
        <w:t xml:space="preserve"> do</w:t>
      </w:r>
      <w:r w:rsidR="007978DD">
        <w:rPr>
          <w:rFonts w:ascii="Palatino Linotype" w:hAnsi="Palatino Linotype"/>
        </w:rPr>
        <w:t>es</w:t>
      </w:r>
      <w:r w:rsidRPr="00EB3004" w:rsidR="007C7CAA">
        <w:rPr>
          <w:rFonts w:ascii="Palatino Linotype" w:hAnsi="Palatino Linotype"/>
        </w:rPr>
        <w:t xml:space="preserve"> not submit </w:t>
      </w:r>
      <w:r w:rsidR="007978DD">
        <w:rPr>
          <w:rFonts w:ascii="Palatino Linotype" w:hAnsi="Palatino Linotype"/>
        </w:rPr>
        <w:t>its</w:t>
      </w:r>
      <w:r w:rsidRPr="00EB3004" w:rsidR="007978DD">
        <w:rPr>
          <w:rFonts w:ascii="Palatino Linotype" w:hAnsi="Palatino Linotype"/>
        </w:rPr>
        <w:t xml:space="preserve"> </w:t>
      </w:r>
      <w:r w:rsidRPr="00EB3004" w:rsidR="007C7CAA">
        <w:rPr>
          <w:rFonts w:ascii="Palatino Linotype" w:hAnsi="Palatino Linotype"/>
        </w:rPr>
        <w:t>ETC designation request within the same window as the FCC’s application window for both the short and long-form applications.</w:t>
      </w:r>
      <w:r w:rsidR="00216E9F">
        <w:rPr>
          <w:rFonts w:ascii="Palatino Linotype" w:hAnsi="Palatino Linotype"/>
        </w:rPr>
        <w:t xml:space="preserve">  There may be a delay in processing ETC designation requests before the FCC’s deadline.</w:t>
      </w:r>
      <w:r w:rsidR="006E35AD">
        <w:rPr>
          <w:rFonts w:ascii="Palatino Linotype" w:hAnsi="Palatino Linotype"/>
        </w:rPr>
        <w:t xml:space="preserve">  ETC designation is limited to the eligible service areas in California that are awarded RDOF funds. </w:t>
      </w:r>
    </w:p>
    <w:p w:rsidR="00772832" w:rsidP="004F712C" w:rsidRDefault="00772832" w14:paraId="2A1C2BDC" w14:textId="77777777">
      <w:pPr>
        <w:tabs>
          <w:tab w:val="right" w:pos="10080"/>
        </w:tabs>
        <w:jc w:val="both"/>
        <w:rPr>
          <w:rFonts w:ascii="Palatino Linotype" w:hAnsi="Palatino Linotype"/>
        </w:rPr>
      </w:pPr>
    </w:p>
    <w:p w:rsidR="00550201" w:rsidP="004F712C" w:rsidRDefault="00550201" w14:paraId="4AE4A703" w14:textId="7BA8EEA5">
      <w:pPr>
        <w:tabs>
          <w:tab w:val="right" w:pos="10080"/>
        </w:tabs>
        <w:jc w:val="both"/>
        <w:rPr>
          <w:rFonts w:ascii="Palatino Linotype" w:hAnsi="Palatino Linotype"/>
          <w:u w:val="single"/>
        </w:rPr>
      </w:pPr>
      <w:r>
        <w:rPr>
          <w:rFonts w:ascii="Palatino Linotype" w:hAnsi="Palatino Linotype"/>
          <w:u w:val="single"/>
        </w:rPr>
        <w:t>Summary of t</w:t>
      </w:r>
      <w:r w:rsidRPr="00550201">
        <w:rPr>
          <w:rFonts w:ascii="Palatino Linotype" w:hAnsi="Palatino Linotype"/>
          <w:u w:val="single"/>
        </w:rPr>
        <w:t xml:space="preserve">he </w:t>
      </w:r>
      <w:r>
        <w:rPr>
          <w:rFonts w:ascii="Palatino Linotype" w:hAnsi="Palatino Linotype"/>
          <w:u w:val="single"/>
        </w:rPr>
        <w:t>m</w:t>
      </w:r>
      <w:r w:rsidRPr="00550201">
        <w:rPr>
          <w:rFonts w:ascii="Palatino Linotype" w:hAnsi="Palatino Linotype"/>
          <w:u w:val="single"/>
        </w:rPr>
        <w:t xml:space="preserve">odified ETC </w:t>
      </w:r>
      <w:r>
        <w:rPr>
          <w:rFonts w:ascii="Palatino Linotype" w:hAnsi="Palatino Linotype"/>
          <w:u w:val="single"/>
        </w:rPr>
        <w:t>p</w:t>
      </w:r>
      <w:r w:rsidRPr="00550201">
        <w:rPr>
          <w:rFonts w:ascii="Palatino Linotype" w:hAnsi="Palatino Linotype"/>
          <w:u w:val="single"/>
        </w:rPr>
        <w:t>rocess</w:t>
      </w:r>
    </w:p>
    <w:p w:rsidR="00550201" w:rsidP="004F712C" w:rsidRDefault="00550201" w14:paraId="221FF818" w14:textId="3F7D7C52">
      <w:pPr>
        <w:tabs>
          <w:tab w:val="right" w:pos="10080"/>
        </w:tabs>
        <w:jc w:val="both"/>
        <w:rPr>
          <w:rFonts w:ascii="Palatino Linotype" w:hAnsi="Palatino Linotype"/>
          <w:u w:val="single"/>
        </w:rPr>
      </w:pPr>
    </w:p>
    <w:p w:rsidR="00550201" w:rsidP="004C75F9" w:rsidRDefault="008B4017" w14:paraId="4C173A31" w14:textId="44180AC3">
      <w:pPr>
        <w:pStyle w:val="ListParagraph"/>
        <w:numPr>
          <w:ilvl w:val="0"/>
          <w:numId w:val="11"/>
        </w:numPr>
        <w:tabs>
          <w:tab w:val="right" w:pos="10080"/>
        </w:tabs>
        <w:rPr>
          <w:rFonts w:ascii="Palatino Linotype" w:hAnsi="Palatino Linotype"/>
        </w:rPr>
      </w:pPr>
      <w:r>
        <w:rPr>
          <w:rFonts w:ascii="Palatino Linotype" w:hAnsi="Palatino Linotype"/>
        </w:rPr>
        <w:t>RDOF applicants</w:t>
      </w:r>
      <w:r w:rsidR="00550201">
        <w:rPr>
          <w:rFonts w:ascii="Palatino Linotype" w:hAnsi="Palatino Linotype"/>
        </w:rPr>
        <w:t xml:space="preserve"> can submit a</w:t>
      </w:r>
      <w:r>
        <w:rPr>
          <w:rFonts w:ascii="Palatino Linotype" w:hAnsi="Palatino Linotype"/>
        </w:rPr>
        <w:t xml:space="preserve"> </w:t>
      </w:r>
      <w:r w:rsidR="00550201">
        <w:rPr>
          <w:rFonts w:ascii="Palatino Linotype" w:hAnsi="Palatino Linotype"/>
        </w:rPr>
        <w:t xml:space="preserve">copy of the FCC’s </w:t>
      </w:r>
      <w:proofErr w:type="gramStart"/>
      <w:r w:rsidR="00550201">
        <w:rPr>
          <w:rFonts w:ascii="Palatino Linotype" w:hAnsi="Palatino Linotype"/>
        </w:rPr>
        <w:t>short</w:t>
      </w:r>
      <w:r>
        <w:rPr>
          <w:rFonts w:ascii="Palatino Linotype" w:hAnsi="Palatino Linotype"/>
        </w:rPr>
        <w:t>-</w:t>
      </w:r>
      <w:r w:rsidR="00550201">
        <w:rPr>
          <w:rFonts w:ascii="Palatino Linotype" w:hAnsi="Palatino Linotype"/>
        </w:rPr>
        <w:t>form</w:t>
      </w:r>
      <w:proofErr w:type="gramEnd"/>
      <w:r w:rsidR="00BA12DF">
        <w:rPr>
          <w:rFonts w:ascii="Palatino Linotype" w:hAnsi="Palatino Linotype"/>
        </w:rPr>
        <w:t xml:space="preserve">, </w:t>
      </w:r>
      <w:r w:rsidR="009F0509">
        <w:rPr>
          <w:rFonts w:ascii="Palatino Linotype" w:hAnsi="Palatino Linotype"/>
        </w:rPr>
        <w:t xml:space="preserve">as an information only Tier </w:t>
      </w:r>
      <w:proofErr w:type="spellStart"/>
      <w:r w:rsidR="009F0509">
        <w:rPr>
          <w:rFonts w:ascii="Palatino Linotype" w:hAnsi="Palatino Linotype"/>
        </w:rPr>
        <w:t>I Advice</w:t>
      </w:r>
      <w:proofErr w:type="spellEnd"/>
      <w:r w:rsidR="009F0509">
        <w:rPr>
          <w:rFonts w:ascii="Palatino Linotype" w:hAnsi="Palatino Linotype"/>
        </w:rPr>
        <w:t xml:space="preserve"> Letter</w:t>
      </w:r>
      <w:r w:rsidR="00BA12DF">
        <w:rPr>
          <w:rFonts w:ascii="Palatino Linotype" w:hAnsi="Palatino Linotype"/>
        </w:rPr>
        <w:t xml:space="preserve">, </w:t>
      </w:r>
      <w:r w:rsidR="00550201">
        <w:rPr>
          <w:rFonts w:ascii="Palatino Linotype" w:hAnsi="Palatino Linotype"/>
        </w:rPr>
        <w:t>to the CPUC during the</w:t>
      </w:r>
      <w:r w:rsidR="00EB3004">
        <w:rPr>
          <w:rFonts w:ascii="Palatino Linotype" w:hAnsi="Palatino Linotype"/>
        </w:rPr>
        <w:t xml:space="preserve"> FCC’s</w:t>
      </w:r>
      <w:r w:rsidR="00550201">
        <w:rPr>
          <w:rFonts w:ascii="Palatino Linotype" w:hAnsi="Palatino Linotype"/>
        </w:rPr>
        <w:t xml:space="preserve"> </w:t>
      </w:r>
      <w:r>
        <w:rPr>
          <w:rFonts w:ascii="Palatino Linotype" w:hAnsi="Palatino Linotype"/>
        </w:rPr>
        <w:t xml:space="preserve">application </w:t>
      </w:r>
      <w:r w:rsidR="00550201">
        <w:rPr>
          <w:rFonts w:ascii="Palatino Linotype" w:hAnsi="Palatino Linotype"/>
        </w:rPr>
        <w:t>window</w:t>
      </w:r>
      <w:r>
        <w:rPr>
          <w:rFonts w:ascii="Palatino Linotype" w:hAnsi="Palatino Linotype"/>
        </w:rPr>
        <w:t xml:space="preserve">.  </w:t>
      </w:r>
      <w:r w:rsidR="00550201">
        <w:rPr>
          <w:rFonts w:ascii="Palatino Linotype" w:hAnsi="Palatino Linotype"/>
        </w:rPr>
        <w:t xml:space="preserve"> </w:t>
      </w:r>
    </w:p>
    <w:p w:rsidR="00550201" w:rsidP="004C75F9" w:rsidRDefault="008B4017" w14:paraId="023ACC16" w14:textId="73F7C029">
      <w:pPr>
        <w:pStyle w:val="ListParagraph"/>
        <w:numPr>
          <w:ilvl w:val="0"/>
          <w:numId w:val="11"/>
        </w:numPr>
        <w:tabs>
          <w:tab w:val="right" w:pos="10080"/>
        </w:tabs>
        <w:rPr>
          <w:rFonts w:ascii="Palatino Linotype" w:hAnsi="Palatino Linotype"/>
        </w:rPr>
      </w:pPr>
      <w:r>
        <w:rPr>
          <w:rFonts w:ascii="Palatino Linotype" w:hAnsi="Palatino Linotype"/>
        </w:rPr>
        <w:t xml:space="preserve">Once </w:t>
      </w:r>
      <w:r w:rsidR="00610D55">
        <w:rPr>
          <w:rFonts w:ascii="Palatino Linotype" w:hAnsi="Palatino Linotype"/>
        </w:rPr>
        <w:t xml:space="preserve">the </w:t>
      </w:r>
      <w:r>
        <w:rPr>
          <w:rFonts w:ascii="Palatino Linotype" w:hAnsi="Palatino Linotype"/>
        </w:rPr>
        <w:t xml:space="preserve">FCC announces the winning bidders, </w:t>
      </w:r>
      <w:r w:rsidR="00EB3004">
        <w:rPr>
          <w:rFonts w:ascii="Palatino Linotype" w:hAnsi="Palatino Linotype"/>
        </w:rPr>
        <w:t>applicants</w:t>
      </w:r>
      <w:r>
        <w:rPr>
          <w:rFonts w:ascii="Palatino Linotype" w:hAnsi="Palatino Linotype"/>
        </w:rPr>
        <w:t xml:space="preserve"> can submit a copy of the FCC’s </w:t>
      </w:r>
      <w:proofErr w:type="gramStart"/>
      <w:r>
        <w:rPr>
          <w:rFonts w:ascii="Palatino Linotype" w:hAnsi="Palatino Linotype"/>
        </w:rPr>
        <w:t>long-form</w:t>
      </w:r>
      <w:proofErr w:type="gramEnd"/>
      <w:r>
        <w:rPr>
          <w:rFonts w:ascii="Palatino Linotype" w:hAnsi="Palatino Linotype"/>
        </w:rPr>
        <w:t xml:space="preserve"> to the CPUC</w:t>
      </w:r>
      <w:r w:rsidR="00EB3004">
        <w:rPr>
          <w:rFonts w:ascii="Palatino Linotype" w:hAnsi="Palatino Linotype"/>
        </w:rPr>
        <w:t>,</w:t>
      </w:r>
      <w:r>
        <w:rPr>
          <w:rFonts w:ascii="Palatino Linotype" w:hAnsi="Palatino Linotype"/>
        </w:rPr>
        <w:t xml:space="preserve"> along with </w:t>
      </w:r>
      <w:r w:rsidR="007C7CAA">
        <w:rPr>
          <w:rFonts w:ascii="Palatino Linotype" w:hAnsi="Palatino Linotype"/>
        </w:rPr>
        <w:t xml:space="preserve">filing </w:t>
      </w:r>
      <w:r>
        <w:rPr>
          <w:rFonts w:ascii="Palatino Linotype" w:hAnsi="Palatino Linotype"/>
        </w:rPr>
        <w:t xml:space="preserve">a </w:t>
      </w:r>
      <w:r w:rsidR="007C7CAA">
        <w:rPr>
          <w:rFonts w:ascii="Palatino Linotype" w:hAnsi="Palatino Linotype"/>
        </w:rPr>
        <w:t xml:space="preserve">Tier III </w:t>
      </w:r>
      <w:r>
        <w:rPr>
          <w:rFonts w:ascii="Palatino Linotype" w:hAnsi="Palatino Linotype"/>
        </w:rPr>
        <w:t xml:space="preserve">Advice Letter attaching the remaining documentation needed to meet the federal ETC designation requirements.  </w:t>
      </w:r>
      <w:r w:rsidR="007C7CAA">
        <w:rPr>
          <w:rFonts w:ascii="Palatino Linotype" w:hAnsi="Palatino Linotype"/>
        </w:rPr>
        <w:t>Documentation must be submitted during the FCC’s application window.</w:t>
      </w:r>
      <w:r w:rsidR="00183368">
        <w:rPr>
          <w:rStyle w:val="FootnoteReference"/>
          <w:rFonts w:ascii="Palatino Linotype" w:hAnsi="Palatino Linotype"/>
        </w:rPr>
        <w:footnoteReference w:id="25"/>
      </w:r>
    </w:p>
    <w:p w:rsidRPr="00EB3004" w:rsidR="008038D7" w:rsidP="004C75F9" w:rsidRDefault="008038D7" w14:paraId="775A5421" w14:textId="18726BD8">
      <w:pPr>
        <w:pStyle w:val="ListParagraph"/>
        <w:numPr>
          <w:ilvl w:val="0"/>
          <w:numId w:val="11"/>
        </w:numPr>
        <w:tabs>
          <w:tab w:val="right" w:pos="10080"/>
        </w:tabs>
        <w:rPr>
          <w:rFonts w:ascii="Palatino Linotype" w:hAnsi="Palatino Linotype"/>
        </w:rPr>
      </w:pPr>
      <w:r w:rsidRPr="00EB3004">
        <w:rPr>
          <w:rFonts w:ascii="Palatino Linotype" w:hAnsi="Palatino Linotype"/>
        </w:rPr>
        <w:t xml:space="preserve">Upon receiving the required information, </w:t>
      </w:r>
      <w:r w:rsidR="003567A8">
        <w:rPr>
          <w:rFonts w:ascii="Palatino Linotype" w:hAnsi="Palatino Linotype"/>
        </w:rPr>
        <w:t xml:space="preserve">the CPUC’s </w:t>
      </w:r>
      <w:r w:rsidRPr="00EB3004">
        <w:rPr>
          <w:rFonts w:ascii="Palatino Linotype" w:hAnsi="Palatino Linotype"/>
        </w:rPr>
        <w:t>C</w:t>
      </w:r>
      <w:r w:rsidR="003567A8">
        <w:rPr>
          <w:rFonts w:ascii="Palatino Linotype" w:hAnsi="Palatino Linotype"/>
        </w:rPr>
        <w:t xml:space="preserve">ommunications </w:t>
      </w:r>
      <w:r w:rsidRPr="00EB3004">
        <w:rPr>
          <w:rFonts w:ascii="Palatino Linotype" w:hAnsi="Palatino Linotype"/>
        </w:rPr>
        <w:t>D</w:t>
      </w:r>
      <w:r w:rsidR="003567A8">
        <w:rPr>
          <w:rFonts w:ascii="Palatino Linotype" w:hAnsi="Palatino Linotype"/>
        </w:rPr>
        <w:t>ivision</w:t>
      </w:r>
      <w:r w:rsidRPr="00EB3004">
        <w:rPr>
          <w:rFonts w:ascii="Palatino Linotype" w:hAnsi="Palatino Linotype"/>
        </w:rPr>
        <w:t xml:space="preserve"> staff will propose one resolution adopting all eligible and compliant ETC designation requests from </w:t>
      </w:r>
      <w:r>
        <w:rPr>
          <w:rFonts w:ascii="Palatino Linotype" w:hAnsi="Palatino Linotype"/>
        </w:rPr>
        <w:t>all winning bidders</w:t>
      </w:r>
      <w:r w:rsidRPr="00EB3004">
        <w:rPr>
          <w:rFonts w:ascii="Palatino Linotype" w:hAnsi="Palatino Linotype"/>
        </w:rPr>
        <w:t xml:space="preserve"> before the FCC’s 180-day deadline.  </w:t>
      </w:r>
    </w:p>
    <w:p w:rsidR="008B4017" w:rsidP="008B4017" w:rsidRDefault="008B4017" w14:paraId="495E8182" w14:textId="227AB096">
      <w:pPr>
        <w:pStyle w:val="ListParagraph"/>
        <w:numPr>
          <w:ilvl w:val="0"/>
          <w:numId w:val="11"/>
        </w:numPr>
        <w:tabs>
          <w:tab w:val="right" w:pos="10080"/>
        </w:tabs>
        <w:jc w:val="both"/>
        <w:rPr>
          <w:rFonts w:ascii="Palatino Linotype" w:hAnsi="Palatino Linotype"/>
        </w:rPr>
      </w:pPr>
      <w:r w:rsidRPr="009F0509">
        <w:rPr>
          <w:rFonts w:ascii="Palatino Linotype" w:hAnsi="Palatino Linotype"/>
        </w:rPr>
        <w:t>RDOF applicants may electronically file</w:t>
      </w:r>
      <w:r w:rsidRPr="009F0509" w:rsidR="00BA12DF">
        <w:rPr>
          <w:rFonts w:ascii="Palatino Linotype" w:hAnsi="Palatino Linotype"/>
        </w:rPr>
        <w:t xml:space="preserve"> </w:t>
      </w:r>
      <w:r w:rsidRPr="009F0509">
        <w:rPr>
          <w:rFonts w:ascii="Palatino Linotype" w:hAnsi="Palatino Linotype"/>
        </w:rPr>
        <w:t>their ETC requests</w:t>
      </w:r>
      <w:r w:rsidR="009F0509">
        <w:rPr>
          <w:rFonts w:ascii="Palatino Linotype" w:hAnsi="Palatino Linotype"/>
        </w:rPr>
        <w:t xml:space="preserve"> via the Advice Letter process.</w:t>
      </w:r>
      <w:r w:rsidR="009F0509">
        <w:rPr>
          <w:rStyle w:val="FootnoteReference"/>
          <w:rFonts w:ascii="Palatino Linotype" w:hAnsi="Palatino Linotype"/>
        </w:rPr>
        <w:footnoteReference w:id="26"/>
      </w:r>
    </w:p>
    <w:p w:rsidRPr="009F0509" w:rsidR="009F0509" w:rsidP="009F0509" w:rsidRDefault="009F0509" w14:paraId="4693784B" w14:textId="77777777">
      <w:pPr>
        <w:pStyle w:val="ListParagraph"/>
        <w:tabs>
          <w:tab w:val="right" w:pos="10080"/>
        </w:tabs>
        <w:jc w:val="both"/>
        <w:rPr>
          <w:rFonts w:ascii="Palatino Linotype" w:hAnsi="Palatino Linotype"/>
        </w:rPr>
      </w:pPr>
    </w:p>
    <w:p w:rsidR="00183368" w:rsidP="008B4017" w:rsidRDefault="00183368" w14:paraId="62CA50EF" w14:textId="622B96FA">
      <w:pPr>
        <w:pStyle w:val="ListParagraph"/>
        <w:tabs>
          <w:tab w:val="right" w:pos="10080"/>
        </w:tabs>
        <w:jc w:val="both"/>
        <w:rPr>
          <w:rFonts w:ascii="Palatino Linotype" w:hAnsi="Palatino Linotype"/>
        </w:rPr>
      </w:pPr>
      <w:r>
        <w:rPr>
          <w:rFonts w:ascii="Palatino Linotype" w:hAnsi="Palatino Linotype"/>
        </w:rPr>
        <w:lastRenderedPageBreak/>
        <w:t>If applicants encounter technical difficulties and cannot file electronically, please send a hard copy to:</w:t>
      </w:r>
    </w:p>
    <w:p w:rsidR="008B4017" w:rsidP="008B4017" w:rsidRDefault="008B4017" w14:paraId="5C159DCC" w14:textId="77777777">
      <w:pPr>
        <w:pStyle w:val="ListParagraph"/>
        <w:tabs>
          <w:tab w:val="right" w:pos="10080"/>
        </w:tabs>
        <w:rPr>
          <w:rFonts w:ascii="Palatino Linotype" w:hAnsi="Palatino Linotype"/>
        </w:rPr>
      </w:pPr>
    </w:p>
    <w:p w:rsidRPr="008B4017" w:rsidR="008B4017" w:rsidP="008B4017" w:rsidRDefault="008B4017" w14:paraId="3EE6755F" w14:textId="2346541D">
      <w:pPr>
        <w:pStyle w:val="ListParagraph"/>
        <w:tabs>
          <w:tab w:val="right" w:pos="10080"/>
        </w:tabs>
        <w:jc w:val="center"/>
        <w:rPr>
          <w:rFonts w:ascii="Palatino Linotype" w:hAnsi="Palatino Linotype"/>
        </w:rPr>
      </w:pPr>
      <w:r w:rsidRPr="008B4017">
        <w:rPr>
          <w:rFonts w:ascii="Palatino Linotype" w:hAnsi="Palatino Linotype"/>
        </w:rPr>
        <w:t>California Public Utilities Commission</w:t>
      </w:r>
    </w:p>
    <w:p w:rsidRPr="008B4017" w:rsidR="008B4017" w:rsidP="008B4017" w:rsidRDefault="008B4017" w14:paraId="2A318286" w14:textId="44537CF7">
      <w:pPr>
        <w:pStyle w:val="ListParagraph"/>
        <w:tabs>
          <w:tab w:val="right" w:pos="10080"/>
        </w:tabs>
        <w:jc w:val="center"/>
        <w:rPr>
          <w:rFonts w:ascii="Palatino Linotype" w:hAnsi="Palatino Linotype"/>
        </w:rPr>
      </w:pPr>
      <w:r w:rsidRPr="008B4017">
        <w:rPr>
          <w:rFonts w:ascii="Palatino Linotype" w:hAnsi="Palatino Linotype"/>
        </w:rPr>
        <w:t>Communications Division – ETC group</w:t>
      </w:r>
    </w:p>
    <w:p w:rsidRPr="008B4017" w:rsidR="008B4017" w:rsidP="008B4017" w:rsidRDefault="008B4017" w14:paraId="42A6D9CF" w14:textId="0B453D71">
      <w:pPr>
        <w:pStyle w:val="ListParagraph"/>
        <w:tabs>
          <w:tab w:val="right" w:pos="10080"/>
        </w:tabs>
        <w:jc w:val="center"/>
        <w:rPr>
          <w:rFonts w:ascii="Palatino Linotype" w:hAnsi="Palatino Linotype"/>
        </w:rPr>
      </w:pPr>
      <w:r>
        <w:rPr>
          <w:rFonts w:ascii="Palatino Linotype" w:hAnsi="Palatino Linotype"/>
        </w:rPr>
        <w:t xml:space="preserve"> 505 </w:t>
      </w:r>
      <w:r w:rsidRPr="008B4017">
        <w:rPr>
          <w:rFonts w:ascii="Palatino Linotype" w:hAnsi="Palatino Linotype"/>
        </w:rPr>
        <w:t>Van Ness Avenue</w:t>
      </w:r>
    </w:p>
    <w:p w:rsidR="008B4017" w:rsidP="008B4017" w:rsidRDefault="008B4017" w14:paraId="0130D6F0" w14:textId="0452140A">
      <w:pPr>
        <w:pStyle w:val="ListParagraph"/>
        <w:tabs>
          <w:tab w:val="right" w:pos="10080"/>
        </w:tabs>
        <w:jc w:val="center"/>
        <w:rPr>
          <w:rFonts w:ascii="Palatino Linotype" w:hAnsi="Palatino Linotype"/>
        </w:rPr>
      </w:pPr>
      <w:r w:rsidRPr="008B4017">
        <w:rPr>
          <w:rFonts w:ascii="Palatino Linotype" w:hAnsi="Palatino Linotype"/>
        </w:rPr>
        <w:t>San Francisco, CA 94102</w:t>
      </w:r>
    </w:p>
    <w:p w:rsidRPr="00550201" w:rsidR="008B4017" w:rsidP="008B4017" w:rsidRDefault="008B4017" w14:paraId="7FACD791" w14:textId="77777777">
      <w:pPr>
        <w:pStyle w:val="ListParagraph"/>
        <w:tabs>
          <w:tab w:val="right" w:pos="10080"/>
        </w:tabs>
        <w:jc w:val="both"/>
        <w:rPr>
          <w:rFonts w:ascii="Palatino Linotype" w:hAnsi="Palatino Linotype"/>
        </w:rPr>
      </w:pPr>
    </w:p>
    <w:p w:rsidR="001D72EC" w:rsidP="004F712C" w:rsidRDefault="008B4017" w14:paraId="458E431D" w14:textId="5DE55731">
      <w:pPr>
        <w:tabs>
          <w:tab w:val="right" w:pos="10080"/>
        </w:tabs>
        <w:jc w:val="both"/>
        <w:rPr>
          <w:rFonts w:ascii="Palatino Linotype" w:hAnsi="Palatino Linotype"/>
        </w:rPr>
      </w:pPr>
      <w:r>
        <w:rPr>
          <w:rFonts w:ascii="Palatino Linotype" w:hAnsi="Palatino Linotype"/>
        </w:rPr>
        <w:t>Additional i</w:t>
      </w:r>
      <w:r w:rsidR="001D72EC">
        <w:rPr>
          <w:rFonts w:ascii="Palatino Linotype" w:hAnsi="Palatino Linotype"/>
        </w:rPr>
        <w:t>nformation on</w:t>
      </w:r>
      <w:r w:rsidR="00B77CF0">
        <w:rPr>
          <w:rFonts w:ascii="Palatino Linotype" w:hAnsi="Palatino Linotype"/>
        </w:rPr>
        <w:t xml:space="preserve"> ETC designation request</w:t>
      </w:r>
      <w:r>
        <w:rPr>
          <w:rFonts w:ascii="Palatino Linotype" w:hAnsi="Palatino Linotype"/>
        </w:rPr>
        <w:t>s</w:t>
      </w:r>
      <w:r w:rsidR="00B77CF0">
        <w:rPr>
          <w:rFonts w:ascii="Palatino Linotype" w:hAnsi="Palatino Linotype"/>
        </w:rPr>
        <w:t xml:space="preserve"> for RDOF applicants</w:t>
      </w:r>
      <w:r w:rsidR="001D72EC">
        <w:rPr>
          <w:rFonts w:ascii="Palatino Linotype" w:hAnsi="Palatino Linotype"/>
        </w:rPr>
        <w:t xml:space="preserve"> will be p</w:t>
      </w:r>
      <w:r w:rsidR="00115DDB">
        <w:rPr>
          <w:rFonts w:ascii="Palatino Linotype" w:hAnsi="Palatino Linotype"/>
        </w:rPr>
        <w:t>ublished</w:t>
      </w:r>
      <w:r w:rsidR="001D72EC">
        <w:rPr>
          <w:rFonts w:ascii="Palatino Linotype" w:hAnsi="Palatino Linotype"/>
        </w:rPr>
        <w:t xml:space="preserve"> on CPUC’s website</w:t>
      </w:r>
      <w:r w:rsidR="00B77CF0">
        <w:rPr>
          <w:rFonts w:ascii="Palatino Linotype" w:hAnsi="Palatino Linotype"/>
        </w:rPr>
        <w:t xml:space="preserve">: </w:t>
      </w:r>
      <w:hyperlink w:history="1" r:id="rId8">
        <w:r w:rsidRPr="007F3F7F" w:rsidR="00B77CF0">
          <w:rPr>
            <w:rStyle w:val="Hyperlink"/>
            <w:rFonts w:ascii="Palatino Linotype" w:hAnsi="Palatino Linotype"/>
          </w:rPr>
          <w:t>www.cpuc.ca.gov</w:t>
        </w:r>
      </w:hyperlink>
      <w:r w:rsidR="00B77CF0">
        <w:rPr>
          <w:rFonts w:ascii="Palatino Linotype" w:hAnsi="Palatino Linotype"/>
        </w:rPr>
        <w:t xml:space="preserve"> </w:t>
      </w:r>
    </w:p>
    <w:p w:rsidR="00F1087B" w:rsidP="004F712C" w:rsidRDefault="00F1087B" w14:paraId="609DB190" w14:textId="77777777">
      <w:pPr>
        <w:tabs>
          <w:tab w:val="right" w:pos="10080"/>
        </w:tabs>
        <w:jc w:val="both"/>
        <w:rPr>
          <w:rFonts w:ascii="Palatino Linotype" w:hAnsi="Palatino Linotype"/>
          <w:b/>
          <w:u w:val="single"/>
        </w:rPr>
      </w:pPr>
    </w:p>
    <w:p w:rsidR="00F1087B" w:rsidP="004F712C" w:rsidRDefault="00F1087B" w14:paraId="6D312D20" w14:textId="4C8F937F">
      <w:pPr>
        <w:tabs>
          <w:tab w:val="right" w:pos="10080"/>
        </w:tabs>
        <w:jc w:val="both"/>
        <w:rPr>
          <w:rFonts w:ascii="Palatino Linotype" w:hAnsi="Palatino Linotype"/>
          <w:b/>
          <w:u w:val="single"/>
        </w:rPr>
      </w:pPr>
      <w:r>
        <w:rPr>
          <w:rFonts w:ascii="Palatino Linotype" w:hAnsi="Palatino Linotype"/>
          <w:b/>
          <w:u w:val="single"/>
        </w:rPr>
        <w:t>CONCLUSION</w:t>
      </w:r>
    </w:p>
    <w:p w:rsidR="00F1087B" w:rsidP="004F712C" w:rsidRDefault="00F1087B" w14:paraId="3B1A4BD3" w14:textId="7ADBAB93">
      <w:pPr>
        <w:tabs>
          <w:tab w:val="right" w:pos="10080"/>
        </w:tabs>
        <w:jc w:val="both"/>
        <w:rPr>
          <w:rFonts w:ascii="Palatino Linotype" w:hAnsi="Palatino Linotype"/>
          <w:b/>
          <w:u w:val="single"/>
        </w:rPr>
      </w:pPr>
    </w:p>
    <w:p w:rsidR="00F1087B" w:rsidP="004F712C" w:rsidRDefault="00F1087B" w14:paraId="58522302" w14:textId="4C18E559">
      <w:pPr>
        <w:tabs>
          <w:tab w:val="right" w:pos="10080"/>
        </w:tabs>
        <w:jc w:val="both"/>
        <w:rPr>
          <w:rFonts w:ascii="Palatino Linotype" w:hAnsi="Palatino Linotype"/>
          <w:bCs/>
        </w:rPr>
      </w:pPr>
      <w:r w:rsidRPr="00F1087B">
        <w:rPr>
          <w:rFonts w:ascii="Palatino Linotype" w:hAnsi="Palatino Linotype"/>
          <w:bCs/>
        </w:rPr>
        <w:t xml:space="preserve">The Commission finds that the proposed </w:t>
      </w:r>
      <w:r>
        <w:rPr>
          <w:rFonts w:ascii="Palatino Linotype" w:hAnsi="Palatino Linotype"/>
          <w:bCs/>
        </w:rPr>
        <w:t xml:space="preserve">process in this Resolution is reasonable given </w:t>
      </w:r>
      <w:r w:rsidR="00290749">
        <w:rPr>
          <w:rFonts w:ascii="Palatino Linotype" w:hAnsi="Palatino Linotype"/>
          <w:bCs/>
        </w:rPr>
        <w:t>the efficiency of the shorten</w:t>
      </w:r>
      <w:r w:rsidR="002C4204">
        <w:rPr>
          <w:rFonts w:ascii="Palatino Linotype" w:hAnsi="Palatino Linotype"/>
          <w:bCs/>
        </w:rPr>
        <w:t>ed</w:t>
      </w:r>
      <w:r w:rsidR="00290749">
        <w:rPr>
          <w:rFonts w:ascii="Palatino Linotype" w:hAnsi="Palatino Linotype"/>
          <w:bCs/>
        </w:rPr>
        <w:t xml:space="preserve"> process</w:t>
      </w:r>
      <w:r>
        <w:rPr>
          <w:rFonts w:ascii="Palatino Linotype" w:hAnsi="Palatino Linotype"/>
          <w:bCs/>
        </w:rPr>
        <w:t>, and therefore adopt the procedures specified in this Resolution.</w:t>
      </w:r>
    </w:p>
    <w:p w:rsidRPr="00F1087B" w:rsidR="00F1087B" w:rsidP="004F712C" w:rsidRDefault="00F1087B" w14:paraId="442A6F39" w14:textId="77777777">
      <w:pPr>
        <w:tabs>
          <w:tab w:val="right" w:pos="10080"/>
        </w:tabs>
        <w:jc w:val="both"/>
        <w:rPr>
          <w:rFonts w:ascii="Palatino Linotype" w:hAnsi="Palatino Linotype"/>
          <w:bCs/>
        </w:rPr>
      </w:pPr>
    </w:p>
    <w:p w:rsidRPr="00520FD8" w:rsidR="003B1DBD" w:rsidP="004F712C" w:rsidRDefault="003B1DBD" w14:paraId="227CEE9F" w14:textId="1CB1D47B">
      <w:pPr>
        <w:tabs>
          <w:tab w:val="right" w:pos="10080"/>
        </w:tabs>
        <w:jc w:val="both"/>
        <w:rPr>
          <w:rFonts w:ascii="Palatino Linotype" w:hAnsi="Palatino Linotype"/>
          <w:b/>
          <w:u w:val="single"/>
        </w:rPr>
      </w:pPr>
      <w:r w:rsidRPr="00520FD8">
        <w:rPr>
          <w:rFonts w:ascii="Palatino Linotype" w:hAnsi="Palatino Linotype"/>
          <w:b/>
          <w:u w:val="single"/>
        </w:rPr>
        <w:t>COMMENTS</w:t>
      </w:r>
    </w:p>
    <w:p w:rsidRPr="00825ECD" w:rsidR="003B1DBD" w:rsidP="004F712C" w:rsidRDefault="003B1DBD" w14:paraId="2DDB0542" w14:textId="77777777">
      <w:pPr>
        <w:tabs>
          <w:tab w:val="right" w:pos="10080"/>
        </w:tabs>
        <w:jc w:val="both"/>
        <w:rPr>
          <w:rFonts w:ascii="Palatino Linotype" w:hAnsi="Palatino Linotype"/>
          <w:sz w:val="20"/>
          <w:highlight w:val="yellow"/>
        </w:rPr>
      </w:pPr>
    </w:p>
    <w:p w:rsidRPr="00825ECD" w:rsidR="003B1DBD" w:rsidP="004F712C" w:rsidRDefault="003B1DBD" w14:paraId="466570FE" w14:textId="6336238C">
      <w:pPr>
        <w:tabs>
          <w:tab w:val="right" w:pos="10080"/>
        </w:tabs>
        <w:rPr>
          <w:rFonts w:ascii="Palatino Linotype" w:hAnsi="Palatino Linotype"/>
        </w:rPr>
      </w:pPr>
      <w:r w:rsidRPr="00825ECD">
        <w:rPr>
          <w:rFonts w:ascii="Palatino Linotype" w:hAnsi="Palatino Linotype"/>
        </w:rPr>
        <w:t xml:space="preserve">Public Utilities Code section 311(g)(1) requires that a draft resolution be served on </w:t>
      </w:r>
      <w:r w:rsidR="00216E9F">
        <w:rPr>
          <w:rFonts w:ascii="Palatino Linotype" w:hAnsi="Palatino Linotype"/>
        </w:rPr>
        <w:t>A</w:t>
      </w:r>
      <w:r w:rsidR="007C2E30">
        <w:rPr>
          <w:rFonts w:ascii="Palatino Linotype" w:hAnsi="Palatino Linotype"/>
        </w:rPr>
        <w:t>pril 2</w:t>
      </w:r>
      <w:r w:rsidR="006B264D">
        <w:rPr>
          <w:rFonts w:ascii="Palatino Linotype" w:hAnsi="Palatino Linotype"/>
        </w:rPr>
        <w:t>4</w:t>
      </w:r>
      <w:r w:rsidR="00216E9F">
        <w:rPr>
          <w:rFonts w:ascii="Palatino Linotype" w:hAnsi="Palatino Linotype"/>
        </w:rPr>
        <w:t xml:space="preserve">, 2020, to </w:t>
      </w:r>
      <w:r w:rsidRPr="00825ECD">
        <w:rPr>
          <w:rFonts w:ascii="Palatino Linotype" w:hAnsi="Palatino Linotype"/>
        </w:rPr>
        <w:t xml:space="preserve">all </w:t>
      </w:r>
      <w:r w:rsidRPr="00825ECD" w:rsidR="00BC4CA8">
        <w:rPr>
          <w:rFonts w:ascii="Palatino Linotype" w:hAnsi="Palatino Linotype"/>
        </w:rPr>
        <w:t>parties</w:t>
      </w:r>
      <w:r w:rsidR="00A62B93">
        <w:rPr>
          <w:rFonts w:ascii="Palatino Linotype" w:hAnsi="Palatino Linotype"/>
        </w:rPr>
        <w:t xml:space="preserve"> on the Eligible Telecommunications Carrier and California Advanced Services Fund service lists</w:t>
      </w:r>
      <w:r w:rsidRPr="00825ECD" w:rsidR="00BC4CA8">
        <w:rPr>
          <w:rFonts w:ascii="Palatino Linotype" w:hAnsi="Palatino Linotype"/>
        </w:rPr>
        <w:t xml:space="preserve"> and</w:t>
      </w:r>
      <w:r w:rsidRPr="00825ECD">
        <w:rPr>
          <w:rFonts w:ascii="Palatino Linotype" w:hAnsi="Palatino Linotype"/>
        </w:rPr>
        <w:t xml:space="preserve"> be subject to a public review and comment period of 30 days or more, prior to a vote of the Commission on the resolution.  A draft of today’s resolutions was distributed for comment to the utilities and other interested parties.</w:t>
      </w:r>
    </w:p>
    <w:p w:rsidRPr="00825ECD" w:rsidR="003B1DBD" w:rsidP="004F712C" w:rsidRDefault="003B1DBD" w14:paraId="3CACAD12" w14:textId="77777777">
      <w:pPr>
        <w:tabs>
          <w:tab w:val="right" w:pos="10080"/>
        </w:tabs>
        <w:jc w:val="both"/>
        <w:rPr>
          <w:rFonts w:ascii="Palatino Linotype" w:hAnsi="Palatino Linotype"/>
        </w:rPr>
      </w:pPr>
    </w:p>
    <w:p w:rsidRPr="00520FD8" w:rsidR="003B1DBD" w:rsidP="004F712C" w:rsidRDefault="003B1DBD" w14:paraId="47785B7D" w14:textId="226D9089">
      <w:pPr>
        <w:tabs>
          <w:tab w:val="right" w:pos="10080"/>
        </w:tabs>
        <w:jc w:val="both"/>
        <w:rPr>
          <w:rFonts w:ascii="Palatino Linotype" w:hAnsi="Palatino Linotype"/>
          <w:b/>
          <w:u w:val="single"/>
        </w:rPr>
      </w:pPr>
      <w:r w:rsidRPr="00520FD8">
        <w:rPr>
          <w:rFonts w:ascii="Palatino Linotype" w:hAnsi="Palatino Linotype"/>
          <w:b/>
          <w:u w:val="single"/>
        </w:rPr>
        <w:t>FINDINGS</w:t>
      </w:r>
    </w:p>
    <w:p w:rsidRPr="00825ECD" w:rsidR="003B1DBD" w:rsidP="004F712C" w:rsidRDefault="003B1DBD" w14:paraId="6F5A9CFB" w14:textId="77777777">
      <w:pPr>
        <w:jc w:val="both"/>
        <w:rPr>
          <w:rFonts w:ascii="Palatino Linotype" w:hAnsi="Palatino Linotype"/>
          <w:u w:val="single"/>
        </w:rPr>
      </w:pPr>
    </w:p>
    <w:p w:rsidR="003B1DBD" w:rsidP="004F712C" w:rsidRDefault="001D5E7D" w14:paraId="02452978" w14:textId="0120C0DF">
      <w:pPr>
        <w:numPr>
          <w:ilvl w:val="0"/>
          <w:numId w:val="1"/>
        </w:numPr>
        <w:tabs>
          <w:tab w:val="clear" w:pos="240"/>
        </w:tabs>
        <w:spacing w:after="120"/>
        <w:ind w:left="360" w:hanging="360"/>
        <w:rPr>
          <w:rFonts w:ascii="Palatino Linotype" w:hAnsi="Palatino Linotype"/>
        </w:rPr>
      </w:pPr>
      <w:r>
        <w:rPr>
          <w:rFonts w:ascii="Palatino Linotype" w:hAnsi="Palatino Linotype"/>
        </w:rPr>
        <w:t xml:space="preserve">On May 25, 2016, the </w:t>
      </w:r>
      <w:r w:rsidR="00C86FD3">
        <w:rPr>
          <w:rFonts w:ascii="Palatino Linotype" w:hAnsi="Palatino Linotype"/>
        </w:rPr>
        <w:t xml:space="preserve">Federal Communications Commission </w:t>
      </w:r>
      <w:r>
        <w:rPr>
          <w:rFonts w:ascii="Palatino Linotype" w:hAnsi="Palatino Linotype"/>
        </w:rPr>
        <w:t xml:space="preserve">implemented a competitive bidding process for the Connect America Phase II Auction 903.  </w:t>
      </w:r>
    </w:p>
    <w:p w:rsidR="00311E0E" w:rsidP="004F712C" w:rsidRDefault="001D5E7D" w14:paraId="7873C06C" w14:textId="22A8E026">
      <w:pPr>
        <w:numPr>
          <w:ilvl w:val="0"/>
          <w:numId w:val="1"/>
        </w:numPr>
        <w:tabs>
          <w:tab w:val="clear" w:pos="240"/>
        </w:tabs>
        <w:spacing w:after="120"/>
        <w:ind w:left="360" w:hanging="360"/>
        <w:rPr>
          <w:rFonts w:ascii="Palatino Linotype" w:hAnsi="Palatino Linotype"/>
        </w:rPr>
      </w:pPr>
      <w:r>
        <w:rPr>
          <w:rFonts w:ascii="Palatino Linotype" w:hAnsi="Palatino Linotype"/>
        </w:rPr>
        <w:t xml:space="preserve">On January 30, 2020, the FCC adopted the framework for </w:t>
      </w:r>
      <w:r w:rsidR="00C86FD3">
        <w:rPr>
          <w:rFonts w:ascii="Palatino Linotype" w:hAnsi="Palatino Linotype"/>
        </w:rPr>
        <w:t xml:space="preserve">the Rural Digital Opportunity Fund </w:t>
      </w:r>
      <w:r>
        <w:rPr>
          <w:rFonts w:ascii="Palatino Linotype" w:hAnsi="Palatino Linotype"/>
        </w:rPr>
        <w:t>with a budget of $20.4 billion over 10-years to build</w:t>
      </w:r>
      <w:r w:rsidR="00C86FD3">
        <w:rPr>
          <w:rFonts w:ascii="Palatino Linotype" w:hAnsi="Palatino Linotype"/>
        </w:rPr>
        <w:t xml:space="preserve"> </w:t>
      </w:r>
      <w:r>
        <w:rPr>
          <w:rFonts w:ascii="Palatino Linotype" w:hAnsi="Palatino Linotype"/>
        </w:rPr>
        <w:t xml:space="preserve">out broadband infrastructure to connect residential and small businesses in rural areas.  </w:t>
      </w:r>
    </w:p>
    <w:p w:rsidR="00125853" w:rsidP="004F712C" w:rsidRDefault="001D5E7D" w14:paraId="48BA2312" w14:textId="308563C7">
      <w:pPr>
        <w:numPr>
          <w:ilvl w:val="0"/>
          <w:numId w:val="1"/>
        </w:numPr>
        <w:tabs>
          <w:tab w:val="clear" w:pos="240"/>
        </w:tabs>
        <w:spacing w:after="120"/>
        <w:ind w:left="360" w:hanging="360"/>
        <w:rPr>
          <w:rFonts w:ascii="Palatino Linotype" w:hAnsi="Palatino Linotype"/>
        </w:rPr>
      </w:pPr>
      <w:r>
        <w:rPr>
          <w:rFonts w:ascii="Palatino Linotype" w:hAnsi="Palatino Linotype"/>
        </w:rPr>
        <w:t xml:space="preserve">Consistent with the </w:t>
      </w:r>
      <w:r w:rsidR="00C86FD3">
        <w:rPr>
          <w:rFonts w:ascii="Palatino Linotype" w:hAnsi="Palatino Linotype"/>
        </w:rPr>
        <w:t xml:space="preserve">Connect America Fund </w:t>
      </w:r>
      <w:r>
        <w:rPr>
          <w:rFonts w:ascii="Palatino Linotype" w:hAnsi="Palatino Linotype"/>
        </w:rPr>
        <w:t xml:space="preserve">Phase II Auction 903, winning bidders of RDOF will be permitted to obtain </w:t>
      </w:r>
      <w:r w:rsidR="00C86FD3">
        <w:rPr>
          <w:rFonts w:ascii="Palatino Linotype" w:hAnsi="Palatino Linotype"/>
        </w:rPr>
        <w:t xml:space="preserve">Eligible Telecommunication Carrier </w:t>
      </w:r>
      <w:r>
        <w:rPr>
          <w:rFonts w:ascii="Palatino Linotype" w:hAnsi="Palatino Linotype"/>
        </w:rPr>
        <w:t>designation from the respective state Commissions after the close of the auction.</w:t>
      </w:r>
    </w:p>
    <w:p w:rsidR="00290749" w:rsidP="004F712C" w:rsidRDefault="00290749" w14:paraId="639BF216" w14:textId="08518EC1">
      <w:pPr>
        <w:numPr>
          <w:ilvl w:val="0"/>
          <w:numId w:val="1"/>
        </w:numPr>
        <w:tabs>
          <w:tab w:val="clear" w:pos="240"/>
        </w:tabs>
        <w:spacing w:after="120"/>
        <w:ind w:left="360" w:hanging="360"/>
        <w:rPr>
          <w:rFonts w:ascii="Palatino Linotype" w:hAnsi="Palatino Linotype"/>
        </w:rPr>
      </w:pPr>
      <w:r>
        <w:rPr>
          <w:rFonts w:ascii="Palatino Linotype" w:hAnsi="Palatino Linotype"/>
        </w:rPr>
        <w:t>Service providers must submit proof of ETC designation to the FCC within 180</w:t>
      </w:r>
      <w:r w:rsidR="00C86FD3">
        <w:rPr>
          <w:rFonts w:ascii="Palatino Linotype" w:hAnsi="Palatino Linotype"/>
        </w:rPr>
        <w:t xml:space="preserve"> </w:t>
      </w:r>
      <w:r>
        <w:rPr>
          <w:rFonts w:ascii="Palatino Linotype" w:hAnsi="Palatino Linotype"/>
        </w:rPr>
        <w:t>days of the Public Notice identifying winner bidders.</w:t>
      </w:r>
    </w:p>
    <w:p w:rsidR="00290749" w:rsidP="004F712C" w:rsidRDefault="00290749" w14:paraId="3098202B" w14:textId="3BDE4433">
      <w:pPr>
        <w:numPr>
          <w:ilvl w:val="0"/>
          <w:numId w:val="1"/>
        </w:numPr>
        <w:tabs>
          <w:tab w:val="clear" w:pos="240"/>
        </w:tabs>
        <w:spacing w:after="120"/>
        <w:ind w:left="360" w:hanging="360"/>
        <w:rPr>
          <w:rFonts w:ascii="Palatino Linotype" w:hAnsi="Palatino Linotype"/>
        </w:rPr>
      </w:pPr>
      <w:r>
        <w:rPr>
          <w:rFonts w:ascii="Palatino Linotype" w:hAnsi="Palatino Linotype"/>
        </w:rPr>
        <w:lastRenderedPageBreak/>
        <w:t xml:space="preserve">In 2019, </w:t>
      </w:r>
      <w:r w:rsidR="00C86FD3">
        <w:rPr>
          <w:rFonts w:ascii="Palatino Linotype" w:hAnsi="Palatino Linotype"/>
        </w:rPr>
        <w:t xml:space="preserve">the California Public Utilities Commission </w:t>
      </w:r>
      <w:r>
        <w:rPr>
          <w:rFonts w:ascii="Palatino Linotype" w:hAnsi="Palatino Linotype"/>
        </w:rPr>
        <w:t>designated two service providers ETC designation within the 180-day deadline.</w:t>
      </w:r>
    </w:p>
    <w:p w:rsidR="00290749" w:rsidP="004F712C" w:rsidRDefault="00290749" w14:paraId="5E13B74A" w14:textId="075FC8EF">
      <w:pPr>
        <w:numPr>
          <w:ilvl w:val="0"/>
          <w:numId w:val="1"/>
        </w:numPr>
        <w:tabs>
          <w:tab w:val="clear" w:pos="240"/>
        </w:tabs>
        <w:spacing w:after="120"/>
        <w:ind w:left="360" w:hanging="360"/>
        <w:rPr>
          <w:rFonts w:ascii="Palatino Linotype" w:hAnsi="Palatino Linotype"/>
        </w:rPr>
      </w:pPr>
      <w:r>
        <w:rPr>
          <w:rFonts w:ascii="Palatino Linotype" w:hAnsi="Palatino Linotype"/>
        </w:rPr>
        <w:t xml:space="preserve">For RDOF recipients, staff proposes a streamlined process for ETC designation requests due to the potential high number of service providers that may request ETC designation pursuant to winning bids in the RDOF.  </w:t>
      </w:r>
    </w:p>
    <w:p w:rsidR="00290749" w:rsidP="004F712C" w:rsidRDefault="00290749" w14:paraId="00AC3AB1" w14:textId="450EA6A3">
      <w:pPr>
        <w:numPr>
          <w:ilvl w:val="0"/>
          <w:numId w:val="1"/>
        </w:numPr>
        <w:tabs>
          <w:tab w:val="clear" w:pos="240"/>
        </w:tabs>
        <w:spacing w:after="120"/>
        <w:ind w:left="360" w:hanging="360"/>
        <w:rPr>
          <w:rFonts w:ascii="Palatino Linotype" w:hAnsi="Palatino Linotype"/>
        </w:rPr>
      </w:pPr>
      <w:r>
        <w:rPr>
          <w:rFonts w:ascii="Palatino Linotype" w:hAnsi="Palatino Linotype"/>
        </w:rPr>
        <w:t xml:space="preserve">The FCC requires interested applicants applying for RFOF to submit </w:t>
      </w:r>
      <w:r w:rsidR="00446917">
        <w:rPr>
          <w:rFonts w:ascii="Palatino Linotype" w:hAnsi="Palatino Linotype"/>
        </w:rPr>
        <w:t xml:space="preserve">a </w:t>
      </w:r>
      <w:r>
        <w:rPr>
          <w:rFonts w:ascii="Palatino Linotype" w:hAnsi="Palatino Linotype"/>
        </w:rPr>
        <w:t>pre-auction short-form application that provides basic information.</w:t>
      </w:r>
    </w:p>
    <w:p w:rsidR="00290749" w:rsidP="004F712C" w:rsidRDefault="00290749" w14:paraId="2834A4AF" w14:textId="58EB3A4F">
      <w:pPr>
        <w:numPr>
          <w:ilvl w:val="0"/>
          <w:numId w:val="1"/>
        </w:numPr>
        <w:tabs>
          <w:tab w:val="clear" w:pos="240"/>
        </w:tabs>
        <w:spacing w:after="120"/>
        <w:ind w:left="360" w:hanging="360"/>
        <w:rPr>
          <w:rFonts w:ascii="Palatino Linotype" w:hAnsi="Palatino Linotype"/>
        </w:rPr>
      </w:pPr>
      <w:r>
        <w:rPr>
          <w:rFonts w:ascii="Palatino Linotype" w:hAnsi="Palatino Linotype"/>
        </w:rPr>
        <w:t>The FCC’s long-form application requires more detailed information</w:t>
      </w:r>
      <w:r w:rsidR="00F84323">
        <w:rPr>
          <w:rFonts w:ascii="Palatino Linotype" w:hAnsi="Palatino Linotype"/>
        </w:rPr>
        <w:t xml:space="preserve"> than the short-form </w:t>
      </w:r>
      <w:r w:rsidR="004C75F9">
        <w:rPr>
          <w:rFonts w:ascii="Palatino Linotype" w:hAnsi="Palatino Linotype"/>
        </w:rPr>
        <w:t>application</w:t>
      </w:r>
      <w:r>
        <w:rPr>
          <w:rFonts w:ascii="Palatino Linotype" w:hAnsi="Palatino Linotype"/>
        </w:rPr>
        <w:t>.</w:t>
      </w:r>
    </w:p>
    <w:p w:rsidRPr="00A62B93" w:rsidR="00A852B7" w:rsidP="00A62B93" w:rsidRDefault="00C86FD3" w14:paraId="4C4F19B5" w14:textId="59F704CA">
      <w:pPr>
        <w:numPr>
          <w:ilvl w:val="0"/>
          <w:numId w:val="1"/>
        </w:numPr>
        <w:tabs>
          <w:tab w:val="clear" w:pos="240"/>
        </w:tabs>
        <w:spacing w:after="120"/>
        <w:ind w:left="360" w:hanging="360"/>
        <w:rPr>
          <w:rFonts w:ascii="Palatino Linotype" w:hAnsi="Palatino Linotype"/>
        </w:rPr>
      </w:pPr>
      <w:r>
        <w:rPr>
          <w:rFonts w:ascii="Palatino Linotype" w:hAnsi="Palatino Linotype"/>
        </w:rPr>
        <w:t xml:space="preserve">Communications Division </w:t>
      </w:r>
      <w:r w:rsidR="00446917">
        <w:rPr>
          <w:rFonts w:ascii="Palatino Linotype" w:hAnsi="Palatino Linotype"/>
        </w:rPr>
        <w:t>Staff proposes to modify the ETC process to allow service providers to submit the same documentation it submits to the FCC with</w:t>
      </w:r>
      <w:r w:rsidR="00B16A97">
        <w:rPr>
          <w:rFonts w:ascii="Palatino Linotype" w:hAnsi="Palatino Linotype"/>
        </w:rPr>
        <w:t xml:space="preserve"> copies</w:t>
      </w:r>
      <w:r w:rsidR="00446917">
        <w:rPr>
          <w:rFonts w:ascii="Palatino Linotype" w:hAnsi="Palatino Linotype"/>
        </w:rPr>
        <w:t xml:space="preserve"> to the CPUC</w:t>
      </w:r>
      <w:r w:rsidR="00B16A97">
        <w:rPr>
          <w:rFonts w:ascii="Palatino Linotype" w:hAnsi="Palatino Linotype"/>
        </w:rPr>
        <w:t>, both the short-form and long-form applications.</w:t>
      </w:r>
    </w:p>
    <w:p w:rsidR="00446917" w:rsidP="004F712C" w:rsidRDefault="00446917" w14:paraId="5B92F2B4" w14:textId="42F7B259">
      <w:pPr>
        <w:numPr>
          <w:ilvl w:val="0"/>
          <w:numId w:val="1"/>
        </w:numPr>
        <w:tabs>
          <w:tab w:val="clear" w:pos="240"/>
        </w:tabs>
        <w:spacing w:after="120"/>
        <w:ind w:left="360" w:hanging="360"/>
        <w:rPr>
          <w:rFonts w:ascii="Palatino Linotype" w:hAnsi="Palatino Linotype"/>
        </w:rPr>
      </w:pPr>
      <w:r>
        <w:rPr>
          <w:rFonts w:ascii="Palatino Linotype" w:hAnsi="Palatino Linotype"/>
        </w:rPr>
        <w:t xml:space="preserve">The </w:t>
      </w:r>
      <w:r w:rsidR="00A852B7">
        <w:rPr>
          <w:rFonts w:ascii="Palatino Linotype" w:hAnsi="Palatino Linotype"/>
        </w:rPr>
        <w:t>California Public Utilities Commission</w:t>
      </w:r>
      <w:r>
        <w:rPr>
          <w:rFonts w:ascii="Palatino Linotype" w:hAnsi="Palatino Linotype"/>
        </w:rPr>
        <w:t xml:space="preserve"> will still require service providers to submit California specific information. </w:t>
      </w:r>
    </w:p>
    <w:p w:rsidR="00446917" w:rsidP="004F712C" w:rsidRDefault="00446917" w14:paraId="3565ED83" w14:textId="747F9D7C">
      <w:pPr>
        <w:numPr>
          <w:ilvl w:val="0"/>
          <w:numId w:val="1"/>
        </w:numPr>
        <w:tabs>
          <w:tab w:val="clear" w:pos="240"/>
        </w:tabs>
        <w:spacing w:after="120"/>
        <w:ind w:left="360" w:hanging="360"/>
        <w:rPr>
          <w:rFonts w:ascii="Palatino Linotype" w:hAnsi="Palatino Linotype"/>
        </w:rPr>
      </w:pPr>
      <w:r>
        <w:rPr>
          <w:rFonts w:ascii="Palatino Linotype" w:hAnsi="Palatino Linotype"/>
        </w:rPr>
        <w:t>Upon receiving the required information</w:t>
      </w:r>
      <w:r w:rsidR="00C86FD3">
        <w:rPr>
          <w:rFonts w:ascii="Palatino Linotype" w:hAnsi="Palatino Linotype"/>
        </w:rPr>
        <w:t>,</w:t>
      </w:r>
      <w:r>
        <w:rPr>
          <w:rFonts w:ascii="Palatino Linotype" w:hAnsi="Palatino Linotype"/>
        </w:rPr>
        <w:t xml:space="preserve"> C</w:t>
      </w:r>
      <w:r w:rsidR="00A852B7">
        <w:rPr>
          <w:rFonts w:ascii="Palatino Linotype" w:hAnsi="Palatino Linotype"/>
        </w:rPr>
        <w:t>ommunications Division</w:t>
      </w:r>
      <w:r>
        <w:rPr>
          <w:rFonts w:ascii="Palatino Linotype" w:hAnsi="Palatino Linotype"/>
        </w:rPr>
        <w:t xml:space="preserve"> </w:t>
      </w:r>
      <w:r w:rsidR="00A852B7">
        <w:rPr>
          <w:rFonts w:ascii="Palatino Linotype" w:hAnsi="Palatino Linotype"/>
        </w:rPr>
        <w:t>S</w:t>
      </w:r>
      <w:r>
        <w:rPr>
          <w:rFonts w:ascii="Palatino Linotype" w:hAnsi="Palatino Linotype"/>
        </w:rPr>
        <w:t>taff will propose one resolution adopting all eligible and compliant ETC designation requests from all eligible service providers before the FCC’s 180-day deadline.</w:t>
      </w:r>
    </w:p>
    <w:p w:rsidR="00A62B93" w:rsidP="004F712C" w:rsidRDefault="00A62B93" w14:paraId="5EC991A9" w14:textId="69B0B02A">
      <w:pPr>
        <w:numPr>
          <w:ilvl w:val="0"/>
          <w:numId w:val="1"/>
        </w:numPr>
        <w:tabs>
          <w:tab w:val="clear" w:pos="240"/>
        </w:tabs>
        <w:spacing w:after="120"/>
        <w:ind w:left="360" w:hanging="360"/>
        <w:rPr>
          <w:rFonts w:ascii="Palatino Linotype" w:hAnsi="Palatino Linotype"/>
        </w:rPr>
      </w:pPr>
      <w:r>
        <w:rPr>
          <w:rFonts w:ascii="Palatino Linotype" w:hAnsi="Palatino Linotype"/>
        </w:rPr>
        <w:t>On April 24, 2020, the Commission emailed a draft of this resolution to the Eligible Telecommunications Carrier and California Advanced Services Fund service lists for public comment.</w:t>
      </w:r>
    </w:p>
    <w:p w:rsidRPr="00825ECD" w:rsidR="003B1DBD" w:rsidP="004F712C" w:rsidRDefault="003B1DBD" w14:paraId="289BD70F" w14:textId="77777777">
      <w:pPr>
        <w:jc w:val="both"/>
        <w:rPr>
          <w:rFonts w:ascii="Palatino Linotype" w:hAnsi="Palatino Linotype"/>
          <w:b/>
        </w:rPr>
      </w:pPr>
    </w:p>
    <w:p w:rsidR="00F32526" w:rsidRDefault="00F32526" w14:paraId="3F0DD39D" w14:textId="4DCDD75E">
      <w:pPr>
        <w:rPr>
          <w:rFonts w:ascii="Palatino Linotype" w:hAnsi="Palatino Linotype"/>
          <w:b/>
        </w:rPr>
      </w:pPr>
    </w:p>
    <w:p w:rsidRPr="00825ECD" w:rsidR="003B1DBD" w:rsidP="004F712C" w:rsidRDefault="003B1DBD" w14:paraId="7D96260D" w14:textId="3AEA06A6">
      <w:pPr>
        <w:jc w:val="both"/>
        <w:rPr>
          <w:rFonts w:ascii="Palatino Linotype" w:hAnsi="Palatino Linotype"/>
        </w:rPr>
      </w:pPr>
      <w:r w:rsidRPr="00825ECD">
        <w:rPr>
          <w:rFonts w:ascii="Palatino Linotype" w:hAnsi="Palatino Linotype"/>
          <w:b/>
        </w:rPr>
        <w:t xml:space="preserve">THERFORE, IT IS ORDERED </w:t>
      </w:r>
      <w:r w:rsidRPr="00825ECD">
        <w:rPr>
          <w:rFonts w:ascii="Palatino Linotype" w:hAnsi="Palatino Linotype"/>
        </w:rPr>
        <w:t>that:</w:t>
      </w:r>
    </w:p>
    <w:p w:rsidRPr="00825ECD" w:rsidR="003B1DBD" w:rsidP="004F712C" w:rsidRDefault="003B1DBD" w14:paraId="043EB384" w14:textId="77777777">
      <w:pPr>
        <w:jc w:val="both"/>
        <w:rPr>
          <w:rFonts w:ascii="Palatino Linotype" w:hAnsi="Palatino Linotype"/>
        </w:rPr>
      </w:pPr>
    </w:p>
    <w:p w:rsidR="004071F9" w:rsidP="004F712C" w:rsidRDefault="0042188F" w14:paraId="4860A245" w14:textId="3FCEC8B4">
      <w:pPr>
        <w:numPr>
          <w:ilvl w:val="0"/>
          <w:numId w:val="5"/>
        </w:numPr>
        <w:tabs>
          <w:tab w:val="clear" w:pos="240"/>
        </w:tabs>
        <w:spacing w:after="120"/>
        <w:ind w:left="360" w:hanging="360"/>
        <w:rPr>
          <w:rFonts w:ascii="Palatino Linotype" w:hAnsi="Palatino Linotype"/>
        </w:rPr>
      </w:pPr>
      <w:r>
        <w:rPr>
          <w:rFonts w:ascii="Palatino Linotype" w:hAnsi="Palatino Linotype"/>
        </w:rPr>
        <w:t>The California Public Utilities</w:t>
      </w:r>
      <w:r w:rsidR="00DC19AF">
        <w:rPr>
          <w:rFonts w:ascii="Palatino Linotype" w:hAnsi="Palatino Linotype"/>
        </w:rPr>
        <w:t xml:space="preserve"> Commission</w:t>
      </w:r>
      <w:r>
        <w:rPr>
          <w:rFonts w:ascii="Palatino Linotype" w:hAnsi="Palatino Linotype"/>
        </w:rPr>
        <w:t xml:space="preserve"> authorizes the Communications Division to implement a streamlined ETC designation process for the Federal Communications Commission’s Rural Digital Opportunity Fund, Auction 90</w:t>
      </w:r>
      <w:r w:rsidR="007C2E30">
        <w:rPr>
          <w:rFonts w:ascii="Palatino Linotype" w:hAnsi="Palatino Linotype"/>
        </w:rPr>
        <w:t>4</w:t>
      </w:r>
      <w:r>
        <w:rPr>
          <w:rFonts w:ascii="Palatino Linotype" w:hAnsi="Palatino Linotype"/>
        </w:rPr>
        <w:t xml:space="preserve"> reci</w:t>
      </w:r>
      <w:r w:rsidR="003E73BE">
        <w:rPr>
          <w:rFonts w:ascii="Palatino Linotype" w:hAnsi="Palatino Linotype"/>
        </w:rPr>
        <w:t>pients</w:t>
      </w:r>
      <w:r>
        <w:rPr>
          <w:rFonts w:ascii="Palatino Linotype" w:hAnsi="Palatino Linotype"/>
        </w:rPr>
        <w:t xml:space="preserve"> only.</w:t>
      </w:r>
    </w:p>
    <w:p w:rsidRPr="001810D2" w:rsidR="003B1DBD" w:rsidP="004F712C" w:rsidRDefault="003B1DBD" w14:paraId="00DE53F5" w14:textId="77777777">
      <w:pPr>
        <w:spacing w:after="120"/>
        <w:ind w:left="360"/>
        <w:rPr>
          <w:rFonts w:ascii="Palatino Linotype" w:hAnsi="Palatino Linotype"/>
        </w:rPr>
      </w:pPr>
    </w:p>
    <w:p w:rsidR="00905005" w:rsidRDefault="00905005" w14:paraId="6C4787D0" w14:textId="13BC1FFE">
      <w:pPr>
        <w:rPr>
          <w:rFonts w:ascii="Palatino Linotype" w:hAnsi="Palatino Linotype"/>
        </w:rPr>
      </w:pPr>
      <w:r>
        <w:rPr>
          <w:rFonts w:ascii="Palatino Linotype" w:hAnsi="Palatino Linotype"/>
        </w:rPr>
        <w:br w:type="page"/>
      </w:r>
    </w:p>
    <w:p w:rsidRPr="00825ECD" w:rsidR="003B1DBD" w:rsidP="004F712C" w:rsidRDefault="003B1DBD" w14:paraId="3324010E" w14:textId="77777777">
      <w:pPr>
        <w:jc w:val="both"/>
        <w:rPr>
          <w:rFonts w:ascii="Palatino Linotype" w:hAnsi="Palatino Linotype"/>
        </w:rPr>
      </w:pPr>
    </w:p>
    <w:p w:rsidRPr="00825ECD" w:rsidR="003B1DBD" w:rsidP="004F712C" w:rsidRDefault="003B1DBD" w14:paraId="0F321E0B" w14:textId="77777777">
      <w:pPr>
        <w:jc w:val="both"/>
        <w:rPr>
          <w:rFonts w:ascii="Palatino Linotype" w:hAnsi="Palatino Linotype"/>
        </w:rPr>
      </w:pPr>
      <w:r w:rsidRPr="00825ECD">
        <w:rPr>
          <w:rFonts w:ascii="Palatino Linotype" w:hAnsi="Palatino Linotype"/>
        </w:rPr>
        <w:t>This resolution is effective today.</w:t>
      </w:r>
    </w:p>
    <w:p w:rsidRPr="00825ECD" w:rsidR="003B1DBD" w:rsidP="004F712C" w:rsidRDefault="003B1DBD" w14:paraId="10B7452B" w14:textId="77777777">
      <w:pPr>
        <w:jc w:val="both"/>
        <w:rPr>
          <w:rFonts w:ascii="Palatino Linotype" w:hAnsi="Palatino Linotype"/>
        </w:rPr>
      </w:pPr>
    </w:p>
    <w:p w:rsidRPr="00825ECD" w:rsidR="003B1DBD" w:rsidP="004F712C" w:rsidRDefault="003B1DBD" w14:paraId="61E54CCC" w14:textId="12A63AE0">
      <w:pPr>
        <w:rPr>
          <w:rFonts w:ascii="Palatino Linotype" w:hAnsi="Palatino Linotype"/>
        </w:rPr>
      </w:pPr>
      <w:r w:rsidRPr="00825ECD">
        <w:rPr>
          <w:rFonts w:ascii="Palatino Linotype" w:hAnsi="Palatino Linotype"/>
        </w:rPr>
        <w:t xml:space="preserve">I certify that the foregoing resolution was duly introduced, passed, and adopted at a conference of the Public Utilities Commission of the State of California held on </w:t>
      </w:r>
      <w:r w:rsidR="00905005">
        <w:rPr>
          <w:rFonts w:ascii="Palatino Linotype" w:hAnsi="Palatino Linotype"/>
        </w:rPr>
        <w:t>_____________________</w:t>
      </w:r>
      <w:r w:rsidRPr="00825ECD">
        <w:rPr>
          <w:rFonts w:ascii="Palatino Linotype" w:hAnsi="Palatino Linotype"/>
        </w:rPr>
        <w:t>, the following Commissioners voting favorable thereon:</w:t>
      </w:r>
    </w:p>
    <w:p w:rsidRPr="00825ECD" w:rsidR="003B1DBD" w:rsidP="004F712C" w:rsidRDefault="003B1DBD" w14:paraId="34C02792" w14:textId="77777777">
      <w:pPr>
        <w:jc w:val="both"/>
        <w:rPr>
          <w:rFonts w:ascii="Palatino Linotype" w:hAnsi="Palatino Linotype"/>
        </w:rPr>
      </w:pPr>
    </w:p>
    <w:p w:rsidRPr="00825ECD" w:rsidR="003B1DBD" w:rsidP="004F712C" w:rsidRDefault="003B1DBD" w14:paraId="4ABAD060" w14:textId="77777777">
      <w:pPr>
        <w:rPr>
          <w:rFonts w:ascii="Palatino Linotype" w:hAnsi="Palatino Linotyp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66"/>
        <w:gridCol w:w="4694"/>
      </w:tblGrid>
      <w:tr w:rsidR="009B7857" w:rsidTr="00F97153" w14:paraId="1A8FD1FE" w14:textId="77777777">
        <w:tc>
          <w:tcPr>
            <w:tcW w:w="4788" w:type="dxa"/>
            <w:tcBorders>
              <w:top w:val="nil"/>
              <w:left w:val="nil"/>
              <w:bottom w:val="nil"/>
              <w:right w:val="nil"/>
            </w:tcBorders>
            <w:shd w:val="clear" w:color="auto" w:fill="auto"/>
          </w:tcPr>
          <w:p w:rsidRPr="00F97153" w:rsidR="009B7857" w:rsidP="004F712C" w:rsidRDefault="009B7857" w14:paraId="718F8C33" w14:textId="77777777">
            <w:pPr>
              <w:rPr>
                <w:rFonts w:ascii="Palatino Linotype" w:hAnsi="Palatino Linotype"/>
              </w:rPr>
            </w:pPr>
          </w:p>
        </w:tc>
        <w:tc>
          <w:tcPr>
            <w:tcW w:w="4788" w:type="dxa"/>
            <w:tcBorders>
              <w:top w:val="nil"/>
              <w:left w:val="nil"/>
              <w:bottom w:val="single" w:color="auto" w:sz="4" w:space="0"/>
              <w:right w:val="nil"/>
            </w:tcBorders>
            <w:shd w:val="clear" w:color="auto" w:fill="auto"/>
          </w:tcPr>
          <w:p w:rsidRPr="00F97153" w:rsidR="009B7857" w:rsidP="004F712C" w:rsidRDefault="009B7857" w14:paraId="2B028407" w14:textId="77777777">
            <w:pPr>
              <w:rPr>
                <w:rFonts w:ascii="Palatino Linotype" w:hAnsi="Palatino Linotype"/>
              </w:rPr>
            </w:pPr>
          </w:p>
        </w:tc>
      </w:tr>
      <w:tr w:rsidR="009B7857" w:rsidTr="00F97153" w14:paraId="3CC7D436" w14:textId="77777777">
        <w:tc>
          <w:tcPr>
            <w:tcW w:w="4788" w:type="dxa"/>
            <w:tcBorders>
              <w:top w:val="nil"/>
              <w:left w:val="nil"/>
              <w:bottom w:val="nil"/>
              <w:right w:val="nil"/>
            </w:tcBorders>
            <w:shd w:val="clear" w:color="auto" w:fill="auto"/>
          </w:tcPr>
          <w:p w:rsidRPr="00F97153" w:rsidR="009B7857" w:rsidP="004F712C" w:rsidRDefault="009B7857" w14:paraId="62FBF8CD" w14:textId="77777777">
            <w:pPr>
              <w:rPr>
                <w:rFonts w:ascii="Palatino Linotype" w:hAnsi="Palatino Linotype"/>
              </w:rPr>
            </w:pPr>
          </w:p>
        </w:tc>
        <w:tc>
          <w:tcPr>
            <w:tcW w:w="4788" w:type="dxa"/>
            <w:tcBorders>
              <w:top w:val="single" w:color="auto" w:sz="4" w:space="0"/>
              <w:left w:val="nil"/>
              <w:bottom w:val="nil"/>
              <w:right w:val="nil"/>
            </w:tcBorders>
            <w:shd w:val="clear" w:color="auto" w:fill="auto"/>
          </w:tcPr>
          <w:p w:rsidRPr="00F97153" w:rsidR="009B7857" w:rsidP="004F712C" w:rsidRDefault="009B7857" w14:paraId="41C6BA67" w14:textId="77777777">
            <w:pPr>
              <w:jc w:val="center"/>
              <w:rPr>
                <w:rFonts w:ascii="Palatino Linotype" w:hAnsi="Palatino Linotype"/>
              </w:rPr>
            </w:pPr>
            <w:r w:rsidRPr="00F97153">
              <w:rPr>
                <w:rFonts w:ascii="Palatino Linotype" w:hAnsi="Palatino Linotype"/>
              </w:rPr>
              <w:t>Alice Stebbins</w:t>
            </w:r>
          </w:p>
          <w:p w:rsidRPr="00F97153" w:rsidR="00805FD6" w:rsidP="004F712C" w:rsidRDefault="00805FD6" w14:paraId="7784CD60" w14:textId="372B9C45">
            <w:pPr>
              <w:jc w:val="center"/>
              <w:rPr>
                <w:rFonts w:ascii="Palatino Linotype" w:hAnsi="Palatino Linotype"/>
              </w:rPr>
            </w:pPr>
            <w:r w:rsidRPr="00F97153">
              <w:rPr>
                <w:rFonts w:ascii="Palatino Linotype" w:hAnsi="Palatino Linotype"/>
              </w:rPr>
              <w:t>Executive Director</w:t>
            </w:r>
          </w:p>
        </w:tc>
      </w:tr>
      <w:bookmarkEnd w:id="0"/>
    </w:tbl>
    <w:p w:rsidR="00905005" w:rsidRDefault="00905005" w14:paraId="66414EDE" w14:textId="77777777">
      <w:pPr>
        <w:rPr>
          <w:rFonts w:ascii="Palatino Linotype" w:hAnsi="Palatino Linotype"/>
        </w:rPr>
        <w:sectPr w:rsidR="00905005" w:rsidSect="00677E59">
          <w:headerReference w:type="default" r:id="rId9"/>
          <w:foot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pPr>
    </w:p>
    <w:p w:rsidR="001810D2" w:rsidP="00BA12DF" w:rsidRDefault="00BA12DF" w14:paraId="38839752" w14:textId="1F35E1F7">
      <w:pPr>
        <w:jc w:val="center"/>
        <w:rPr>
          <w:rFonts w:ascii="Palatino Linotype" w:hAnsi="Palatino Linotype"/>
          <w:b/>
          <w:bCs/>
          <w:sz w:val="36"/>
          <w:szCs w:val="36"/>
        </w:rPr>
      </w:pPr>
      <w:r w:rsidRPr="00FC19E0">
        <w:rPr>
          <w:rFonts w:ascii="Palatino Linotype" w:hAnsi="Palatino Linotype"/>
          <w:b/>
          <w:bCs/>
          <w:sz w:val="36"/>
          <w:szCs w:val="36"/>
        </w:rPr>
        <w:lastRenderedPageBreak/>
        <w:t>Appendix</w:t>
      </w:r>
      <w:r w:rsidR="00FC19E0">
        <w:rPr>
          <w:rFonts w:ascii="Palatino Linotype" w:hAnsi="Palatino Linotype"/>
          <w:b/>
          <w:bCs/>
          <w:sz w:val="36"/>
          <w:szCs w:val="36"/>
        </w:rPr>
        <w:t xml:space="preserve"> A</w:t>
      </w:r>
    </w:p>
    <w:p w:rsidRPr="00FC19E0" w:rsidR="00FC19E0" w:rsidP="00BA12DF" w:rsidRDefault="00FC19E0" w14:paraId="6916D5A7" w14:textId="77777777">
      <w:pPr>
        <w:jc w:val="center"/>
        <w:rPr>
          <w:rFonts w:ascii="Palatino Linotype" w:hAnsi="Palatino Linotype"/>
          <w:b/>
          <w:bCs/>
          <w:sz w:val="36"/>
          <w:szCs w:val="36"/>
        </w:rPr>
      </w:pPr>
    </w:p>
    <w:p w:rsidR="00BA12DF" w:rsidP="0097531E" w:rsidRDefault="0097531E" w14:paraId="76EAC322" w14:textId="59C4FE95">
      <w:pPr>
        <w:jc w:val="center"/>
        <w:rPr>
          <w:rFonts w:ascii="Palatino Linotype" w:hAnsi="Palatino Linotype"/>
        </w:rPr>
      </w:pPr>
      <w:r w:rsidRPr="004C75F9">
        <w:rPr>
          <w:rFonts w:ascii="Palatino Linotype" w:hAnsi="Palatino Linotype"/>
          <w:b/>
          <w:bCs/>
        </w:rPr>
        <w:t>Summary of Federal and State ETC, and FCC’s RDOF requirements</w:t>
      </w:r>
      <w:r>
        <w:rPr>
          <w:rStyle w:val="FootnoteReference"/>
          <w:rFonts w:ascii="Palatino Linotype" w:hAnsi="Palatino Linotype"/>
        </w:rPr>
        <w:footnoteReference w:id="27"/>
      </w:r>
      <w:r>
        <w:rPr>
          <w:rFonts w:ascii="Palatino Linotype" w:hAnsi="Palatino Linotype"/>
        </w:rPr>
        <w:t xml:space="preserve"> </w:t>
      </w:r>
      <w:r>
        <w:rPr>
          <w:rStyle w:val="FootnoteReference"/>
          <w:rFonts w:ascii="Palatino Linotype" w:hAnsi="Palatino Linotype"/>
        </w:rPr>
        <w:footnoteReference w:id="28"/>
      </w:r>
    </w:p>
    <w:p w:rsidRPr="00FC19E0" w:rsidR="0097531E" w:rsidP="0097531E" w:rsidRDefault="0097531E" w14:paraId="75678546" w14:textId="77777777">
      <w:pPr>
        <w:jc w:val="center"/>
        <w:rPr>
          <w:sz w:val="28"/>
          <w:szCs w:val="28"/>
        </w:rPr>
      </w:pPr>
    </w:p>
    <w:tbl>
      <w:tblPr>
        <w:tblStyle w:val="PlainTable1"/>
        <w:tblW w:w="0" w:type="auto"/>
        <w:tblLook w:val="04A0" w:firstRow="1" w:lastRow="0" w:firstColumn="1" w:lastColumn="0" w:noHBand="0" w:noVBand="1"/>
      </w:tblPr>
      <w:tblGrid>
        <w:gridCol w:w="2965"/>
        <w:gridCol w:w="2160"/>
        <w:gridCol w:w="1887"/>
        <w:gridCol w:w="2338"/>
      </w:tblGrid>
      <w:tr w:rsidRPr="00471C09" w:rsidR="008C0F88" w:rsidTr="0090574F" w14:paraId="3A86514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Pr="00471C09" w:rsidR="008C0F88" w:rsidP="004E7A0D" w:rsidRDefault="008C0F88" w14:paraId="5892C281" w14:textId="6120CA9D">
            <w:pPr>
              <w:rPr>
                <w:rFonts w:ascii="Palatino Linotype" w:hAnsi="Palatino Linotype"/>
              </w:rPr>
            </w:pPr>
            <w:r w:rsidRPr="00471C09">
              <w:rPr>
                <w:rFonts w:ascii="Palatino Linotype" w:hAnsi="Palatino Linotype"/>
              </w:rPr>
              <w:t>Federal ETC requirements for high cost and Lifeline</w:t>
            </w:r>
          </w:p>
        </w:tc>
        <w:tc>
          <w:tcPr>
            <w:tcW w:w="2160" w:type="dxa"/>
          </w:tcPr>
          <w:p w:rsidRPr="00471C09" w:rsidR="008C0F88" w:rsidP="004E7A0D" w:rsidRDefault="008C0F88" w14:paraId="113CB84A" w14:textId="42F59105">
            <w:pPr>
              <w:cnfStyle w:val="100000000000" w:firstRow="1" w:lastRow="0" w:firstColumn="0" w:lastColumn="0" w:oddVBand="0" w:evenVBand="0" w:oddHBand="0" w:evenHBand="0" w:firstRowFirstColumn="0" w:firstRowLastColumn="0" w:lastRowFirstColumn="0" w:lastRowLastColumn="0"/>
              <w:rPr>
                <w:rFonts w:ascii="Palatino Linotype" w:hAnsi="Palatino Linotype"/>
              </w:rPr>
            </w:pPr>
            <w:r w:rsidRPr="00471C09">
              <w:rPr>
                <w:rFonts w:ascii="Palatino Linotype" w:hAnsi="Palatino Linotype"/>
              </w:rPr>
              <w:t xml:space="preserve">RDOF Short-Form requirements </w:t>
            </w:r>
          </w:p>
        </w:tc>
        <w:tc>
          <w:tcPr>
            <w:tcW w:w="1887" w:type="dxa"/>
          </w:tcPr>
          <w:p w:rsidRPr="00471C09" w:rsidR="008C0F88" w:rsidP="004E7A0D" w:rsidRDefault="008C0F88" w14:paraId="6176B829" w14:textId="58AEB886">
            <w:pPr>
              <w:cnfStyle w:val="100000000000" w:firstRow="1" w:lastRow="0" w:firstColumn="0" w:lastColumn="0" w:oddVBand="0" w:evenVBand="0" w:oddHBand="0" w:evenHBand="0" w:firstRowFirstColumn="0" w:firstRowLastColumn="0" w:lastRowFirstColumn="0" w:lastRowLastColumn="0"/>
              <w:rPr>
                <w:rFonts w:ascii="Palatino Linotype" w:hAnsi="Palatino Linotype"/>
              </w:rPr>
            </w:pPr>
            <w:r w:rsidRPr="00471C09">
              <w:rPr>
                <w:rFonts w:ascii="Palatino Linotype" w:hAnsi="Palatino Linotype"/>
              </w:rPr>
              <w:t>RDOF Long-Form requirements</w:t>
            </w:r>
          </w:p>
        </w:tc>
        <w:tc>
          <w:tcPr>
            <w:tcW w:w="2338" w:type="dxa"/>
          </w:tcPr>
          <w:p w:rsidRPr="00471C09" w:rsidR="008C0F88" w:rsidP="004E7A0D" w:rsidRDefault="008C0F88" w14:paraId="2283EF76" w14:textId="2FB855CF">
            <w:pPr>
              <w:cnfStyle w:val="100000000000" w:firstRow="1" w:lastRow="0" w:firstColumn="0" w:lastColumn="0" w:oddVBand="0" w:evenVBand="0" w:oddHBand="0" w:evenHBand="0" w:firstRowFirstColumn="0" w:firstRowLastColumn="0" w:lastRowFirstColumn="0" w:lastRowLastColumn="0"/>
              <w:rPr>
                <w:rFonts w:ascii="Palatino Linotype" w:hAnsi="Palatino Linotype"/>
              </w:rPr>
            </w:pPr>
            <w:r w:rsidRPr="00471C09">
              <w:rPr>
                <w:rFonts w:ascii="Palatino Linotype" w:hAnsi="Palatino Linotype"/>
              </w:rPr>
              <w:t>State ETC requirements</w:t>
            </w:r>
          </w:p>
        </w:tc>
      </w:tr>
      <w:tr w:rsidRPr="00471C09" w:rsidR="008C0F88" w:rsidTr="0090574F" w14:paraId="319773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Pr="00471C09" w:rsidR="0097531E" w:rsidP="0097531E" w:rsidRDefault="0097531E" w14:paraId="3E721FD8" w14:textId="77777777">
            <w:pPr>
              <w:rPr>
                <w:rFonts w:ascii="Palatino Linotype" w:hAnsi="Palatino Linotype" w:cs="Calibri"/>
                <w:b w:val="0"/>
                <w:bCs w:val="0"/>
                <w:color w:val="000000"/>
                <w:sz w:val="22"/>
                <w:szCs w:val="22"/>
              </w:rPr>
            </w:pPr>
            <w:r w:rsidRPr="00471C09">
              <w:rPr>
                <w:rFonts w:ascii="Palatino Linotype" w:hAnsi="Palatino Linotype" w:cs="Calibri"/>
                <w:b w:val="0"/>
                <w:bCs w:val="0"/>
                <w:color w:val="000000"/>
                <w:sz w:val="22"/>
                <w:szCs w:val="22"/>
              </w:rPr>
              <w:t>1. Certification that the applicant offers or intends to offer all services designated for support</w:t>
            </w:r>
          </w:p>
          <w:p w:rsidRPr="00471C09" w:rsidR="008C0F88" w:rsidP="004E7A0D" w:rsidRDefault="008C0F88" w14:paraId="4DE97267" w14:textId="77777777">
            <w:pPr>
              <w:rPr>
                <w:rFonts w:ascii="Palatino Linotype" w:hAnsi="Palatino Linotype"/>
                <w:b w:val="0"/>
                <w:bCs w:val="0"/>
                <w:sz w:val="28"/>
                <w:szCs w:val="28"/>
              </w:rPr>
            </w:pPr>
          </w:p>
        </w:tc>
        <w:tc>
          <w:tcPr>
            <w:tcW w:w="2160" w:type="dxa"/>
          </w:tcPr>
          <w:p w:rsidRPr="00636A04" w:rsidR="00636A04" w:rsidP="00636A04" w:rsidRDefault="00636A04" w14:paraId="104E4ADC" w14:textId="77777777">
            <w:pPr>
              <w:cnfStyle w:val="000000100000" w:firstRow="0" w:lastRow="0" w:firstColumn="0" w:lastColumn="0" w:oddVBand="0" w:evenVBand="0" w:oddHBand="1" w:evenHBand="0" w:firstRowFirstColumn="0" w:firstRowLastColumn="0" w:lastRowFirstColumn="0" w:lastRowLastColumn="0"/>
              <w:rPr>
                <w:rFonts w:ascii="Palatino Linotype" w:hAnsi="Palatino Linotype" w:cs="Calibri"/>
                <w:color w:val="000000"/>
                <w:sz w:val="22"/>
                <w:szCs w:val="22"/>
              </w:rPr>
            </w:pPr>
            <w:r w:rsidRPr="00636A04">
              <w:rPr>
                <w:rFonts w:ascii="Palatino Linotype" w:hAnsi="Palatino Linotype" w:cs="Calibri"/>
                <w:color w:val="000000"/>
                <w:sz w:val="22"/>
                <w:szCs w:val="22"/>
              </w:rPr>
              <w:t>Type of technology that will be used to provide each service for each bid</w:t>
            </w:r>
          </w:p>
          <w:p w:rsidRPr="00636A04" w:rsidR="008C0F88" w:rsidP="004E7A0D" w:rsidRDefault="008C0F88" w14:paraId="0FD6B030" w14:textId="77777777">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p>
        </w:tc>
        <w:tc>
          <w:tcPr>
            <w:tcW w:w="1887" w:type="dxa"/>
          </w:tcPr>
          <w:p w:rsidRPr="00636A04" w:rsidR="008C0F88" w:rsidP="004E7A0D" w:rsidRDefault="008C0F88" w14:paraId="3A31E1F4" w14:textId="77777777">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p>
        </w:tc>
        <w:tc>
          <w:tcPr>
            <w:tcW w:w="2338" w:type="dxa"/>
          </w:tcPr>
          <w:p w:rsidRPr="00636A04" w:rsidR="00471C09" w:rsidP="00471C09" w:rsidRDefault="00471C09" w14:paraId="289F7A9E" w14:textId="77777777">
            <w:pPr>
              <w:cnfStyle w:val="000000100000" w:firstRow="0" w:lastRow="0" w:firstColumn="0" w:lastColumn="0" w:oddVBand="0" w:evenVBand="0" w:oddHBand="1" w:evenHBand="0" w:firstRowFirstColumn="0" w:firstRowLastColumn="0" w:lastRowFirstColumn="0" w:lastRowLastColumn="0"/>
              <w:rPr>
                <w:rFonts w:ascii="Palatino Linotype" w:hAnsi="Palatino Linotype" w:cs="Calibri"/>
                <w:color w:val="000000"/>
                <w:sz w:val="22"/>
                <w:szCs w:val="22"/>
              </w:rPr>
            </w:pPr>
            <w:r w:rsidRPr="00636A04">
              <w:rPr>
                <w:rFonts w:ascii="Palatino Linotype" w:hAnsi="Palatino Linotype" w:cs="Calibri"/>
                <w:color w:val="000000"/>
                <w:sz w:val="22"/>
                <w:szCs w:val="22"/>
              </w:rPr>
              <w:t>A statement of commitment to provide service</w:t>
            </w:r>
          </w:p>
          <w:p w:rsidRPr="00636A04" w:rsidR="008C0F88" w:rsidP="004E7A0D" w:rsidRDefault="008C0F88" w14:paraId="26B6102E" w14:textId="77777777">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p>
        </w:tc>
      </w:tr>
      <w:tr w:rsidRPr="00471C09" w:rsidR="008C0F88" w:rsidTr="0090574F" w14:paraId="74626338" w14:textId="77777777">
        <w:tc>
          <w:tcPr>
            <w:cnfStyle w:val="001000000000" w:firstRow="0" w:lastRow="0" w:firstColumn="1" w:lastColumn="0" w:oddVBand="0" w:evenVBand="0" w:oddHBand="0" w:evenHBand="0" w:firstRowFirstColumn="0" w:firstRowLastColumn="0" w:lastRowFirstColumn="0" w:lastRowLastColumn="0"/>
            <w:tcW w:w="2965" w:type="dxa"/>
          </w:tcPr>
          <w:p w:rsidRPr="00471C09" w:rsidR="0097531E" w:rsidP="0097531E" w:rsidRDefault="0097531E" w14:paraId="286AD96B" w14:textId="77777777">
            <w:pPr>
              <w:rPr>
                <w:rFonts w:ascii="Palatino Linotype" w:hAnsi="Palatino Linotype" w:cs="Calibri"/>
                <w:b w:val="0"/>
                <w:bCs w:val="0"/>
                <w:color w:val="000000"/>
                <w:sz w:val="22"/>
                <w:szCs w:val="22"/>
              </w:rPr>
            </w:pPr>
            <w:r w:rsidRPr="00471C09">
              <w:rPr>
                <w:rFonts w:ascii="Palatino Linotype" w:hAnsi="Palatino Linotype" w:cs="Calibri"/>
                <w:b w:val="0"/>
                <w:bCs w:val="0"/>
                <w:color w:val="000000"/>
                <w:sz w:val="22"/>
                <w:szCs w:val="22"/>
              </w:rPr>
              <w:t>2. Certification that the applicant offers or intends to offer the supported services using either its own facilities or a combination of its own facilities and resale of another carrier's services.</w:t>
            </w:r>
          </w:p>
          <w:p w:rsidRPr="00471C09" w:rsidR="008C0F88" w:rsidP="004E7A0D" w:rsidRDefault="008C0F88" w14:paraId="1A39B774" w14:textId="77777777">
            <w:pPr>
              <w:rPr>
                <w:rFonts w:ascii="Palatino Linotype" w:hAnsi="Palatino Linotype"/>
                <w:b w:val="0"/>
                <w:bCs w:val="0"/>
                <w:sz w:val="28"/>
                <w:szCs w:val="28"/>
              </w:rPr>
            </w:pPr>
          </w:p>
        </w:tc>
        <w:tc>
          <w:tcPr>
            <w:tcW w:w="2160" w:type="dxa"/>
          </w:tcPr>
          <w:p w:rsidRPr="00636A04" w:rsidR="00636A04" w:rsidP="00636A04" w:rsidRDefault="00636A04" w14:paraId="1CE86B66" w14:textId="77777777">
            <w:pPr>
              <w:cnfStyle w:val="000000000000" w:firstRow="0" w:lastRow="0" w:firstColumn="0" w:lastColumn="0" w:oddVBand="0" w:evenVBand="0" w:oddHBand="0" w:evenHBand="0" w:firstRowFirstColumn="0" w:firstRowLastColumn="0" w:lastRowFirstColumn="0" w:lastRowLastColumn="0"/>
              <w:rPr>
                <w:rFonts w:ascii="Palatino Linotype" w:hAnsi="Palatino Linotype" w:cs="Calibri"/>
                <w:color w:val="000000"/>
                <w:sz w:val="22"/>
                <w:szCs w:val="22"/>
              </w:rPr>
            </w:pPr>
            <w:r w:rsidRPr="00636A04">
              <w:rPr>
                <w:rFonts w:ascii="Palatino Linotype" w:hAnsi="Palatino Linotype" w:cs="Calibri"/>
                <w:color w:val="000000"/>
                <w:sz w:val="22"/>
                <w:szCs w:val="22"/>
              </w:rPr>
              <w:t>RDOF program requires infrastructure buildout and disclosure of ownership, affiliates or partnerships.</w:t>
            </w:r>
          </w:p>
          <w:p w:rsidRPr="00636A04" w:rsidR="008C0F88" w:rsidP="004E7A0D" w:rsidRDefault="008C0F88" w14:paraId="333FA9F1" w14:textId="77777777">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8"/>
                <w:szCs w:val="28"/>
              </w:rPr>
            </w:pPr>
          </w:p>
        </w:tc>
        <w:tc>
          <w:tcPr>
            <w:tcW w:w="1887" w:type="dxa"/>
          </w:tcPr>
          <w:p w:rsidRPr="00636A04" w:rsidR="00636A04" w:rsidP="00636A04" w:rsidRDefault="00636A04" w14:paraId="2BE4B342" w14:textId="77777777">
            <w:pPr>
              <w:cnfStyle w:val="000000000000" w:firstRow="0" w:lastRow="0" w:firstColumn="0" w:lastColumn="0" w:oddVBand="0" w:evenVBand="0" w:oddHBand="0" w:evenHBand="0" w:firstRowFirstColumn="0" w:firstRowLastColumn="0" w:lastRowFirstColumn="0" w:lastRowLastColumn="0"/>
              <w:rPr>
                <w:rFonts w:ascii="Palatino Linotype" w:hAnsi="Palatino Linotype" w:cs="Calibri"/>
                <w:color w:val="000000"/>
                <w:sz w:val="22"/>
                <w:szCs w:val="22"/>
              </w:rPr>
            </w:pPr>
            <w:r w:rsidRPr="00636A04">
              <w:rPr>
                <w:rFonts w:ascii="Palatino Linotype" w:hAnsi="Palatino Linotype" w:cs="Calibri"/>
                <w:color w:val="000000"/>
                <w:sz w:val="22"/>
                <w:szCs w:val="22"/>
              </w:rPr>
              <w:t>Updated ownership information</w:t>
            </w:r>
          </w:p>
          <w:p w:rsidRPr="00636A04" w:rsidR="008C0F88" w:rsidP="004E7A0D" w:rsidRDefault="008C0F88" w14:paraId="2C67635C" w14:textId="77777777">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8"/>
                <w:szCs w:val="28"/>
              </w:rPr>
            </w:pPr>
          </w:p>
        </w:tc>
        <w:tc>
          <w:tcPr>
            <w:tcW w:w="2338" w:type="dxa"/>
          </w:tcPr>
          <w:p w:rsidRPr="00636A04" w:rsidR="005F7652" w:rsidP="005F7652" w:rsidRDefault="005F7652" w14:paraId="4A898148" w14:textId="77777777">
            <w:pPr>
              <w:cnfStyle w:val="000000000000" w:firstRow="0" w:lastRow="0" w:firstColumn="0" w:lastColumn="0" w:oddVBand="0" w:evenVBand="0" w:oddHBand="0" w:evenHBand="0" w:firstRowFirstColumn="0" w:firstRowLastColumn="0" w:lastRowFirstColumn="0" w:lastRowLastColumn="0"/>
              <w:rPr>
                <w:rFonts w:ascii="Palatino Linotype" w:hAnsi="Palatino Linotype" w:cs="Calibri"/>
                <w:color w:val="000000"/>
                <w:sz w:val="22"/>
                <w:szCs w:val="22"/>
              </w:rPr>
            </w:pPr>
            <w:r w:rsidRPr="00636A04">
              <w:rPr>
                <w:rFonts w:ascii="Palatino Linotype" w:hAnsi="Palatino Linotype" w:cs="Calibri"/>
                <w:color w:val="000000"/>
                <w:sz w:val="22"/>
                <w:szCs w:val="22"/>
              </w:rPr>
              <w:t>A description of the proposed service offerings and attached service area maps</w:t>
            </w:r>
          </w:p>
          <w:p w:rsidRPr="00636A04" w:rsidR="008C0F88" w:rsidP="004E7A0D" w:rsidRDefault="008C0F88" w14:paraId="155B8DFA" w14:textId="77777777">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8"/>
                <w:szCs w:val="28"/>
              </w:rPr>
            </w:pPr>
          </w:p>
        </w:tc>
      </w:tr>
      <w:tr w:rsidRPr="00471C09" w:rsidR="008C0F88" w:rsidTr="0090574F" w14:paraId="5035096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Pr="00471C09" w:rsidR="00471C09" w:rsidP="00471C09" w:rsidRDefault="00471C09" w14:paraId="65D10A67" w14:textId="77777777">
            <w:pPr>
              <w:rPr>
                <w:rFonts w:ascii="Palatino Linotype" w:hAnsi="Palatino Linotype" w:cs="Calibri"/>
                <w:b w:val="0"/>
                <w:bCs w:val="0"/>
                <w:color w:val="000000"/>
                <w:sz w:val="22"/>
                <w:szCs w:val="22"/>
              </w:rPr>
            </w:pPr>
            <w:r w:rsidRPr="00471C09">
              <w:rPr>
                <w:rFonts w:ascii="Palatino Linotype" w:hAnsi="Palatino Linotype" w:cs="Calibri"/>
                <w:b w:val="0"/>
                <w:bCs w:val="0"/>
                <w:color w:val="000000"/>
                <w:sz w:val="22"/>
                <w:szCs w:val="22"/>
              </w:rPr>
              <w:t>3. A description of the marketing plan of the supported services and charges using media of general distribution.</w:t>
            </w:r>
          </w:p>
          <w:p w:rsidRPr="00471C09" w:rsidR="008C0F88" w:rsidP="004E7A0D" w:rsidRDefault="008C0F88" w14:paraId="7D854C68" w14:textId="77777777">
            <w:pPr>
              <w:rPr>
                <w:rFonts w:ascii="Palatino Linotype" w:hAnsi="Palatino Linotype"/>
                <w:b w:val="0"/>
                <w:bCs w:val="0"/>
                <w:sz w:val="28"/>
                <w:szCs w:val="28"/>
              </w:rPr>
            </w:pPr>
          </w:p>
        </w:tc>
        <w:tc>
          <w:tcPr>
            <w:tcW w:w="2160" w:type="dxa"/>
          </w:tcPr>
          <w:p w:rsidRPr="00636A04" w:rsidR="008C0F88" w:rsidP="004E7A0D" w:rsidRDefault="008C0F88" w14:paraId="7DD135BA" w14:textId="77777777">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p>
        </w:tc>
        <w:tc>
          <w:tcPr>
            <w:tcW w:w="1887" w:type="dxa"/>
          </w:tcPr>
          <w:p w:rsidRPr="00636A04" w:rsidR="008C0F88" w:rsidP="004E7A0D" w:rsidRDefault="008C0F88" w14:paraId="5E071BD3" w14:textId="77777777">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p>
        </w:tc>
        <w:tc>
          <w:tcPr>
            <w:tcW w:w="2338" w:type="dxa"/>
          </w:tcPr>
          <w:p w:rsidRPr="00636A04" w:rsidR="005F7652" w:rsidP="005F7652" w:rsidRDefault="005F7652" w14:paraId="0CDEB2E1" w14:textId="77777777">
            <w:pPr>
              <w:cnfStyle w:val="000000100000" w:firstRow="0" w:lastRow="0" w:firstColumn="0" w:lastColumn="0" w:oddVBand="0" w:evenVBand="0" w:oddHBand="1" w:evenHBand="0" w:firstRowFirstColumn="0" w:firstRowLastColumn="0" w:lastRowFirstColumn="0" w:lastRowLastColumn="0"/>
              <w:rPr>
                <w:rFonts w:ascii="Palatino Linotype" w:hAnsi="Palatino Linotype" w:cs="Calibri"/>
                <w:color w:val="000000"/>
                <w:sz w:val="22"/>
                <w:szCs w:val="22"/>
              </w:rPr>
            </w:pPr>
            <w:r w:rsidRPr="00636A04">
              <w:rPr>
                <w:rFonts w:ascii="Palatino Linotype" w:hAnsi="Palatino Linotype" w:cs="Calibri"/>
                <w:color w:val="000000"/>
                <w:sz w:val="22"/>
                <w:szCs w:val="22"/>
              </w:rPr>
              <w:t>A description of the advertising plan(s)</w:t>
            </w:r>
          </w:p>
          <w:p w:rsidRPr="00636A04" w:rsidR="008C0F88" w:rsidP="004E7A0D" w:rsidRDefault="008C0F88" w14:paraId="51C36636" w14:textId="77777777">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p>
        </w:tc>
      </w:tr>
      <w:tr w:rsidRPr="00471C09" w:rsidR="008C0F88" w:rsidTr="0090574F" w14:paraId="7DAD22E0" w14:textId="77777777">
        <w:tc>
          <w:tcPr>
            <w:cnfStyle w:val="001000000000" w:firstRow="0" w:lastRow="0" w:firstColumn="1" w:lastColumn="0" w:oddVBand="0" w:evenVBand="0" w:oddHBand="0" w:evenHBand="0" w:firstRowFirstColumn="0" w:firstRowLastColumn="0" w:lastRowFirstColumn="0" w:lastRowLastColumn="0"/>
            <w:tcW w:w="2965" w:type="dxa"/>
          </w:tcPr>
          <w:p w:rsidRPr="00471C09" w:rsidR="00471C09" w:rsidP="00471C09" w:rsidRDefault="00471C09" w14:paraId="0AC8BA43" w14:textId="77777777">
            <w:pPr>
              <w:rPr>
                <w:rFonts w:ascii="Palatino Linotype" w:hAnsi="Palatino Linotype" w:cs="Calibri"/>
                <w:b w:val="0"/>
                <w:bCs w:val="0"/>
                <w:color w:val="000000"/>
                <w:sz w:val="22"/>
                <w:szCs w:val="22"/>
              </w:rPr>
            </w:pPr>
            <w:r w:rsidRPr="00471C09">
              <w:rPr>
                <w:rFonts w:ascii="Palatino Linotype" w:hAnsi="Palatino Linotype" w:cs="Calibri"/>
                <w:b w:val="0"/>
                <w:bCs w:val="0"/>
                <w:color w:val="000000"/>
                <w:sz w:val="22"/>
                <w:szCs w:val="22"/>
              </w:rPr>
              <w:t>4. A detailed description of the geographic service area for which the applicant requests ETC designation</w:t>
            </w:r>
          </w:p>
          <w:p w:rsidRPr="00471C09" w:rsidR="008C0F88" w:rsidP="004E7A0D" w:rsidRDefault="008C0F88" w14:paraId="1DB74BFA" w14:textId="77777777">
            <w:pPr>
              <w:rPr>
                <w:rFonts w:ascii="Palatino Linotype" w:hAnsi="Palatino Linotype"/>
                <w:b w:val="0"/>
                <w:bCs w:val="0"/>
                <w:sz w:val="28"/>
                <w:szCs w:val="28"/>
              </w:rPr>
            </w:pPr>
          </w:p>
        </w:tc>
        <w:tc>
          <w:tcPr>
            <w:tcW w:w="2160" w:type="dxa"/>
          </w:tcPr>
          <w:p w:rsidRPr="00636A04" w:rsidR="008C0F88" w:rsidP="004E7A0D" w:rsidRDefault="008C0F88" w14:paraId="1BEA8433" w14:textId="77777777">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8"/>
                <w:szCs w:val="28"/>
              </w:rPr>
            </w:pPr>
          </w:p>
        </w:tc>
        <w:tc>
          <w:tcPr>
            <w:tcW w:w="1887" w:type="dxa"/>
          </w:tcPr>
          <w:p w:rsidRPr="00636A04" w:rsidR="008C0F88" w:rsidP="004E7A0D" w:rsidRDefault="008C0F88" w14:paraId="0EDE4BDB" w14:textId="77777777">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8"/>
                <w:szCs w:val="28"/>
              </w:rPr>
            </w:pPr>
          </w:p>
        </w:tc>
        <w:tc>
          <w:tcPr>
            <w:tcW w:w="2338" w:type="dxa"/>
          </w:tcPr>
          <w:p w:rsidRPr="00636A04" w:rsidR="005F7652" w:rsidP="005F7652" w:rsidRDefault="005F7652" w14:paraId="2E447DB3" w14:textId="77777777">
            <w:pPr>
              <w:cnfStyle w:val="000000000000" w:firstRow="0" w:lastRow="0" w:firstColumn="0" w:lastColumn="0" w:oddVBand="0" w:evenVBand="0" w:oddHBand="0" w:evenHBand="0" w:firstRowFirstColumn="0" w:firstRowLastColumn="0" w:lastRowFirstColumn="0" w:lastRowLastColumn="0"/>
              <w:rPr>
                <w:rFonts w:ascii="Palatino Linotype" w:hAnsi="Palatino Linotype" w:cs="Calibri"/>
                <w:color w:val="000000"/>
                <w:sz w:val="22"/>
                <w:szCs w:val="22"/>
              </w:rPr>
            </w:pPr>
            <w:r w:rsidRPr="00636A04">
              <w:rPr>
                <w:rFonts w:ascii="Palatino Linotype" w:hAnsi="Palatino Linotype" w:cs="Calibri"/>
                <w:color w:val="000000"/>
                <w:sz w:val="22"/>
                <w:szCs w:val="22"/>
              </w:rPr>
              <w:t>A description of the proposed service offerings and attached service area maps</w:t>
            </w:r>
          </w:p>
          <w:p w:rsidRPr="00636A04" w:rsidR="008C0F88" w:rsidP="004E7A0D" w:rsidRDefault="008C0F88" w14:paraId="0110D44C" w14:textId="77777777">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8"/>
                <w:szCs w:val="28"/>
              </w:rPr>
            </w:pPr>
          </w:p>
        </w:tc>
      </w:tr>
      <w:tr w:rsidRPr="00471C09" w:rsidR="008C0F88" w:rsidTr="0090574F" w14:paraId="293007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Pr="00636A04" w:rsidR="00471C09" w:rsidP="00471C09" w:rsidRDefault="00471C09" w14:paraId="0792DF4B" w14:textId="77777777">
            <w:pPr>
              <w:rPr>
                <w:rFonts w:ascii="Palatino Linotype" w:hAnsi="Palatino Linotype" w:cs="Calibri"/>
                <w:b w:val="0"/>
                <w:bCs w:val="0"/>
                <w:color w:val="000000"/>
                <w:sz w:val="22"/>
                <w:szCs w:val="22"/>
              </w:rPr>
            </w:pPr>
            <w:r w:rsidRPr="00636A04">
              <w:rPr>
                <w:rFonts w:ascii="Palatino Linotype" w:hAnsi="Palatino Linotype" w:cs="Calibri"/>
                <w:b w:val="0"/>
                <w:bCs w:val="0"/>
                <w:color w:val="000000"/>
                <w:sz w:val="22"/>
                <w:szCs w:val="22"/>
              </w:rPr>
              <w:t>5.  Certify that it will comply with the service requirements applicable to the support that it receives.</w:t>
            </w:r>
          </w:p>
          <w:p w:rsidRPr="00636A04" w:rsidR="008C0F88" w:rsidP="004E7A0D" w:rsidRDefault="008C0F88" w14:paraId="761FDF36" w14:textId="77777777">
            <w:pPr>
              <w:rPr>
                <w:rFonts w:ascii="Palatino Linotype" w:hAnsi="Palatino Linotype"/>
                <w:b w:val="0"/>
                <w:bCs w:val="0"/>
                <w:sz w:val="28"/>
                <w:szCs w:val="28"/>
              </w:rPr>
            </w:pPr>
          </w:p>
        </w:tc>
        <w:tc>
          <w:tcPr>
            <w:tcW w:w="2160" w:type="dxa"/>
          </w:tcPr>
          <w:p w:rsidRPr="00636A04" w:rsidR="008C0F88" w:rsidP="004E7A0D" w:rsidRDefault="008C0F88" w14:paraId="3FC31F51" w14:textId="77777777">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p>
        </w:tc>
        <w:tc>
          <w:tcPr>
            <w:tcW w:w="1887" w:type="dxa"/>
          </w:tcPr>
          <w:p w:rsidRPr="00636A04" w:rsidR="00636A04" w:rsidP="00636A04" w:rsidRDefault="00636A04" w14:paraId="7F97CF84" w14:textId="77777777">
            <w:pPr>
              <w:cnfStyle w:val="000000100000" w:firstRow="0" w:lastRow="0" w:firstColumn="0" w:lastColumn="0" w:oddVBand="0" w:evenVBand="0" w:oddHBand="1" w:evenHBand="0" w:firstRowFirstColumn="0" w:firstRowLastColumn="0" w:lastRowFirstColumn="0" w:lastRowLastColumn="0"/>
              <w:rPr>
                <w:rFonts w:ascii="Palatino Linotype" w:hAnsi="Palatino Linotype" w:cs="Calibri"/>
                <w:color w:val="000000"/>
                <w:sz w:val="22"/>
                <w:szCs w:val="22"/>
              </w:rPr>
            </w:pPr>
            <w:r w:rsidRPr="00636A04">
              <w:rPr>
                <w:rFonts w:ascii="Palatino Linotype" w:hAnsi="Palatino Linotype" w:cs="Calibri"/>
                <w:color w:val="000000"/>
                <w:sz w:val="22"/>
                <w:szCs w:val="22"/>
              </w:rPr>
              <w:t>RDOF program milestones.</w:t>
            </w:r>
          </w:p>
          <w:p w:rsidRPr="00636A04" w:rsidR="008C0F88" w:rsidP="004E7A0D" w:rsidRDefault="008C0F88" w14:paraId="3B953447" w14:textId="77777777">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p>
        </w:tc>
        <w:tc>
          <w:tcPr>
            <w:tcW w:w="2338" w:type="dxa"/>
          </w:tcPr>
          <w:p w:rsidRPr="00636A04" w:rsidR="005F7652" w:rsidP="005F7652" w:rsidRDefault="005F7652" w14:paraId="6E4D5817" w14:textId="77777777">
            <w:pPr>
              <w:cnfStyle w:val="000000100000" w:firstRow="0" w:lastRow="0" w:firstColumn="0" w:lastColumn="0" w:oddVBand="0" w:evenVBand="0" w:oddHBand="1" w:evenHBand="0" w:firstRowFirstColumn="0" w:firstRowLastColumn="0" w:lastRowFirstColumn="0" w:lastRowLastColumn="0"/>
              <w:rPr>
                <w:rFonts w:ascii="Palatino Linotype" w:hAnsi="Palatino Linotype" w:cs="Calibri"/>
                <w:color w:val="000000"/>
                <w:sz w:val="22"/>
                <w:szCs w:val="22"/>
              </w:rPr>
            </w:pPr>
            <w:r w:rsidRPr="00636A04">
              <w:rPr>
                <w:rFonts w:ascii="Palatino Linotype" w:hAnsi="Palatino Linotype" w:cs="Calibri"/>
                <w:color w:val="000000"/>
                <w:sz w:val="22"/>
                <w:szCs w:val="22"/>
              </w:rPr>
              <w:t xml:space="preserve">A statement that funding will only be used only for the provision, </w:t>
            </w:r>
            <w:r w:rsidRPr="00636A04">
              <w:rPr>
                <w:rFonts w:ascii="Palatino Linotype" w:hAnsi="Palatino Linotype" w:cs="Calibri"/>
                <w:color w:val="000000"/>
                <w:sz w:val="22"/>
                <w:szCs w:val="22"/>
              </w:rPr>
              <w:lastRenderedPageBreak/>
              <w:t>maintenance, and upgrading of facilities and services for which the support is intended.</w:t>
            </w:r>
          </w:p>
          <w:p w:rsidRPr="00636A04" w:rsidR="008C0F88" w:rsidP="004E7A0D" w:rsidRDefault="008C0F88" w14:paraId="66035711" w14:textId="77777777">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p>
        </w:tc>
      </w:tr>
      <w:tr w:rsidRPr="00471C09" w:rsidR="008C0F88" w:rsidTr="0090574F" w14:paraId="68375B49" w14:textId="77777777">
        <w:tc>
          <w:tcPr>
            <w:cnfStyle w:val="001000000000" w:firstRow="0" w:lastRow="0" w:firstColumn="1" w:lastColumn="0" w:oddVBand="0" w:evenVBand="0" w:oddHBand="0" w:evenHBand="0" w:firstRowFirstColumn="0" w:firstRowLastColumn="0" w:lastRowFirstColumn="0" w:lastRowLastColumn="0"/>
            <w:tcW w:w="2965" w:type="dxa"/>
          </w:tcPr>
          <w:p w:rsidRPr="00636A04" w:rsidR="00471C09" w:rsidP="00471C09" w:rsidRDefault="00471C09" w14:paraId="751A9427" w14:textId="77777777">
            <w:pPr>
              <w:rPr>
                <w:rFonts w:ascii="Palatino Linotype" w:hAnsi="Palatino Linotype" w:cs="Calibri"/>
                <w:b w:val="0"/>
                <w:bCs w:val="0"/>
                <w:color w:val="000000"/>
                <w:sz w:val="22"/>
                <w:szCs w:val="22"/>
              </w:rPr>
            </w:pPr>
            <w:r w:rsidRPr="00636A04">
              <w:rPr>
                <w:rFonts w:ascii="Palatino Linotype" w:hAnsi="Palatino Linotype" w:cs="Calibri"/>
                <w:b w:val="0"/>
                <w:bCs w:val="0"/>
                <w:color w:val="000000"/>
                <w:sz w:val="22"/>
                <w:szCs w:val="22"/>
              </w:rPr>
              <w:lastRenderedPageBreak/>
              <w:t>6.  Submit a five-year service plan (applicable only to high cost areas)</w:t>
            </w:r>
          </w:p>
          <w:p w:rsidRPr="00636A04" w:rsidR="008C0F88" w:rsidP="00636A04" w:rsidRDefault="008C0F88" w14:paraId="32A67C7D" w14:textId="77777777">
            <w:pPr>
              <w:rPr>
                <w:rFonts w:ascii="Palatino Linotype" w:hAnsi="Palatino Linotype"/>
                <w:b w:val="0"/>
                <w:bCs w:val="0"/>
                <w:sz w:val="28"/>
                <w:szCs w:val="28"/>
              </w:rPr>
            </w:pPr>
          </w:p>
        </w:tc>
        <w:tc>
          <w:tcPr>
            <w:tcW w:w="2160" w:type="dxa"/>
          </w:tcPr>
          <w:p w:rsidRPr="00636A04" w:rsidR="008C0F88" w:rsidP="004E7A0D" w:rsidRDefault="008C0F88" w14:paraId="3802872D" w14:textId="77777777">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8"/>
                <w:szCs w:val="28"/>
              </w:rPr>
            </w:pPr>
          </w:p>
        </w:tc>
        <w:tc>
          <w:tcPr>
            <w:tcW w:w="1887" w:type="dxa"/>
          </w:tcPr>
          <w:p w:rsidRPr="00636A04" w:rsidR="008C0F88" w:rsidP="004365A4" w:rsidRDefault="004365A4" w14:paraId="540892ED" w14:textId="062CFA4E">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8"/>
                <w:szCs w:val="28"/>
              </w:rPr>
            </w:pPr>
            <w:r>
              <w:rPr>
                <w:rFonts w:ascii="Palatino Linotype" w:hAnsi="Palatino Linotype" w:cs="Calibri"/>
                <w:color w:val="000000"/>
                <w:sz w:val="22"/>
                <w:szCs w:val="22"/>
              </w:rPr>
              <w:t xml:space="preserve">Waived – see #8, reporting obligations. </w:t>
            </w:r>
          </w:p>
        </w:tc>
        <w:tc>
          <w:tcPr>
            <w:tcW w:w="2338" w:type="dxa"/>
          </w:tcPr>
          <w:p w:rsidRPr="00636A04" w:rsidR="00636A04" w:rsidP="00636A04" w:rsidRDefault="00636A04" w14:paraId="3FFFC415" w14:textId="77777777">
            <w:pPr>
              <w:cnfStyle w:val="000000000000" w:firstRow="0" w:lastRow="0" w:firstColumn="0" w:lastColumn="0" w:oddVBand="0" w:evenVBand="0" w:oddHBand="0" w:evenHBand="0" w:firstRowFirstColumn="0" w:firstRowLastColumn="0" w:lastRowFirstColumn="0" w:lastRowLastColumn="0"/>
              <w:rPr>
                <w:rFonts w:ascii="Palatino Linotype" w:hAnsi="Palatino Linotype" w:cs="Calibri"/>
                <w:color w:val="000000"/>
                <w:sz w:val="22"/>
                <w:szCs w:val="22"/>
              </w:rPr>
            </w:pPr>
            <w:r w:rsidRPr="00636A04">
              <w:rPr>
                <w:rFonts w:ascii="Palatino Linotype" w:hAnsi="Palatino Linotype" w:cs="Calibri"/>
                <w:color w:val="000000"/>
                <w:sz w:val="22"/>
                <w:szCs w:val="22"/>
              </w:rPr>
              <w:t>Submit a 2-year service quality improvement plan</w:t>
            </w:r>
          </w:p>
          <w:p w:rsidRPr="00636A04" w:rsidR="008C0F88" w:rsidP="004E7A0D" w:rsidRDefault="008C0F88" w14:paraId="67F9762C" w14:textId="77777777">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8"/>
                <w:szCs w:val="28"/>
              </w:rPr>
            </w:pPr>
          </w:p>
        </w:tc>
      </w:tr>
      <w:tr w:rsidRPr="00471C09" w:rsidR="00636A04" w:rsidTr="0090574F" w14:paraId="173A81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Pr="00636A04" w:rsidR="00636A04" w:rsidP="00636A04" w:rsidRDefault="00636A04" w14:paraId="4B9AFD56" w14:textId="77777777">
            <w:pPr>
              <w:rPr>
                <w:rFonts w:ascii="Palatino Linotype" w:hAnsi="Palatino Linotype" w:cs="Calibri"/>
                <w:b w:val="0"/>
                <w:bCs w:val="0"/>
                <w:color w:val="000000"/>
                <w:sz w:val="22"/>
                <w:szCs w:val="22"/>
              </w:rPr>
            </w:pPr>
            <w:r w:rsidRPr="00636A04">
              <w:rPr>
                <w:rFonts w:ascii="Palatino Linotype" w:hAnsi="Palatino Linotype" w:cs="Calibri"/>
                <w:b w:val="0"/>
                <w:bCs w:val="0"/>
                <w:color w:val="000000"/>
                <w:sz w:val="22"/>
                <w:szCs w:val="22"/>
              </w:rPr>
              <w:t>7.  Demonstrate its ability to remain functional in emergency situations</w:t>
            </w:r>
          </w:p>
          <w:p w:rsidRPr="00636A04" w:rsidR="00636A04" w:rsidP="00471C09" w:rsidRDefault="00636A04" w14:paraId="71A32293" w14:textId="77777777">
            <w:pPr>
              <w:rPr>
                <w:rFonts w:ascii="Palatino Linotype" w:hAnsi="Palatino Linotype" w:cs="Calibri"/>
                <w:b w:val="0"/>
                <w:bCs w:val="0"/>
                <w:color w:val="000000"/>
                <w:sz w:val="22"/>
                <w:szCs w:val="22"/>
              </w:rPr>
            </w:pPr>
          </w:p>
        </w:tc>
        <w:tc>
          <w:tcPr>
            <w:tcW w:w="2160" w:type="dxa"/>
          </w:tcPr>
          <w:p w:rsidRPr="00636A04" w:rsidR="00636A04" w:rsidP="004E7A0D" w:rsidRDefault="00636A04" w14:paraId="1A72546B" w14:textId="77777777">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p>
        </w:tc>
        <w:tc>
          <w:tcPr>
            <w:tcW w:w="1887" w:type="dxa"/>
          </w:tcPr>
          <w:p w:rsidRPr="00636A04" w:rsidR="00636A04" w:rsidP="00636A04" w:rsidRDefault="00636A04" w14:paraId="2F1D5FD1" w14:textId="77777777">
            <w:pPr>
              <w:cnfStyle w:val="000000100000" w:firstRow="0" w:lastRow="0" w:firstColumn="0" w:lastColumn="0" w:oddVBand="0" w:evenVBand="0" w:oddHBand="1" w:evenHBand="0" w:firstRowFirstColumn="0" w:firstRowLastColumn="0" w:lastRowFirstColumn="0" w:lastRowLastColumn="0"/>
              <w:rPr>
                <w:rFonts w:ascii="Palatino Linotype" w:hAnsi="Palatino Linotype" w:cs="Calibri"/>
                <w:color w:val="000000"/>
                <w:sz w:val="22"/>
                <w:szCs w:val="22"/>
              </w:rPr>
            </w:pPr>
          </w:p>
        </w:tc>
        <w:tc>
          <w:tcPr>
            <w:tcW w:w="2338" w:type="dxa"/>
          </w:tcPr>
          <w:p w:rsidRPr="00636A04" w:rsidR="000A66FA" w:rsidP="000A66FA" w:rsidRDefault="000A66FA" w14:paraId="5CC4FCBF" w14:textId="77777777">
            <w:pPr>
              <w:cnfStyle w:val="000000100000" w:firstRow="0" w:lastRow="0" w:firstColumn="0" w:lastColumn="0" w:oddVBand="0" w:evenVBand="0" w:oddHBand="1" w:evenHBand="0" w:firstRowFirstColumn="0" w:firstRowLastColumn="0" w:lastRowFirstColumn="0" w:lastRowLastColumn="0"/>
              <w:rPr>
                <w:rFonts w:ascii="Palatino Linotype" w:hAnsi="Palatino Linotype" w:cs="Calibri"/>
                <w:color w:val="000000"/>
                <w:sz w:val="22"/>
                <w:szCs w:val="22"/>
              </w:rPr>
            </w:pPr>
            <w:r w:rsidRPr="00636A04">
              <w:rPr>
                <w:rFonts w:ascii="Palatino Linotype" w:hAnsi="Palatino Linotype" w:cs="Calibri"/>
                <w:color w:val="000000"/>
                <w:sz w:val="22"/>
                <w:szCs w:val="22"/>
              </w:rPr>
              <w:t>Demonstrate its ability to remain functional in emergency situations</w:t>
            </w:r>
          </w:p>
          <w:p w:rsidRPr="00636A04" w:rsidR="00636A04" w:rsidP="00636A04" w:rsidRDefault="00636A04" w14:paraId="14F1B1B1" w14:textId="77777777">
            <w:pPr>
              <w:cnfStyle w:val="000000100000" w:firstRow="0" w:lastRow="0" w:firstColumn="0" w:lastColumn="0" w:oddVBand="0" w:evenVBand="0" w:oddHBand="1" w:evenHBand="0" w:firstRowFirstColumn="0" w:firstRowLastColumn="0" w:lastRowFirstColumn="0" w:lastRowLastColumn="0"/>
              <w:rPr>
                <w:rFonts w:ascii="Palatino Linotype" w:hAnsi="Palatino Linotype" w:cs="Calibri"/>
                <w:color w:val="000000"/>
                <w:sz w:val="22"/>
                <w:szCs w:val="22"/>
              </w:rPr>
            </w:pPr>
          </w:p>
        </w:tc>
      </w:tr>
      <w:tr w:rsidRPr="00471C09" w:rsidR="008C0F88" w:rsidTr="0090574F" w14:paraId="10B7CC08" w14:textId="77777777">
        <w:tc>
          <w:tcPr>
            <w:cnfStyle w:val="001000000000" w:firstRow="0" w:lastRow="0" w:firstColumn="1" w:lastColumn="0" w:oddVBand="0" w:evenVBand="0" w:oddHBand="0" w:evenHBand="0" w:firstRowFirstColumn="0" w:firstRowLastColumn="0" w:lastRowFirstColumn="0" w:lastRowLastColumn="0"/>
            <w:tcW w:w="2965" w:type="dxa"/>
          </w:tcPr>
          <w:p w:rsidRPr="00636A04" w:rsidR="00471C09" w:rsidP="00471C09" w:rsidRDefault="00471C09" w14:paraId="393BBF3D" w14:textId="77777777">
            <w:pPr>
              <w:rPr>
                <w:rFonts w:ascii="Palatino Linotype" w:hAnsi="Palatino Linotype" w:cs="Calibri"/>
                <w:b w:val="0"/>
                <w:bCs w:val="0"/>
                <w:color w:val="000000"/>
                <w:sz w:val="22"/>
                <w:szCs w:val="22"/>
              </w:rPr>
            </w:pPr>
            <w:r w:rsidRPr="00636A04">
              <w:rPr>
                <w:rFonts w:ascii="Palatino Linotype" w:hAnsi="Palatino Linotype" w:cs="Calibri"/>
                <w:b w:val="0"/>
                <w:bCs w:val="0"/>
                <w:color w:val="000000"/>
                <w:sz w:val="22"/>
                <w:szCs w:val="22"/>
              </w:rPr>
              <w:t>8.  Demonstrate its ability to satisfy applicable consumer protection and service quality standards.</w:t>
            </w:r>
          </w:p>
          <w:p w:rsidRPr="00636A04" w:rsidR="008C0F88" w:rsidP="004E7A0D" w:rsidRDefault="008C0F88" w14:paraId="2EB5EF8A" w14:textId="77777777">
            <w:pPr>
              <w:rPr>
                <w:rFonts w:ascii="Palatino Linotype" w:hAnsi="Palatino Linotype"/>
                <w:b w:val="0"/>
                <w:bCs w:val="0"/>
                <w:sz w:val="28"/>
                <w:szCs w:val="28"/>
              </w:rPr>
            </w:pPr>
          </w:p>
        </w:tc>
        <w:tc>
          <w:tcPr>
            <w:tcW w:w="2160" w:type="dxa"/>
          </w:tcPr>
          <w:p w:rsidRPr="00636A04" w:rsidR="008C0F88" w:rsidP="004E7A0D" w:rsidRDefault="008C0F88" w14:paraId="14B349D1" w14:textId="77777777">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8"/>
                <w:szCs w:val="28"/>
              </w:rPr>
            </w:pPr>
          </w:p>
        </w:tc>
        <w:tc>
          <w:tcPr>
            <w:tcW w:w="1887" w:type="dxa"/>
          </w:tcPr>
          <w:p w:rsidRPr="00636A04" w:rsidR="00636A04" w:rsidP="00636A04" w:rsidRDefault="004365A4" w14:paraId="366D2363" w14:textId="46A20A7A">
            <w:pPr>
              <w:cnfStyle w:val="000000000000" w:firstRow="0" w:lastRow="0" w:firstColumn="0" w:lastColumn="0" w:oddVBand="0" w:evenVBand="0" w:oddHBand="0" w:evenHBand="0" w:firstRowFirstColumn="0" w:firstRowLastColumn="0" w:lastRowFirstColumn="0" w:lastRowLastColumn="0"/>
              <w:rPr>
                <w:rFonts w:ascii="Palatino Linotype" w:hAnsi="Palatino Linotype" w:cs="Calibri"/>
                <w:color w:val="000000"/>
                <w:sz w:val="22"/>
                <w:szCs w:val="22"/>
              </w:rPr>
            </w:pPr>
            <w:r>
              <w:rPr>
                <w:rFonts w:ascii="Palatino Linotype" w:hAnsi="Palatino Linotype" w:cs="Calibri"/>
                <w:color w:val="000000"/>
                <w:sz w:val="22"/>
                <w:szCs w:val="22"/>
              </w:rPr>
              <w:t>RDOF requires specific service quality standards and reporting obligations.</w:t>
            </w:r>
          </w:p>
          <w:p w:rsidRPr="00636A04" w:rsidR="008C0F88" w:rsidP="004E7A0D" w:rsidRDefault="008C0F88" w14:paraId="3D2391BF" w14:textId="77777777">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8"/>
                <w:szCs w:val="28"/>
              </w:rPr>
            </w:pPr>
          </w:p>
        </w:tc>
        <w:tc>
          <w:tcPr>
            <w:tcW w:w="2338" w:type="dxa"/>
          </w:tcPr>
          <w:p w:rsidRPr="00636A04" w:rsidR="000A66FA" w:rsidP="000A66FA" w:rsidRDefault="000A66FA" w14:paraId="7FA42657" w14:textId="77777777">
            <w:pPr>
              <w:cnfStyle w:val="000000000000" w:firstRow="0" w:lastRow="0" w:firstColumn="0" w:lastColumn="0" w:oddVBand="0" w:evenVBand="0" w:oddHBand="0" w:evenHBand="0" w:firstRowFirstColumn="0" w:firstRowLastColumn="0" w:lastRowFirstColumn="0" w:lastRowLastColumn="0"/>
              <w:rPr>
                <w:rFonts w:ascii="Palatino Linotype" w:hAnsi="Palatino Linotype" w:cs="Calibri"/>
                <w:color w:val="000000"/>
                <w:sz w:val="22"/>
                <w:szCs w:val="22"/>
              </w:rPr>
            </w:pPr>
            <w:r w:rsidRPr="00636A04">
              <w:rPr>
                <w:rFonts w:ascii="Palatino Linotype" w:hAnsi="Palatino Linotype" w:cs="Calibri"/>
                <w:color w:val="000000"/>
                <w:sz w:val="22"/>
                <w:szCs w:val="22"/>
              </w:rPr>
              <w:t>A statement of commitment to consumer protection</w:t>
            </w:r>
          </w:p>
          <w:p w:rsidRPr="00636A04" w:rsidR="008C0F88" w:rsidP="000A66FA" w:rsidRDefault="008C0F88" w14:paraId="189B166B" w14:textId="77777777">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8"/>
                <w:szCs w:val="28"/>
              </w:rPr>
            </w:pPr>
          </w:p>
        </w:tc>
      </w:tr>
      <w:tr w:rsidRPr="00471C09" w:rsidR="00471C09" w:rsidTr="0090574F" w14:paraId="00B84A3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Pr="00636A04" w:rsidR="00471C09" w:rsidP="00471C09" w:rsidRDefault="00471C09" w14:paraId="5683E72F" w14:textId="77777777">
            <w:pPr>
              <w:rPr>
                <w:rFonts w:ascii="Palatino Linotype" w:hAnsi="Palatino Linotype" w:cs="Calibri"/>
                <w:b w:val="0"/>
                <w:bCs w:val="0"/>
                <w:color w:val="000000"/>
                <w:sz w:val="22"/>
                <w:szCs w:val="22"/>
              </w:rPr>
            </w:pPr>
            <w:r w:rsidRPr="00636A04">
              <w:rPr>
                <w:rFonts w:ascii="Palatino Linotype" w:hAnsi="Palatino Linotype" w:cs="Calibri"/>
                <w:b w:val="0"/>
                <w:bCs w:val="0"/>
                <w:color w:val="000000"/>
                <w:sz w:val="22"/>
                <w:szCs w:val="22"/>
              </w:rPr>
              <w:t xml:space="preserve">9. Demonstrate financial and technical capability of providing Lifeline service.  </w:t>
            </w:r>
          </w:p>
          <w:p w:rsidRPr="00636A04" w:rsidR="00471C09" w:rsidP="00471C09" w:rsidRDefault="00471C09" w14:paraId="42EA597F" w14:textId="77777777">
            <w:pPr>
              <w:rPr>
                <w:rFonts w:ascii="Palatino Linotype" w:hAnsi="Palatino Linotype" w:cs="Calibri"/>
                <w:b w:val="0"/>
                <w:bCs w:val="0"/>
                <w:color w:val="000000"/>
                <w:sz w:val="22"/>
                <w:szCs w:val="22"/>
              </w:rPr>
            </w:pPr>
          </w:p>
        </w:tc>
        <w:tc>
          <w:tcPr>
            <w:tcW w:w="2160" w:type="dxa"/>
          </w:tcPr>
          <w:p w:rsidRPr="00636A04" w:rsidR="00636A04" w:rsidP="00636A04" w:rsidRDefault="00636A04" w14:paraId="63FF3F1E" w14:textId="77777777">
            <w:pPr>
              <w:cnfStyle w:val="000000100000" w:firstRow="0" w:lastRow="0" w:firstColumn="0" w:lastColumn="0" w:oddVBand="0" w:evenVBand="0" w:oddHBand="1" w:evenHBand="0" w:firstRowFirstColumn="0" w:firstRowLastColumn="0" w:lastRowFirstColumn="0" w:lastRowLastColumn="0"/>
              <w:rPr>
                <w:rFonts w:ascii="Palatino Linotype" w:hAnsi="Palatino Linotype" w:cs="Calibri"/>
                <w:color w:val="000000"/>
                <w:sz w:val="22"/>
                <w:szCs w:val="22"/>
              </w:rPr>
            </w:pPr>
            <w:r w:rsidRPr="00636A04">
              <w:rPr>
                <w:rFonts w:ascii="Palatino Linotype" w:hAnsi="Palatino Linotype" w:cs="Calibri"/>
                <w:color w:val="000000"/>
                <w:sz w:val="22"/>
                <w:szCs w:val="22"/>
              </w:rPr>
              <w:t>Technical and financial certifications qualifications</w:t>
            </w:r>
          </w:p>
          <w:p w:rsidRPr="00636A04" w:rsidR="00471C09" w:rsidP="004E7A0D" w:rsidRDefault="00471C09" w14:paraId="33782F7C" w14:textId="77777777">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p>
        </w:tc>
        <w:tc>
          <w:tcPr>
            <w:tcW w:w="1887" w:type="dxa"/>
          </w:tcPr>
          <w:p w:rsidRPr="00636A04" w:rsidR="00636A04" w:rsidP="00636A04" w:rsidRDefault="00636A04" w14:paraId="569F9C77" w14:textId="77777777">
            <w:pPr>
              <w:cnfStyle w:val="000000100000" w:firstRow="0" w:lastRow="0" w:firstColumn="0" w:lastColumn="0" w:oddVBand="0" w:evenVBand="0" w:oddHBand="1" w:evenHBand="0" w:firstRowFirstColumn="0" w:firstRowLastColumn="0" w:lastRowFirstColumn="0" w:lastRowLastColumn="0"/>
              <w:rPr>
                <w:rFonts w:ascii="Palatino Linotype" w:hAnsi="Palatino Linotype" w:cs="Calibri"/>
                <w:color w:val="000000"/>
                <w:sz w:val="22"/>
                <w:szCs w:val="22"/>
              </w:rPr>
            </w:pPr>
            <w:r w:rsidRPr="00636A04">
              <w:rPr>
                <w:rFonts w:ascii="Palatino Linotype" w:hAnsi="Palatino Linotype" w:cs="Calibri"/>
                <w:color w:val="000000"/>
                <w:sz w:val="22"/>
                <w:szCs w:val="22"/>
              </w:rPr>
              <w:t xml:space="preserve">Technical and financial certifications qualifications in the </w:t>
            </w:r>
            <w:proofErr w:type="gramStart"/>
            <w:r w:rsidRPr="00636A04">
              <w:rPr>
                <w:rFonts w:ascii="Palatino Linotype" w:hAnsi="Palatino Linotype" w:cs="Calibri"/>
                <w:color w:val="000000"/>
                <w:sz w:val="22"/>
                <w:szCs w:val="22"/>
              </w:rPr>
              <w:t>areas</w:t>
            </w:r>
            <w:proofErr w:type="gramEnd"/>
            <w:r w:rsidRPr="00636A04">
              <w:rPr>
                <w:rFonts w:ascii="Palatino Linotype" w:hAnsi="Palatino Linotype" w:cs="Calibri"/>
                <w:color w:val="000000"/>
                <w:sz w:val="22"/>
                <w:szCs w:val="22"/>
              </w:rPr>
              <w:t xml:space="preserve"> applicant won support</w:t>
            </w:r>
          </w:p>
          <w:p w:rsidRPr="00636A04" w:rsidR="00471C09" w:rsidP="004E7A0D" w:rsidRDefault="00471C09" w14:paraId="24C2736D" w14:textId="77777777">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p>
        </w:tc>
        <w:tc>
          <w:tcPr>
            <w:tcW w:w="2338" w:type="dxa"/>
          </w:tcPr>
          <w:p w:rsidRPr="00636A04" w:rsidR="00471C09" w:rsidP="000A66FA" w:rsidRDefault="00471C09" w14:paraId="52D2EC19" w14:textId="77777777">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p>
        </w:tc>
      </w:tr>
      <w:tr w:rsidRPr="00471C09" w:rsidR="00471C09" w:rsidTr="00FC19E0" w14:paraId="1796EA20" w14:textId="77777777">
        <w:trPr>
          <w:trHeight w:val="2303"/>
        </w:trPr>
        <w:tc>
          <w:tcPr>
            <w:cnfStyle w:val="001000000000" w:firstRow="0" w:lastRow="0" w:firstColumn="1" w:lastColumn="0" w:oddVBand="0" w:evenVBand="0" w:oddHBand="0" w:evenHBand="0" w:firstRowFirstColumn="0" w:firstRowLastColumn="0" w:lastRowFirstColumn="0" w:lastRowLastColumn="0"/>
            <w:tcW w:w="2965" w:type="dxa"/>
          </w:tcPr>
          <w:p w:rsidRPr="00636A04" w:rsidR="00471C09" w:rsidP="00471C09" w:rsidRDefault="00471C09" w14:paraId="26FD6D79" w14:textId="77777777">
            <w:pPr>
              <w:rPr>
                <w:rFonts w:ascii="Palatino Linotype" w:hAnsi="Palatino Linotype" w:cs="Calibri"/>
                <w:b w:val="0"/>
                <w:bCs w:val="0"/>
                <w:color w:val="000000"/>
                <w:sz w:val="22"/>
                <w:szCs w:val="22"/>
              </w:rPr>
            </w:pPr>
            <w:r w:rsidRPr="00636A04">
              <w:rPr>
                <w:rFonts w:ascii="Palatino Linotype" w:hAnsi="Palatino Linotype" w:cs="Calibri"/>
                <w:b w:val="0"/>
                <w:bCs w:val="0"/>
                <w:color w:val="000000"/>
                <w:sz w:val="22"/>
                <w:szCs w:val="22"/>
              </w:rPr>
              <w:t>10.  Public interest determination</w:t>
            </w:r>
          </w:p>
          <w:p w:rsidR="00471C09" w:rsidP="00471C09" w:rsidRDefault="00471C09" w14:paraId="6456E49E" w14:textId="77777777">
            <w:pPr>
              <w:rPr>
                <w:rFonts w:ascii="Palatino Linotype" w:hAnsi="Palatino Linotype" w:cs="Calibri"/>
                <w:color w:val="000000"/>
                <w:sz w:val="22"/>
                <w:szCs w:val="22"/>
              </w:rPr>
            </w:pPr>
          </w:p>
          <w:p w:rsidRPr="00FC19E0" w:rsidR="00FC19E0" w:rsidP="00FC19E0" w:rsidRDefault="00FC19E0" w14:paraId="6FEBEE11" w14:textId="77777777">
            <w:pPr>
              <w:rPr>
                <w:rFonts w:ascii="Palatino Linotype" w:hAnsi="Palatino Linotype" w:cs="Calibri"/>
                <w:sz w:val="22"/>
                <w:szCs w:val="22"/>
              </w:rPr>
            </w:pPr>
          </w:p>
          <w:p w:rsidRPr="00FC19E0" w:rsidR="00FC19E0" w:rsidP="00FC19E0" w:rsidRDefault="00FC19E0" w14:paraId="5FFB8F4B" w14:textId="77777777">
            <w:pPr>
              <w:rPr>
                <w:rFonts w:ascii="Palatino Linotype" w:hAnsi="Palatino Linotype" w:cs="Calibri"/>
                <w:sz w:val="22"/>
                <w:szCs w:val="22"/>
              </w:rPr>
            </w:pPr>
          </w:p>
          <w:p w:rsidRPr="00FC19E0" w:rsidR="00FC19E0" w:rsidP="00FC19E0" w:rsidRDefault="00FC19E0" w14:paraId="4EDD424E" w14:textId="77777777">
            <w:pPr>
              <w:rPr>
                <w:rFonts w:ascii="Palatino Linotype" w:hAnsi="Palatino Linotype" w:cs="Calibri"/>
                <w:sz w:val="22"/>
                <w:szCs w:val="22"/>
              </w:rPr>
            </w:pPr>
          </w:p>
          <w:p w:rsidRPr="00FC19E0" w:rsidR="00FC19E0" w:rsidP="00FC19E0" w:rsidRDefault="00FC19E0" w14:paraId="3319B557" w14:textId="198F5D6C">
            <w:pPr>
              <w:rPr>
                <w:rFonts w:ascii="Palatino Linotype" w:hAnsi="Palatino Linotype" w:cs="Calibri"/>
                <w:sz w:val="22"/>
                <w:szCs w:val="22"/>
              </w:rPr>
            </w:pPr>
          </w:p>
        </w:tc>
        <w:tc>
          <w:tcPr>
            <w:tcW w:w="2160" w:type="dxa"/>
          </w:tcPr>
          <w:p w:rsidRPr="00636A04" w:rsidR="00636A04" w:rsidP="00636A04" w:rsidRDefault="00636A04" w14:paraId="32BAFA1E" w14:textId="77777777">
            <w:pPr>
              <w:cnfStyle w:val="000000000000" w:firstRow="0" w:lastRow="0" w:firstColumn="0" w:lastColumn="0" w:oddVBand="0" w:evenVBand="0" w:oddHBand="0" w:evenHBand="0" w:firstRowFirstColumn="0" w:firstRowLastColumn="0" w:lastRowFirstColumn="0" w:lastRowLastColumn="0"/>
              <w:rPr>
                <w:rFonts w:ascii="Palatino Linotype" w:hAnsi="Palatino Linotype" w:cs="Calibri"/>
                <w:color w:val="000000"/>
                <w:sz w:val="22"/>
                <w:szCs w:val="22"/>
              </w:rPr>
            </w:pPr>
            <w:r w:rsidRPr="00636A04">
              <w:rPr>
                <w:rFonts w:ascii="Palatino Linotype" w:hAnsi="Palatino Linotype" w:cs="Calibri"/>
                <w:color w:val="000000"/>
                <w:sz w:val="22"/>
                <w:szCs w:val="22"/>
              </w:rPr>
              <w:t>Technical and financial certifications qualifications</w:t>
            </w:r>
          </w:p>
          <w:p w:rsidRPr="00636A04" w:rsidR="00471C09" w:rsidP="004E7A0D" w:rsidRDefault="00471C09" w14:paraId="7C4E9BC0" w14:textId="77777777">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8"/>
                <w:szCs w:val="28"/>
              </w:rPr>
            </w:pPr>
          </w:p>
        </w:tc>
        <w:tc>
          <w:tcPr>
            <w:tcW w:w="1887" w:type="dxa"/>
          </w:tcPr>
          <w:p w:rsidRPr="00FC19E0" w:rsidR="00471C09" w:rsidP="004E7A0D" w:rsidRDefault="00636A04" w14:paraId="6EBA0A16" w14:textId="2D5EFBA9">
            <w:pPr>
              <w:cnfStyle w:val="000000000000" w:firstRow="0" w:lastRow="0" w:firstColumn="0" w:lastColumn="0" w:oddVBand="0" w:evenVBand="0" w:oddHBand="0" w:evenHBand="0" w:firstRowFirstColumn="0" w:firstRowLastColumn="0" w:lastRowFirstColumn="0" w:lastRowLastColumn="0"/>
              <w:rPr>
                <w:rFonts w:ascii="Palatino Linotype" w:hAnsi="Palatino Linotype" w:cs="Calibri"/>
                <w:color w:val="000000"/>
                <w:sz w:val="22"/>
                <w:szCs w:val="22"/>
              </w:rPr>
            </w:pPr>
            <w:r w:rsidRPr="00636A04">
              <w:rPr>
                <w:rFonts w:ascii="Palatino Linotype" w:hAnsi="Palatino Linotype" w:cs="Calibri"/>
                <w:color w:val="000000"/>
                <w:sz w:val="22"/>
                <w:szCs w:val="22"/>
              </w:rPr>
              <w:t xml:space="preserve">Technical and financial certifications qualifications in the </w:t>
            </w:r>
            <w:proofErr w:type="gramStart"/>
            <w:r w:rsidRPr="00636A04">
              <w:rPr>
                <w:rFonts w:ascii="Palatino Linotype" w:hAnsi="Palatino Linotype" w:cs="Calibri"/>
                <w:color w:val="000000"/>
                <w:sz w:val="22"/>
                <w:szCs w:val="22"/>
              </w:rPr>
              <w:t>areas</w:t>
            </w:r>
            <w:proofErr w:type="gramEnd"/>
            <w:r w:rsidRPr="00636A04">
              <w:rPr>
                <w:rFonts w:ascii="Palatino Linotype" w:hAnsi="Palatino Linotype" w:cs="Calibri"/>
                <w:color w:val="000000"/>
                <w:sz w:val="22"/>
                <w:szCs w:val="22"/>
              </w:rPr>
              <w:t xml:space="preserve"> applicant won support</w:t>
            </w:r>
          </w:p>
        </w:tc>
        <w:tc>
          <w:tcPr>
            <w:tcW w:w="2338" w:type="dxa"/>
          </w:tcPr>
          <w:p w:rsidRPr="00636A04" w:rsidR="00636A04" w:rsidP="00636A04" w:rsidRDefault="00636A04" w14:paraId="3557263C" w14:textId="77777777">
            <w:pPr>
              <w:cnfStyle w:val="000000000000" w:firstRow="0" w:lastRow="0" w:firstColumn="0" w:lastColumn="0" w:oddVBand="0" w:evenVBand="0" w:oddHBand="0" w:evenHBand="0" w:firstRowFirstColumn="0" w:firstRowLastColumn="0" w:lastRowFirstColumn="0" w:lastRowLastColumn="0"/>
              <w:rPr>
                <w:rFonts w:ascii="Palatino Linotype" w:hAnsi="Palatino Linotype" w:cs="Calibri"/>
                <w:color w:val="000000"/>
                <w:sz w:val="22"/>
                <w:szCs w:val="22"/>
              </w:rPr>
            </w:pPr>
            <w:r w:rsidRPr="00636A04">
              <w:rPr>
                <w:rFonts w:ascii="Palatino Linotype" w:hAnsi="Palatino Linotype" w:cs="Calibri"/>
                <w:color w:val="000000"/>
                <w:sz w:val="22"/>
                <w:szCs w:val="22"/>
              </w:rPr>
              <w:t>Public interest determination</w:t>
            </w:r>
          </w:p>
          <w:p w:rsidRPr="00636A04" w:rsidR="00471C09" w:rsidP="004E7A0D" w:rsidRDefault="00471C09" w14:paraId="7221D936" w14:textId="77777777">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8"/>
                <w:szCs w:val="28"/>
              </w:rPr>
            </w:pPr>
          </w:p>
        </w:tc>
      </w:tr>
    </w:tbl>
    <w:p w:rsidR="004E7A0D" w:rsidP="00FC19E0" w:rsidRDefault="004E7A0D" w14:paraId="1E1DAA4C" w14:textId="0549ADFE"/>
    <w:p w:rsidR="00FC19E0" w:rsidP="00FC19E0" w:rsidRDefault="00FC19E0" w14:paraId="76A4A24A" w14:textId="24F2F9DB"/>
    <w:p w:rsidR="00FC19E0" w:rsidP="00FC19E0" w:rsidRDefault="00FC19E0" w14:paraId="1867FB89" w14:textId="68297A5A"/>
    <w:p w:rsidRPr="00FC19E0" w:rsidR="00FC19E0" w:rsidP="00FC19E0" w:rsidRDefault="00FC19E0" w14:paraId="1A47C8C2" w14:textId="60A4AC39">
      <w:pPr>
        <w:jc w:val="center"/>
        <w:rPr>
          <w:rFonts w:ascii="Palatino Linotype" w:hAnsi="Palatino Linotype"/>
        </w:rPr>
      </w:pPr>
      <w:r w:rsidRPr="00FC19E0">
        <w:rPr>
          <w:rFonts w:ascii="Palatino Linotype" w:hAnsi="Palatino Linotype"/>
        </w:rPr>
        <w:t>(End of Appendix A)</w:t>
      </w:r>
    </w:p>
    <w:sectPr w:rsidRPr="00FC19E0" w:rsidR="00FC19E0" w:rsidSect="00FC19E0">
      <w:headerReference w:type="default" r:id="rId13"/>
      <w:footerReference w:type="default" r:id="rId14"/>
      <w:headerReference w:type="first" r:id="rId15"/>
      <w:footerReference w:type="first" r:id="rId16"/>
      <w:pgSz w:w="12240" w:h="15840" w:code="1"/>
      <w:pgMar w:top="1440" w:right="1440" w:bottom="72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57DD" w16cex:dateUtc="2020-04-21T18: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2B1CE" w14:textId="77777777" w:rsidR="0044401F" w:rsidRDefault="0044401F">
      <w:r>
        <w:separator/>
      </w:r>
    </w:p>
  </w:endnote>
  <w:endnote w:type="continuationSeparator" w:id="0">
    <w:p w14:paraId="412A5BBC" w14:textId="77777777" w:rsidR="0044401F" w:rsidRDefault="0044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247371"/>
      <w:docPartObj>
        <w:docPartGallery w:val="Page Numbers (Bottom of Page)"/>
        <w:docPartUnique/>
      </w:docPartObj>
    </w:sdtPr>
    <w:sdtEndPr>
      <w:rPr>
        <w:noProof/>
      </w:rPr>
    </w:sdtEndPr>
    <w:sdtContent>
      <w:p w14:paraId="7470982D" w14:textId="5507469F" w:rsidR="004365A4" w:rsidRDefault="004365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E6BB9C" w14:textId="26D6B792" w:rsidR="004365A4" w:rsidRPr="009C57E5" w:rsidRDefault="004365A4" w:rsidP="009C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18F5E" w14:textId="132FF085" w:rsidR="004365A4" w:rsidRPr="00905005" w:rsidRDefault="002D731C">
    <w:pPr>
      <w:pStyle w:val="Footer"/>
      <w:rPr>
        <w:rFonts w:ascii="Tahoma" w:hAnsi="Tahoma" w:cs="Tahoma"/>
        <w:sz w:val="17"/>
        <w:szCs w:val="17"/>
      </w:rPr>
    </w:pPr>
    <w:r w:rsidRPr="00905005">
      <w:rPr>
        <w:rFonts w:ascii="Tahoma" w:hAnsi="Tahoma" w:cs="Tahoma"/>
        <w:sz w:val="17"/>
        <w:szCs w:val="17"/>
      </w:rPr>
      <w:t>334252420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33664"/>
      <w:docPartObj>
        <w:docPartGallery w:val="Page Numbers (Bottom of Page)"/>
        <w:docPartUnique/>
      </w:docPartObj>
    </w:sdtPr>
    <w:sdtEndPr>
      <w:rPr>
        <w:noProof/>
      </w:rPr>
    </w:sdtEndPr>
    <w:sdtContent>
      <w:p w14:paraId="097F59B3" w14:textId="3A903D34" w:rsidR="00FC19E0" w:rsidRDefault="00FC19E0">
        <w:pPr>
          <w:pStyle w:val="Footer"/>
          <w:jc w:val="center"/>
        </w:pPr>
        <w:r>
          <w:t>A-</w:t>
        </w:r>
        <w:r>
          <w:fldChar w:fldCharType="begin"/>
        </w:r>
        <w:r>
          <w:instrText xml:space="preserve"> PAGE   \* MERGEFORMAT </w:instrText>
        </w:r>
        <w:r>
          <w:fldChar w:fldCharType="separate"/>
        </w:r>
        <w:r>
          <w:rPr>
            <w:noProof/>
          </w:rPr>
          <w:t>2</w:t>
        </w:r>
        <w:r>
          <w:rPr>
            <w:noProof/>
          </w:rPr>
          <w:fldChar w:fldCharType="end"/>
        </w:r>
      </w:p>
    </w:sdtContent>
  </w:sdt>
  <w:p w14:paraId="75A0D6CC" w14:textId="77777777" w:rsidR="00FC19E0" w:rsidRPr="009C57E5" w:rsidRDefault="00FC19E0" w:rsidP="009C57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552291"/>
      <w:docPartObj>
        <w:docPartGallery w:val="Page Numbers (Bottom of Page)"/>
        <w:docPartUnique/>
      </w:docPartObj>
    </w:sdtPr>
    <w:sdtEndPr>
      <w:rPr>
        <w:noProof/>
      </w:rPr>
    </w:sdtEndPr>
    <w:sdtContent>
      <w:p w14:paraId="3D59480B" w14:textId="6C564990" w:rsidR="00FC19E0" w:rsidRDefault="00FC19E0">
        <w:pPr>
          <w:pStyle w:val="Footer"/>
          <w:jc w:val="center"/>
        </w:pPr>
        <w:r>
          <w:t>A-</w:t>
        </w:r>
        <w:r>
          <w:fldChar w:fldCharType="begin"/>
        </w:r>
        <w:r>
          <w:instrText xml:space="preserve"> PAGE   \* MERGEFORMAT </w:instrText>
        </w:r>
        <w:r>
          <w:fldChar w:fldCharType="separate"/>
        </w:r>
        <w:r>
          <w:rPr>
            <w:noProof/>
          </w:rPr>
          <w:t>2</w:t>
        </w:r>
        <w:r>
          <w:rPr>
            <w:noProof/>
          </w:rPr>
          <w:fldChar w:fldCharType="end"/>
        </w:r>
      </w:p>
    </w:sdtContent>
  </w:sdt>
  <w:p w14:paraId="504E40BE" w14:textId="6516A9CA" w:rsidR="00FC19E0" w:rsidRPr="00FC19E0" w:rsidRDefault="00FC19E0" w:rsidP="00FC19E0">
    <w:pPr>
      <w:pStyle w:val="Footer"/>
      <w:jc w:val="center"/>
      <w:rPr>
        <w:rFonts w:ascii="Palatino Linotype" w:hAnsi="Palatino Linotype"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8B3C5" w14:textId="77777777" w:rsidR="0044401F" w:rsidRDefault="0044401F">
      <w:r>
        <w:separator/>
      </w:r>
    </w:p>
  </w:footnote>
  <w:footnote w:type="continuationSeparator" w:id="0">
    <w:p w14:paraId="0D1D0EBF" w14:textId="77777777" w:rsidR="0044401F" w:rsidRDefault="0044401F">
      <w:r>
        <w:continuationSeparator/>
      </w:r>
    </w:p>
  </w:footnote>
  <w:footnote w:id="1">
    <w:p w14:paraId="0A48047D" w14:textId="242955E6" w:rsidR="004365A4" w:rsidRDefault="004365A4">
      <w:pPr>
        <w:pStyle w:val="FootnoteText"/>
      </w:pPr>
      <w:r>
        <w:rPr>
          <w:rStyle w:val="FootnoteReference"/>
        </w:rPr>
        <w:footnoteRef/>
      </w:r>
      <w:r>
        <w:t xml:space="preserve"> Only carriers with approved Certificate of Public Convenience and Necessity (CPCN) are eligible to apply through the streamlined ETC designation process.  Resellers must obtain facilities-based operating authority from the CPUC.</w:t>
      </w:r>
    </w:p>
  </w:footnote>
  <w:footnote w:id="2">
    <w:p w14:paraId="37FA2EC8" w14:textId="1B31DCEF" w:rsidR="004365A4" w:rsidRDefault="004365A4">
      <w:pPr>
        <w:pStyle w:val="FootnoteText"/>
      </w:pPr>
      <w:r>
        <w:rPr>
          <w:rStyle w:val="FootnoteReference"/>
        </w:rPr>
        <w:footnoteRef/>
      </w:r>
      <w:r>
        <w:t xml:space="preserve"> </w:t>
      </w:r>
      <w:r w:rsidRPr="004C75F9">
        <w:rPr>
          <w:i/>
        </w:rPr>
        <w:t>See</w:t>
      </w:r>
      <w:r w:rsidRPr="003F3B98">
        <w:rPr>
          <w:i/>
        </w:rPr>
        <w:t xml:space="preserve"> </w:t>
      </w:r>
      <w:proofErr w:type="gramStart"/>
      <w:r w:rsidRPr="003F3B98">
        <w:rPr>
          <w:i/>
        </w:rPr>
        <w:t>In</w:t>
      </w:r>
      <w:proofErr w:type="gramEnd"/>
      <w:r w:rsidRPr="003F3B98">
        <w:rPr>
          <w:i/>
        </w:rPr>
        <w:t xml:space="preserve"> the Matter of Connect America Fund, ETC Annual Reports and Certifications, and Rural Broadband Experiments</w:t>
      </w:r>
      <w:r>
        <w:t xml:space="preserve">, Report and Order and FNPRM, WC </w:t>
      </w:r>
      <w:proofErr w:type="spellStart"/>
      <w:r>
        <w:t>Dkts</w:t>
      </w:r>
      <w:proofErr w:type="spellEnd"/>
      <w:r>
        <w:t>. 10-90, 14-58 and 14-259, (FCC 16-64) (rel. May 26, 2016).</w:t>
      </w:r>
    </w:p>
  </w:footnote>
  <w:footnote w:id="3">
    <w:p w14:paraId="00A6D33D" w14:textId="2184F6ED" w:rsidR="004365A4" w:rsidRDefault="004365A4">
      <w:pPr>
        <w:pStyle w:val="FootnoteText"/>
      </w:pPr>
      <w:r>
        <w:rPr>
          <w:rStyle w:val="FootnoteReference"/>
        </w:rPr>
        <w:footnoteRef/>
      </w:r>
      <w:r>
        <w:t xml:space="preserve"> </w:t>
      </w:r>
      <w:r w:rsidRPr="004C75F9">
        <w:rPr>
          <w:i/>
        </w:rPr>
        <w:t>Id</w:t>
      </w:r>
      <w:r>
        <w:t>.</w:t>
      </w:r>
    </w:p>
  </w:footnote>
  <w:footnote w:id="4">
    <w:p w14:paraId="25B8C823" w14:textId="5F2B1ED5" w:rsidR="004365A4" w:rsidRDefault="004365A4" w:rsidP="001D2828">
      <w:pPr>
        <w:pStyle w:val="FootnoteText"/>
      </w:pPr>
      <w:r>
        <w:rPr>
          <w:rStyle w:val="FootnoteReference"/>
        </w:rPr>
        <w:footnoteRef/>
      </w:r>
      <w:r>
        <w:t xml:space="preserve"> </w:t>
      </w:r>
      <w:r w:rsidRPr="00654767">
        <w:rPr>
          <w:i/>
        </w:rPr>
        <w:t>See</w:t>
      </w:r>
      <w:r>
        <w:t xml:space="preserve"> </w:t>
      </w:r>
      <w:proofErr w:type="gramStart"/>
      <w:r w:rsidRPr="00DB0360">
        <w:rPr>
          <w:i/>
          <w:iCs/>
        </w:rPr>
        <w:t>In</w:t>
      </w:r>
      <w:proofErr w:type="gramEnd"/>
      <w:r w:rsidRPr="00DB0360">
        <w:rPr>
          <w:i/>
          <w:iCs/>
        </w:rPr>
        <w:t xml:space="preserve"> the Matter of Rural Digital Opportunity Fund, Connect America Fund</w:t>
      </w:r>
      <w:r>
        <w:t xml:space="preserve">, Report and Order, WC </w:t>
      </w:r>
      <w:proofErr w:type="spellStart"/>
      <w:r>
        <w:t>Dkts</w:t>
      </w:r>
      <w:proofErr w:type="spellEnd"/>
      <w:r>
        <w:t>. 19-126 and 10-90, (FCC 20-5) (rel. Feb. 7, 2020) (</w:t>
      </w:r>
      <w:r w:rsidRPr="004C75F9">
        <w:rPr>
          <w:i/>
        </w:rPr>
        <w:t>RDOF Order</w:t>
      </w:r>
      <w:r>
        <w:t>).</w:t>
      </w:r>
    </w:p>
  </w:footnote>
  <w:footnote w:id="5">
    <w:p w14:paraId="7F1772E2" w14:textId="217DFAD9" w:rsidR="004365A4" w:rsidRDefault="004365A4">
      <w:pPr>
        <w:pStyle w:val="FootnoteText"/>
      </w:pPr>
      <w:r>
        <w:rPr>
          <w:rStyle w:val="FootnoteReference"/>
        </w:rPr>
        <w:footnoteRef/>
      </w:r>
      <w:r>
        <w:t xml:space="preserve"> </w:t>
      </w:r>
      <w:r w:rsidRPr="004C75F9">
        <w:rPr>
          <w:i/>
        </w:rPr>
        <w:t>Id</w:t>
      </w:r>
      <w:r>
        <w:t>., para. 4.</w:t>
      </w:r>
    </w:p>
  </w:footnote>
  <w:footnote w:id="6">
    <w:p w14:paraId="1EA915CF" w14:textId="790D16E4" w:rsidR="004365A4" w:rsidRDefault="004365A4">
      <w:pPr>
        <w:pStyle w:val="FootnoteText"/>
      </w:pPr>
      <w:r>
        <w:rPr>
          <w:rStyle w:val="FootnoteReference"/>
        </w:rPr>
        <w:footnoteRef/>
      </w:r>
      <w:r>
        <w:t xml:space="preserve"> </w:t>
      </w:r>
      <w:r w:rsidRPr="004C75F9">
        <w:rPr>
          <w:i/>
        </w:rPr>
        <w:t>Id</w:t>
      </w:r>
      <w:r>
        <w:t>., para. 8.</w:t>
      </w:r>
    </w:p>
  </w:footnote>
  <w:footnote w:id="7">
    <w:p w14:paraId="7EF5D6E1" w14:textId="0CFBEB41" w:rsidR="004365A4" w:rsidRDefault="004365A4">
      <w:pPr>
        <w:pStyle w:val="FootnoteText"/>
      </w:pPr>
      <w:r>
        <w:rPr>
          <w:rStyle w:val="FootnoteReference"/>
        </w:rPr>
        <w:footnoteRef/>
      </w:r>
      <w:r>
        <w:t xml:space="preserve"> </w:t>
      </w:r>
      <w:r w:rsidRPr="004C75F9">
        <w:rPr>
          <w:i/>
        </w:rPr>
        <w:t>Id</w:t>
      </w:r>
      <w:r>
        <w:t xml:space="preserve">., para. 92.  </w:t>
      </w:r>
      <w:r w:rsidRPr="00EB74B0">
        <w:t xml:space="preserve">Service providers are required to obtain ETC status to qualify for universal service support. </w:t>
      </w:r>
      <w:r>
        <w:t xml:space="preserve"> </w:t>
      </w:r>
      <w:r w:rsidRPr="004C75F9">
        <w:rPr>
          <w:i/>
        </w:rPr>
        <w:t>S</w:t>
      </w:r>
      <w:r w:rsidRPr="00EB74B0">
        <w:rPr>
          <w:i/>
        </w:rPr>
        <w:t>ee also</w:t>
      </w:r>
      <w:r w:rsidRPr="00EB74B0">
        <w:t>, 47 U.S.C. §§ 214(e) and 254(e).</w:t>
      </w:r>
    </w:p>
  </w:footnote>
  <w:footnote w:id="8">
    <w:p w14:paraId="4A31400A" w14:textId="379EF5F0" w:rsidR="004365A4" w:rsidRDefault="004365A4">
      <w:pPr>
        <w:pStyle w:val="FootnoteText"/>
      </w:pPr>
      <w:r>
        <w:rPr>
          <w:rStyle w:val="FootnoteReference"/>
        </w:rPr>
        <w:footnoteRef/>
      </w:r>
      <w:r>
        <w:t xml:space="preserve"> </w:t>
      </w:r>
      <w:r w:rsidRPr="004C75F9">
        <w:rPr>
          <w:i/>
        </w:rPr>
        <w:t>See</w:t>
      </w:r>
      <w:r>
        <w:t xml:space="preserve"> CPUC Resolution T-17640 for Cal.net and Resolution T-17646 for </w:t>
      </w:r>
      <w:proofErr w:type="spellStart"/>
      <w:r>
        <w:t>GeoLinks</w:t>
      </w:r>
      <w:proofErr w:type="spellEnd"/>
      <w:r>
        <w:t>.</w:t>
      </w:r>
    </w:p>
  </w:footnote>
  <w:footnote w:id="9">
    <w:p w14:paraId="46BCB830" w14:textId="62F56C8D" w:rsidR="004365A4" w:rsidRDefault="004365A4">
      <w:pPr>
        <w:pStyle w:val="FootnoteText"/>
      </w:pPr>
      <w:r>
        <w:rPr>
          <w:rStyle w:val="FootnoteReference"/>
        </w:rPr>
        <w:footnoteRef/>
      </w:r>
      <w:r>
        <w:t xml:space="preserve"> Communications Act of 1934, as amended by the Federal Telecommunications Act of 1996, Chapter 5, title 47 of the United States Code (U.S.C.).</w:t>
      </w:r>
    </w:p>
  </w:footnote>
  <w:footnote w:id="10">
    <w:p w14:paraId="641C6087" w14:textId="77777777" w:rsidR="004365A4" w:rsidRDefault="004365A4" w:rsidP="00D81FEE">
      <w:pPr>
        <w:pStyle w:val="FootnoteText"/>
      </w:pPr>
      <w:r>
        <w:rPr>
          <w:rStyle w:val="FootnoteReference"/>
        </w:rPr>
        <w:footnoteRef/>
      </w:r>
      <w:r>
        <w:t xml:space="preserve"> 47 C.F.R. §§ 54.400 </w:t>
      </w:r>
      <w:r w:rsidRPr="006A466A">
        <w:rPr>
          <w:i/>
        </w:rPr>
        <w:t>et seq</w:t>
      </w:r>
      <w:r>
        <w:t>. contains the Federal Communications Commission’s (FCC) Lifeline rules issued to implement § 254 of the Act.  Section 54.401 defines Lifeline as a non-transferrable retail service offering for which qualifying low-income consumers pay a reduced charge for voice telephony service after applying the federal Lifeline support amount.</w:t>
      </w:r>
    </w:p>
  </w:footnote>
  <w:footnote w:id="11">
    <w:p w14:paraId="0FE18AC8" w14:textId="2635EF25" w:rsidR="004365A4" w:rsidRDefault="004365A4" w:rsidP="00D81FEE">
      <w:pPr>
        <w:pStyle w:val="FootnoteText"/>
      </w:pPr>
      <w:r>
        <w:rPr>
          <w:rStyle w:val="FootnoteReference"/>
        </w:rPr>
        <w:footnoteRef/>
      </w:r>
      <w:r>
        <w:t xml:space="preserve"> </w:t>
      </w:r>
      <w:r w:rsidRPr="004C75F9">
        <w:rPr>
          <w:i/>
        </w:rPr>
        <w:t>See</w:t>
      </w:r>
      <w:r>
        <w:t xml:space="preserve"> </w:t>
      </w:r>
      <w:proofErr w:type="gramStart"/>
      <w:r w:rsidRPr="001C6014">
        <w:rPr>
          <w:i/>
        </w:rPr>
        <w:t>In</w:t>
      </w:r>
      <w:proofErr w:type="gramEnd"/>
      <w:r w:rsidRPr="001C6014">
        <w:rPr>
          <w:i/>
        </w:rPr>
        <w:t xml:space="preserve"> the Matter of Federal-State Joint Board on Universal Service</w:t>
      </w:r>
      <w:r>
        <w:t xml:space="preserve">, Report and Order, CC </w:t>
      </w:r>
      <w:proofErr w:type="spellStart"/>
      <w:r>
        <w:t>Dkt</w:t>
      </w:r>
      <w:proofErr w:type="spellEnd"/>
      <w:r>
        <w:t>. 96-45 (FCC 97-157) (rel. May 8, 1997).</w:t>
      </w:r>
    </w:p>
  </w:footnote>
  <w:footnote w:id="12">
    <w:p w14:paraId="511F4001" w14:textId="47CC9678" w:rsidR="004365A4" w:rsidRDefault="004365A4" w:rsidP="000E708E">
      <w:pPr>
        <w:pStyle w:val="FootnoteText"/>
      </w:pPr>
      <w:r>
        <w:rPr>
          <w:rStyle w:val="FootnoteReference"/>
        </w:rPr>
        <w:footnoteRef/>
      </w:r>
      <w:r>
        <w:t xml:space="preserve"> </w:t>
      </w:r>
      <w:r w:rsidRPr="004C75F9">
        <w:rPr>
          <w:i/>
        </w:rPr>
        <w:t>See</w:t>
      </w:r>
      <w:r>
        <w:t xml:space="preserve"> </w:t>
      </w:r>
      <w:r>
        <w:rPr>
          <w:i/>
          <w:iCs/>
        </w:rPr>
        <w:t>RDOF Order</w:t>
      </w:r>
      <w:r>
        <w:rPr>
          <w:iCs/>
        </w:rPr>
        <w:t>, at para. 81</w:t>
      </w:r>
      <w:r>
        <w:t>.</w:t>
      </w:r>
    </w:p>
  </w:footnote>
  <w:footnote w:id="13">
    <w:p w14:paraId="4DF65673" w14:textId="0EB562A6" w:rsidR="004365A4" w:rsidRDefault="004365A4">
      <w:pPr>
        <w:pStyle w:val="FootnoteText"/>
      </w:pPr>
      <w:r>
        <w:rPr>
          <w:rStyle w:val="FootnoteReference"/>
        </w:rPr>
        <w:footnoteRef/>
      </w:r>
      <w:r w:rsidRPr="004C75F9">
        <w:rPr>
          <w:i/>
        </w:rPr>
        <w:t>Id</w:t>
      </w:r>
      <w:r>
        <w:rPr>
          <w:i/>
        </w:rPr>
        <w:t>.</w:t>
      </w:r>
      <w:r>
        <w:t>, para. 92.</w:t>
      </w:r>
    </w:p>
  </w:footnote>
  <w:footnote w:id="14">
    <w:p w14:paraId="1AAA1450" w14:textId="7BD474AF" w:rsidR="004365A4" w:rsidRDefault="004365A4">
      <w:pPr>
        <w:pStyle w:val="FootnoteText"/>
      </w:pPr>
      <w:r>
        <w:rPr>
          <w:rStyle w:val="FootnoteReference"/>
        </w:rPr>
        <w:footnoteRef/>
      </w:r>
      <w:r>
        <w:t xml:space="preserve"> </w:t>
      </w:r>
      <w:r>
        <w:rPr>
          <w:i/>
        </w:rPr>
        <w:t>Id.</w:t>
      </w:r>
      <w:r>
        <w:t>, para. 81 and fn. 230.</w:t>
      </w:r>
    </w:p>
  </w:footnote>
  <w:footnote w:id="15">
    <w:p w14:paraId="6D202B00" w14:textId="45649F00" w:rsidR="004365A4" w:rsidRDefault="004365A4" w:rsidP="00F96E7D">
      <w:pPr>
        <w:pStyle w:val="FootnoteText"/>
      </w:pPr>
      <w:r>
        <w:rPr>
          <w:rStyle w:val="FootnoteReference"/>
        </w:rPr>
        <w:footnoteRef/>
      </w:r>
      <w:r>
        <w:t xml:space="preserve"> </w:t>
      </w:r>
      <w:r w:rsidRPr="004C75F9">
        <w:rPr>
          <w:i/>
        </w:rPr>
        <w:t>Id</w:t>
      </w:r>
      <w:r>
        <w:t>., paras. 69-85.</w:t>
      </w:r>
    </w:p>
  </w:footnote>
  <w:footnote w:id="16">
    <w:p w14:paraId="061E9EE8" w14:textId="4034A4C8" w:rsidR="004365A4" w:rsidRDefault="004365A4" w:rsidP="00F96E7D">
      <w:pPr>
        <w:pStyle w:val="FootnoteText"/>
      </w:pPr>
      <w:r>
        <w:rPr>
          <w:rStyle w:val="FootnoteReference"/>
        </w:rPr>
        <w:footnoteRef/>
      </w:r>
      <w:r w:rsidRPr="004C75F9">
        <w:rPr>
          <w:i/>
        </w:rPr>
        <w:t>Id</w:t>
      </w:r>
      <w:r>
        <w:t>., paras. 86-113.</w:t>
      </w:r>
    </w:p>
  </w:footnote>
  <w:footnote w:id="17">
    <w:p w14:paraId="049D7E0E" w14:textId="065AD1F5" w:rsidR="004365A4" w:rsidRDefault="004365A4">
      <w:pPr>
        <w:pStyle w:val="FootnoteText"/>
      </w:pPr>
      <w:r>
        <w:rPr>
          <w:rStyle w:val="FootnoteReference"/>
        </w:rPr>
        <w:footnoteRef/>
      </w:r>
      <w:r>
        <w:t xml:space="preserve"> </w:t>
      </w:r>
      <w:r w:rsidRPr="004C75F9">
        <w:rPr>
          <w:i/>
        </w:rPr>
        <w:t>RDOF Order</w:t>
      </w:r>
      <w:r>
        <w:t>, para. 42.</w:t>
      </w:r>
    </w:p>
  </w:footnote>
  <w:footnote w:id="18">
    <w:p w14:paraId="7C638D9F" w14:textId="0A969C93" w:rsidR="004365A4" w:rsidRDefault="004365A4" w:rsidP="00C825E2">
      <w:pPr>
        <w:pStyle w:val="FootnoteText"/>
      </w:pPr>
      <w:r>
        <w:rPr>
          <w:rStyle w:val="FootnoteReference"/>
        </w:rPr>
        <w:footnoteRef/>
      </w:r>
      <w:r>
        <w:t xml:space="preserve"> </w:t>
      </w:r>
      <w:r w:rsidRPr="004C75F9">
        <w:rPr>
          <w:i/>
        </w:rPr>
        <w:t>Id</w:t>
      </w:r>
      <w:r>
        <w:t>., para. 57.</w:t>
      </w:r>
    </w:p>
  </w:footnote>
  <w:footnote w:id="19">
    <w:p w14:paraId="7AA3B02E" w14:textId="1BB37360" w:rsidR="004365A4" w:rsidRDefault="004365A4">
      <w:pPr>
        <w:pStyle w:val="FootnoteText"/>
      </w:pPr>
      <w:r>
        <w:rPr>
          <w:rStyle w:val="FootnoteReference"/>
        </w:rPr>
        <w:footnoteRef/>
      </w:r>
      <w:r>
        <w:t xml:space="preserve"> </w:t>
      </w:r>
      <w:r w:rsidRPr="004C75F9">
        <w:rPr>
          <w:i/>
        </w:rPr>
        <w:t>See</w:t>
      </w:r>
      <w:r>
        <w:t xml:space="preserve"> 47 C.F.R. §§ 54.313 and 54.314 – Annual reporting requirements for high-cost fund recipients and certification for support for eligible telecommunications carriers. </w:t>
      </w:r>
    </w:p>
  </w:footnote>
  <w:footnote w:id="20">
    <w:p w14:paraId="010E8BC4" w14:textId="34B6FB2B" w:rsidR="004365A4" w:rsidRDefault="004365A4">
      <w:pPr>
        <w:pStyle w:val="FootnoteText"/>
      </w:pPr>
      <w:r>
        <w:rPr>
          <w:rStyle w:val="FootnoteReference"/>
        </w:rPr>
        <w:footnoteRef/>
      </w:r>
      <w:r>
        <w:t xml:space="preserve"> </w:t>
      </w:r>
      <w:r w:rsidRPr="00894566">
        <w:rPr>
          <w:i/>
          <w:iCs/>
        </w:rPr>
        <w:t>See</w:t>
      </w:r>
      <w:r>
        <w:t xml:space="preserve"> </w:t>
      </w:r>
      <w:r>
        <w:rPr>
          <w:i/>
          <w:iCs/>
        </w:rPr>
        <w:t>RDOF Order</w:t>
      </w:r>
      <w:r>
        <w:t>, paras. 45-55.</w:t>
      </w:r>
    </w:p>
  </w:footnote>
  <w:footnote w:id="21">
    <w:p w14:paraId="7BB2D4B1" w14:textId="7EA0A081" w:rsidR="0040759A" w:rsidRDefault="0040759A">
      <w:pPr>
        <w:pStyle w:val="FootnoteText"/>
      </w:pPr>
      <w:r>
        <w:rPr>
          <w:rStyle w:val="FootnoteReference"/>
        </w:rPr>
        <w:footnoteRef/>
      </w:r>
      <w:r>
        <w:t xml:space="preserve"> </w:t>
      </w:r>
      <w:r w:rsidR="00B64B91">
        <w:t xml:space="preserve">See </w:t>
      </w:r>
      <w:r w:rsidR="00B64B91" w:rsidRPr="00B64B91">
        <w:rPr>
          <w:i/>
          <w:iCs/>
        </w:rPr>
        <w:t>WCB Reminds Connect America Fund Phase II Auction Applicants of the process for Obtaining a Federal Designation as an Eligible Telecommunications Carrier</w:t>
      </w:r>
      <w:r w:rsidR="00B64B91">
        <w:t>, WC Docket Nos. 09-197 and 10-90, Public Notice, (DA 18-714), released July 10, 2018.</w:t>
      </w:r>
    </w:p>
  </w:footnote>
  <w:footnote w:id="22">
    <w:p w14:paraId="1CF4B7AE" w14:textId="6B866077" w:rsidR="00027D7B" w:rsidRDefault="00027D7B">
      <w:pPr>
        <w:pStyle w:val="FootnoteText"/>
      </w:pPr>
      <w:r>
        <w:rPr>
          <w:rStyle w:val="FootnoteReference"/>
        </w:rPr>
        <w:footnoteRef/>
      </w:r>
      <w:r>
        <w:t xml:space="preserve"> </w:t>
      </w:r>
      <w:r w:rsidRPr="00027D7B">
        <w:rPr>
          <w:i/>
          <w:iCs/>
        </w:rPr>
        <w:t>RDOF Order</w:t>
      </w:r>
      <w:r>
        <w:t xml:space="preserve">, para. 32.  The FCC adopts the same reporting requirements for RDOF as the CAF II auction.  </w:t>
      </w:r>
    </w:p>
  </w:footnote>
  <w:footnote w:id="23">
    <w:p w14:paraId="210F44F3" w14:textId="6ACE621B" w:rsidR="004365A4" w:rsidRDefault="004365A4">
      <w:pPr>
        <w:pStyle w:val="FootnoteText"/>
      </w:pPr>
      <w:r>
        <w:rPr>
          <w:rStyle w:val="FootnoteReference"/>
        </w:rPr>
        <w:footnoteRef/>
      </w:r>
      <w:r>
        <w:t xml:space="preserve"> </w:t>
      </w:r>
      <w:r w:rsidRPr="004C75F9">
        <w:rPr>
          <w:i/>
        </w:rPr>
        <w:t>Id</w:t>
      </w:r>
      <w:r>
        <w:t>., paras. 31-33.</w:t>
      </w:r>
    </w:p>
  </w:footnote>
  <w:footnote w:id="24">
    <w:p w14:paraId="64D48332" w14:textId="3EA26812" w:rsidR="004365A4" w:rsidRDefault="004365A4" w:rsidP="00970AB1">
      <w:pPr>
        <w:pStyle w:val="FootnoteText"/>
      </w:pPr>
      <w:r>
        <w:rPr>
          <w:rStyle w:val="FootnoteReference"/>
        </w:rPr>
        <w:footnoteRef/>
      </w:r>
      <w:r>
        <w:t xml:space="preserve"> </w:t>
      </w:r>
      <w:r w:rsidRPr="004C75F9">
        <w:rPr>
          <w:i/>
        </w:rPr>
        <w:t>Id</w:t>
      </w:r>
      <w:r>
        <w:t>., paras. 71-72.</w:t>
      </w:r>
    </w:p>
  </w:footnote>
  <w:footnote w:id="25">
    <w:p w14:paraId="0293EBB2" w14:textId="3AFA5116" w:rsidR="004365A4" w:rsidRDefault="004365A4">
      <w:pPr>
        <w:pStyle w:val="FootnoteText"/>
      </w:pPr>
      <w:r>
        <w:rPr>
          <w:rStyle w:val="FootnoteReference"/>
        </w:rPr>
        <w:footnoteRef/>
      </w:r>
      <w:r>
        <w:t xml:space="preserve"> </w:t>
      </w:r>
      <w:r w:rsidRPr="00BA12DF">
        <w:rPr>
          <w:i/>
          <w:iCs/>
        </w:rPr>
        <w:t>See</w:t>
      </w:r>
      <w:r>
        <w:t xml:space="preserve"> </w:t>
      </w:r>
      <w:hyperlink r:id="rId1" w:history="1">
        <w:r w:rsidRPr="00B34987">
          <w:rPr>
            <w:rStyle w:val="Hyperlink"/>
          </w:rPr>
          <w:t>https://www.fcc.gov/implementing-rural-digital-opportunity-fund-rdof-auction</w:t>
        </w:r>
      </w:hyperlink>
      <w:r>
        <w:t xml:space="preserve">  for the FCC’s application window (last visited 4/21/2020).</w:t>
      </w:r>
    </w:p>
  </w:footnote>
  <w:footnote w:id="26">
    <w:p w14:paraId="4D3FE0B0" w14:textId="39F09733" w:rsidR="004365A4" w:rsidRPr="009F0509" w:rsidRDefault="004365A4" w:rsidP="009F0509">
      <w:pPr>
        <w:autoSpaceDE w:val="0"/>
        <w:autoSpaceDN w:val="0"/>
        <w:rPr>
          <w:rFonts w:ascii="Calibri" w:hAnsi="Calibri" w:cs="Calibri"/>
          <w:sz w:val="22"/>
          <w:szCs w:val="22"/>
        </w:rPr>
      </w:pPr>
      <w:r>
        <w:rPr>
          <w:rStyle w:val="FootnoteReference"/>
        </w:rPr>
        <w:footnoteRef/>
      </w:r>
      <w:r>
        <w:t xml:space="preserve"> </w:t>
      </w:r>
      <w:r w:rsidRPr="009F0509">
        <w:rPr>
          <w:i/>
          <w:iCs/>
          <w:sz w:val="20"/>
          <w:szCs w:val="20"/>
        </w:rPr>
        <w:t xml:space="preserve">See </w:t>
      </w:r>
      <w:hyperlink r:id="rId2" w:history="1">
        <w:r w:rsidRPr="00B34987">
          <w:rPr>
            <w:rStyle w:val="Hyperlink"/>
            <w:sz w:val="20"/>
            <w:szCs w:val="20"/>
          </w:rPr>
          <w:t>https://www.cpuc.ca.gov/General.aspx?id=1097</w:t>
        </w:r>
      </w:hyperlink>
      <w:r>
        <w:rPr>
          <w:sz w:val="20"/>
          <w:szCs w:val="20"/>
        </w:rPr>
        <w:t xml:space="preserve">  (last visited 4/21/2020).</w:t>
      </w:r>
      <w:r w:rsidRPr="009F0509">
        <w:rPr>
          <w:rFonts w:ascii="Segoe UI" w:hAnsi="Segoe UI" w:cs="Segoe UI"/>
          <w:sz w:val="20"/>
          <w:szCs w:val="20"/>
        </w:rPr>
        <w:t xml:space="preserve"> </w:t>
      </w:r>
      <w:r>
        <w:rPr>
          <w:rFonts w:ascii="Segoe UI" w:hAnsi="Segoe UI" w:cs="Segoe UI"/>
          <w:sz w:val="20"/>
          <w:szCs w:val="20"/>
        </w:rPr>
        <w:t xml:space="preserve"> </w:t>
      </w:r>
    </w:p>
    <w:p w14:paraId="57D52E14" w14:textId="269B9356" w:rsidR="004365A4" w:rsidRDefault="004365A4">
      <w:pPr>
        <w:pStyle w:val="FootnoteText"/>
      </w:pPr>
    </w:p>
  </w:footnote>
  <w:footnote w:id="27">
    <w:p w14:paraId="61138CFF" w14:textId="77777777" w:rsidR="004365A4" w:rsidRDefault="004365A4" w:rsidP="0097531E">
      <w:pPr>
        <w:pStyle w:val="FootnoteText"/>
      </w:pPr>
      <w:r>
        <w:rPr>
          <w:rStyle w:val="FootnoteReference"/>
        </w:rPr>
        <w:footnoteRef/>
      </w:r>
      <w:r>
        <w:t xml:space="preserve"> </w:t>
      </w:r>
      <w:r w:rsidRPr="004C75F9">
        <w:rPr>
          <w:i/>
        </w:rPr>
        <w:t>See</w:t>
      </w:r>
      <w:r>
        <w:t xml:space="preserve"> 47 C.F.R. §§ 54.201 and 54.202. </w:t>
      </w:r>
    </w:p>
  </w:footnote>
  <w:footnote w:id="28">
    <w:p w14:paraId="4615031B" w14:textId="77777777" w:rsidR="004365A4" w:rsidRDefault="004365A4" w:rsidP="0097531E">
      <w:pPr>
        <w:pStyle w:val="FootnoteText"/>
      </w:pPr>
      <w:r>
        <w:rPr>
          <w:rStyle w:val="FootnoteReference"/>
        </w:rPr>
        <w:footnoteRef/>
      </w:r>
      <w:r>
        <w:t xml:space="preserve">  </w:t>
      </w:r>
      <w:r w:rsidRPr="004C75F9">
        <w:rPr>
          <w:i/>
        </w:rPr>
        <w:t>See</w:t>
      </w:r>
      <w:r>
        <w:t xml:space="preserve"> CPUC Resolution T-17002.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C2500" w14:textId="60372251" w:rsidR="004365A4" w:rsidRPr="00905005" w:rsidRDefault="004365A4" w:rsidP="00A647B5">
    <w:pPr>
      <w:pStyle w:val="Header"/>
      <w:tabs>
        <w:tab w:val="clear" w:pos="4320"/>
        <w:tab w:val="clear" w:pos="8640"/>
        <w:tab w:val="left" w:pos="4140"/>
        <w:tab w:val="right" w:pos="9360"/>
      </w:tabs>
      <w:rPr>
        <w:rFonts w:ascii="Palatino Linotype" w:hAnsi="Palatino Linotype"/>
        <w:bCs/>
      </w:rPr>
    </w:pPr>
    <w:r w:rsidRPr="00905005">
      <w:rPr>
        <w:rFonts w:ascii="Palatino Linotype" w:hAnsi="Palatino Linotype"/>
      </w:rPr>
      <w:t xml:space="preserve">Resolution T-17693 </w:t>
    </w:r>
    <w:r w:rsidRPr="00905005">
      <w:rPr>
        <w:rFonts w:ascii="Palatino Linotype" w:hAnsi="Palatino Linotype"/>
      </w:rPr>
      <w:tab/>
    </w:r>
    <w:r w:rsidRPr="00905005">
      <w:rPr>
        <w:rFonts w:ascii="Palatino Linotype" w:hAnsi="Palatino Linotype"/>
        <w:bCs/>
      </w:rPr>
      <w:t>DRAFT</w:t>
    </w:r>
    <w:r w:rsidRPr="00905005">
      <w:rPr>
        <w:rFonts w:ascii="Palatino Linotype" w:hAnsi="Palatino Linotype"/>
        <w:b/>
      </w:rPr>
      <w:tab/>
    </w:r>
    <w:r w:rsidR="00905005" w:rsidRPr="00905005">
      <w:rPr>
        <w:rFonts w:ascii="Palatino Linotype" w:hAnsi="Palatino Linotype"/>
        <w:bCs/>
      </w:rPr>
      <w:t>May 28, 2020</w:t>
    </w:r>
  </w:p>
  <w:p w14:paraId="3E1F0140" w14:textId="77777777" w:rsidR="00905005" w:rsidRDefault="004365A4" w:rsidP="003B1DBD">
    <w:pPr>
      <w:pStyle w:val="Header"/>
      <w:tabs>
        <w:tab w:val="clear" w:pos="8640"/>
        <w:tab w:val="right" w:pos="9360"/>
      </w:tabs>
      <w:rPr>
        <w:rFonts w:ascii="Palatino Linotype" w:hAnsi="Palatino Linotype"/>
      </w:rPr>
    </w:pPr>
    <w:r w:rsidRPr="00905005">
      <w:rPr>
        <w:rFonts w:ascii="Palatino Linotype" w:hAnsi="Palatino Linotype"/>
      </w:rPr>
      <w:t>CD/KCH</w:t>
    </w:r>
  </w:p>
  <w:p w14:paraId="14C439C2" w14:textId="6D35A59A" w:rsidR="004365A4" w:rsidRPr="00905005" w:rsidRDefault="004365A4" w:rsidP="003B1DBD">
    <w:pPr>
      <w:pStyle w:val="Header"/>
      <w:tabs>
        <w:tab w:val="clear" w:pos="8640"/>
        <w:tab w:val="right" w:pos="9360"/>
      </w:tabs>
      <w:rPr>
        <w:rFonts w:ascii="Palatino Linotype" w:hAnsi="Palatino Linotype"/>
      </w:rPr>
    </w:pPr>
    <w:r w:rsidRPr="00905005">
      <w:rPr>
        <w:rFonts w:ascii="Palatino Linotype" w:hAnsi="Palatino Linotype"/>
      </w:rPr>
      <w:tab/>
    </w:r>
    <w:r w:rsidRPr="00905005">
      <w:rPr>
        <w:rFonts w:ascii="Palatino Linotype" w:hAnsi="Palatino Linotyp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D610C" w14:textId="470FA9B7" w:rsidR="004365A4" w:rsidRPr="00905005" w:rsidRDefault="004365A4" w:rsidP="00FD6D6B">
    <w:pPr>
      <w:pStyle w:val="Header"/>
      <w:tabs>
        <w:tab w:val="clear" w:pos="4320"/>
        <w:tab w:val="clear" w:pos="8640"/>
        <w:tab w:val="left" w:pos="4140"/>
        <w:tab w:val="right" w:pos="9360"/>
      </w:tabs>
      <w:rPr>
        <w:rFonts w:ascii="Palatino Linotype" w:hAnsi="Palatino Linotype"/>
        <w:bCs/>
      </w:rPr>
    </w:pPr>
    <w:r w:rsidRPr="00905005">
      <w:rPr>
        <w:rFonts w:ascii="Palatino Linotype" w:hAnsi="Palatino Linotype"/>
      </w:rPr>
      <w:t xml:space="preserve">Resolution T-17693 </w:t>
    </w:r>
    <w:r w:rsidRPr="00905005">
      <w:rPr>
        <w:rFonts w:ascii="Palatino Linotype" w:hAnsi="Palatino Linotype"/>
      </w:rPr>
      <w:tab/>
    </w:r>
    <w:r w:rsidRPr="00905005">
      <w:rPr>
        <w:rFonts w:ascii="Palatino Linotype" w:hAnsi="Palatino Linotype"/>
        <w:bCs/>
      </w:rPr>
      <w:t>DRAFT</w:t>
    </w:r>
    <w:r w:rsidRPr="00905005">
      <w:rPr>
        <w:rFonts w:ascii="Palatino Linotype" w:hAnsi="Palatino Linotype"/>
        <w:bCs/>
      </w:rPr>
      <w:tab/>
    </w:r>
    <w:r w:rsidR="00905005" w:rsidRPr="00905005">
      <w:rPr>
        <w:rFonts w:ascii="Palatino Linotype" w:hAnsi="Palatino Linotype"/>
        <w:bCs/>
      </w:rPr>
      <w:t>Agenda ID#</w:t>
    </w:r>
    <w:r w:rsidR="00A67260">
      <w:rPr>
        <w:rFonts w:ascii="Palatino Linotype" w:hAnsi="Palatino Linotype"/>
        <w:bCs/>
      </w:rPr>
      <w:t xml:space="preserve"> </w:t>
    </w:r>
    <w:r w:rsidR="00A67260" w:rsidRPr="00A67260">
      <w:rPr>
        <w:rFonts w:ascii="Palatino Linotype" w:hAnsi="Palatino Linotype"/>
        <w:bCs/>
      </w:rPr>
      <w:t>18368</w:t>
    </w:r>
    <w:r w:rsidR="00A67260">
      <w:rPr>
        <w:rFonts w:ascii="Palatino Linotype" w:hAnsi="Palatino Linotype"/>
        <w:bCs/>
      </w:rPr>
      <w:t xml:space="preserve"> </w:t>
    </w:r>
  </w:p>
  <w:p w14:paraId="4F50DC9B" w14:textId="4658FB5C" w:rsidR="004365A4" w:rsidRPr="00905005" w:rsidRDefault="004365A4" w:rsidP="00FD6D6B">
    <w:pPr>
      <w:pStyle w:val="Header"/>
      <w:tabs>
        <w:tab w:val="clear" w:pos="8640"/>
        <w:tab w:val="right" w:pos="9360"/>
      </w:tabs>
      <w:rPr>
        <w:rFonts w:ascii="Palatino Linotype" w:hAnsi="Palatino Linotype"/>
      </w:rPr>
    </w:pPr>
    <w:r w:rsidRPr="00905005">
      <w:rPr>
        <w:rFonts w:ascii="Palatino Linotype" w:hAnsi="Palatino Linotype"/>
      </w:rPr>
      <w:t>CD/KCH</w:t>
    </w:r>
    <w:r w:rsidRPr="00905005">
      <w:rPr>
        <w:rFonts w:ascii="Palatino Linotype" w:hAnsi="Palatino Linotype"/>
      </w:rPr>
      <w:tab/>
    </w:r>
    <w:r w:rsidRPr="00905005">
      <w:rPr>
        <w:rFonts w:ascii="Palatino Linotype" w:hAnsi="Palatino Linotype"/>
      </w:rPr>
      <w:tab/>
    </w:r>
  </w:p>
  <w:p w14:paraId="42A60AC3" w14:textId="77777777" w:rsidR="004365A4" w:rsidRDefault="004365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2DDB2" w14:textId="37043614" w:rsidR="00FC19E0" w:rsidRPr="00905005" w:rsidRDefault="00FC19E0" w:rsidP="00A647B5">
    <w:pPr>
      <w:pStyle w:val="Header"/>
      <w:tabs>
        <w:tab w:val="clear" w:pos="4320"/>
        <w:tab w:val="clear" w:pos="8640"/>
        <w:tab w:val="left" w:pos="4140"/>
        <w:tab w:val="right" w:pos="9360"/>
      </w:tabs>
      <w:rPr>
        <w:rFonts w:ascii="Palatino Linotype" w:hAnsi="Palatino Linotype"/>
        <w:bCs/>
      </w:rPr>
    </w:pPr>
    <w:r w:rsidRPr="00905005">
      <w:rPr>
        <w:rFonts w:ascii="Palatino Linotype" w:hAnsi="Palatino Linotype"/>
      </w:rPr>
      <w:t xml:space="preserve">Resolution T-17693 </w:t>
    </w:r>
    <w:r w:rsidRPr="00905005">
      <w:rPr>
        <w:rFonts w:ascii="Palatino Linotype" w:hAnsi="Palatino Linotype"/>
      </w:rPr>
      <w:tab/>
    </w:r>
  </w:p>
  <w:p w14:paraId="571FE83A" w14:textId="77777777" w:rsidR="00FC19E0" w:rsidRDefault="00FC19E0" w:rsidP="003B1DBD">
    <w:pPr>
      <w:pStyle w:val="Header"/>
      <w:tabs>
        <w:tab w:val="clear" w:pos="8640"/>
        <w:tab w:val="right" w:pos="9360"/>
      </w:tabs>
      <w:rPr>
        <w:rFonts w:ascii="Palatino Linotype" w:hAnsi="Palatino Linotype"/>
      </w:rPr>
    </w:pPr>
    <w:r w:rsidRPr="00905005">
      <w:rPr>
        <w:rFonts w:ascii="Palatino Linotype" w:hAnsi="Palatino Linotype"/>
      </w:rPr>
      <w:t>CD/KCH</w:t>
    </w:r>
  </w:p>
  <w:p w14:paraId="7E1CEEDB" w14:textId="77777777" w:rsidR="00FC19E0" w:rsidRPr="00905005" w:rsidRDefault="00FC19E0" w:rsidP="003B1DBD">
    <w:pPr>
      <w:pStyle w:val="Header"/>
      <w:tabs>
        <w:tab w:val="clear" w:pos="8640"/>
        <w:tab w:val="right" w:pos="9360"/>
      </w:tabs>
      <w:rPr>
        <w:rFonts w:ascii="Palatino Linotype" w:hAnsi="Palatino Linotype"/>
      </w:rPr>
    </w:pPr>
    <w:r w:rsidRPr="00905005">
      <w:rPr>
        <w:rFonts w:ascii="Palatino Linotype" w:hAnsi="Palatino Linotype"/>
      </w:rPr>
      <w:tab/>
    </w:r>
    <w:r w:rsidRPr="00905005">
      <w:rPr>
        <w:rFonts w:ascii="Palatino Linotype" w:hAnsi="Palatino Linotype"/>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9F2BF" w14:textId="158C34EF" w:rsidR="00FC19E0" w:rsidRPr="00905005" w:rsidRDefault="00FC19E0" w:rsidP="00FD6D6B">
    <w:pPr>
      <w:pStyle w:val="Header"/>
      <w:tabs>
        <w:tab w:val="clear" w:pos="4320"/>
        <w:tab w:val="clear" w:pos="8640"/>
        <w:tab w:val="left" w:pos="4140"/>
        <w:tab w:val="right" w:pos="9360"/>
      </w:tabs>
      <w:rPr>
        <w:rFonts w:ascii="Palatino Linotype" w:hAnsi="Palatino Linotype"/>
        <w:bCs/>
      </w:rPr>
    </w:pPr>
    <w:r w:rsidRPr="00905005">
      <w:rPr>
        <w:rFonts w:ascii="Palatino Linotype" w:hAnsi="Palatino Linotype"/>
      </w:rPr>
      <w:t xml:space="preserve">Resolution T-17693 </w:t>
    </w:r>
    <w:r w:rsidRPr="00905005">
      <w:rPr>
        <w:rFonts w:ascii="Palatino Linotype" w:hAnsi="Palatino Linotype"/>
      </w:rPr>
      <w:tab/>
    </w:r>
    <w:r w:rsidRPr="00905005">
      <w:rPr>
        <w:rFonts w:ascii="Palatino Linotype" w:hAnsi="Palatino Linotype"/>
        <w:bCs/>
      </w:rPr>
      <w:tab/>
    </w:r>
  </w:p>
  <w:p w14:paraId="7E42287A" w14:textId="77777777" w:rsidR="00FC19E0" w:rsidRPr="00905005" w:rsidRDefault="00FC19E0" w:rsidP="00FD6D6B">
    <w:pPr>
      <w:pStyle w:val="Header"/>
      <w:tabs>
        <w:tab w:val="clear" w:pos="8640"/>
        <w:tab w:val="right" w:pos="9360"/>
      </w:tabs>
      <w:rPr>
        <w:rFonts w:ascii="Palatino Linotype" w:hAnsi="Palatino Linotype"/>
      </w:rPr>
    </w:pPr>
    <w:r w:rsidRPr="00905005">
      <w:rPr>
        <w:rFonts w:ascii="Palatino Linotype" w:hAnsi="Palatino Linotype"/>
      </w:rPr>
      <w:t>CD/KCH</w:t>
    </w:r>
    <w:r w:rsidRPr="00905005">
      <w:rPr>
        <w:rFonts w:ascii="Palatino Linotype" w:hAnsi="Palatino Linotype"/>
      </w:rPr>
      <w:tab/>
    </w:r>
    <w:r w:rsidRPr="00905005">
      <w:rPr>
        <w:rFonts w:ascii="Palatino Linotype" w:hAnsi="Palatino Linotype"/>
      </w:rPr>
      <w:tab/>
    </w:r>
  </w:p>
  <w:p w14:paraId="4B17DF23" w14:textId="77777777" w:rsidR="00FC19E0" w:rsidRDefault="00FC1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3288"/>
    <w:multiLevelType w:val="hybridMultilevel"/>
    <w:tmpl w:val="9140DB90"/>
    <w:lvl w:ilvl="0" w:tplc="C7244C92">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11AEE"/>
    <w:multiLevelType w:val="hybridMultilevel"/>
    <w:tmpl w:val="D0CEE69C"/>
    <w:lvl w:ilvl="0" w:tplc="F44C94EC">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A5C0B24"/>
    <w:multiLevelType w:val="hybridMultilevel"/>
    <w:tmpl w:val="1F1A7F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07052"/>
    <w:multiLevelType w:val="hybridMultilevel"/>
    <w:tmpl w:val="992A8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332AF"/>
    <w:multiLevelType w:val="hybridMultilevel"/>
    <w:tmpl w:val="31444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E462C"/>
    <w:multiLevelType w:val="hybridMultilevel"/>
    <w:tmpl w:val="00700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B1A86"/>
    <w:multiLevelType w:val="hybridMultilevel"/>
    <w:tmpl w:val="BA20C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AD5C9C"/>
    <w:multiLevelType w:val="hybridMultilevel"/>
    <w:tmpl w:val="2180AC84"/>
    <w:lvl w:ilvl="0" w:tplc="496E4E4E">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85C52"/>
    <w:multiLevelType w:val="hybridMultilevel"/>
    <w:tmpl w:val="CC16F8C2"/>
    <w:lvl w:ilvl="0" w:tplc="54EC4836">
      <w:start w:val="50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377945"/>
    <w:multiLevelType w:val="hybridMultilevel"/>
    <w:tmpl w:val="2BFE11B0"/>
    <w:lvl w:ilvl="0" w:tplc="9938A792">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5F296FB8"/>
    <w:multiLevelType w:val="hybridMultilevel"/>
    <w:tmpl w:val="1C10E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0418B0"/>
    <w:multiLevelType w:val="hybridMultilevel"/>
    <w:tmpl w:val="F7EA9032"/>
    <w:lvl w:ilvl="0" w:tplc="7BC6D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061932"/>
    <w:multiLevelType w:val="hybridMultilevel"/>
    <w:tmpl w:val="E54C4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BC62C1"/>
    <w:multiLevelType w:val="hybridMultilevel"/>
    <w:tmpl w:val="A43C32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EB44B8"/>
    <w:multiLevelType w:val="hybridMultilevel"/>
    <w:tmpl w:val="2B98C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13"/>
  </w:num>
  <w:num w:numId="5">
    <w:abstractNumId w:val="7"/>
  </w:num>
  <w:num w:numId="6">
    <w:abstractNumId w:val="11"/>
  </w:num>
  <w:num w:numId="7">
    <w:abstractNumId w:val="5"/>
  </w:num>
  <w:num w:numId="8">
    <w:abstractNumId w:val="4"/>
  </w:num>
  <w:num w:numId="9">
    <w:abstractNumId w:val="10"/>
  </w:num>
  <w:num w:numId="10">
    <w:abstractNumId w:val="6"/>
  </w:num>
  <w:num w:numId="11">
    <w:abstractNumId w:val="14"/>
  </w:num>
  <w:num w:numId="12">
    <w:abstractNumId w:val="8"/>
  </w:num>
  <w:num w:numId="13">
    <w:abstractNumId w:val="12"/>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BD"/>
    <w:rsid w:val="00001FEC"/>
    <w:rsid w:val="00002676"/>
    <w:rsid w:val="00003B52"/>
    <w:rsid w:val="0000410B"/>
    <w:rsid w:val="000056FA"/>
    <w:rsid w:val="00005A55"/>
    <w:rsid w:val="000128A1"/>
    <w:rsid w:val="00012D6D"/>
    <w:rsid w:val="00013029"/>
    <w:rsid w:val="00013DE0"/>
    <w:rsid w:val="00014683"/>
    <w:rsid w:val="000156EC"/>
    <w:rsid w:val="0001742D"/>
    <w:rsid w:val="00021C9C"/>
    <w:rsid w:val="00021D1D"/>
    <w:rsid w:val="00023A7C"/>
    <w:rsid w:val="00024AFF"/>
    <w:rsid w:val="00026EA3"/>
    <w:rsid w:val="00027427"/>
    <w:rsid w:val="000279D2"/>
    <w:rsid w:val="00027D7B"/>
    <w:rsid w:val="00033467"/>
    <w:rsid w:val="00037A5F"/>
    <w:rsid w:val="000405FD"/>
    <w:rsid w:val="0004177E"/>
    <w:rsid w:val="00042335"/>
    <w:rsid w:val="00045062"/>
    <w:rsid w:val="000462B4"/>
    <w:rsid w:val="000559CD"/>
    <w:rsid w:val="00055A75"/>
    <w:rsid w:val="00057E4C"/>
    <w:rsid w:val="0006023A"/>
    <w:rsid w:val="00061C68"/>
    <w:rsid w:val="0006338B"/>
    <w:rsid w:val="00063659"/>
    <w:rsid w:val="00065CA3"/>
    <w:rsid w:val="00066B61"/>
    <w:rsid w:val="00067039"/>
    <w:rsid w:val="0007379A"/>
    <w:rsid w:val="00073E65"/>
    <w:rsid w:val="00073EC5"/>
    <w:rsid w:val="00075B1E"/>
    <w:rsid w:val="00075FA1"/>
    <w:rsid w:val="0007604A"/>
    <w:rsid w:val="00076162"/>
    <w:rsid w:val="00076B51"/>
    <w:rsid w:val="00077CEE"/>
    <w:rsid w:val="000800CC"/>
    <w:rsid w:val="00082101"/>
    <w:rsid w:val="000827F0"/>
    <w:rsid w:val="00084C73"/>
    <w:rsid w:val="00085712"/>
    <w:rsid w:val="000859EC"/>
    <w:rsid w:val="00087431"/>
    <w:rsid w:val="00087AFA"/>
    <w:rsid w:val="000926BA"/>
    <w:rsid w:val="00092868"/>
    <w:rsid w:val="00092F18"/>
    <w:rsid w:val="000A059A"/>
    <w:rsid w:val="000A08C2"/>
    <w:rsid w:val="000A1D9F"/>
    <w:rsid w:val="000A2836"/>
    <w:rsid w:val="000A41DB"/>
    <w:rsid w:val="000A66FA"/>
    <w:rsid w:val="000A77DF"/>
    <w:rsid w:val="000B1EDE"/>
    <w:rsid w:val="000B4D28"/>
    <w:rsid w:val="000B57FA"/>
    <w:rsid w:val="000B5A0D"/>
    <w:rsid w:val="000B7070"/>
    <w:rsid w:val="000C0B92"/>
    <w:rsid w:val="000C0BC3"/>
    <w:rsid w:val="000C2EB3"/>
    <w:rsid w:val="000C2FAB"/>
    <w:rsid w:val="000C592F"/>
    <w:rsid w:val="000C6055"/>
    <w:rsid w:val="000C6175"/>
    <w:rsid w:val="000C70EF"/>
    <w:rsid w:val="000D1240"/>
    <w:rsid w:val="000D1C66"/>
    <w:rsid w:val="000D2598"/>
    <w:rsid w:val="000D4A96"/>
    <w:rsid w:val="000D55C3"/>
    <w:rsid w:val="000E0402"/>
    <w:rsid w:val="000E0614"/>
    <w:rsid w:val="000E3EDA"/>
    <w:rsid w:val="000E4644"/>
    <w:rsid w:val="000E5884"/>
    <w:rsid w:val="000E708E"/>
    <w:rsid w:val="000E75B5"/>
    <w:rsid w:val="000F0161"/>
    <w:rsid w:val="000F11B6"/>
    <w:rsid w:val="000F2DFF"/>
    <w:rsid w:val="000F32F8"/>
    <w:rsid w:val="000F39FF"/>
    <w:rsid w:val="000F5608"/>
    <w:rsid w:val="0010055A"/>
    <w:rsid w:val="00100C10"/>
    <w:rsid w:val="00100C5F"/>
    <w:rsid w:val="00102405"/>
    <w:rsid w:val="00102C98"/>
    <w:rsid w:val="00103570"/>
    <w:rsid w:val="0010358E"/>
    <w:rsid w:val="00104186"/>
    <w:rsid w:val="00110237"/>
    <w:rsid w:val="00110B18"/>
    <w:rsid w:val="00110B51"/>
    <w:rsid w:val="00110BE0"/>
    <w:rsid w:val="00113B18"/>
    <w:rsid w:val="00115DDB"/>
    <w:rsid w:val="00116E8C"/>
    <w:rsid w:val="00116F74"/>
    <w:rsid w:val="00117B3E"/>
    <w:rsid w:val="00117ED0"/>
    <w:rsid w:val="001201C6"/>
    <w:rsid w:val="0012172E"/>
    <w:rsid w:val="00121866"/>
    <w:rsid w:val="001222D7"/>
    <w:rsid w:val="001229E3"/>
    <w:rsid w:val="00122E8D"/>
    <w:rsid w:val="00125853"/>
    <w:rsid w:val="001265BA"/>
    <w:rsid w:val="001269A2"/>
    <w:rsid w:val="001269D6"/>
    <w:rsid w:val="001273CE"/>
    <w:rsid w:val="001276D7"/>
    <w:rsid w:val="001302E7"/>
    <w:rsid w:val="001305B0"/>
    <w:rsid w:val="00131F8D"/>
    <w:rsid w:val="00135FA2"/>
    <w:rsid w:val="00140B72"/>
    <w:rsid w:val="00141AF7"/>
    <w:rsid w:val="00143642"/>
    <w:rsid w:val="00143BFA"/>
    <w:rsid w:val="00146E26"/>
    <w:rsid w:val="00146F8B"/>
    <w:rsid w:val="0015167F"/>
    <w:rsid w:val="00153665"/>
    <w:rsid w:val="001566BE"/>
    <w:rsid w:val="0015670C"/>
    <w:rsid w:val="001618B7"/>
    <w:rsid w:val="00162B96"/>
    <w:rsid w:val="00163250"/>
    <w:rsid w:val="001640E9"/>
    <w:rsid w:val="001662FB"/>
    <w:rsid w:val="00167A40"/>
    <w:rsid w:val="001716EC"/>
    <w:rsid w:val="00174A2A"/>
    <w:rsid w:val="001766F3"/>
    <w:rsid w:val="001810D2"/>
    <w:rsid w:val="00181A72"/>
    <w:rsid w:val="00182DB2"/>
    <w:rsid w:val="00182EBA"/>
    <w:rsid w:val="00183368"/>
    <w:rsid w:val="00184806"/>
    <w:rsid w:val="00185A5C"/>
    <w:rsid w:val="00185D01"/>
    <w:rsid w:val="00190B50"/>
    <w:rsid w:val="00192D5B"/>
    <w:rsid w:val="00193202"/>
    <w:rsid w:val="00193448"/>
    <w:rsid w:val="00193DF5"/>
    <w:rsid w:val="00197F25"/>
    <w:rsid w:val="001A1B03"/>
    <w:rsid w:val="001A1E18"/>
    <w:rsid w:val="001A3951"/>
    <w:rsid w:val="001A57F1"/>
    <w:rsid w:val="001A62D9"/>
    <w:rsid w:val="001A6DE6"/>
    <w:rsid w:val="001B11E8"/>
    <w:rsid w:val="001B2F83"/>
    <w:rsid w:val="001B3E27"/>
    <w:rsid w:val="001B60C6"/>
    <w:rsid w:val="001C306E"/>
    <w:rsid w:val="001C3B77"/>
    <w:rsid w:val="001C44DB"/>
    <w:rsid w:val="001D0707"/>
    <w:rsid w:val="001D1AFD"/>
    <w:rsid w:val="001D2828"/>
    <w:rsid w:val="001D3669"/>
    <w:rsid w:val="001D44F7"/>
    <w:rsid w:val="001D4A9D"/>
    <w:rsid w:val="001D4D97"/>
    <w:rsid w:val="001D5232"/>
    <w:rsid w:val="001D5E7D"/>
    <w:rsid w:val="001D68DB"/>
    <w:rsid w:val="001D72EC"/>
    <w:rsid w:val="001E03B0"/>
    <w:rsid w:val="001E5083"/>
    <w:rsid w:val="001E703C"/>
    <w:rsid w:val="001F1A0F"/>
    <w:rsid w:val="001F48E8"/>
    <w:rsid w:val="002012B2"/>
    <w:rsid w:val="00201DE8"/>
    <w:rsid w:val="00202B68"/>
    <w:rsid w:val="00204B70"/>
    <w:rsid w:val="0020535F"/>
    <w:rsid w:val="00206249"/>
    <w:rsid w:val="00207E5D"/>
    <w:rsid w:val="002103DF"/>
    <w:rsid w:val="00211941"/>
    <w:rsid w:val="00211DF2"/>
    <w:rsid w:val="00213E4A"/>
    <w:rsid w:val="00214D4D"/>
    <w:rsid w:val="002156E5"/>
    <w:rsid w:val="00216E9F"/>
    <w:rsid w:val="00216FE5"/>
    <w:rsid w:val="00217FDE"/>
    <w:rsid w:val="002207C0"/>
    <w:rsid w:val="002215CC"/>
    <w:rsid w:val="0022674E"/>
    <w:rsid w:val="00226EED"/>
    <w:rsid w:val="00232130"/>
    <w:rsid w:val="00232764"/>
    <w:rsid w:val="002340AB"/>
    <w:rsid w:val="00237742"/>
    <w:rsid w:val="00242C36"/>
    <w:rsid w:val="00244AAB"/>
    <w:rsid w:val="00244B94"/>
    <w:rsid w:val="00245043"/>
    <w:rsid w:val="00247D33"/>
    <w:rsid w:val="00251BF9"/>
    <w:rsid w:val="00251C41"/>
    <w:rsid w:val="00253786"/>
    <w:rsid w:val="00253F1A"/>
    <w:rsid w:val="00255A75"/>
    <w:rsid w:val="00255CA9"/>
    <w:rsid w:val="0026237F"/>
    <w:rsid w:val="00264221"/>
    <w:rsid w:val="00264D75"/>
    <w:rsid w:val="00264E2F"/>
    <w:rsid w:val="0026641C"/>
    <w:rsid w:val="00266B0D"/>
    <w:rsid w:val="00266D56"/>
    <w:rsid w:val="002677E7"/>
    <w:rsid w:val="00270458"/>
    <w:rsid w:val="00270E32"/>
    <w:rsid w:val="00272CF7"/>
    <w:rsid w:val="00272CF9"/>
    <w:rsid w:val="00274665"/>
    <w:rsid w:val="00277693"/>
    <w:rsid w:val="0028078D"/>
    <w:rsid w:val="002810E1"/>
    <w:rsid w:val="00282263"/>
    <w:rsid w:val="00282D23"/>
    <w:rsid w:val="00283CB9"/>
    <w:rsid w:val="00285FF5"/>
    <w:rsid w:val="00286995"/>
    <w:rsid w:val="00290749"/>
    <w:rsid w:val="00291E92"/>
    <w:rsid w:val="00294495"/>
    <w:rsid w:val="002965F6"/>
    <w:rsid w:val="00296AA4"/>
    <w:rsid w:val="00296B11"/>
    <w:rsid w:val="002A2154"/>
    <w:rsid w:val="002A3157"/>
    <w:rsid w:val="002A59E5"/>
    <w:rsid w:val="002A6A19"/>
    <w:rsid w:val="002A6AF1"/>
    <w:rsid w:val="002A77D8"/>
    <w:rsid w:val="002A7D53"/>
    <w:rsid w:val="002B0A85"/>
    <w:rsid w:val="002B0E96"/>
    <w:rsid w:val="002B1B55"/>
    <w:rsid w:val="002B4810"/>
    <w:rsid w:val="002B59C2"/>
    <w:rsid w:val="002B6AD7"/>
    <w:rsid w:val="002C051F"/>
    <w:rsid w:val="002C0BD2"/>
    <w:rsid w:val="002C1CB2"/>
    <w:rsid w:val="002C2D22"/>
    <w:rsid w:val="002C30BA"/>
    <w:rsid w:val="002C3563"/>
    <w:rsid w:val="002C4017"/>
    <w:rsid w:val="002C4204"/>
    <w:rsid w:val="002C5C4D"/>
    <w:rsid w:val="002C6527"/>
    <w:rsid w:val="002D10C7"/>
    <w:rsid w:val="002D1F69"/>
    <w:rsid w:val="002D3441"/>
    <w:rsid w:val="002D5B98"/>
    <w:rsid w:val="002D6FB4"/>
    <w:rsid w:val="002D731C"/>
    <w:rsid w:val="002E1C8A"/>
    <w:rsid w:val="002E3409"/>
    <w:rsid w:val="002E4377"/>
    <w:rsid w:val="002E600A"/>
    <w:rsid w:val="002E669B"/>
    <w:rsid w:val="002E76AF"/>
    <w:rsid w:val="002F0E02"/>
    <w:rsid w:val="002F0E17"/>
    <w:rsid w:val="002F28FD"/>
    <w:rsid w:val="002F4305"/>
    <w:rsid w:val="002F6439"/>
    <w:rsid w:val="002F6CEC"/>
    <w:rsid w:val="002F7682"/>
    <w:rsid w:val="00301A83"/>
    <w:rsid w:val="003044BB"/>
    <w:rsid w:val="00305CEA"/>
    <w:rsid w:val="00307160"/>
    <w:rsid w:val="0030733F"/>
    <w:rsid w:val="00307C38"/>
    <w:rsid w:val="0031182A"/>
    <w:rsid w:val="00311E0E"/>
    <w:rsid w:val="003135A8"/>
    <w:rsid w:val="003141C7"/>
    <w:rsid w:val="00314C76"/>
    <w:rsid w:val="0032025F"/>
    <w:rsid w:val="00320F01"/>
    <w:rsid w:val="00325D76"/>
    <w:rsid w:val="003306DD"/>
    <w:rsid w:val="00332E3F"/>
    <w:rsid w:val="00333AC3"/>
    <w:rsid w:val="003351B8"/>
    <w:rsid w:val="0033533A"/>
    <w:rsid w:val="00335508"/>
    <w:rsid w:val="0033784B"/>
    <w:rsid w:val="00337AAE"/>
    <w:rsid w:val="003425B6"/>
    <w:rsid w:val="00343BA7"/>
    <w:rsid w:val="00344784"/>
    <w:rsid w:val="00353776"/>
    <w:rsid w:val="00355F42"/>
    <w:rsid w:val="003567A8"/>
    <w:rsid w:val="00356BC3"/>
    <w:rsid w:val="00360508"/>
    <w:rsid w:val="003617FD"/>
    <w:rsid w:val="0036307D"/>
    <w:rsid w:val="00364CDC"/>
    <w:rsid w:val="00365860"/>
    <w:rsid w:val="00365E36"/>
    <w:rsid w:val="00373488"/>
    <w:rsid w:val="00374DED"/>
    <w:rsid w:val="00377A83"/>
    <w:rsid w:val="00377CE8"/>
    <w:rsid w:val="00381DF2"/>
    <w:rsid w:val="003841F1"/>
    <w:rsid w:val="00384E20"/>
    <w:rsid w:val="0038504D"/>
    <w:rsid w:val="00385735"/>
    <w:rsid w:val="0038649F"/>
    <w:rsid w:val="00392B8A"/>
    <w:rsid w:val="00393248"/>
    <w:rsid w:val="00394ACC"/>
    <w:rsid w:val="0039669C"/>
    <w:rsid w:val="003A0BC6"/>
    <w:rsid w:val="003A1AF8"/>
    <w:rsid w:val="003A3CF3"/>
    <w:rsid w:val="003A4A78"/>
    <w:rsid w:val="003A5008"/>
    <w:rsid w:val="003A55F7"/>
    <w:rsid w:val="003A5CB0"/>
    <w:rsid w:val="003A6C2D"/>
    <w:rsid w:val="003B19EF"/>
    <w:rsid w:val="003B1DBD"/>
    <w:rsid w:val="003B2A63"/>
    <w:rsid w:val="003B41D8"/>
    <w:rsid w:val="003B4995"/>
    <w:rsid w:val="003B5066"/>
    <w:rsid w:val="003B642F"/>
    <w:rsid w:val="003B69FE"/>
    <w:rsid w:val="003C4421"/>
    <w:rsid w:val="003C6FB3"/>
    <w:rsid w:val="003D08E5"/>
    <w:rsid w:val="003D16A6"/>
    <w:rsid w:val="003D17C3"/>
    <w:rsid w:val="003D1AE5"/>
    <w:rsid w:val="003D4BAA"/>
    <w:rsid w:val="003D519C"/>
    <w:rsid w:val="003D6CA2"/>
    <w:rsid w:val="003D7151"/>
    <w:rsid w:val="003D7FB4"/>
    <w:rsid w:val="003E0382"/>
    <w:rsid w:val="003E17DC"/>
    <w:rsid w:val="003E3266"/>
    <w:rsid w:val="003E3F4C"/>
    <w:rsid w:val="003E63D3"/>
    <w:rsid w:val="003E73BE"/>
    <w:rsid w:val="003E7A0E"/>
    <w:rsid w:val="003F0582"/>
    <w:rsid w:val="003F32B9"/>
    <w:rsid w:val="003F6369"/>
    <w:rsid w:val="003F726F"/>
    <w:rsid w:val="00401BE8"/>
    <w:rsid w:val="00401CF4"/>
    <w:rsid w:val="00403EA9"/>
    <w:rsid w:val="004049C6"/>
    <w:rsid w:val="0040641C"/>
    <w:rsid w:val="0040671E"/>
    <w:rsid w:val="004071F9"/>
    <w:rsid w:val="0040759A"/>
    <w:rsid w:val="0040798B"/>
    <w:rsid w:val="00410CD8"/>
    <w:rsid w:val="00412F0C"/>
    <w:rsid w:val="00413F83"/>
    <w:rsid w:val="00414329"/>
    <w:rsid w:val="00416BCE"/>
    <w:rsid w:val="00417562"/>
    <w:rsid w:val="004208A4"/>
    <w:rsid w:val="0042188F"/>
    <w:rsid w:val="0042595C"/>
    <w:rsid w:val="00426387"/>
    <w:rsid w:val="00426552"/>
    <w:rsid w:val="00430F6B"/>
    <w:rsid w:val="004313BE"/>
    <w:rsid w:val="00431E97"/>
    <w:rsid w:val="00432E27"/>
    <w:rsid w:val="00434F84"/>
    <w:rsid w:val="004365A4"/>
    <w:rsid w:val="00437A54"/>
    <w:rsid w:val="004405C8"/>
    <w:rsid w:val="00441080"/>
    <w:rsid w:val="0044401F"/>
    <w:rsid w:val="00446917"/>
    <w:rsid w:val="00447225"/>
    <w:rsid w:val="00447354"/>
    <w:rsid w:val="0044745E"/>
    <w:rsid w:val="00447757"/>
    <w:rsid w:val="004525D5"/>
    <w:rsid w:val="00455B1A"/>
    <w:rsid w:val="004565FD"/>
    <w:rsid w:val="00456C0B"/>
    <w:rsid w:val="00460A96"/>
    <w:rsid w:val="00464AA3"/>
    <w:rsid w:val="00470B99"/>
    <w:rsid w:val="00471C09"/>
    <w:rsid w:val="00471C19"/>
    <w:rsid w:val="0047228D"/>
    <w:rsid w:val="00473483"/>
    <w:rsid w:val="00475465"/>
    <w:rsid w:val="004756A6"/>
    <w:rsid w:val="004804B2"/>
    <w:rsid w:val="00480DAB"/>
    <w:rsid w:val="00481BE0"/>
    <w:rsid w:val="004828F8"/>
    <w:rsid w:val="004850E3"/>
    <w:rsid w:val="0048741E"/>
    <w:rsid w:val="00487964"/>
    <w:rsid w:val="00487C1A"/>
    <w:rsid w:val="0049085A"/>
    <w:rsid w:val="00491DF0"/>
    <w:rsid w:val="00491E4E"/>
    <w:rsid w:val="00493F9A"/>
    <w:rsid w:val="00496A96"/>
    <w:rsid w:val="00497803"/>
    <w:rsid w:val="004A4A27"/>
    <w:rsid w:val="004A592E"/>
    <w:rsid w:val="004A61AF"/>
    <w:rsid w:val="004A6C3C"/>
    <w:rsid w:val="004B0D49"/>
    <w:rsid w:val="004B2C64"/>
    <w:rsid w:val="004B301D"/>
    <w:rsid w:val="004B3623"/>
    <w:rsid w:val="004B4716"/>
    <w:rsid w:val="004B540E"/>
    <w:rsid w:val="004B5DA0"/>
    <w:rsid w:val="004B73AB"/>
    <w:rsid w:val="004C1E71"/>
    <w:rsid w:val="004C2098"/>
    <w:rsid w:val="004C2884"/>
    <w:rsid w:val="004C38FB"/>
    <w:rsid w:val="004C55AA"/>
    <w:rsid w:val="004C5D85"/>
    <w:rsid w:val="004C75F9"/>
    <w:rsid w:val="004D0355"/>
    <w:rsid w:val="004D0EA2"/>
    <w:rsid w:val="004D4CD4"/>
    <w:rsid w:val="004D5ACD"/>
    <w:rsid w:val="004D5FE9"/>
    <w:rsid w:val="004E017C"/>
    <w:rsid w:val="004E3A2B"/>
    <w:rsid w:val="004E7A0D"/>
    <w:rsid w:val="004F1B47"/>
    <w:rsid w:val="004F394A"/>
    <w:rsid w:val="004F5439"/>
    <w:rsid w:val="004F5BD8"/>
    <w:rsid w:val="004F5FC5"/>
    <w:rsid w:val="004F63CB"/>
    <w:rsid w:val="004F7125"/>
    <w:rsid w:val="004F712C"/>
    <w:rsid w:val="00502078"/>
    <w:rsid w:val="005022AF"/>
    <w:rsid w:val="00504A6A"/>
    <w:rsid w:val="005101E4"/>
    <w:rsid w:val="005105A4"/>
    <w:rsid w:val="005119D4"/>
    <w:rsid w:val="005125F9"/>
    <w:rsid w:val="005128E5"/>
    <w:rsid w:val="00514C74"/>
    <w:rsid w:val="00516BCC"/>
    <w:rsid w:val="00520C68"/>
    <w:rsid w:val="005214D8"/>
    <w:rsid w:val="005216E0"/>
    <w:rsid w:val="00522680"/>
    <w:rsid w:val="00524FEE"/>
    <w:rsid w:val="00525A45"/>
    <w:rsid w:val="00530433"/>
    <w:rsid w:val="00530884"/>
    <w:rsid w:val="0053201C"/>
    <w:rsid w:val="00532A5E"/>
    <w:rsid w:val="00532A90"/>
    <w:rsid w:val="00534F5D"/>
    <w:rsid w:val="00536317"/>
    <w:rsid w:val="00537DD0"/>
    <w:rsid w:val="00542D44"/>
    <w:rsid w:val="00542E7F"/>
    <w:rsid w:val="005457A7"/>
    <w:rsid w:val="005457E1"/>
    <w:rsid w:val="005465B5"/>
    <w:rsid w:val="00547E61"/>
    <w:rsid w:val="005500D5"/>
    <w:rsid w:val="00550201"/>
    <w:rsid w:val="005542E8"/>
    <w:rsid w:val="00554AA9"/>
    <w:rsid w:val="00555C5A"/>
    <w:rsid w:val="00557C93"/>
    <w:rsid w:val="005602C2"/>
    <w:rsid w:val="00560555"/>
    <w:rsid w:val="0056163D"/>
    <w:rsid w:val="0056563B"/>
    <w:rsid w:val="00566A90"/>
    <w:rsid w:val="0056702C"/>
    <w:rsid w:val="00570A36"/>
    <w:rsid w:val="00571827"/>
    <w:rsid w:val="0057339F"/>
    <w:rsid w:val="00575067"/>
    <w:rsid w:val="00575BC4"/>
    <w:rsid w:val="0057732C"/>
    <w:rsid w:val="0058004F"/>
    <w:rsid w:val="005801D3"/>
    <w:rsid w:val="00582907"/>
    <w:rsid w:val="00583768"/>
    <w:rsid w:val="00583885"/>
    <w:rsid w:val="005841B6"/>
    <w:rsid w:val="00586EE9"/>
    <w:rsid w:val="005911BA"/>
    <w:rsid w:val="00592EF8"/>
    <w:rsid w:val="005953D1"/>
    <w:rsid w:val="005966E8"/>
    <w:rsid w:val="00597A6B"/>
    <w:rsid w:val="005A04F5"/>
    <w:rsid w:val="005A0672"/>
    <w:rsid w:val="005A11DF"/>
    <w:rsid w:val="005A2607"/>
    <w:rsid w:val="005A2BB3"/>
    <w:rsid w:val="005A447C"/>
    <w:rsid w:val="005A4649"/>
    <w:rsid w:val="005A480F"/>
    <w:rsid w:val="005A4A84"/>
    <w:rsid w:val="005A5ED2"/>
    <w:rsid w:val="005A7F2F"/>
    <w:rsid w:val="005B149E"/>
    <w:rsid w:val="005B3BCE"/>
    <w:rsid w:val="005C0244"/>
    <w:rsid w:val="005C14FC"/>
    <w:rsid w:val="005C21A8"/>
    <w:rsid w:val="005C2F37"/>
    <w:rsid w:val="005C3120"/>
    <w:rsid w:val="005C3EC6"/>
    <w:rsid w:val="005C6667"/>
    <w:rsid w:val="005D5790"/>
    <w:rsid w:val="005D5D73"/>
    <w:rsid w:val="005D7462"/>
    <w:rsid w:val="005E1453"/>
    <w:rsid w:val="005E18AA"/>
    <w:rsid w:val="005E2630"/>
    <w:rsid w:val="005E5539"/>
    <w:rsid w:val="005E5A21"/>
    <w:rsid w:val="005F4266"/>
    <w:rsid w:val="005F481B"/>
    <w:rsid w:val="005F53EC"/>
    <w:rsid w:val="005F586A"/>
    <w:rsid w:val="005F651D"/>
    <w:rsid w:val="005F73CD"/>
    <w:rsid w:val="005F7652"/>
    <w:rsid w:val="006000AA"/>
    <w:rsid w:val="00601112"/>
    <w:rsid w:val="006011D9"/>
    <w:rsid w:val="0060266F"/>
    <w:rsid w:val="00602AD5"/>
    <w:rsid w:val="006047C8"/>
    <w:rsid w:val="00604FD5"/>
    <w:rsid w:val="006102BA"/>
    <w:rsid w:val="00610D55"/>
    <w:rsid w:val="00611B10"/>
    <w:rsid w:val="00613BA2"/>
    <w:rsid w:val="00614E4B"/>
    <w:rsid w:val="006150A9"/>
    <w:rsid w:val="00615B1A"/>
    <w:rsid w:val="0062159B"/>
    <w:rsid w:val="006230BA"/>
    <w:rsid w:val="00623EA6"/>
    <w:rsid w:val="00625DB3"/>
    <w:rsid w:val="006264FD"/>
    <w:rsid w:val="006265AF"/>
    <w:rsid w:val="0063092E"/>
    <w:rsid w:val="006319A8"/>
    <w:rsid w:val="00632B48"/>
    <w:rsid w:val="00634567"/>
    <w:rsid w:val="0063634A"/>
    <w:rsid w:val="00636A04"/>
    <w:rsid w:val="006420F3"/>
    <w:rsid w:val="00642A66"/>
    <w:rsid w:val="006463F9"/>
    <w:rsid w:val="0064661A"/>
    <w:rsid w:val="00651727"/>
    <w:rsid w:val="00652D84"/>
    <w:rsid w:val="00653237"/>
    <w:rsid w:val="00654010"/>
    <w:rsid w:val="00655D56"/>
    <w:rsid w:val="006602E7"/>
    <w:rsid w:val="00661E9E"/>
    <w:rsid w:val="00662D96"/>
    <w:rsid w:val="0066453D"/>
    <w:rsid w:val="00675476"/>
    <w:rsid w:val="006754CB"/>
    <w:rsid w:val="00677E59"/>
    <w:rsid w:val="0068148A"/>
    <w:rsid w:val="00686BEF"/>
    <w:rsid w:val="00686C01"/>
    <w:rsid w:val="00690387"/>
    <w:rsid w:val="00690E20"/>
    <w:rsid w:val="00693406"/>
    <w:rsid w:val="00693B4A"/>
    <w:rsid w:val="00695ECC"/>
    <w:rsid w:val="00695F7D"/>
    <w:rsid w:val="006A04FA"/>
    <w:rsid w:val="006A21B1"/>
    <w:rsid w:val="006A2DC0"/>
    <w:rsid w:val="006A5A78"/>
    <w:rsid w:val="006A7D90"/>
    <w:rsid w:val="006B264D"/>
    <w:rsid w:val="006B329B"/>
    <w:rsid w:val="006B5441"/>
    <w:rsid w:val="006B74FF"/>
    <w:rsid w:val="006B7B58"/>
    <w:rsid w:val="006C03CE"/>
    <w:rsid w:val="006C240B"/>
    <w:rsid w:val="006C3772"/>
    <w:rsid w:val="006C4293"/>
    <w:rsid w:val="006C56A9"/>
    <w:rsid w:val="006C730B"/>
    <w:rsid w:val="006C7B18"/>
    <w:rsid w:val="006D3CAE"/>
    <w:rsid w:val="006D73DF"/>
    <w:rsid w:val="006D7C7C"/>
    <w:rsid w:val="006E0E9F"/>
    <w:rsid w:val="006E2CC7"/>
    <w:rsid w:val="006E2E6D"/>
    <w:rsid w:val="006E3152"/>
    <w:rsid w:val="006E35AD"/>
    <w:rsid w:val="006E38C7"/>
    <w:rsid w:val="006F05C2"/>
    <w:rsid w:val="006F2FE5"/>
    <w:rsid w:val="006F36FE"/>
    <w:rsid w:val="006F49F6"/>
    <w:rsid w:val="006F4D57"/>
    <w:rsid w:val="006F52F1"/>
    <w:rsid w:val="006F5337"/>
    <w:rsid w:val="006F6321"/>
    <w:rsid w:val="006F7AB8"/>
    <w:rsid w:val="0070015F"/>
    <w:rsid w:val="00704901"/>
    <w:rsid w:val="00706A85"/>
    <w:rsid w:val="00706FC5"/>
    <w:rsid w:val="007101B7"/>
    <w:rsid w:val="00714EB2"/>
    <w:rsid w:val="007175FE"/>
    <w:rsid w:val="00717889"/>
    <w:rsid w:val="00722F91"/>
    <w:rsid w:val="00723302"/>
    <w:rsid w:val="00723905"/>
    <w:rsid w:val="00726666"/>
    <w:rsid w:val="00726883"/>
    <w:rsid w:val="00732CE3"/>
    <w:rsid w:val="00732EAA"/>
    <w:rsid w:val="0073310E"/>
    <w:rsid w:val="007349B8"/>
    <w:rsid w:val="0074116E"/>
    <w:rsid w:val="00742AE7"/>
    <w:rsid w:val="0074556C"/>
    <w:rsid w:val="00745B57"/>
    <w:rsid w:val="0074602E"/>
    <w:rsid w:val="00746D9D"/>
    <w:rsid w:val="0075279F"/>
    <w:rsid w:val="0076081B"/>
    <w:rsid w:val="00761132"/>
    <w:rsid w:val="007627F3"/>
    <w:rsid w:val="00762859"/>
    <w:rsid w:val="00767241"/>
    <w:rsid w:val="00767CF4"/>
    <w:rsid w:val="00771F09"/>
    <w:rsid w:val="00772832"/>
    <w:rsid w:val="007735CB"/>
    <w:rsid w:val="00774E0A"/>
    <w:rsid w:val="00776993"/>
    <w:rsid w:val="007778BE"/>
    <w:rsid w:val="007813FC"/>
    <w:rsid w:val="0078344D"/>
    <w:rsid w:val="00783975"/>
    <w:rsid w:val="00785B06"/>
    <w:rsid w:val="00790C13"/>
    <w:rsid w:val="007911DA"/>
    <w:rsid w:val="00792928"/>
    <w:rsid w:val="0079326B"/>
    <w:rsid w:val="007947D9"/>
    <w:rsid w:val="007972AA"/>
    <w:rsid w:val="007978DD"/>
    <w:rsid w:val="007A22B5"/>
    <w:rsid w:val="007A3D24"/>
    <w:rsid w:val="007A4CEF"/>
    <w:rsid w:val="007A7030"/>
    <w:rsid w:val="007A71A0"/>
    <w:rsid w:val="007B187C"/>
    <w:rsid w:val="007B36F7"/>
    <w:rsid w:val="007B41CE"/>
    <w:rsid w:val="007B43E9"/>
    <w:rsid w:val="007B4CCE"/>
    <w:rsid w:val="007B5D39"/>
    <w:rsid w:val="007C01F3"/>
    <w:rsid w:val="007C132B"/>
    <w:rsid w:val="007C2985"/>
    <w:rsid w:val="007C29C1"/>
    <w:rsid w:val="007C2AC8"/>
    <w:rsid w:val="007C2E30"/>
    <w:rsid w:val="007C345C"/>
    <w:rsid w:val="007C4CEC"/>
    <w:rsid w:val="007C5062"/>
    <w:rsid w:val="007C514A"/>
    <w:rsid w:val="007C558F"/>
    <w:rsid w:val="007C7CAA"/>
    <w:rsid w:val="007D0B1F"/>
    <w:rsid w:val="007D25B5"/>
    <w:rsid w:val="007D2C67"/>
    <w:rsid w:val="007D3920"/>
    <w:rsid w:val="007D3C37"/>
    <w:rsid w:val="007D464D"/>
    <w:rsid w:val="007E0E3E"/>
    <w:rsid w:val="007E380E"/>
    <w:rsid w:val="007E5635"/>
    <w:rsid w:val="007E7594"/>
    <w:rsid w:val="007F02B3"/>
    <w:rsid w:val="007F1BE4"/>
    <w:rsid w:val="007F245A"/>
    <w:rsid w:val="007F5E6D"/>
    <w:rsid w:val="007F7F69"/>
    <w:rsid w:val="008004CD"/>
    <w:rsid w:val="00801313"/>
    <w:rsid w:val="00801471"/>
    <w:rsid w:val="00801D95"/>
    <w:rsid w:val="008021DB"/>
    <w:rsid w:val="00802C60"/>
    <w:rsid w:val="008038D7"/>
    <w:rsid w:val="0080435C"/>
    <w:rsid w:val="00804A0D"/>
    <w:rsid w:val="00804BD7"/>
    <w:rsid w:val="00804D5E"/>
    <w:rsid w:val="00805512"/>
    <w:rsid w:val="00805FD6"/>
    <w:rsid w:val="00806691"/>
    <w:rsid w:val="00812FA8"/>
    <w:rsid w:val="00814701"/>
    <w:rsid w:val="00814E1E"/>
    <w:rsid w:val="00815068"/>
    <w:rsid w:val="00823D04"/>
    <w:rsid w:val="00824D51"/>
    <w:rsid w:val="00827D88"/>
    <w:rsid w:val="00830034"/>
    <w:rsid w:val="00830F69"/>
    <w:rsid w:val="00832108"/>
    <w:rsid w:val="00833E06"/>
    <w:rsid w:val="00834C44"/>
    <w:rsid w:val="00835641"/>
    <w:rsid w:val="00835A29"/>
    <w:rsid w:val="00836861"/>
    <w:rsid w:val="0083724E"/>
    <w:rsid w:val="008416BF"/>
    <w:rsid w:val="00841DC2"/>
    <w:rsid w:val="0084416A"/>
    <w:rsid w:val="0084679D"/>
    <w:rsid w:val="008469D5"/>
    <w:rsid w:val="008472AE"/>
    <w:rsid w:val="008505A1"/>
    <w:rsid w:val="008523BB"/>
    <w:rsid w:val="0085297A"/>
    <w:rsid w:val="008552B4"/>
    <w:rsid w:val="00862617"/>
    <w:rsid w:val="00865756"/>
    <w:rsid w:val="008659B5"/>
    <w:rsid w:val="00870485"/>
    <w:rsid w:val="0087174D"/>
    <w:rsid w:val="00871E62"/>
    <w:rsid w:val="008722AB"/>
    <w:rsid w:val="00874149"/>
    <w:rsid w:val="0087606D"/>
    <w:rsid w:val="00876619"/>
    <w:rsid w:val="00877FB6"/>
    <w:rsid w:val="0088098E"/>
    <w:rsid w:val="008811DC"/>
    <w:rsid w:val="00881DAD"/>
    <w:rsid w:val="00881EA8"/>
    <w:rsid w:val="008840D1"/>
    <w:rsid w:val="0088475C"/>
    <w:rsid w:val="00884F26"/>
    <w:rsid w:val="008855FD"/>
    <w:rsid w:val="00886625"/>
    <w:rsid w:val="00887A5F"/>
    <w:rsid w:val="00893952"/>
    <w:rsid w:val="00894566"/>
    <w:rsid w:val="00894BFD"/>
    <w:rsid w:val="00895099"/>
    <w:rsid w:val="008964F2"/>
    <w:rsid w:val="00897054"/>
    <w:rsid w:val="008A0BE7"/>
    <w:rsid w:val="008A16B2"/>
    <w:rsid w:val="008A1C04"/>
    <w:rsid w:val="008A4A25"/>
    <w:rsid w:val="008A5134"/>
    <w:rsid w:val="008B1240"/>
    <w:rsid w:val="008B4017"/>
    <w:rsid w:val="008B5956"/>
    <w:rsid w:val="008B7E67"/>
    <w:rsid w:val="008C0F88"/>
    <w:rsid w:val="008C2670"/>
    <w:rsid w:val="008C3B07"/>
    <w:rsid w:val="008C5AB7"/>
    <w:rsid w:val="008C7435"/>
    <w:rsid w:val="008D016C"/>
    <w:rsid w:val="008D1410"/>
    <w:rsid w:val="008D1E4D"/>
    <w:rsid w:val="008D2F68"/>
    <w:rsid w:val="008D5A37"/>
    <w:rsid w:val="008D7A56"/>
    <w:rsid w:val="008E44B5"/>
    <w:rsid w:val="008E6E9A"/>
    <w:rsid w:val="008F2305"/>
    <w:rsid w:val="008F303C"/>
    <w:rsid w:val="008F3E58"/>
    <w:rsid w:val="008F7740"/>
    <w:rsid w:val="008F7AF4"/>
    <w:rsid w:val="009030CB"/>
    <w:rsid w:val="00903306"/>
    <w:rsid w:val="00904831"/>
    <w:rsid w:val="00905005"/>
    <w:rsid w:val="00905594"/>
    <w:rsid w:val="0090574F"/>
    <w:rsid w:val="00905F9C"/>
    <w:rsid w:val="00907850"/>
    <w:rsid w:val="009132F6"/>
    <w:rsid w:val="009145E2"/>
    <w:rsid w:val="00914F1A"/>
    <w:rsid w:val="00917373"/>
    <w:rsid w:val="00920722"/>
    <w:rsid w:val="00921164"/>
    <w:rsid w:val="00922C60"/>
    <w:rsid w:val="00922C8E"/>
    <w:rsid w:val="00922DD2"/>
    <w:rsid w:val="009262FF"/>
    <w:rsid w:val="009275F3"/>
    <w:rsid w:val="009279C8"/>
    <w:rsid w:val="00930BA0"/>
    <w:rsid w:val="00930F1C"/>
    <w:rsid w:val="00930F93"/>
    <w:rsid w:val="00931E26"/>
    <w:rsid w:val="00932D8C"/>
    <w:rsid w:val="00933608"/>
    <w:rsid w:val="009358B4"/>
    <w:rsid w:val="00935E50"/>
    <w:rsid w:val="009360B7"/>
    <w:rsid w:val="00936508"/>
    <w:rsid w:val="009367A2"/>
    <w:rsid w:val="00940145"/>
    <w:rsid w:val="009414EB"/>
    <w:rsid w:val="00941A31"/>
    <w:rsid w:val="00944152"/>
    <w:rsid w:val="0094449E"/>
    <w:rsid w:val="00944609"/>
    <w:rsid w:val="00944A58"/>
    <w:rsid w:val="00944FEA"/>
    <w:rsid w:val="00945345"/>
    <w:rsid w:val="00950BBE"/>
    <w:rsid w:val="00951BC6"/>
    <w:rsid w:val="0095266D"/>
    <w:rsid w:val="009530D6"/>
    <w:rsid w:val="00954E74"/>
    <w:rsid w:val="00956000"/>
    <w:rsid w:val="00956129"/>
    <w:rsid w:val="00956415"/>
    <w:rsid w:val="0095677D"/>
    <w:rsid w:val="00956990"/>
    <w:rsid w:val="00962F7C"/>
    <w:rsid w:val="00964D03"/>
    <w:rsid w:val="009650D4"/>
    <w:rsid w:val="00966A5C"/>
    <w:rsid w:val="0096772C"/>
    <w:rsid w:val="00970AB1"/>
    <w:rsid w:val="00972DEE"/>
    <w:rsid w:val="00974848"/>
    <w:rsid w:val="0097528D"/>
    <w:rsid w:val="0097531E"/>
    <w:rsid w:val="00975ECF"/>
    <w:rsid w:val="0098337A"/>
    <w:rsid w:val="009836CA"/>
    <w:rsid w:val="0098374E"/>
    <w:rsid w:val="00987E10"/>
    <w:rsid w:val="00992861"/>
    <w:rsid w:val="00994E11"/>
    <w:rsid w:val="00995687"/>
    <w:rsid w:val="009979BA"/>
    <w:rsid w:val="009A0643"/>
    <w:rsid w:val="009A19CA"/>
    <w:rsid w:val="009A1D50"/>
    <w:rsid w:val="009A317A"/>
    <w:rsid w:val="009A3D15"/>
    <w:rsid w:val="009A68B6"/>
    <w:rsid w:val="009A6A5E"/>
    <w:rsid w:val="009B1FAF"/>
    <w:rsid w:val="009B2C5D"/>
    <w:rsid w:val="009B7842"/>
    <w:rsid w:val="009B7857"/>
    <w:rsid w:val="009C0068"/>
    <w:rsid w:val="009C1673"/>
    <w:rsid w:val="009C1E88"/>
    <w:rsid w:val="009C1F5C"/>
    <w:rsid w:val="009C2505"/>
    <w:rsid w:val="009C3D7C"/>
    <w:rsid w:val="009C48E3"/>
    <w:rsid w:val="009C57E5"/>
    <w:rsid w:val="009D1C51"/>
    <w:rsid w:val="009D1D7D"/>
    <w:rsid w:val="009D2719"/>
    <w:rsid w:val="009D2B72"/>
    <w:rsid w:val="009D573D"/>
    <w:rsid w:val="009E0332"/>
    <w:rsid w:val="009E1427"/>
    <w:rsid w:val="009E30B4"/>
    <w:rsid w:val="009E5238"/>
    <w:rsid w:val="009F0509"/>
    <w:rsid w:val="009F1A63"/>
    <w:rsid w:val="009F342E"/>
    <w:rsid w:val="009F3B34"/>
    <w:rsid w:val="00A02644"/>
    <w:rsid w:val="00A0313D"/>
    <w:rsid w:val="00A049EF"/>
    <w:rsid w:val="00A10583"/>
    <w:rsid w:val="00A112B6"/>
    <w:rsid w:val="00A11A44"/>
    <w:rsid w:val="00A1213F"/>
    <w:rsid w:val="00A124E3"/>
    <w:rsid w:val="00A13596"/>
    <w:rsid w:val="00A16C01"/>
    <w:rsid w:val="00A2269A"/>
    <w:rsid w:val="00A22C86"/>
    <w:rsid w:val="00A2416E"/>
    <w:rsid w:val="00A304DB"/>
    <w:rsid w:val="00A308C0"/>
    <w:rsid w:val="00A3147E"/>
    <w:rsid w:val="00A3163C"/>
    <w:rsid w:val="00A31ED5"/>
    <w:rsid w:val="00A326B0"/>
    <w:rsid w:val="00A334F4"/>
    <w:rsid w:val="00A34799"/>
    <w:rsid w:val="00A35255"/>
    <w:rsid w:val="00A37945"/>
    <w:rsid w:val="00A37AFF"/>
    <w:rsid w:val="00A37CDD"/>
    <w:rsid w:val="00A40AF3"/>
    <w:rsid w:val="00A40BDC"/>
    <w:rsid w:val="00A40C70"/>
    <w:rsid w:val="00A5018C"/>
    <w:rsid w:val="00A50961"/>
    <w:rsid w:val="00A5131C"/>
    <w:rsid w:val="00A515AB"/>
    <w:rsid w:val="00A52C7C"/>
    <w:rsid w:val="00A539C9"/>
    <w:rsid w:val="00A547B0"/>
    <w:rsid w:val="00A54F67"/>
    <w:rsid w:val="00A55292"/>
    <w:rsid w:val="00A61631"/>
    <w:rsid w:val="00A616A3"/>
    <w:rsid w:val="00A622F6"/>
    <w:rsid w:val="00A62B93"/>
    <w:rsid w:val="00A632DD"/>
    <w:rsid w:val="00A633DD"/>
    <w:rsid w:val="00A644F5"/>
    <w:rsid w:val="00A647B5"/>
    <w:rsid w:val="00A67260"/>
    <w:rsid w:val="00A70342"/>
    <w:rsid w:val="00A743D9"/>
    <w:rsid w:val="00A750C8"/>
    <w:rsid w:val="00A7520A"/>
    <w:rsid w:val="00A75E46"/>
    <w:rsid w:val="00A8215B"/>
    <w:rsid w:val="00A840AE"/>
    <w:rsid w:val="00A843E5"/>
    <w:rsid w:val="00A852B7"/>
    <w:rsid w:val="00A8710A"/>
    <w:rsid w:val="00A87A39"/>
    <w:rsid w:val="00A90AFA"/>
    <w:rsid w:val="00A910BF"/>
    <w:rsid w:val="00A939A6"/>
    <w:rsid w:val="00A95450"/>
    <w:rsid w:val="00AA04D3"/>
    <w:rsid w:val="00AA2180"/>
    <w:rsid w:val="00AA60C1"/>
    <w:rsid w:val="00AB21BA"/>
    <w:rsid w:val="00AB2438"/>
    <w:rsid w:val="00AB3838"/>
    <w:rsid w:val="00AC1090"/>
    <w:rsid w:val="00AC11B1"/>
    <w:rsid w:val="00AC6F36"/>
    <w:rsid w:val="00AD0F72"/>
    <w:rsid w:val="00AD10F8"/>
    <w:rsid w:val="00AD29EB"/>
    <w:rsid w:val="00AD2DC9"/>
    <w:rsid w:val="00AD4848"/>
    <w:rsid w:val="00AD79F2"/>
    <w:rsid w:val="00AE00DF"/>
    <w:rsid w:val="00AE301E"/>
    <w:rsid w:val="00AE3F78"/>
    <w:rsid w:val="00AE4CC2"/>
    <w:rsid w:val="00AE61FB"/>
    <w:rsid w:val="00AE628A"/>
    <w:rsid w:val="00AE6929"/>
    <w:rsid w:val="00AF171E"/>
    <w:rsid w:val="00AF2B07"/>
    <w:rsid w:val="00AF3111"/>
    <w:rsid w:val="00AF3586"/>
    <w:rsid w:val="00AF7658"/>
    <w:rsid w:val="00AF7F41"/>
    <w:rsid w:val="00B01586"/>
    <w:rsid w:val="00B03420"/>
    <w:rsid w:val="00B03E3E"/>
    <w:rsid w:val="00B040CA"/>
    <w:rsid w:val="00B048CB"/>
    <w:rsid w:val="00B0638C"/>
    <w:rsid w:val="00B10711"/>
    <w:rsid w:val="00B119D1"/>
    <w:rsid w:val="00B16A97"/>
    <w:rsid w:val="00B17D45"/>
    <w:rsid w:val="00B17FE8"/>
    <w:rsid w:val="00B207F1"/>
    <w:rsid w:val="00B21A86"/>
    <w:rsid w:val="00B220B3"/>
    <w:rsid w:val="00B22338"/>
    <w:rsid w:val="00B22984"/>
    <w:rsid w:val="00B24BD4"/>
    <w:rsid w:val="00B25EFF"/>
    <w:rsid w:val="00B33F21"/>
    <w:rsid w:val="00B34B5D"/>
    <w:rsid w:val="00B34C03"/>
    <w:rsid w:val="00B35B3A"/>
    <w:rsid w:val="00B36491"/>
    <w:rsid w:val="00B41A0A"/>
    <w:rsid w:val="00B41F4D"/>
    <w:rsid w:val="00B41F8A"/>
    <w:rsid w:val="00B43820"/>
    <w:rsid w:val="00B43E05"/>
    <w:rsid w:val="00B45172"/>
    <w:rsid w:val="00B475F5"/>
    <w:rsid w:val="00B47808"/>
    <w:rsid w:val="00B5247F"/>
    <w:rsid w:val="00B53483"/>
    <w:rsid w:val="00B54130"/>
    <w:rsid w:val="00B56C70"/>
    <w:rsid w:val="00B61C31"/>
    <w:rsid w:val="00B64AF2"/>
    <w:rsid w:val="00B64B91"/>
    <w:rsid w:val="00B65D45"/>
    <w:rsid w:val="00B66F91"/>
    <w:rsid w:val="00B6739A"/>
    <w:rsid w:val="00B67B0D"/>
    <w:rsid w:val="00B72F1B"/>
    <w:rsid w:val="00B75490"/>
    <w:rsid w:val="00B7583E"/>
    <w:rsid w:val="00B762B2"/>
    <w:rsid w:val="00B76929"/>
    <w:rsid w:val="00B77B88"/>
    <w:rsid w:val="00B77CF0"/>
    <w:rsid w:val="00B833B0"/>
    <w:rsid w:val="00B835BE"/>
    <w:rsid w:val="00B836FA"/>
    <w:rsid w:val="00B87FA8"/>
    <w:rsid w:val="00B90CC6"/>
    <w:rsid w:val="00B92384"/>
    <w:rsid w:val="00B924E4"/>
    <w:rsid w:val="00B95F29"/>
    <w:rsid w:val="00B97E53"/>
    <w:rsid w:val="00B97F7E"/>
    <w:rsid w:val="00BA12DF"/>
    <w:rsid w:val="00BA2905"/>
    <w:rsid w:val="00BA412B"/>
    <w:rsid w:val="00BA508B"/>
    <w:rsid w:val="00BA62B5"/>
    <w:rsid w:val="00BA6453"/>
    <w:rsid w:val="00BB0AC5"/>
    <w:rsid w:val="00BB0C66"/>
    <w:rsid w:val="00BC0C5C"/>
    <w:rsid w:val="00BC151D"/>
    <w:rsid w:val="00BC19C1"/>
    <w:rsid w:val="00BC1E3D"/>
    <w:rsid w:val="00BC4ADD"/>
    <w:rsid w:val="00BC4CA8"/>
    <w:rsid w:val="00BC4EB8"/>
    <w:rsid w:val="00BC6184"/>
    <w:rsid w:val="00BC7A95"/>
    <w:rsid w:val="00BD0E37"/>
    <w:rsid w:val="00BD10B4"/>
    <w:rsid w:val="00BD16E8"/>
    <w:rsid w:val="00BD3059"/>
    <w:rsid w:val="00BD5B72"/>
    <w:rsid w:val="00BD7EA6"/>
    <w:rsid w:val="00BE070D"/>
    <w:rsid w:val="00BE29BB"/>
    <w:rsid w:val="00BE2A3F"/>
    <w:rsid w:val="00BE348A"/>
    <w:rsid w:val="00BE4846"/>
    <w:rsid w:val="00BE601B"/>
    <w:rsid w:val="00BE64FE"/>
    <w:rsid w:val="00BE6751"/>
    <w:rsid w:val="00BE6D93"/>
    <w:rsid w:val="00BF13CB"/>
    <w:rsid w:val="00BF1CE0"/>
    <w:rsid w:val="00BF27C9"/>
    <w:rsid w:val="00BF28A8"/>
    <w:rsid w:val="00BF326B"/>
    <w:rsid w:val="00BF51B2"/>
    <w:rsid w:val="00BF5275"/>
    <w:rsid w:val="00BF59FD"/>
    <w:rsid w:val="00BF71E4"/>
    <w:rsid w:val="00BF7BE3"/>
    <w:rsid w:val="00C0032C"/>
    <w:rsid w:val="00C07BE2"/>
    <w:rsid w:val="00C11734"/>
    <w:rsid w:val="00C125BE"/>
    <w:rsid w:val="00C13190"/>
    <w:rsid w:val="00C13382"/>
    <w:rsid w:val="00C14CD7"/>
    <w:rsid w:val="00C14F21"/>
    <w:rsid w:val="00C17559"/>
    <w:rsid w:val="00C17959"/>
    <w:rsid w:val="00C21B6B"/>
    <w:rsid w:val="00C2281D"/>
    <w:rsid w:val="00C23271"/>
    <w:rsid w:val="00C23A69"/>
    <w:rsid w:val="00C24388"/>
    <w:rsid w:val="00C261DB"/>
    <w:rsid w:val="00C262F8"/>
    <w:rsid w:val="00C272CA"/>
    <w:rsid w:val="00C27827"/>
    <w:rsid w:val="00C32B8B"/>
    <w:rsid w:val="00C34B9C"/>
    <w:rsid w:val="00C34C23"/>
    <w:rsid w:val="00C35D87"/>
    <w:rsid w:val="00C3740C"/>
    <w:rsid w:val="00C441A2"/>
    <w:rsid w:val="00C45B92"/>
    <w:rsid w:val="00C51CF9"/>
    <w:rsid w:val="00C537A2"/>
    <w:rsid w:val="00C54D23"/>
    <w:rsid w:val="00C56731"/>
    <w:rsid w:val="00C57230"/>
    <w:rsid w:val="00C60EC0"/>
    <w:rsid w:val="00C62631"/>
    <w:rsid w:val="00C642A6"/>
    <w:rsid w:val="00C653F6"/>
    <w:rsid w:val="00C70A4E"/>
    <w:rsid w:val="00C70D56"/>
    <w:rsid w:val="00C70DA2"/>
    <w:rsid w:val="00C71333"/>
    <w:rsid w:val="00C714D1"/>
    <w:rsid w:val="00C720C2"/>
    <w:rsid w:val="00C75555"/>
    <w:rsid w:val="00C76B58"/>
    <w:rsid w:val="00C77022"/>
    <w:rsid w:val="00C77C5A"/>
    <w:rsid w:val="00C825E2"/>
    <w:rsid w:val="00C859A5"/>
    <w:rsid w:val="00C85E2B"/>
    <w:rsid w:val="00C8620E"/>
    <w:rsid w:val="00C8699E"/>
    <w:rsid w:val="00C86F49"/>
    <w:rsid w:val="00C86FD3"/>
    <w:rsid w:val="00C87049"/>
    <w:rsid w:val="00C87A8B"/>
    <w:rsid w:val="00C90225"/>
    <w:rsid w:val="00C91C6E"/>
    <w:rsid w:val="00C92F6B"/>
    <w:rsid w:val="00C930EC"/>
    <w:rsid w:val="00C93390"/>
    <w:rsid w:val="00C93D78"/>
    <w:rsid w:val="00CA0FEA"/>
    <w:rsid w:val="00CA2659"/>
    <w:rsid w:val="00CA3675"/>
    <w:rsid w:val="00CA3A6F"/>
    <w:rsid w:val="00CA43A4"/>
    <w:rsid w:val="00CA7B4F"/>
    <w:rsid w:val="00CA7C9A"/>
    <w:rsid w:val="00CA7DE3"/>
    <w:rsid w:val="00CB6550"/>
    <w:rsid w:val="00CB678D"/>
    <w:rsid w:val="00CB7109"/>
    <w:rsid w:val="00CB7206"/>
    <w:rsid w:val="00CB7813"/>
    <w:rsid w:val="00CC1415"/>
    <w:rsid w:val="00CC2DE2"/>
    <w:rsid w:val="00CC3EF6"/>
    <w:rsid w:val="00CC4974"/>
    <w:rsid w:val="00CC5F1B"/>
    <w:rsid w:val="00CD0CCE"/>
    <w:rsid w:val="00CD25C4"/>
    <w:rsid w:val="00CD2A77"/>
    <w:rsid w:val="00CD2DF4"/>
    <w:rsid w:val="00CD3C65"/>
    <w:rsid w:val="00CD4572"/>
    <w:rsid w:val="00CD464D"/>
    <w:rsid w:val="00CD51DF"/>
    <w:rsid w:val="00CD7401"/>
    <w:rsid w:val="00CD7E73"/>
    <w:rsid w:val="00CE39E2"/>
    <w:rsid w:val="00CE4D3A"/>
    <w:rsid w:val="00CE7678"/>
    <w:rsid w:val="00CF008F"/>
    <w:rsid w:val="00CF0C48"/>
    <w:rsid w:val="00CF0ECD"/>
    <w:rsid w:val="00CF1974"/>
    <w:rsid w:val="00D0027E"/>
    <w:rsid w:val="00D0158A"/>
    <w:rsid w:val="00D0215D"/>
    <w:rsid w:val="00D02736"/>
    <w:rsid w:val="00D05035"/>
    <w:rsid w:val="00D066D8"/>
    <w:rsid w:val="00D149D4"/>
    <w:rsid w:val="00D15098"/>
    <w:rsid w:val="00D1775C"/>
    <w:rsid w:val="00D207ED"/>
    <w:rsid w:val="00D236F9"/>
    <w:rsid w:val="00D23A75"/>
    <w:rsid w:val="00D24D67"/>
    <w:rsid w:val="00D25179"/>
    <w:rsid w:val="00D261C3"/>
    <w:rsid w:val="00D26C41"/>
    <w:rsid w:val="00D275F4"/>
    <w:rsid w:val="00D320D6"/>
    <w:rsid w:val="00D33253"/>
    <w:rsid w:val="00D3639F"/>
    <w:rsid w:val="00D40243"/>
    <w:rsid w:val="00D405AC"/>
    <w:rsid w:val="00D4164E"/>
    <w:rsid w:val="00D43673"/>
    <w:rsid w:val="00D444E0"/>
    <w:rsid w:val="00D45639"/>
    <w:rsid w:val="00D4579A"/>
    <w:rsid w:val="00D45963"/>
    <w:rsid w:val="00D473B3"/>
    <w:rsid w:val="00D477D1"/>
    <w:rsid w:val="00D5091E"/>
    <w:rsid w:val="00D51A00"/>
    <w:rsid w:val="00D525BD"/>
    <w:rsid w:val="00D53805"/>
    <w:rsid w:val="00D54FAC"/>
    <w:rsid w:val="00D564BD"/>
    <w:rsid w:val="00D571F6"/>
    <w:rsid w:val="00D6240A"/>
    <w:rsid w:val="00D628AD"/>
    <w:rsid w:val="00D63652"/>
    <w:rsid w:val="00D657C4"/>
    <w:rsid w:val="00D66957"/>
    <w:rsid w:val="00D71ABC"/>
    <w:rsid w:val="00D71F27"/>
    <w:rsid w:val="00D75C91"/>
    <w:rsid w:val="00D76086"/>
    <w:rsid w:val="00D766C2"/>
    <w:rsid w:val="00D80D62"/>
    <w:rsid w:val="00D80F1C"/>
    <w:rsid w:val="00D81FEE"/>
    <w:rsid w:val="00D840C3"/>
    <w:rsid w:val="00D863D3"/>
    <w:rsid w:val="00D9005A"/>
    <w:rsid w:val="00D90311"/>
    <w:rsid w:val="00D91660"/>
    <w:rsid w:val="00D93A70"/>
    <w:rsid w:val="00D93C9C"/>
    <w:rsid w:val="00D96183"/>
    <w:rsid w:val="00D96B5A"/>
    <w:rsid w:val="00D96F63"/>
    <w:rsid w:val="00D974FB"/>
    <w:rsid w:val="00D97E4A"/>
    <w:rsid w:val="00DA0E03"/>
    <w:rsid w:val="00DA6C03"/>
    <w:rsid w:val="00DA7FCC"/>
    <w:rsid w:val="00DB0360"/>
    <w:rsid w:val="00DB128F"/>
    <w:rsid w:val="00DB20C3"/>
    <w:rsid w:val="00DB303E"/>
    <w:rsid w:val="00DB39CA"/>
    <w:rsid w:val="00DB4129"/>
    <w:rsid w:val="00DB4E25"/>
    <w:rsid w:val="00DC081C"/>
    <w:rsid w:val="00DC19AF"/>
    <w:rsid w:val="00DC1CFE"/>
    <w:rsid w:val="00DC2129"/>
    <w:rsid w:val="00DC219E"/>
    <w:rsid w:val="00DC2B68"/>
    <w:rsid w:val="00DC2CB8"/>
    <w:rsid w:val="00DC35FB"/>
    <w:rsid w:val="00DC3BBC"/>
    <w:rsid w:val="00DC4011"/>
    <w:rsid w:val="00DD056F"/>
    <w:rsid w:val="00DD0908"/>
    <w:rsid w:val="00DD1BDD"/>
    <w:rsid w:val="00DD1E1F"/>
    <w:rsid w:val="00DD2B50"/>
    <w:rsid w:val="00DD3076"/>
    <w:rsid w:val="00DD364A"/>
    <w:rsid w:val="00DD439B"/>
    <w:rsid w:val="00DD481F"/>
    <w:rsid w:val="00DD4AD1"/>
    <w:rsid w:val="00DD56F2"/>
    <w:rsid w:val="00DD6BAA"/>
    <w:rsid w:val="00DE1A4E"/>
    <w:rsid w:val="00DE31DE"/>
    <w:rsid w:val="00DE571E"/>
    <w:rsid w:val="00DE5987"/>
    <w:rsid w:val="00DE67FF"/>
    <w:rsid w:val="00DE7CEE"/>
    <w:rsid w:val="00DF074E"/>
    <w:rsid w:val="00DF0AAA"/>
    <w:rsid w:val="00DF2B46"/>
    <w:rsid w:val="00DF37D8"/>
    <w:rsid w:val="00DF3D56"/>
    <w:rsid w:val="00DF491C"/>
    <w:rsid w:val="00DF4F7C"/>
    <w:rsid w:val="00E00E9F"/>
    <w:rsid w:val="00E06623"/>
    <w:rsid w:val="00E066B1"/>
    <w:rsid w:val="00E06E9D"/>
    <w:rsid w:val="00E07F03"/>
    <w:rsid w:val="00E12B4B"/>
    <w:rsid w:val="00E133F8"/>
    <w:rsid w:val="00E1474E"/>
    <w:rsid w:val="00E15B36"/>
    <w:rsid w:val="00E1764E"/>
    <w:rsid w:val="00E2059B"/>
    <w:rsid w:val="00E209A5"/>
    <w:rsid w:val="00E22E65"/>
    <w:rsid w:val="00E2551A"/>
    <w:rsid w:val="00E27028"/>
    <w:rsid w:val="00E27FE9"/>
    <w:rsid w:val="00E31FBD"/>
    <w:rsid w:val="00E31FC0"/>
    <w:rsid w:val="00E32273"/>
    <w:rsid w:val="00E33039"/>
    <w:rsid w:val="00E330A5"/>
    <w:rsid w:val="00E33695"/>
    <w:rsid w:val="00E34465"/>
    <w:rsid w:val="00E3628A"/>
    <w:rsid w:val="00E36EEC"/>
    <w:rsid w:val="00E376B7"/>
    <w:rsid w:val="00E43879"/>
    <w:rsid w:val="00E43DD9"/>
    <w:rsid w:val="00E46CCD"/>
    <w:rsid w:val="00E548A3"/>
    <w:rsid w:val="00E561AC"/>
    <w:rsid w:val="00E5693B"/>
    <w:rsid w:val="00E57DCB"/>
    <w:rsid w:val="00E62DF4"/>
    <w:rsid w:val="00E67A7D"/>
    <w:rsid w:val="00E70EB7"/>
    <w:rsid w:val="00E71BA4"/>
    <w:rsid w:val="00E72AE1"/>
    <w:rsid w:val="00E73A34"/>
    <w:rsid w:val="00E75305"/>
    <w:rsid w:val="00E757E3"/>
    <w:rsid w:val="00E76F0E"/>
    <w:rsid w:val="00E77E37"/>
    <w:rsid w:val="00E81E6E"/>
    <w:rsid w:val="00E826A2"/>
    <w:rsid w:val="00E82B8B"/>
    <w:rsid w:val="00E82EDC"/>
    <w:rsid w:val="00E8416F"/>
    <w:rsid w:val="00E844FF"/>
    <w:rsid w:val="00E8462A"/>
    <w:rsid w:val="00E84B06"/>
    <w:rsid w:val="00E866F2"/>
    <w:rsid w:val="00E86BB3"/>
    <w:rsid w:val="00E87D00"/>
    <w:rsid w:val="00E92997"/>
    <w:rsid w:val="00E934E1"/>
    <w:rsid w:val="00E934EB"/>
    <w:rsid w:val="00E93B63"/>
    <w:rsid w:val="00EA0225"/>
    <w:rsid w:val="00EA0F20"/>
    <w:rsid w:val="00EA1ABE"/>
    <w:rsid w:val="00EA30C5"/>
    <w:rsid w:val="00EA50AF"/>
    <w:rsid w:val="00EA58ED"/>
    <w:rsid w:val="00EA5B59"/>
    <w:rsid w:val="00EA713B"/>
    <w:rsid w:val="00EA76B5"/>
    <w:rsid w:val="00EA7C5D"/>
    <w:rsid w:val="00EB02FA"/>
    <w:rsid w:val="00EB3004"/>
    <w:rsid w:val="00EB49EA"/>
    <w:rsid w:val="00EB4A85"/>
    <w:rsid w:val="00EB5B64"/>
    <w:rsid w:val="00EB68D5"/>
    <w:rsid w:val="00EB72A5"/>
    <w:rsid w:val="00EB74B0"/>
    <w:rsid w:val="00EB7DD4"/>
    <w:rsid w:val="00EC00BC"/>
    <w:rsid w:val="00EC0DBD"/>
    <w:rsid w:val="00EC119F"/>
    <w:rsid w:val="00EC22C1"/>
    <w:rsid w:val="00EC66E8"/>
    <w:rsid w:val="00EC6B1D"/>
    <w:rsid w:val="00EC6F2C"/>
    <w:rsid w:val="00ED0159"/>
    <w:rsid w:val="00ED0969"/>
    <w:rsid w:val="00ED1296"/>
    <w:rsid w:val="00ED4A32"/>
    <w:rsid w:val="00ED5E0D"/>
    <w:rsid w:val="00ED65D0"/>
    <w:rsid w:val="00ED674F"/>
    <w:rsid w:val="00ED75FE"/>
    <w:rsid w:val="00EE004E"/>
    <w:rsid w:val="00EE4556"/>
    <w:rsid w:val="00EE6185"/>
    <w:rsid w:val="00EE64EC"/>
    <w:rsid w:val="00EF1812"/>
    <w:rsid w:val="00EF206A"/>
    <w:rsid w:val="00EF23A6"/>
    <w:rsid w:val="00EF2B17"/>
    <w:rsid w:val="00EF4640"/>
    <w:rsid w:val="00EF564C"/>
    <w:rsid w:val="00EF5812"/>
    <w:rsid w:val="00EF69A3"/>
    <w:rsid w:val="00EF71AC"/>
    <w:rsid w:val="00EF7317"/>
    <w:rsid w:val="00F0157E"/>
    <w:rsid w:val="00F01657"/>
    <w:rsid w:val="00F0232C"/>
    <w:rsid w:val="00F03620"/>
    <w:rsid w:val="00F0482E"/>
    <w:rsid w:val="00F04BDE"/>
    <w:rsid w:val="00F07939"/>
    <w:rsid w:val="00F1087B"/>
    <w:rsid w:val="00F130B8"/>
    <w:rsid w:val="00F1546E"/>
    <w:rsid w:val="00F16642"/>
    <w:rsid w:val="00F172F9"/>
    <w:rsid w:val="00F17ECF"/>
    <w:rsid w:val="00F223A5"/>
    <w:rsid w:val="00F229D3"/>
    <w:rsid w:val="00F25D8F"/>
    <w:rsid w:val="00F26BDC"/>
    <w:rsid w:val="00F279AC"/>
    <w:rsid w:val="00F3099B"/>
    <w:rsid w:val="00F32526"/>
    <w:rsid w:val="00F40843"/>
    <w:rsid w:val="00F42234"/>
    <w:rsid w:val="00F43D76"/>
    <w:rsid w:val="00F43DEC"/>
    <w:rsid w:val="00F43EA8"/>
    <w:rsid w:val="00F45897"/>
    <w:rsid w:val="00F463F2"/>
    <w:rsid w:val="00F47278"/>
    <w:rsid w:val="00F508DF"/>
    <w:rsid w:val="00F54F34"/>
    <w:rsid w:val="00F57024"/>
    <w:rsid w:val="00F57454"/>
    <w:rsid w:val="00F61362"/>
    <w:rsid w:val="00F616A7"/>
    <w:rsid w:val="00F62444"/>
    <w:rsid w:val="00F62F3D"/>
    <w:rsid w:val="00F64824"/>
    <w:rsid w:val="00F6531E"/>
    <w:rsid w:val="00F667C0"/>
    <w:rsid w:val="00F66A7D"/>
    <w:rsid w:val="00F6773A"/>
    <w:rsid w:val="00F67E95"/>
    <w:rsid w:val="00F73828"/>
    <w:rsid w:val="00F76BBE"/>
    <w:rsid w:val="00F80633"/>
    <w:rsid w:val="00F811B8"/>
    <w:rsid w:val="00F82ADB"/>
    <w:rsid w:val="00F84323"/>
    <w:rsid w:val="00F84328"/>
    <w:rsid w:val="00F864FF"/>
    <w:rsid w:val="00F87AC5"/>
    <w:rsid w:val="00F90839"/>
    <w:rsid w:val="00F91676"/>
    <w:rsid w:val="00F96E7D"/>
    <w:rsid w:val="00F97097"/>
    <w:rsid w:val="00F9714B"/>
    <w:rsid w:val="00F97153"/>
    <w:rsid w:val="00F97890"/>
    <w:rsid w:val="00FA3534"/>
    <w:rsid w:val="00FA48EF"/>
    <w:rsid w:val="00FA4A50"/>
    <w:rsid w:val="00FA4B80"/>
    <w:rsid w:val="00FB2F1F"/>
    <w:rsid w:val="00FB2F7A"/>
    <w:rsid w:val="00FB2FFC"/>
    <w:rsid w:val="00FB74B5"/>
    <w:rsid w:val="00FC19E0"/>
    <w:rsid w:val="00FC25F0"/>
    <w:rsid w:val="00FC3380"/>
    <w:rsid w:val="00FC4A99"/>
    <w:rsid w:val="00FC5559"/>
    <w:rsid w:val="00FC5AE4"/>
    <w:rsid w:val="00FC6AE0"/>
    <w:rsid w:val="00FD0EB3"/>
    <w:rsid w:val="00FD6727"/>
    <w:rsid w:val="00FD6D6B"/>
    <w:rsid w:val="00FE0ACE"/>
    <w:rsid w:val="00FE3A1B"/>
    <w:rsid w:val="00FE4EF8"/>
    <w:rsid w:val="00FE512A"/>
    <w:rsid w:val="00FE56BB"/>
    <w:rsid w:val="00FE5EC0"/>
    <w:rsid w:val="00FE7712"/>
    <w:rsid w:val="00FF10D4"/>
    <w:rsid w:val="00FF18C8"/>
    <w:rsid w:val="00FF429E"/>
    <w:rsid w:val="00FF5205"/>
    <w:rsid w:val="00FF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7C3E5"/>
  <w15:docId w15:val="{66998E42-3F88-4D0C-ADA7-82F1BBC55954}"/>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438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1DBD"/>
    <w:pPr>
      <w:tabs>
        <w:tab w:val="center" w:pos="4320"/>
        <w:tab w:val="right" w:pos="8640"/>
      </w:tabs>
    </w:pPr>
  </w:style>
  <w:style w:type="paragraph" w:styleId="Title">
    <w:name w:val="Title"/>
    <w:basedOn w:val="Normal"/>
    <w:qFormat/>
    <w:rsid w:val="003B1DBD"/>
    <w:pPr>
      <w:jc w:val="center"/>
    </w:pPr>
    <w:rPr>
      <w:rFonts w:ascii="Helvetica" w:hAnsi="Helvetica"/>
      <w:b/>
      <w:szCs w:val="20"/>
    </w:rPr>
  </w:style>
  <w:style w:type="paragraph" w:styleId="Footer">
    <w:name w:val="footer"/>
    <w:basedOn w:val="Normal"/>
    <w:link w:val="FooterChar"/>
    <w:uiPriority w:val="99"/>
    <w:rsid w:val="003B1DBD"/>
    <w:pPr>
      <w:tabs>
        <w:tab w:val="center" w:pos="4320"/>
        <w:tab w:val="right" w:pos="8640"/>
      </w:tabs>
    </w:pPr>
  </w:style>
  <w:style w:type="character" w:styleId="PageNumber">
    <w:name w:val="page number"/>
    <w:basedOn w:val="DefaultParagraphFont"/>
    <w:rsid w:val="003B1DBD"/>
  </w:style>
  <w:style w:type="table" w:styleId="TableGrid">
    <w:name w:val="Table Grid"/>
    <w:basedOn w:val="TableNormal"/>
    <w:rsid w:val="009B7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DB0360"/>
    <w:rPr>
      <w:sz w:val="20"/>
      <w:szCs w:val="20"/>
    </w:rPr>
  </w:style>
  <w:style w:type="character" w:customStyle="1" w:styleId="FootnoteTextChar">
    <w:name w:val="Footnote Text Char"/>
    <w:basedOn w:val="DefaultParagraphFont"/>
    <w:link w:val="FootnoteText"/>
    <w:uiPriority w:val="99"/>
    <w:rsid w:val="00DB0360"/>
  </w:style>
  <w:style w:type="character" w:styleId="FootnoteReference">
    <w:name w:val="footnote reference"/>
    <w:basedOn w:val="DefaultParagraphFont"/>
    <w:rsid w:val="00DB0360"/>
    <w:rPr>
      <w:vertAlign w:val="superscript"/>
    </w:rPr>
  </w:style>
  <w:style w:type="character" w:styleId="Hyperlink">
    <w:name w:val="Hyperlink"/>
    <w:basedOn w:val="DefaultParagraphFont"/>
    <w:rsid w:val="00652D84"/>
    <w:rPr>
      <w:color w:val="0563C1" w:themeColor="hyperlink"/>
      <w:u w:val="single"/>
    </w:rPr>
  </w:style>
  <w:style w:type="character" w:customStyle="1" w:styleId="UnresolvedMention1">
    <w:name w:val="Unresolved Mention1"/>
    <w:basedOn w:val="DefaultParagraphFont"/>
    <w:uiPriority w:val="99"/>
    <w:semiHidden/>
    <w:unhideWhenUsed/>
    <w:rsid w:val="00652D84"/>
    <w:rPr>
      <w:color w:val="605E5C"/>
      <w:shd w:val="clear" w:color="auto" w:fill="E1DFDD"/>
    </w:rPr>
  </w:style>
  <w:style w:type="paragraph" w:styleId="ListParagraph">
    <w:name w:val="List Paragraph"/>
    <w:basedOn w:val="Normal"/>
    <w:uiPriority w:val="34"/>
    <w:qFormat/>
    <w:rsid w:val="00356BC3"/>
    <w:pPr>
      <w:ind w:left="720"/>
      <w:contextualSpacing/>
    </w:pPr>
  </w:style>
  <w:style w:type="paragraph" w:styleId="BalloonText">
    <w:name w:val="Balloon Text"/>
    <w:basedOn w:val="Normal"/>
    <w:link w:val="BalloonTextChar"/>
    <w:rsid w:val="00B92384"/>
    <w:rPr>
      <w:rFonts w:ascii="Segoe UI" w:hAnsi="Segoe UI" w:cs="Segoe UI"/>
      <w:sz w:val="18"/>
      <w:szCs w:val="18"/>
    </w:rPr>
  </w:style>
  <w:style w:type="character" w:customStyle="1" w:styleId="BalloonTextChar">
    <w:name w:val="Balloon Text Char"/>
    <w:basedOn w:val="DefaultParagraphFont"/>
    <w:link w:val="BalloonText"/>
    <w:rsid w:val="00B92384"/>
    <w:rPr>
      <w:rFonts w:ascii="Segoe UI" w:hAnsi="Segoe UI" w:cs="Segoe UI"/>
      <w:sz w:val="18"/>
      <w:szCs w:val="18"/>
    </w:rPr>
  </w:style>
  <w:style w:type="character" w:styleId="CommentReference">
    <w:name w:val="annotation reference"/>
    <w:basedOn w:val="DefaultParagraphFont"/>
    <w:rsid w:val="00360508"/>
    <w:rPr>
      <w:sz w:val="16"/>
      <w:szCs w:val="16"/>
    </w:rPr>
  </w:style>
  <w:style w:type="paragraph" w:styleId="CommentText">
    <w:name w:val="annotation text"/>
    <w:basedOn w:val="Normal"/>
    <w:link w:val="CommentTextChar"/>
    <w:rsid w:val="00360508"/>
    <w:rPr>
      <w:sz w:val="20"/>
      <w:szCs w:val="20"/>
    </w:rPr>
  </w:style>
  <w:style w:type="character" w:customStyle="1" w:styleId="CommentTextChar">
    <w:name w:val="Comment Text Char"/>
    <w:basedOn w:val="DefaultParagraphFont"/>
    <w:link w:val="CommentText"/>
    <w:rsid w:val="00360508"/>
  </w:style>
  <w:style w:type="paragraph" w:styleId="CommentSubject">
    <w:name w:val="annotation subject"/>
    <w:basedOn w:val="CommentText"/>
    <w:next w:val="CommentText"/>
    <w:link w:val="CommentSubjectChar"/>
    <w:rsid w:val="00360508"/>
    <w:rPr>
      <w:b/>
      <w:bCs/>
    </w:rPr>
  </w:style>
  <w:style w:type="character" w:customStyle="1" w:styleId="CommentSubjectChar">
    <w:name w:val="Comment Subject Char"/>
    <w:basedOn w:val="CommentTextChar"/>
    <w:link w:val="CommentSubject"/>
    <w:rsid w:val="00360508"/>
    <w:rPr>
      <w:b/>
      <w:bCs/>
    </w:rPr>
  </w:style>
  <w:style w:type="character" w:customStyle="1" w:styleId="FooterChar">
    <w:name w:val="Footer Char"/>
    <w:basedOn w:val="DefaultParagraphFont"/>
    <w:link w:val="Footer"/>
    <w:uiPriority w:val="99"/>
    <w:rsid w:val="009C57E5"/>
    <w:rPr>
      <w:sz w:val="24"/>
      <w:szCs w:val="24"/>
    </w:rPr>
  </w:style>
  <w:style w:type="character" w:styleId="UnresolvedMention">
    <w:name w:val="Unresolved Mention"/>
    <w:basedOn w:val="DefaultParagraphFont"/>
    <w:uiPriority w:val="99"/>
    <w:semiHidden/>
    <w:unhideWhenUsed/>
    <w:rsid w:val="00183368"/>
    <w:rPr>
      <w:color w:val="605E5C"/>
      <w:shd w:val="clear" w:color="auto" w:fill="E1DFDD"/>
    </w:rPr>
  </w:style>
  <w:style w:type="table" w:styleId="PlainTable1">
    <w:name w:val="Plain Table 1"/>
    <w:basedOn w:val="TableNormal"/>
    <w:uiPriority w:val="41"/>
    <w:rsid w:val="008C0F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200">
      <w:bodyDiv w:val="1"/>
      <w:marLeft w:val="0"/>
      <w:marRight w:val="0"/>
      <w:marTop w:val="0"/>
      <w:marBottom w:val="0"/>
      <w:divBdr>
        <w:top w:val="none" w:sz="0" w:space="0" w:color="auto"/>
        <w:left w:val="none" w:sz="0" w:space="0" w:color="auto"/>
        <w:bottom w:val="none" w:sz="0" w:space="0" w:color="auto"/>
        <w:right w:val="none" w:sz="0" w:space="0" w:color="auto"/>
      </w:divBdr>
    </w:div>
    <w:div w:id="29379278">
      <w:bodyDiv w:val="1"/>
      <w:marLeft w:val="0"/>
      <w:marRight w:val="0"/>
      <w:marTop w:val="0"/>
      <w:marBottom w:val="0"/>
      <w:divBdr>
        <w:top w:val="none" w:sz="0" w:space="0" w:color="auto"/>
        <w:left w:val="none" w:sz="0" w:space="0" w:color="auto"/>
        <w:bottom w:val="none" w:sz="0" w:space="0" w:color="auto"/>
        <w:right w:val="none" w:sz="0" w:space="0" w:color="auto"/>
      </w:divBdr>
    </w:div>
    <w:div w:id="177014275">
      <w:bodyDiv w:val="1"/>
      <w:marLeft w:val="0"/>
      <w:marRight w:val="0"/>
      <w:marTop w:val="0"/>
      <w:marBottom w:val="0"/>
      <w:divBdr>
        <w:top w:val="none" w:sz="0" w:space="0" w:color="auto"/>
        <w:left w:val="none" w:sz="0" w:space="0" w:color="auto"/>
        <w:bottom w:val="none" w:sz="0" w:space="0" w:color="auto"/>
        <w:right w:val="none" w:sz="0" w:space="0" w:color="auto"/>
      </w:divBdr>
    </w:div>
    <w:div w:id="234704223">
      <w:bodyDiv w:val="1"/>
      <w:marLeft w:val="0"/>
      <w:marRight w:val="0"/>
      <w:marTop w:val="0"/>
      <w:marBottom w:val="0"/>
      <w:divBdr>
        <w:top w:val="none" w:sz="0" w:space="0" w:color="auto"/>
        <w:left w:val="none" w:sz="0" w:space="0" w:color="auto"/>
        <w:bottom w:val="none" w:sz="0" w:space="0" w:color="auto"/>
        <w:right w:val="none" w:sz="0" w:space="0" w:color="auto"/>
      </w:divBdr>
    </w:div>
    <w:div w:id="321277589">
      <w:bodyDiv w:val="1"/>
      <w:marLeft w:val="0"/>
      <w:marRight w:val="0"/>
      <w:marTop w:val="0"/>
      <w:marBottom w:val="0"/>
      <w:divBdr>
        <w:top w:val="none" w:sz="0" w:space="0" w:color="auto"/>
        <w:left w:val="none" w:sz="0" w:space="0" w:color="auto"/>
        <w:bottom w:val="none" w:sz="0" w:space="0" w:color="auto"/>
        <w:right w:val="none" w:sz="0" w:space="0" w:color="auto"/>
      </w:divBdr>
    </w:div>
    <w:div w:id="331032791">
      <w:bodyDiv w:val="1"/>
      <w:marLeft w:val="0"/>
      <w:marRight w:val="0"/>
      <w:marTop w:val="0"/>
      <w:marBottom w:val="0"/>
      <w:divBdr>
        <w:top w:val="none" w:sz="0" w:space="0" w:color="auto"/>
        <w:left w:val="none" w:sz="0" w:space="0" w:color="auto"/>
        <w:bottom w:val="none" w:sz="0" w:space="0" w:color="auto"/>
        <w:right w:val="none" w:sz="0" w:space="0" w:color="auto"/>
      </w:divBdr>
    </w:div>
    <w:div w:id="598375130">
      <w:bodyDiv w:val="1"/>
      <w:marLeft w:val="0"/>
      <w:marRight w:val="0"/>
      <w:marTop w:val="0"/>
      <w:marBottom w:val="0"/>
      <w:divBdr>
        <w:top w:val="none" w:sz="0" w:space="0" w:color="auto"/>
        <w:left w:val="none" w:sz="0" w:space="0" w:color="auto"/>
        <w:bottom w:val="none" w:sz="0" w:space="0" w:color="auto"/>
        <w:right w:val="none" w:sz="0" w:space="0" w:color="auto"/>
      </w:divBdr>
    </w:div>
    <w:div w:id="691497569">
      <w:bodyDiv w:val="1"/>
      <w:marLeft w:val="0"/>
      <w:marRight w:val="0"/>
      <w:marTop w:val="0"/>
      <w:marBottom w:val="0"/>
      <w:divBdr>
        <w:top w:val="none" w:sz="0" w:space="0" w:color="auto"/>
        <w:left w:val="none" w:sz="0" w:space="0" w:color="auto"/>
        <w:bottom w:val="none" w:sz="0" w:space="0" w:color="auto"/>
        <w:right w:val="none" w:sz="0" w:space="0" w:color="auto"/>
      </w:divBdr>
    </w:div>
    <w:div w:id="785542796">
      <w:bodyDiv w:val="1"/>
      <w:marLeft w:val="0"/>
      <w:marRight w:val="0"/>
      <w:marTop w:val="0"/>
      <w:marBottom w:val="0"/>
      <w:divBdr>
        <w:top w:val="none" w:sz="0" w:space="0" w:color="auto"/>
        <w:left w:val="none" w:sz="0" w:space="0" w:color="auto"/>
        <w:bottom w:val="none" w:sz="0" w:space="0" w:color="auto"/>
        <w:right w:val="none" w:sz="0" w:space="0" w:color="auto"/>
      </w:divBdr>
    </w:div>
    <w:div w:id="882713091">
      <w:bodyDiv w:val="1"/>
      <w:marLeft w:val="0"/>
      <w:marRight w:val="0"/>
      <w:marTop w:val="0"/>
      <w:marBottom w:val="0"/>
      <w:divBdr>
        <w:top w:val="none" w:sz="0" w:space="0" w:color="auto"/>
        <w:left w:val="none" w:sz="0" w:space="0" w:color="auto"/>
        <w:bottom w:val="none" w:sz="0" w:space="0" w:color="auto"/>
        <w:right w:val="none" w:sz="0" w:space="0" w:color="auto"/>
      </w:divBdr>
    </w:div>
    <w:div w:id="1031758863">
      <w:bodyDiv w:val="1"/>
      <w:marLeft w:val="0"/>
      <w:marRight w:val="0"/>
      <w:marTop w:val="0"/>
      <w:marBottom w:val="0"/>
      <w:divBdr>
        <w:top w:val="none" w:sz="0" w:space="0" w:color="auto"/>
        <w:left w:val="none" w:sz="0" w:space="0" w:color="auto"/>
        <w:bottom w:val="none" w:sz="0" w:space="0" w:color="auto"/>
        <w:right w:val="none" w:sz="0" w:space="0" w:color="auto"/>
      </w:divBdr>
    </w:div>
    <w:div w:id="1074740476">
      <w:bodyDiv w:val="1"/>
      <w:marLeft w:val="0"/>
      <w:marRight w:val="0"/>
      <w:marTop w:val="0"/>
      <w:marBottom w:val="0"/>
      <w:divBdr>
        <w:top w:val="none" w:sz="0" w:space="0" w:color="auto"/>
        <w:left w:val="none" w:sz="0" w:space="0" w:color="auto"/>
        <w:bottom w:val="none" w:sz="0" w:space="0" w:color="auto"/>
        <w:right w:val="none" w:sz="0" w:space="0" w:color="auto"/>
      </w:divBdr>
    </w:div>
    <w:div w:id="1083723433">
      <w:bodyDiv w:val="1"/>
      <w:marLeft w:val="0"/>
      <w:marRight w:val="0"/>
      <w:marTop w:val="0"/>
      <w:marBottom w:val="0"/>
      <w:divBdr>
        <w:top w:val="none" w:sz="0" w:space="0" w:color="auto"/>
        <w:left w:val="none" w:sz="0" w:space="0" w:color="auto"/>
        <w:bottom w:val="none" w:sz="0" w:space="0" w:color="auto"/>
        <w:right w:val="none" w:sz="0" w:space="0" w:color="auto"/>
      </w:divBdr>
    </w:div>
    <w:div w:id="1161459908">
      <w:bodyDiv w:val="1"/>
      <w:marLeft w:val="0"/>
      <w:marRight w:val="0"/>
      <w:marTop w:val="0"/>
      <w:marBottom w:val="0"/>
      <w:divBdr>
        <w:top w:val="none" w:sz="0" w:space="0" w:color="auto"/>
        <w:left w:val="none" w:sz="0" w:space="0" w:color="auto"/>
        <w:bottom w:val="none" w:sz="0" w:space="0" w:color="auto"/>
        <w:right w:val="none" w:sz="0" w:space="0" w:color="auto"/>
      </w:divBdr>
    </w:div>
    <w:div w:id="1249849379">
      <w:bodyDiv w:val="1"/>
      <w:marLeft w:val="0"/>
      <w:marRight w:val="0"/>
      <w:marTop w:val="0"/>
      <w:marBottom w:val="0"/>
      <w:divBdr>
        <w:top w:val="none" w:sz="0" w:space="0" w:color="auto"/>
        <w:left w:val="none" w:sz="0" w:space="0" w:color="auto"/>
        <w:bottom w:val="none" w:sz="0" w:space="0" w:color="auto"/>
        <w:right w:val="none" w:sz="0" w:space="0" w:color="auto"/>
      </w:divBdr>
    </w:div>
    <w:div w:id="1259219432">
      <w:bodyDiv w:val="1"/>
      <w:marLeft w:val="0"/>
      <w:marRight w:val="0"/>
      <w:marTop w:val="0"/>
      <w:marBottom w:val="0"/>
      <w:divBdr>
        <w:top w:val="none" w:sz="0" w:space="0" w:color="auto"/>
        <w:left w:val="none" w:sz="0" w:space="0" w:color="auto"/>
        <w:bottom w:val="none" w:sz="0" w:space="0" w:color="auto"/>
        <w:right w:val="none" w:sz="0" w:space="0" w:color="auto"/>
      </w:divBdr>
    </w:div>
    <w:div w:id="1321697139">
      <w:bodyDiv w:val="1"/>
      <w:marLeft w:val="0"/>
      <w:marRight w:val="0"/>
      <w:marTop w:val="0"/>
      <w:marBottom w:val="0"/>
      <w:divBdr>
        <w:top w:val="none" w:sz="0" w:space="0" w:color="auto"/>
        <w:left w:val="none" w:sz="0" w:space="0" w:color="auto"/>
        <w:bottom w:val="none" w:sz="0" w:space="0" w:color="auto"/>
        <w:right w:val="none" w:sz="0" w:space="0" w:color="auto"/>
      </w:divBdr>
    </w:div>
    <w:div w:id="1464424322">
      <w:bodyDiv w:val="1"/>
      <w:marLeft w:val="0"/>
      <w:marRight w:val="0"/>
      <w:marTop w:val="0"/>
      <w:marBottom w:val="0"/>
      <w:divBdr>
        <w:top w:val="none" w:sz="0" w:space="0" w:color="auto"/>
        <w:left w:val="none" w:sz="0" w:space="0" w:color="auto"/>
        <w:bottom w:val="none" w:sz="0" w:space="0" w:color="auto"/>
        <w:right w:val="none" w:sz="0" w:space="0" w:color="auto"/>
      </w:divBdr>
    </w:div>
    <w:div w:id="1544829386">
      <w:bodyDiv w:val="1"/>
      <w:marLeft w:val="0"/>
      <w:marRight w:val="0"/>
      <w:marTop w:val="0"/>
      <w:marBottom w:val="0"/>
      <w:divBdr>
        <w:top w:val="none" w:sz="0" w:space="0" w:color="auto"/>
        <w:left w:val="none" w:sz="0" w:space="0" w:color="auto"/>
        <w:bottom w:val="none" w:sz="0" w:space="0" w:color="auto"/>
        <w:right w:val="none" w:sz="0" w:space="0" w:color="auto"/>
      </w:divBdr>
    </w:div>
    <w:div w:id="1583031522">
      <w:bodyDiv w:val="1"/>
      <w:marLeft w:val="0"/>
      <w:marRight w:val="0"/>
      <w:marTop w:val="0"/>
      <w:marBottom w:val="0"/>
      <w:divBdr>
        <w:top w:val="none" w:sz="0" w:space="0" w:color="auto"/>
        <w:left w:val="none" w:sz="0" w:space="0" w:color="auto"/>
        <w:bottom w:val="none" w:sz="0" w:space="0" w:color="auto"/>
        <w:right w:val="none" w:sz="0" w:space="0" w:color="auto"/>
      </w:divBdr>
    </w:div>
    <w:div w:id="1619218796">
      <w:bodyDiv w:val="1"/>
      <w:marLeft w:val="0"/>
      <w:marRight w:val="0"/>
      <w:marTop w:val="0"/>
      <w:marBottom w:val="0"/>
      <w:divBdr>
        <w:top w:val="none" w:sz="0" w:space="0" w:color="auto"/>
        <w:left w:val="none" w:sz="0" w:space="0" w:color="auto"/>
        <w:bottom w:val="none" w:sz="0" w:space="0" w:color="auto"/>
        <w:right w:val="none" w:sz="0" w:space="0" w:color="auto"/>
      </w:divBdr>
    </w:div>
    <w:div w:id="1650131390">
      <w:bodyDiv w:val="1"/>
      <w:marLeft w:val="0"/>
      <w:marRight w:val="0"/>
      <w:marTop w:val="0"/>
      <w:marBottom w:val="0"/>
      <w:divBdr>
        <w:top w:val="none" w:sz="0" w:space="0" w:color="auto"/>
        <w:left w:val="none" w:sz="0" w:space="0" w:color="auto"/>
        <w:bottom w:val="none" w:sz="0" w:space="0" w:color="auto"/>
        <w:right w:val="none" w:sz="0" w:space="0" w:color="auto"/>
      </w:divBdr>
    </w:div>
    <w:div w:id="1673603835">
      <w:bodyDiv w:val="1"/>
      <w:marLeft w:val="0"/>
      <w:marRight w:val="0"/>
      <w:marTop w:val="0"/>
      <w:marBottom w:val="0"/>
      <w:divBdr>
        <w:top w:val="none" w:sz="0" w:space="0" w:color="auto"/>
        <w:left w:val="none" w:sz="0" w:space="0" w:color="auto"/>
        <w:bottom w:val="none" w:sz="0" w:space="0" w:color="auto"/>
        <w:right w:val="none" w:sz="0" w:space="0" w:color="auto"/>
      </w:divBdr>
    </w:div>
    <w:div w:id="1710717728">
      <w:bodyDiv w:val="1"/>
      <w:marLeft w:val="0"/>
      <w:marRight w:val="0"/>
      <w:marTop w:val="0"/>
      <w:marBottom w:val="0"/>
      <w:divBdr>
        <w:top w:val="none" w:sz="0" w:space="0" w:color="auto"/>
        <w:left w:val="none" w:sz="0" w:space="0" w:color="auto"/>
        <w:bottom w:val="none" w:sz="0" w:space="0" w:color="auto"/>
        <w:right w:val="none" w:sz="0" w:space="0" w:color="auto"/>
      </w:divBdr>
    </w:div>
    <w:div w:id="1792701160">
      <w:bodyDiv w:val="1"/>
      <w:marLeft w:val="0"/>
      <w:marRight w:val="0"/>
      <w:marTop w:val="0"/>
      <w:marBottom w:val="0"/>
      <w:divBdr>
        <w:top w:val="none" w:sz="0" w:space="0" w:color="auto"/>
        <w:left w:val="none" w:sz="0" w:space="0" w:color="auto"/>
        <w:bottom w:val="none" w:sz="0" w:space="0" w:color="auto"/>
        <w:right w:val="none" w:sz="0" w:space="0" w:color="auto"/>
      </w:divBdr>
    </w:div>
    <w:div w:id="1835486198">
      <w:bodyDiv w:val="1"/>
      <w:marLeft w:val="0"/>
      <w:marRight w:val="0"/>
      <w:marTop w:val="0"/>
      <w:marBottom w:val="0"/>
      <w:divBdr>
        <w:top w:val="none" w:sz="0" w:space="0" w:color="auto"/>
        <w:left w:val="none" w:sz="0" w:space="0" w:color="auto"/>
        <w:bottom w:val="none" w:sz="0" w:space="0" w:color="auto"/>
        <w:right w:val="none" w:sz="0" w:space="0" w:color="auto"/>
      </w:divBdr>
    </w:div>
    <w:div w:id="1866554904">
      <w:bodyDiv w:val="1"/>
      <w:marLeft w:val="0"/>
      <w:marRight w:val="0"/>
      <w:marTop w:val="0"/>
      <w:marBottom w:val="0"/>
      <w:divBdr>
        <w:top w:val="none" w:sz="0" w:space="0" w:color="auto"/>
        <w:left w:val="none" w:sz="0" w:space="0" w:color="auto"/>
        <w:bottom w:val="none" w:sz="0" w:space="0" w:color="auto"/>
        <w:right w:val="none" w:sz="0" w:space="0" w:color="auto"/>
      </w:divBdr>
    </w:div>
    <w:div w:id="1979915895">
      <w:bodyDiv w:val="1"/>
      <w:marLeft w:val="0"/>
      <w:marRight w:val="0"/>
      <w:marTop w:val="0"/>
      <w:marBottom w:val="0"/>
      <w:divBdr>
        <w:top w:val="none" w:sz="0" w:space="0" w:color="auto"/>
        <w:left w:val="none" w:sz="0" w:space="0" w:color="auto"/>
        <w:bottom w:val="none" w:sz="0" w:space="0" w:color="auto"/>
        <w:right w:val="none" w:sz="0" w:space="0" w:color="auto"/>
      </w:divBdr>
    </w:div>
    <w:div w:id="1980039452">
      <w:bodyDiv w:val="1"/>
      <w:marLeft w:val="0"/>
      <w:marRight w:val="0"/>
      <w:marTop w:val="0"/>
      <w:marBottom w:val="0"/>
      <w:divBdr>
        <w:top w:val="none" w:sz="0" w:space="0" w:color="auto"/>
        <w:left w:val="none" w:sz="0" w:space="0" w:color="auto"/>
        <w:bottom w:val="none" w:sz="0" w:space="0" w:color="auto"/>
        <w:right w:val="none" w:sz="0" w:space="0" w:color="auto"/>
      </w:divBdr>
    </w:div>
    <w:div w:id="2008753402">
      <w:bodyDiv w:val="1"/>
      <w:marLeft w:val="0"/>
      <w:marRight w:val="0"/>
      <w:marTop w:val="0"/>
      <w:marBottom w:val="0"/>
      <w:divBdr>
        <w:top w:val="none" w:sz="0" w:space="0" w:color="auto"/>
        <w:left w:val="none" w:sz="0" w:space="0" w:color="auto"/>
        <w:bottom w:val="none" w:sz="0" w:space="0" w:color="auto"/>
        <w:right w:val="none" w:sz="0" w:space="0" w:color="auto"/>
      </w:divBdr>
    </w:div>
    <w:div w:id="2049258377">
      <w:bodyDiv w:val="1"/>
      <w:marLeft w:val="0"/>
      <w:marRight w:val="0"/>
      <w:marTop w:val="0"/>
      <w:marBottom w:val="0"/>
      <w:divBdr>
        <w:top w:val="none" w:sz="0" w:space="0" w:color="auto"/>
        <w:left w:val="none" w:sz="0" w:space="0" w:color="auto"/>
        <w:bottom w:val="none" w:sz="0" w:space="0" w:color="auto"/>
        <w:right w:val="none" w:sz="0" w:space="0" w:color="auto"/>
      </w:divBdr>
    </w:div>
    <w:div w:id="209080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cpuc.ca.gov/General.aspx?id=1097" TargetMode="External"/><Relationship Id="rId1" Type="http://schemas.openxmlformats.org/officeDocument/2006/relationships/hyperlink" Target="https://www.fcc.gov/implementing-rural-digital-opportunity-fund-rdof-a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C6FC5-9162-4758-A8A8-4E9B24109581}">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12</ap:Pages>
  <ap:Words>2998</ap:Words>
  <ap:Characters>17095</ap:Characters>
  <ap:Application>Microsoft Office Word</ap:Application>
  <ap:DocSecurity>0</ap:DocSecurity>
  <ap:Lines>142</ap:Lines>
  <ap:Paragraphs>40</ap:Paragraphs>
  <ap:ScaleCrop>false</ap:ScaleCrop>
  <ap:HeadingPairs>
    <vt:vector baseType="variant" size="2">
      <vt:variant>
        <vt:lpstr>Title</vt:lpstr>
      </vt:variant>
      <vt:variant>
        <vt:i4>1</vt:i4>
      </vt:variant>
    </vt:vector>
  </ap:HeadingPairs>
  <ap:TitlesOfParts>
    <vt:vector baseType="lpstr" size="1">
      <vt:lpstr>PUBLIC UTILITIES COMMISSION OF THE STATE OF CALIFORNIA</vt:lpstr>
    </vt:vector>
  </ap:TitlesOfParts>
  <ap:Company/>
  <ap:LinksUpToDate>false</ap:LinksUpToDate>
  <ap:CharactersWithSpaces>20053</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2020-02-26T18:21:00Z</cp:lastPrinted>
  <dcterms:created xsi:type="dcterms:W3CDTF">2020-05-18T15:03:01Z</dcterms:created>
  <dcterms:modified xsi:type="dcterms:W3CDTF">2020-05-18T15:03:01Z</dcterms:modified>
</cp:coreProperties>
</file>