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F17DE" w:rsidRDefault="00CF17DE" w14:paraId="5673C855" w14:textId="1FF2FA2D">
      <w:pPr>
        <w:pStyle w:val="titlebar"/>
        <w:rPr>
          <w:sz w:val="24"/>
        </w:rPr>
      </w:pPr>
      <w:r>
        <w:rPr>
          <w:sz w:val="24"/>
        </w:rPr>
        <w:t>PUBLIC UTILITIES COMMISSION OF THE STATE OF CALIFORNIA</w:t>
      </w:r>
    </w:p>
    <w:p w:rsidR="00C766F2" w:rsidRDefault="00C766F2" w14:paraId="47745881" w14:textId="77777777">
      <w:pPr>
        <w:pStyle w:val="titlebar"/>
        <w:rPr>
          <w:sz w:val="24"/>
        </w:rPr>
      </w:pPr>
    </w:p>
    <w:p w:rsidRPr="00C766F2" w:rsidR="00CF17DE" w:rsidRDefault="00C766F2" w14:paraId="32D950B4" w14:textId="585058A7">
      <w:pPr>
        <w:suppressAutoHyphens/>
        <w:rPr>
          <w:rFonts w:ascii="Palatino Linotype" w:hAnsi="Palatino Linotype"/>
          <w:b/>
          <w:bCs/>
        </w:rPr>
      </w:pPr>
      <w:r>
        <w:tab/>
      </w:r>
      <w:r>
        <w:tab/>
      </w:r>
      <w:r>
        <w:tab/>
      </w:r>
      <w:r>
        <w:tab/>
      </w:r>
      <w:r>
        <w:tab/>
      </w:r>
      <w:r>
        <w:tab/>
      </w:r>
      <w:r>
        <w:tab/>
      </w:r>
      <w:r>
        <w:tab/>
      </w:r>
      <w:r w:rsidRPr="00C766F2">
        <w:rPr>
          <w:rFonts w:ascii="Palatino Linotype" w:hAnsi="Palatino Linotype"/>
          <w:b/>
          <w:bCs/>
        </w:rPr>
        <w:t>Agenda ID:</w:t>
      </w:r>
      <w:r w:rsidR="00605718">
        <w:rPr>
          <w:rFonts w:ascii="Palatino Linotype" w:hAnsi="Palatino Linotype"/>
          <w:b/>
          <w:bCs/>
        </w:rPr>
        <w:t xml:space="preserve"> 18387</w:t>
      </w:r>
    </w:p>
    <w:p w:rsidR="00CF17DE" w:rsidRDefault="00593807" w14:paraId="55F9CB7A" w14:textId="707B4174">
      <w:pPr>
        <w:rPr>
          <w:b/>
          <w:sz w:val="24"/>
        </w:rPr>
      </w:pPr>
      <w:r>
        <w:rPr>
          <w:b/>
          <w:sz w:val="24"/>
        </w:rPr>
        <w:t>ENERGY DIVISION</w:t>
      </w:r>
      <w:r>
        <w:rPr>
          <w:b/>
          <w:sz w:val="24"/>
        </w:rPr>
        <w:tab/>
      </w:r>
      <w:r>
        <w:rPr>
          <w:b/>
          <w:sz w:val="24"/>
        </w:rPr>
        <w:tab/>
      </w:r>
      <w:r>
        <w:rPr>
          <w:b/>
          <w:sz w:val="24"/>
        </w:rPr>
        <w:tab/>
      </w:r>
      <w:r>
        <w:rPr>
          <w:b/>
          <w:sz w:val="24"/>
        </w:rPr>
        <w:tab/>
      </w:r>
      <w:r>
        <w:rPr>
          <w:b/>
          <w:sz w:val="24"/>
        </w:rPr>
        <w:tab/>
      </w:r>
      <w:r w:rsidR="00CF17DE">
        <w:rPr>
          <w:b/>
          <w:sz w:val="24"/>
        </w:rPr>
        <w:t>RESOLUTION E</w:t>
      </w:r>
      <w:r w:rsidR="00027D75">
        <w:rPr>
          <w:b/>
          <w:sz w:val="24"/>
        </w:rPr>
        <w:t>-5071</w:t>
      </w:r>
    </w:p>
    <w:p w:rsidR="00CF17DE" w:rsidP="001F5023" w:rsidRDefault="001F5023" w14:paraId="6AFFE919" w14:textId="324EC21B">
      <w:pPr>
        <w:tabs>
          <w:tab w:val="right" w:pos="8910"/>
        </w:tabs>
        <w:rPr>
          <w:b/>
          <w:sz w:val="24"/>
        </w:rPr>
      </w:pPr>
      <w:r>
        <w:rPr>
          <w:b/>
          <w:sz w:val="24"/>
        </w:rPr>
        <w:t xml:space="preserve">                                                                                                </w:t>
      </w:r>
      <w:r w:rsidR="00D90952">
        <w:rPr>
          <w:b/>
          <w:sz w:val="24"/>
        </w:rPr>
        <w:t>June 11</w:t>
      </w:r>
      <w:r w:rsidRPr="00FC3EF2">
        <w:rPr>
          <w:b/>
          <w:sz w:val="24"/>
        </w:rPr>
        <w:t>, 2020</w:t>
      </w:r>
    </w:p>
    <w:p w:rsidR="00CF17DE" w:rsidRDefault="00CF17DE" w14:paraId="769E65DB" w14:textId="77777777">
      <w:pPr>
        <w:tabs>
          <w:tab w:val="right" w:pos="8910"/>
        </w:tabs>
        <w:ind w:left="1440" w:firstLine="720"/>
        <w:rPr>
          <w:b/>
          <w:sz w:val="24"/>
        </w:rPr>
      </w:pPr>
    </w:p>
    <w:p w:rsidR="00CF17DE" w:rsidRDefault="00CF17DE" w14:paraId="35B6737A" w14:textId="77777777">
      <w:pPr>
        <w:pStyle w:val="mainex"/>
        <w:rPr>
          <w:u w:val="single"/>
        </w:rPr>
      </w:pPr>
      <w:bookmarkStart w:name="_Ref404993683" w:id="0"/>
      <w:r>
        <w:rPr>
          <w:u w:val="single"/>
        </w:rPr>
        <w:t>RESOLUTION</w:t>
      </w:r>
    </w:p>
    <w:p w:rsidR="00CF17DE" w:rsidRDefault="00CF17DE" w14:paraId="3378DEF8" w14:textId="77777777"/>
    <w:p w:rsidR="00B927B5" w:rsidP="00B927B5" w:rsidRDefault="00B927B5" w14:paraId="3F0EAD28" w14:textId="3C46DD17">
      <w:pPr>
        <w:pStyle w:val="Res-Caption"/>
      </w:pPr>
      <w:r>
        <w:t>Resolution E</w:t>
      </w:r>
      <w:r w:rsidR="00027D75">
        <w:t>-5071</w:t>
      </w:r>
      <w:r>
        <w:t xml:space="preserve">.  </w:t>
      </w:r>
      <w:r w:rsidR="005C3C31">
        <w:t xml:space="preserve">San Diego Gas </w:t>
      </w:r>
      <w:r w:rsidR="0066281C">
        <w:t xml:space="preserve">&amp; </w:t>
      </w:r>
      <w:r w:rsidR="005C3C31">
        <w:t>Electric</w:t>
      </w:r>
      <w:r w:rsidR="007A1AD1">
        <w:t>’s</w:t>
      </w:r>
      <w:r w:rsidR="0066281C">
        <w:t xml:space="preserve"> </w:t>
      </w:r>
      <w:r w:rsidR="00E22E6E">
        <w:t xml:space="preserve">adjustment to </w:t>
      </w:r>
      <w:r w:rsidR="008443B2">
        <w:t>reflect the equity rate base exclusion</w:t>
      </w:r>
      <w:r w:rsidR="00952FE5">
        <w:t xml:space="preserve"> for wildfire mitigation capital expenditures</w:t>
      </w:r>
      <w:r w:rsidR="00E22E6E">
        <w:t xml:space="preserve"> required by </w:t>
      </w:r>
      <w:r w:rsidRPr="00E22E6E" w:rsidR="00E22E6E">
        <w:t>Assembly Bill 1054</w:t>
      </w:r>
      <w:r w:rsidR="00952FE5">
        <w:t>.</w:t>
      </w:r>
    </w:p>
    <w:p w:rsidR="00801D70" w:rsidRDefault="00801D70" w14:paraId="3115A1F0" w14:textId="77777777">
      <w:pPr>
        <w:pStyle w:val="Res-Caption"/>
      </w:pPr>
    </w:p>
    <w:p w:rsidR="00DF35CC" w:rsidP="00DF35CC" w:rsidRDefault="00801D70" w14:paraId="25F235D4" w14:textId="77777777">
      <w:pPr>
        <w:pStyle w:val="Res-Caption"/>
        <w:rPr>
          <w:rFonts w:ascii="Palatino Linotype" w:hAnsi="Palatino Linotype"/>
        </w:rPr>
      </w:pPr>
      <w:r w:rsidRPr="006B05EE">
        <w:t>PROPOSED OUTCOME</w:t>
      </w:r>
      <w:r>
        <w:rPr>
          <w:rFonts w:ascii="Palatino Linotype" w:hAnsi="Palatino Linotype"/>
        </w:rPr>
        <w:t>:</w:t>
      </w:r>
      <w:r w:rsidR="00142FB8">
        <w:rPr>
          <w:rFonts w:ascii="Palatino Linotype" w:hAnsi="Palatino Linotype"/>
        </w:rPr>
        <w:t xml:space="preserve"> </w:t>
      </w:r>
    </w:p>
    <w:p w:rsidR="007A1AD1" w:rsidP="00DF35CC" w:rsidRDefault="007A1AD1" w14:paraId="3234F271" w14:textId="1A9ED1F4">
      <w:pPr>
        <w:pStyle w:val="Res-Caption"/>
        <w:numPr>
          <w:ilvl w:val="0"/>
          <w:numId w:val="7"/>
        </w:numPr>
        <w:rPr>
          <w:rFonts w:ascii="Palatino Linotype" w:hAnsi="Palatino Linotype"/>
        </w:rPr>
      </w:pPr>
      <w:r>
        <w:rPr>
          <w:rFonts w:ascii="Palatino Linotype" w:hAnsi="Palatino Linotype"/>
        </w:rPr>
        <w:t>This Resolution adopts San Diego Gas &amp; Electric’s (SDG&amp;E) adjustment to reduce its Post Test Year (PTY) revenue requirements by $</w:t>
      </w:r>
      <w:bookmarkStart w:name="_Hlk34046180" w:id="1"/>
      <w:r>
        <w:rPr>
          <w:rFonts w:ascii="Palatino Linotype" w:hAnsi="Palatino Linotype"/>
        </w:rPr>
        <w:t>8.3 million, $10.9 million, and $10.3 million in PTY</w:t>
      </w:r>
      <w:r w:rsidR="00645D01">
        <w:rPr>
          <w:rFonts w:ascii="Palatino Linotype" w:hAnsi="Palatino Linotype"/>
        </w:rPr>
        <w:t>s</w:t>
      </w:r>
      <w:r>
        <w:rPr>
          <w:rFonts w:ascii="Palatino Linotype" w:hAnsi="Palatino Linotype"/>
        </w:rPr>
        <w:t xml:space="preserve"> 2020, 2021, and 2022, respectively</w:t>
      </w:r>
      <w:bookmarkEnd w:id="1"/>
      <w:r>
        <w:rPr>
          <w:rFonts w:ascii="Palatino Linotype" w:hAnsi="Palatino Linotype"/>
        </w:rPr>
        <w:t xml:space="preserve">.  </w:t>
      </w:r>
    </w:p>
    <w:p w:rsidR="00F51F8B" w:rsidRDefault="00F51F8B" w14:paraId="5B5A083E" w14:textId="77777777">
      <w:pPr>
        <w:pStyle w:val="Res-Caption"/>
        <w:rPr>
          <w:rFonts w:ascii="Palatino Linotype" w:hAnsi="Palatino Linotype"/>
        </w:rPr>
      </w:pPr>
    </w:p>
    <w:p w:rsidR="00F51F8B" w:rsidRDefault="00F51F8B" w14:paraId="27FB173B" w14:textId="77777777">
      <w:pPr>
        <w:pStyle w:val="Res-Caption"/>
      </w:pPr>
      <w:r w:rsidRPr="00F51F8B">
        <w:t>SAFETY CONSIDERATIONS:</w:t>
      </w:r>
    </w:p>
    <w:p w:rsidRPr="00C766F2" w:rsidR="00C766F2" w:rsidP="00C766F2" w:rsidRDefault="00C766F2" w14:paraId="1B565282" w14:textId="77777777">
      <w:pPr>
        <w:pStyle w:val="ListParagraph"/>
        <w:numPr>
          <w:ilvl w:val="0"/>
          <w:numId w:val="6"/>
        </w:numPr>
      </w:pPr>
      <w:r w:rsidRPr="00C766F2">
        <w:t>There are no safety considerations associated with this resolution.</w:t>
      </w:r>
    </w:p>
    <w:p w:rsidR="00801D70" w:rsidRDefault="00801D70" w14:paraId="2A9D8ED2" w14:textId="77777777">
      <w:pPr>
        <w:pStyle w:val="Res-Caption"/>
        <w:rPr>
          <w:rFonts w:ascii="Palatino Linotype" w:hAnsi="Palatino Linotype"/>
        </w:rPr>
      </w:pPr>
    </w:p>
    <w:p w:rsidR="00801D70" w:rsidRDefault="00801D70" w14:paraId="797CCE20" w14:textId="77777777">
      <w:pPr>
        <w:pStyle w:val="Res-Caption"/>
        <w:rPr>
          <w:rFonts w:ascii="Palatino Linotype" w:hAnsi="Palatino Linotype"/>
        </w:rPr>
      </w:pPr>
      <w:r w:rsidRPr="006B05EE">
        <w:t>ESTIMATED COST</w:t>
      </w:r>
      <w:r>
        <w:rPr>
          <w:rFonts w:ascii="Palatino Linotype" w:hAnsi="Palatino Linotype"/>
        </w:rPr>
        <w:t xml:space="preserve">:  </w:t>
      </w:r>
    </w:p>
    <w:p w:rsidR="003F6E5A" w:rsidP="003F6E5A" w:rsidRDefault="009E5D21" w14:paraId="43FC9889" w14:textId="7A8446DB">
      <w:pPr>
        <w:pStyle w:val="Res-Caption"/>
        <w:numPr>
          <w:ilvl w:val="0"/>
          <w:numId w:val="6"/>
        </w:numPr>
      </w:pPr>
      <w:r>
        <w:t xml:space="preserve">This Resolution is expected to reduce </w:t>
      </w:r>
      <w:r w:rsidR="00C572C8">
        <w:t>costs for</w:t>
      </w:r>
      <w:r>
        <w:t xml:space="preserve"> </w:t>
      </w:r>
      <w:r w:rsidR="00D606F1">
        <w:t>SDG&amp;E</w:t>
      </w:r>
      <w:r w:rsidR="00C572C8">
        <w:t>’s</w:t>
      </w:r>
      <w:r w:rsidR="00D606F1">
        <w:t xml:space="preserve"> </w:t>
      </w:r>
      <w:r>
        <w:t xml:space="preserve">ratepayers </w:t>
      </w:r>
      <w:r w:rsidR="00D606F1">
        <w:t xml:space="preserve">by a combined $29.5 million </w:t>
      </w:r>
      <w:r w:rsidR="00C572C8">
        <w:t xml:space="preserve">from PTY </w:t>
      </w:r>
      <w:r w:rsidR="00D606F1">
        <w:t>2020</w:t>
      </w:r>
      <w:r w:rsidR="00C572C8">
        <w:t xml:space="preserve"> through PTY </w:t>
      </w:r>
      <w:r w:rsidR="00D606F1">
        <w:t xml:space="preserve">2022.  </w:t>
      </w:r>
    </w:p>
    <w:p w:rsidR="00CF17DE" w:rsidRDefault="00CF17DE" w14:paraId="31BCB5C2" w14:textId="77777777">
      <w:pPr>
        <w:pStyle w:val="Res-Caption"/>
      </w:pPr>
    </w:p>
    <w:p w:rsidR="00CF17DE" w:rsidRDefault="00CF17DE" w14:paraId="2F95957D" w14:textId="3D5DF611">
      <w:pPr>
        <w:pStyle w:val="Res-Caption"/>
      </w:pPr>
      <w:r>
        <w:t xml:space="preserve">By Advice Letter </w:t>
      </w:r>
      <w:r w:rsidR="00D606F1">
        <w:t>3488</w:t>
      </w:r>
      <w:r>
        <w:t>-E</w:t>
      </w:r>
      <w:r w:rsidR="003F6E5A">
        <w:t>,</w:t>
      </w:r>
      <w:r>
        <w:t xml:space="preserve"> </w:t>
      </w:r>
      <w:r w:rsidR="00D606F1">
        <w:t>f</w:t>
      </w:r>
      <w:r>
        <w:t xml:space="preserve">iled on </w:t>
      </w:r>
      <w:r w:rsidR="00D606F1">
        <w:t>December 30, 2019</w:t>
      </w:r>
      <w:r>
        <w:t xml:space="preserve">. </w:t>
      </w:r>
    </w:p>
    <w:p w:rsidR="00CF17DE" w:rsidRDefault="00CF17DE" w14:paraId="1894B73A" w14:textId="77777777">
      <w:pPr>
        <w:jc w:val="center"/>
      </w:pPr>
      <w:r>
        <w:t>__________________________________________________________</w:t>
      </w:r>
    </w:p>
    <w:p w:rsidR="00CF17DE" w:rsidRDefault="00CF17DE" w14:paraId="1C45E53E" w14:textId="77777777">
      <w:pPr>
        <w:rPr>
          <w:b/>
        </w:rPr>
      </w:pPr>
    </w:p>
    <w:p w:rsidR="00CF17DE" w:rsidRDefault="00CF17DE" w14:paraId="407845B4" w14:textId="77777777">
      <w:pPr>
        <w:pStyle w:val="Heading1"/>
      </w:pPr>
      <w:r>
        <w:t>Summary</w:t>
      </w:r>
      <w:bookmarkEnd w:id="0"/>
    </w:p>
    <w:p w:rsidR="00CF17DE" w:rsidRDefault="00CF17DE" w14:paraId="6116DD7C" w14:textId="278BCFCE">
      <w:r>
        <w:t>This Resolutio</w:t>
      </w:r>
      <w:r w:rsidR="00BF13A2">
        <w:t xml:space="preserve">n approves, without modification, SDG&amp;E’s </w:t>
      </w:r>
      <w:r w:rsidR="00804A9C">
        <w:t xml:space="preserve">Tier 3 </w:t>
      </w:r>
      <w:r w:rsidR="00D9645F">
        <w:t xml:space="preserve">Advice Letter (AL) 3488-E and </w:t>
      </w:r>
      <w:r w:rsidRPr="00794FB4" w:rsidR="00D9645F">
        <w:t>supplemental</w:t>
      </w:r>
      <w:r w:rsidR="00794FB4">
        <w:t xml:space="preserve"> 3488-E-A</w:t>
      </w:r>
      <w:r w:rsidR="00906DF0">
        <w:t>, requesting to reduce PTY revenue requirements by</w:t>
      </w:r>
      <w:r w:rsidR="00AA5AD2">
        <w:t xml:space="preserve"> $8.3 million in 2020, $10.9 million in 2021 and $10.3 million in 2022.  SDG&amp;E filed AL 3488-E pursuant to Or</w:t>
      </w:r>
      <w:r w:rsidR="007F599A">
        <w:t>dering Paragraph 6 of Decision (D).19-09-051.</w:t>
      </w:r>
    </w:p>
    <w:p w:rsidR="00CF17DE" w:rsidRDefault="00CF17DE" w14:paraId="453BC8BF" w14:textId="77777777"/>
    <w:p w:rsidR="005C47DE" w:rsidP="005C47DE" w:rsidRDefault="00CF17DE" w14:paraId="72469D80" w14:textId="45D7D207">
      <w:pPr>
        <w:pStyle w:val="Heading1"/>
      </w:pPr>
      <w:r>
        <w:lastRenderedPageBreak/>
        <w:t>Background</w:t>
      </w:r>
    </w:p>
    <w:p w:rsidR="009119EC" w:rsidP="005C47DE" w:rsidRDefault="009119EC" w14:paraId="2684E88D" w14:textId="0EDE3F09">
      <w:pPr>
        <w:pStyle w:val="standard"/>
        <w:spacing w:line="240" w:lineRule="auto"/>
        <w:ind w:firstLine="0"/>
      </w:pPr>
      <w:r>
        <w:t>On October 6, 2017, SDG&amp;E filed its Test Year 2019 General Rate Case (GRC) Application (A.)17-10-007.</w:t>
      </w:r>
    </w:p>
    <w:p w:rsidRPr="009119EC" w:rsidR="005C47DE" w:rsidP="005C47DE" w:rsidRDefault="005C47DE" w14:paraId="7F24E7A6" w14:textId="77777777">
      <w:pPr>
        <w:pStyle w:val="standard"/>
        <w:spacing w:line="240" w:lineRule="auto"/>
        <w:ind w:firstLine="0"/>
      </w:pPr>
    </w:p>
    <w:p w:rsidR="00846F56" w:rsidRDefault="00093DB2" w14:paraId="4EA4F210" w14:textId="4FEE9D3A">
      <w:pPr>
        <w:rPr>
          <w:bCs/>
        </w:rPr>
      </w:pPr>
      <w:r>
        <w:rPr>
          <w:bCs/>
        </w:rPr>
        <w:t xml:space="preserve">On July 12, 2019, </w:t>
      </w:r>
      <w:r w:rsidR="008E4B57">
        <w:rPr>
          <w:bCs/>
        </w:rPr>
        <w:t>Assembly Bill (AB) 1054 was signed into law.  AB 1054 includes</w:t>
      </w:r>
      <w:r w:rsidR="009724EE">
        <w:rPr>
          <w:bCs/>
        </w:rPr>
        <w:t xml:space="preserve"> </w:t>
      </w:r>
      <w:r>
        <w:rPr>
          <w:bCs/>
        </w:rPr>
        <w:t>a</w:t>
      </w:r>
      <w:r w:rsidR="009119EC">
        <w:rPr>
          <w:bCs/>
        </w:rPr>
        <w:t xml:space="preserve"> provision</w:t>
      </w:r>
      <w:r>
        <w:rPr>
          <w:bCs/>
        </w:rPr>
        <w:t xml:space="preserve"> requi</w:t>
      </w:r>
      <w:r w:rsidR="009119EC">
        <w:rPr>
          <w:bCs/>
        </w:rPr>
        <w:t>ring</w:t>
      </w:r>
      <w:r>
        <w:rPr>
          <w:bCs/>
        </w:rPr>
        <w:t xml:space="preserve"> </w:t>
      </w:r>
      <w:r w:rsidR="008E4B57">
        <w:rPr>
          <w:bCs/>
        </w:rPr>
        <w:t xml:space="preserve">that the </w:t>
      </w:r>
      <w:r w:rsidR="00A5699C">
        <w:rPr>
          <w:bCs/>
        </w:rPr>
        <w:t xml:space="preserve">California Public Utilities </w:t>
      </w:r>
      <w:r w:rsidR="008E4B57">
        <w:rPr>
          <w:bCs/>
        </w:rPr>
        <w:t>Commission</w:t>
      </w:r>
      <w:r w:rsidR="00A5699C">
        <w:rPr>
          <w:bCs/>
        </w:rPr>
        <w:t xml:space="preserve"> (CPUC)</w:t>
      </w:r>
      <w:r w:rsidR="008E4B57">
        <w:rPr>
          <w:bCs/>
        </w:rPr>
        <w:t xml:space="preserve"> </w:t>
      </w:r>
      <w:r>
        <w:rPr>
          <w:bCs/>
        </w:rPr>
        <w:t>exclude</w:t>
      </w:r>
      <w:r w:rsidR="009724EE">
        <w:rPr>
          <w:bCs/>
        </w:rPr>
        <w:t>s</w:t>
      </w:r>
      <w:r>
        <w:rPr>
          <w:bCs/>
        </w:rPr>
        <w:t xml:space="preserve"> </w:t>
      </w:r>
      <w:r w:rsidR="008E4B57">
        <w:rPr>
          <w:bCs/>
        </w:rPr>
        <w:t xml:space="preserve">the first $5 billion of </w:t>
      </w:r>
      <w:r w:rsidR="00207E34">
        <w:rPr>
          <w:bCs/>
        </w:rPr>
        <w:t xml:space="preserve">aggregate </w:t>
      </w:r>
      <w:r>
        <w:rPr>
          <w:bCs/>
        </w:rPr>
        <w:t xml:space="preserve">wildfire mitigation </w:t>
      </w:r>
      <w:r w:rsidR="008E4B57">
        <w:rPr>
          <w:bCs/>
        </w:rPr>
        <w:t>ca</w:t>
      </w:r>
      <w:r w:rsidR="009119EC">
        <w:rPr>
          <w:bCs/>
        </w:rPr>
        <w:t>pi</w:t>
      </w:r>
      <w:r w:rsidR="008E4B57">
        <w:rPr>
          <w:bCs/>
        </w:rPr>
        <w:t>tal expenditures from equity rate base</w:t>
      </w:r>
      <w:r w:rsidR="00846F56">
        <w:rPr>
          <w:bCs/>
        </w:rPr>
        <w:t xml:space="preserve"> for the three large electric investor-owned utilities</w:t>
      </w:r>
      <w:r w:rsidR="009724EE">
        <w:rPr>
          <w:bCs/>
        </w:rPr>
        <w:t>.</w:t>
      </w:r>
      <w:r w:rsidR="008E4B57">
        <w:rPr>
          <w:rStyle w:val="FootnoteReference"/>
          <w:bCs/>
        </w:rPr>
        <w:footnoteReference w:id="2"/>
      </w:r>
      <w:r w:rsidR="008E4B57">
        <w:rPr>
          <w:bCs/>
        </w:rPr>
        <w:t xml:space="preserve">  </w:t>
      </w:r>
    </w:p>
    <w:p w:rsidR="00846F56" w:rsidRDefault="00846F56" w14:paraId="483871B3" w14:textId="77777777">
      <w:pPr>
        <w:rPr>
          <w:bCs/>
        </w:rPr>
      </w:pPr>
    </w:p>
    <w:p w:rsidR="005C47DE" w:rsidP="005C47DE" w:rsidRDefault="00093DB2" w14:paraId="38911FB4" w14:textId="7BC63348">
      <w:pPr>
        <w:rPr>
          <w:bCs/>
        </w:rPr>
      </w:pPr>
      <w:r>
        <w:rPr>
          <w:bCs/>
        </w:rPr>
        <w:t>On October 1, 2019, the C</w:t>
      </w:r>
      <w:r w:rsidR="001D5B37">
        <w:rPr>
          <w:bCs/>
        </w:rPr>
        <w:t>PUC</w:t>
      </w:r>
      <w:r>
        <w:rPr>
          <w:bCs/>
        </w:rPr>
        <w:t xml:space="preserve"> issued </w:t>
      </w:r>
      <w:r w:rsidR="008E4B57">
        <w:rPr>
          <w:bCs/>
        </w:rPr>
        <w:t>SDG&amp;E</w:t>
      </w:r>
      <w:r w:rsidR="00624761">
        <w:rPr>
          <w:bCs/>
        </w:rPr>
        <w:t xml:space="preserve"> </w:t>
      </w:r>
      <w:r w:rsidR="008E4B57">
        <w:rPr>
          <w:bCs/>
        </w:rPr>
        <w:t xml:space="preserve">GRC </w:t>
      </w:r>
      <w:r w:rsidR="00624761">
        <w:rPr>
          <w:bCs/>
        </w:rPr>
        <w:t>D.</w:t>
      </w:r>
      <w:r w:rsidR="008E4B57">
        <w:rPr>
          <w:bCs/>
        </w:rPr>
        <w:t>19-0</w:t>
      </w:r>
      <w:r w:rsidR="0022197B">
        <w:rPr>
          <w:bCs/>
        </w:rPr>
        <w:t>9-051</w:t>
      </w:r>
      <w:r w:rsidR="00B01ECF">
        <w:rPr>
          <w:bCs/>
        </w:rPr>
        <w:t>that</w:t>
      </w:r>
      <w:r>
        <w:rPr>
          <w:bCs/>
        </w:rPr>
        <w:t xml:space="preserve"> </w:t>
      </w:r>
      <w:r w:rsidR="008E4B57">
        <w:rPr>
          <w:bCs/>
        </w:rPr>
        <w:t>includes Ordering Paragraph 6</w:t>
      </w:r>
      <w:r>
        <w:rPr>
          <w:bCs/>
        </w:rPr>
        <w:t xml:space="preserve"> </w:t>
      </w:r>
      <w:r w:rsidR="00624761">
        <w:rPr>
          <w:bCs/>
        </w:rPr>
        <w:t>directing</w:t>
      </w:r>
      <w:r w:rsidR="005C47DE">
        <w:rPr>
          <w:bCs/>
        </w:rPr>
        <w:t xml:space="preserve">: </w:t>
      </w:r>
    </w:p>
    <w:p w:rsidRPr="005C47DE" w:rsidR="008E4B57" w:rsidP="005C47DE" w:rsidRDefault="008E4B57" w14:paraId="2AB93E5D" w14:textId="11EFD37D">
      <w:pPr>
        <w:ind w:left="720"/>
        <w:rPr>
          <w:bCs/>
          <w:i/>
          <w:iCs/>
        </w:rPr>
      </w:pPr>
      <w:r w:rsidRPr="005C47DE">
        <w:rPr>
          <w:bCs/>
          <w:i/>
          <w:iCs/>
        </w:rPr>
        <w:t>“</w:t>
      </w:r>
      <w:r w:rsidRPr="005C47DE" w:rsidR="005C47DE">
        <w:rPr>
          <w:bCs/>
          <w:i/>
          <w:iCs/>
        </w:rPr>
        <w:t>…</w:t>
      </w:r>
      <w:r w:rsidRPr="005C47DE" w:rsidR="00846F56">
        <w:rPr>
          <w:bCs/>
          <w:i/>
          <w:iCs/>
        </w:rPr>
        <w:t>SDG&amp;E shall file a Tier 3 Advice Letter concurrent with its year-end adjustment filing for 2019, providing a detailed explanation and showing of the revenue requirement</w:t>
      </w:r>
      <w:r w:rsidRPr="005C47DE" w:rsidR="003702DF">
        <w:rPr>
          <w:bCs/>
          <w:i/>
          <w:iCs/>
        </w:rPr>
        <w:t xml:space="preserve"> impact of the Public Utilities Code section 8386.3(e) equity rate base exclusion when it makes its annual PTY revenue requirement implementation filings.”</w:t>
      </w:r>
    </w:p>
    <w:p w:rsidR="00093DB2" w:rsidP="00093DB2" w:rsidRDefault="00093DB2" w14:paraId="729973DA" w14:textId="77777777">
      <w:pPr>
        <w:rPr>
          <w:bCs/>
        </w:rPr>
      </w:pPr>
    </w:p>
    <w:p w:rsidR="008E4B57" w:rsidP="008E4B57" w:rsidRDefault="00093DB2" w14:paraId="3056C26E" w14:textId="39AFE036">
      <w:pPr>
        <w:rPr>
          <w:bCs/>
        </w:rPr>
      </w:pPr>
      <w:r>
        <w:rPr>
          <w:bCs/>
        </w:rPr>
        <w:t xml:space="preserve">On December 30, 2019, </w:t>
      </w:r>
      <w:r w:rsidRPr="00D258A2" w:rsidR="00D258A2">
        <w:rPr>
          <w:bCs/>
        </w:rPr>
        <w:t xml:space="preserve">SDG&amp;E filed </w:t>
      </w:r>
      <w:r w:rsidR="000E6DB6">
        <w:rPr>
          <w:bCs/>
        </w:rPr>
        <w:t xml:space="preserve">Tier 3 </w:t>
      </w:r>
      <w:r w:rsidRPr="00D258A2" w:rsidR="00D258A2">
        <w:rPr>
          <w:bCs/>
        </w:rPr>
        <w:t>AL 3488-E reducing PTY revenue requirements by $8.3 million in 2020, $10.9 million in 2021 and $10.3 million in 2022</w:t>
      </w:r>
      <w:r w:rsidR="00D258A2">
        <w:rPr>
          <w:bCs/>
        </w:rPr>
        <w:t xml:space="preserve"> in compliance wit</w:t>
      </w:r>
      <w:r>
        <w:rPr>
          <w:bCs/>
        </w:rPr>
        <w:t>h OP 6 of D. 19-09-051</w:t>
      </w:r>
      <w:r w:rsidR="00D258A2">
        <w:rPr>
          <w:bCs/>
        </w:rPr>
        <w:t>.</w:t>
      </w:r>
      <w:r>
        <w:rPr>
          <w:bCs/>
        </w:rPr>
        <w:t xml:space="preserve"> </w:t>
      </w:r>
    </w:p>
    <w:p w:rsidR="00794FB4" w:rsidP="008E4B57" w:rsidRDefault="00794FB4" w14:paraId="2B39514F" w14:textId="50F1076F">
      <w:pPr>
        <w:rPr>
          <w:bCs/>
        </w:rPr>
      </w:pPr>
    </w:p>
    <w:p w:rsidR="00794FB4" w:rsidP="008E4B57" w:rsidRDefault="00794FB4" w14:paraId="49B70EF5" w14:textId="0B7B0DED">
      <w:pPr>
        <w:rPr>
          <w:bCs/>
        </w:rPr>
      </w:pPr>
      <w:r>
        <w:rPr>
          <w:bCs/>
        </w:rPr>
        <w:t>On March 4, 2020, SDG&amp;E filed supplemental AL 3488-E-A clarifying the timing of the $8.3 million refund for PTY 2020, stating</w:t>
      </w:r>
      <w:r w:rsidR="00FF6699">
        <w:rPr>
          <w:bCs/>
        </w:rPr>
        <w:t xml:space="preserve"> that</w:t>
      </w:r>
      <w:r>
        <w:rPr>
          <w:bCs/>
        </w:rPr>
        <w:t xml:space="preserve"> implementation would occur via electric distribution rates at SDG&amp;E’s next revenue requirement change, either at April 1, 2020</w:t>
      </w:r>
      <w:r w:rsidR="00FF6699">
        <w:rPr>
          <w:bCs/>
        </w:rPr>
        <w:t>,</w:t>
      </w:r>
      <w:r>
        <w:rPr>
          <w:bCs/>
        </w:rPr>
        <w:t xml:space="preserve"> or at the year-end rate change </w:t>
      </w:r>
      <w:r w:rsidR="008B1ECF">
        <w:rPr>
          <w:bCs/>
        </w:rPr>
        <w:t xml:space="preserve">scheduled for </w:t>
      </w:r>
      <w:r w:rsidR="00C766F2">
        <w:rPr>
          <w:bCs/>
        </w:rPr>
        <w:br/>
      </w:r>
      <w:r>
        <w:rPr>
          <w:bCs/>
        </w:rPr>
        <w:t>January 1, 2021.</w:t>
      </w:r>
      <w:r w:rsidR="008B1ECF">
        <w:rPr>
          <w:rStyle w:val="FootnoteReference"/>
          <w:bCs/>
        </w:rPr>
        <w:footnoteReference w:id="3"/>
      </w:r>
      <w:r>
        <w:rPr>
          <w:bCs/>
        </w:rPr>
        <w:t xml:space="preserve"> </w:t>
      </w:r>
    </w:p>
    <w:p w:rsidR="00CB1C6F" w:rsidP="008E4B57" w:rsidRDefault="00CB1C6F" w14:paraId="459E4870" w14:textId="644DCB59">
      <w:pPr>
        <w:rPr>
          <w:bCs/>
        </w:rPr>
      </w:pPr>
    </w:p>
    <w:p w:rsidRPr="00330F3E" w:rsidR="00330F3E" w:rsidP="00330F3E" w:rsidRDefault="00330F3E" w14:paraId="36B1B0B5" w14:textId="74D18049">
      <w:pPr>
        <w:rPr>
          <w:bCs/>
        </w:rPr>
      </w:pPr>
      <w:r w:rsidRPr="00330F3E">
        <w:rPr>
          <w:bCs/>
        </w:rPr>
        <w:t xml:space="preserve">On </w:t>
      </w:r>
      <w:r>
        <w:rPr>
          <w:bCs/>
        </w:rPr>
        <w:t>March 23</w:t>
      </w:r>
      <w:r w:rsidRPr="00330F3E">
        <w:rPr>
          <w:bCs/>
        </w:rPr>
        <w:t>, 20</w:t>
      </w:r>
      <w:r>
        <w:rPr>
          <w:bCs/>
        </w:rPr>
        <w:t>20, the</w:t>
      </w:r>
      <w:r w:rsidRPr="00330F3E">
        <w:rPr>
          <w:bCs/>
        </w:rPr>
        <w:t xml:space="preserve"> </w:t>
      </w:r>
      <w:r>
        <w:rPr>
          <w:bCs/>
        </w:rPr>
        <w:t>Protect Our Communities Foundation (POC)</w:t>
      </w:r>
      <w:r w:rsidRPr="00330F3E">
        <w:rPr>
          <w:bCs/>
        </w:rPr>
        <w:t xml:space="preserve">, filed a protest to </w:t>
      </w:r>
      <w:r>
        <w:rPr>
          <w:bCs/>
        </w:rPr>
        <w:t xml:space="preserve">supplemental </w:t>
      </w:r>
      <w:r w:rsidRPr="00330F3E">
        <w:rPr>
          <w:bCs/>
        </w:rPr>
        <w:t xml:space="preserve">Advice Letter </w:t>
      </w:r>
      <w:r>
        <w:rPr>
          <w:bCs/>
        </w:rPr>
        <w:t>3488</w:t>
      </w:r>
      <w:r w:rsidRPr="00330F3E">
        <w:rPr>
          <w:bCs/>
        </w:rPr>
        <w:t>-E</w:t>
      </w:r>
      <w:r>
        <w:rPr>
          <w:bCs/>
        </w:rPr>
        <w:t>-A.</w:t>
      </w:r>
      <w:r w:rsidRPr="00330F3E">
        <w:rPr>
          <w:bCs/>
        </w:rPr>
        <w:t xml:space="preserve">  </w:t>
      </w:r>
      <w:r>
        <w:rPr>
          <w:bCs/>
        </w:rPr>
        <w:t>SDG&amp;E</w:t>
      </w:r>
      <w:r w:rsidRPr="00330F3E">
        <w:rPr>
          <w:bCs/>
        </w:rPr>
        <w:t xml:space="preserve"> </w:t>
      </w:r>
      <w:r w:rsidR="00F272D8">
        <w:rPr>
          <w:bCs/>
        </w:rPr>
        <w:t>replied to</w:t>
      </w:r>
      <w:r w:rsidRPr="00330F3E">
        <w:rPr>
          <w:bCs/>
        </w:rPr>
        <w:t xml:space="preserve"> the protest on </w:t>
      </w:r>
      <w:r>
        <w:rPr>
          <w:bCs/>
        </w:rPr>
        <w:t>March 30,</w:t>
      </w:r>
      <w:r w:rsidR="008B03E3">
        <w:rPr>
          <w:bCs/>
        </w:rPr>
        <w:t xml:space="preserve"> </w:t>
      </w:r>
      <w:r>
        <w:rPr>
          <w:bCs/>
        </w:rPr>
        <w:t>2020</w:t>
      </w:r>
      <w:r w:rsidRPr="00330F3E">
        <w:rPr>
          <w:bCs/>
        </w:rPr>
        <w:t>.</w:t>
      </w:r>
    </w:p>
    <w:p w:rsidR="00813C81" w:rsidP="008E4B57" w:rsidRDefault="00813C81" w14:paraId="2687B0D5" w14:textId="77777777">
      <w:pPr>
        <w:rPr>
          <w:bCs/>
        </w:rPr>
      </w:pPr>
    </w:p>
    <w:p w:rsidR="00CF17DE" w:rsidRDefault="00394B3A" w14:paraId="364F0E0C" w14:textId="77777777">
      <w:pPr>
        <w:pStyle w:val="Heading1"/>
      </w:pPr>
      <w:r>
        <w:t>Notice</w:t>
      </w:r>
    </w:p>
    <w:p w:rsidR="00813C81" w:rsidRDefault="00CF17DE" w14:paraId="5B582ACD" w14:textId="0C828B98">
      <w:r>
        <w:t xml:space="preserve">Notice of AL </w:t>
      </w:r>
      <w:r w:rsidR="008E4B57">
        <w:t xml:space="preserve">3488-E </w:t>
      </w:r>
      <w:r>
        <w:t xml:space="preserve">was made by publication in the Commission’s Daily Calendar.  </w:t>
      </w:r>
      <w:r w:rsidR="008E4B57">
        <w:t xml:space="preserve">SDG&amp;E </w:t>
      </w:r>
      <w:r>
        <w:t>states that a copy of the Advice Letter was mailed and distributed in accordance with Sec</w:t>
      </w:r>
      <w:r w:rsidR="00A1526C">
        <w:t xml:space="preserve">tion </w:t>
      </w:r>
      <w:r w:rsidR="0069631C">
        <w:t>4</w:t>
      </w:r>
      <w:r w:rsidR="00E928CF">
        <w:t xml:space="preserve"> of General Order 96-B</w:t>
      </w:r>
      <w:r>
        <w:t xml:space="preserve">. </w:t>
      </w:r>
    </w:p>
    <w:p w:rsidR="00CF17DE" w:rsidRDefault="00CF17DE" w14:paraId="3ADC4BBA" w14:textId="77777777">
      <w:pPr>
        <w:pStyle w:val="Heading1"/>
      </w:pPr>
      <w:r>
        <w:lastRenderedPageBreak/>
        <w:t>Protests</w:t>
      </w:r>
    </w:p>
    <w:p w:rsidR="00CF17DE" w:rsidRDefault="00054DF9" w14:paraId="3051EAB3" w14:textId="0AD1E749">
      <w:r>
        <w:t xml:space="preserve">On March 23, 2020, the Protect Our Communities Foundation (POC) filed a timely protest </w:t>
      </w:r>
      <w:r w:rsidR="00593FFC">
        <w:t xml:space="preserve">(Protest) </w:t>
      </w:r>
      <w:r>
        <w:t xml:space="preserve">to </w:t>
      </w:r>
      <w:r w:rsidR="00593FFC">
        <w:t xml:space="preserve">SDG&amp;E </w:t>
      </w:r>
      <w:r w:rsidR="007C6911">
        <w:t xml:space="preserve">supplemental </w:t>
      </w:r>
      <w:r w:rsidR="00CF17DE">
        <w:t xml:space="preserve">Advice Letter </w:t>
      </w:r>
      <w:r w:rsidR="00CB4750">
        <w:t>3488</w:t>
      </w:r>
      <w:r w:rsidR="00CF17DE">
        <w:t>-</w:t>
      </w:r>
      <w:r w:rsidR="00CB4750">
        <w:t>E</w:t>
      </w:r>
      <w:r w:rsidR="007B01A6">
        <w:t>-A</w:t>
      </w:r>
      <w:r>
        <w:t>.</w:t>
      </w:r>
      <w:r w:rsidR="003110F8">
        <w:t xml:space="preserve">  </w:t>
      </w:r>
      <w:r w:rsidR="00C766F2">
        <w:br/>
      </w:r>
      <w:r w:rsidR="003110F8">
        <w:t>The issues raised in the Protest are discussed below.</w:t>
      </w:r>
    </w:p>
    <w:p w:rsidR="00624761" w:rsidRDefault="00624761" w14:paraId="4B70B4F2" w14:textId="77777777"/>
    <w:p w:rsidR="00CF17DE" w:rsidRDefault="00CF17DE" w14:paraId="128FBB5A" w14:textId="77777777">
      <w:pPr>
        <w:pStyle w:val="Heading1"/>
      </w:pPr>
      <w:r>
        <w:t>Discussion</w:t>
      </w:r>
    </w:p>
    <w:p w:rsidR="00475E4B" w:rsidRDefault="00076D49" w14:paraId="581D047D" w14:textId="61DAE487">
      <w:r>
        <w:t>On July 12, 2019, AB 1054 was signed into law by the Governor of California.  Among its many provisions, AB 1054 added Section 8386.3(e) to the Public Utilities Code</w:t>
      </w:r>
      <w:r w:rsidR="00BC6185">
        <w:t xml:space="preserve"> (PUC)</w:t>
      </w:r>
      <w:r>
        <w:t xml:space="preserve">.  </w:t>
      </w:r>
      <w:bookmarkStart w:name="_Hlk35440793" w:id="2"/>
      <w:r>
        <w:t xml:space="preserve">Section 8386.3(e) states: </w:t>
      </w:r>
    </w:p>
    <w:bookmarkEnd w:id="2"/>
    <w:p w:rsidR="00475E4B" w:rsidRDefault="00475E4B" w14:paraId="39360DC8" w14:textId="77777777"/>
    <w:p w:rsidR="00076D49" w:rsidP="00076D49" w:rsidRDefault="00076D49" w14:paraId="7DCF6CBB" w14:textId="158F38BD">
      <w:pPr>
        <w:ind w:left="720"/>
        <w:rPr>
          <w:i/>
          <w:iCs/>
        </w:rPr>
      </w:pPr>
      <w:r w:rsidRPr="00076D49">
        <w:rPr>
          <w:i/>
          <w:iCs/>
        </w:rPr>
        <w:t xml:space="preserve">The commission shall not allow a large electrical corporation to include in its equity rate base its share, as determined pursuant to the Wildfire Fund allocation metric specified in </w:t>
      </w:r>
      <w:r>
        <w:rPr>
          <w:i/>
          <w:iCs/>
        </w:rPr>
        <w:t>Section 3280, of the first five billion dollars ($5,000,000,000) expended in aggregate by large electrical corporations on fire risk mitigation capital expenditures included in the electrical corporations’ approved wildfire mitigation plans</w:t>
      </w:r>
      <w:bookmarkStart w:name="_Hlk37414990" w:id="3"/>
      <w:r>
        <w:rPr>
          <w:i/>
          <w:iCs/>
        </w:rPr>
        <w:t xml:space="preserve">.  An electrical corporation’s share of the fire risk mitigation capital expenditures and the debt financing costs of these fire risk mitigation capital expenditures may be financed through a financing order pursuant to Section 851, subject to the requirements of that financing order. </w:t>
      </w:r>
      <w:bookmarkEnd w:id="3"/>
    </w:p>
    <w:p w:rsidR="000F3E3E" w:rsidP="000F3E3E" w:rsidRDefault="000F3E3E" w14:paraId="07E13D13" w14:textId="66F0C364"/>
    <w:p w:rsidR="00E07802" w:rsidP="000F3E3E" w:rsidRDefault="00DB0AE9" w14:paraId="6CFB2B15" w14:textId="5A839C7F">
      <w:r>
        <w:t>E</w:t>
      </w:r>
      <w:r w:rsidRPr="00591C97" w:rsidR="00591C97">
        <w:t>xclud</w:t>
      </w:r>
      <w:r>
        <w:t>ing</w:t>
      </w:r>
      <w:r w:rsidRPr="00591C97" w:rsidR="00591C97">
        <w:t xml:space="preserve"> capital expenditures from equity rate base</w:t>
      </w:r>
      <w:r w:rsidR="003960EA">
        <w:t xml:space="preserve">, as required by </w:t>
      </w:r>
      <w:r w:rsidRPr="003960EA" w:rsidR="003960EA">
        <w:t>Section 8386.3(e)</w:t>
      </w:r>
      <w:r w:rsidR="003960EA">
        <w:t>,</w:t>
      </w:r>
      <w:r w:rsidRPr="003960EA" w:rsidR="003960EA">
        <w:t xml:space="preserve"> </w:t>
      </w:r>
      <w:r w:rsidRPr="00591C97" w:rsidR="00591C97">
        <w:t xml:space="preserve">means that the </w:t>
      </w:r>
      <w:r w:rsidR="00CB77B3">
        <w:t>capital-</w:t>
      </w:r>
      <w:r w:rsidR="00591C97">
        <w:t xml:space="preserve">related </w:t>
      </w:r>
      <w:r w:rsidRPr="00591C97" w:rsidR="00591C97">
        <w:t xml:space="preserve">shareholder </w:t>
      </w:r>
      <w:r w:rsidR="00591C97">
        <w:t>return</w:t>
      </w:r>
      <w:r w:rsidR="007218F3">
        <w:t xml:space="preserve"> on equity (ROE)</w:t>
      </w:r>
      <w:r w:rsidR="00880547">
        <w:t>,</w:t>
      </w:r>
      <w:r w:rsidR="006442B8">
        <w:t xml:space="preserve"> </w:t>
      </w:r>
      <w:r w:rsidRPr="00591C97" w:rsidR="00591C97">
        <w:t xml:space="preserve">(and </w:t>
      </w:r>
      <w:r w:rsidR="00591C97">
        <w:t>associated</w:t>
      </w:r>
      <w:r w:rsidRPr="00591C97" w:rsidR="00591C97">
        <w:t xml:space="preserve"> income taxes) </w:t>
      </w:r>
      <w:r w:rsidR="006442B8">
        <w:t xml:space="preserve">is </w:t>
      </w:r>
      <w:r w:rsidRPr="00591C97" w:rsidR="00591C97">
        <w:t xml:space="preserve">removed from the </w:t>
      </w:r>
      <w:r w:rsidR="000A6D3B">
        <w:t>utility</w:t>
      </w:r>
      <w:r w:rsidR="00AF77E7">
        <w:t>’s</w:t>
      </w:r>
      <w:r w:rsidR="000A6D3B">
        <w:t xml:space="preserve"> </w:t>
      </w:r>
      <w:r w:rsidRPr="00591C97" w:rsidR="00591C97">
        <w:t>revenue requirement and replaced</w:t>
      </w:r>
      <w:r w:rsidR="006442B8">
        <w:t xml:space="preserve"> </w:t>
      </w:r>
      <w:r w:rsidRPr="00591C97" w:rsidR="00591C97">
        <w:t>with less costly debt financing</w:t>
      </w:r>
      <w:r w:rsidR="00AF77E7">
        <w:t>.</w:t>
      </w:r>
      <w:r w:rsidR="00E14095">
        <w:t xml:space="preserve"> </w:t>
      </w:r>
      <w:r w:rsidR="00B03C9F">
        <w:t xml:space="preserve"> </w:t>
      </w:r>
      <w:r w:rsidRPr="00E07802" w:rsidR="00E07802">
        <w:t xml:space="preserve">As a result, implementing the Section 8386.3(e) capital exclusion from equity rate base saves </w:t>
      </w:r>
      <w:r w:rsidR="007218F3">
        <w:t xml:space="preserve">utility </w:t>
      </w:r>
      <w:r w:rsidRPr="00E07802" w:rsidR="00E07802">
        <w:t>ratepayers money by reducing financing costs in rates.</w:t>
      </w:r>
    </w:p>
    <w:p w:rsidR="00E07802" w:rsidP="000F3E3E" w:rsidRDefault="00E07802" w14:paraId="6A81B0DD" w14:textId="77777777"/>
    <w:p w:rsidR="003D5B48" w:rsidP="000F3E3E" w:rsidRDefault="000A6D3B" w14:paraId="2B9514B2" w14:textId="543D638E">
      <w:r>
        <w:t>F</w:t>
      </w:r>
      <w:r w:rsidRPr="003D5B48" w:rsidR="003D5B48">
        <w:t xml:space="preserve">inancing capital </w:t>
      </w:r>
      <w:r w:rsidR="003D5B48">
        <w:t xml:space="preserve">expenditures </w:t>
      </w:r>
      <w:r w:rsidRPr="003D5B48" w:rsidR="003D5B48">
        <w:t>with debt is less expensive than</w:t>
      </w:r>
      <w:r w:rsidR="003960EA">
        <w:t xml:space="preserve"> financing with</w:t>
      </w:r>
      <w:r w:rsidRPr="003D5B48" w:rsidR="003D5B48">
        <w:t xml:space="preserve"> equity</w:t>
      </w:r>
      <w:r w:rsidR="001E6E72">
        <w:t>,</w:t>
      </w:r>
      <w:r w:rsidR="00CB77B3">
        <w:t xml:space="preserve"> because debt is viewed</w:t>
      </w:r>
      <w:r w:rsidR="00041136">
        <w:t xml:space="preserve"> as</w:t>
      </w:r>
      <w:r w:rsidR="00CB77B3">
        <w:t xml:space="preserve"> less risky by investors and th</w:t>
      </w:r>
      <w:r w:rsidR="00C052E6">
        <w:t>us</w:t>
      </w:r>
      <w:r w:rsidR="00CB77B3">
        <w:t xml:space="preserve"> a lower risk premium is required</w:t>
      </w:r>
      <w:r w:rsidR="00C052E6">
        <w:t xml:space="preserve"> by investors</w:t>
      </w:r>
      <w:r w:rsidR="00B03C9F">
        <w:rPr>
          <w:rStyle w:val="FootnoteReference"/>
        </w:rPr>
        <w:footnoteReference w:id="4"/>
      </w:r>
      <w:r w:rsidR="00CB77B3">
        <w:t xml:space="preserve">.  </w:t>
      </w:r>
      <w:r w:rsidRPr="00B03C9F" w:rsidR="00B03C9F">
        <w:t xml:space="preserve">For example, SDG&amp;E’s </w:t>
      </w:r>
      <w:r w:rsidR="00C71F11">
        <w:t xml:space="preserve">PTY </w:t>
      </w:r>
      <w:r w:rsidRPr="00B03C9F" w:rsidR="00B03C9F">
        <w:t>2020 adopted cost of equity financing is 10.20%</w:t>
      </w:r>
      <w:r w:rsidR="00A15E03">
        <w:t>,</w:t>
      </w:r>
      <w:r w:rsidRPr="00B03C9F" w:rsidR="00B03C9F">
        <w:t xml:space="preserve"> while SDG&amp;E’s adopted cost of debt financing is 4.59%</w:t>
      </w:r>
      <w:r w:rsidR="00B03C9F">
        <w:rPr>
          <w:rStyle w:val="FootnoteReference"/>
        </w:rPr>
        <w:footnoteReference w:id="5"/>
      </w:r>
      <w:r w:rsidR="00B03C9F">
        <w:t>.</w:t>
      </w:r>
      <w:r w:rsidR="009D7AC3">
        <w:t xml:space="preserve">  </w:t>
      </w:r>
    </w:p>
    <w:p w:rsidR="00C052E6" w:rsidP="000F3E3E" w:rsidRDefault="00C052E6" w14:paraId="3C30A732" w14:textId="77777777"/>
    <w:p w:rsidR="003E67D6" w:rsidP="000F3E3E" w:rsidRDefault="00AF77E7" w14:paraId="72F46A61" w14:textId="06F2739D">
      <w:r>
        <w:lastRenderedPageBreak/>
        <w:t>For ratemaking purposes</w:t>
      </w:r>
      <w:r w:rsidR="00DB0AE9">
        <w:t xml:space="preserve">, </w:t>
      </w:r>
      <w:r w:rsidR="00B0132F">
        <w:t>a</w:t>
      </w:r>
      <w:r>
        <w:t xml:space="preserve"> utility’s </w:t>
      </w:r>
      <w:r w:rsidR="00B0132F">
        <w:t>capital expenditures are</w:t>
      </w:r>
      <w:r w:rsidR="00880547">
        <w:t xml:space="preserve"> </w:t>
      </w:r>
      <w:r w:rsidR="00C86B4D">
        <w:t>accounted for</w:t>
      </w:r>
      <w:r w:rsidR="00B0132F">
        <w:t xml:space="preserve"> in </w:t>
      </w:r>
      <w:r w:rsidR="00C86B4D">
        <w:t>its</w:t>
      </w:r>
      <w:r w:rsidR="006442B8">
        <w:t xml:space="preserve"> </w:t>
      </w:r>
      <w:r w:rsidR="00B0132F">
        <w:t>rate base</w:t>
      </w:r>
      <w:r w:rsidR="00591C97">
        <w:t>, which is financed by a</w:t>
      </w:r>
      <w:r w:rsidR="00880547">
        <w:t xml:space="preserve"> roughly 50/50</w:t>
      </w:r>
      <w:r w:rsidR="00591C97">
        <w:t xml:space="preserve"> mix of debt and equit</w:t>
      </w:r>
      <w:r w:rsidR="00DB0AE9">
        <w:t>y</w:t>
      </w:r>
      <w:r w:rsidR="00880547">
        <w:rPr>
          <w:rStyle w:val="FootnoteReference"/>
        </w:rPr>
        <w:footnoteReference w:id="6"/>
      </w:r>
      <w:r w:rsidR="00DB0AE9">
        <w:t xml:space="preserve">.  </w:t>
      </w:r>
      <w:r w:rsidR="005C77D8">
        <w:t>This mix</w:t>
      </w:r>
      <w:r w:rsidR="00C86B4D">
        <w:t xml:space="preserve">, weighted by the individual </w:t>
      </w:r>
      <w:r w:rsidR="00667DD5">
        <w:t xml:space="preserve">authorized </w:t>
      </w:r>
      <w:r w:rsidR="00C86B4D">
        <w:t>costs of equity and debt,</w:t>
      </w:r>
      <w:r w:rsidR="005C77D8">
        <w:t xml:space="preserve"> results in a ratio </w:t>
      </w:r>
      <w:r w:rsidR="00C12173">
        <w:t>known</w:t>
      </w:r>
      <w:r w:rsidR="005C77D8">
        <w:t xml:space="preserve"> as the rate of return.  SDG&amp;E’s 2020 </w:t>
      </w:r>
      <w:r w:rsidR="00667DD5">
        <w:t xml:space="preserve">Commission-authorized </w:t>
      </w:r>
      <w:r w:rsidR="005C77D8">
        <w:t>rate o</w:t>
      </w:r>
      <w:r w:rsidR="00C12173">
        <w:t>f</w:t>
      </w:r>
      <w:r w:rsidR="005C77D8">
        <w:t xml:space="preserve"> return is 7.55%</w:t>
      </w:r>
      <w:r w:rsidR="00C12173">
        <w:rPr>
          <w:rStyle w:val="FootnoteReference"/>
        </w:rPr>
        <w:footnoteReference w:id="7"/>
      </w:r>
      <w:r w:rsidR="005C77D8">
        <w:t xml:space="preserve">.  </w:t>
      </w:r>
    </w:p>
    <w:p w:rsidR="003E67D6" w:rsidP="000F3E3E" w:rsidRDefault="003E67D6" w14:paraId="52BDB552" w14:textId="77777777"/>
    <w:p w:rsidR="005C77D8" w:rsidP="000F3E3E" w:rsidRDefault="00C12173" w14:paraId="06CFD24C" w14:textId="280E3886">
      <w:r>
        <w:t>The significance of th</w:t>
      </w:r>
      <w:r w:rsidR="00667DD5">
        <w:t>e authorized rate of return</w:t>
      </w:r>
      <w:r>
        <w:t xml:space="preserve"> is that p</w:t>
      </w:r>
      <w:r w:rsidR="005C77D8">
        <w:t>rior to implementation of Section 8386.3(e) SDG&amp;E ratepayers would have been required to f</w:t>
      </w:r>
      <w:r>
        <w:t>inance</w:t>
      </w:r>
      <w:r w:rsidR="005C77D8">
        <w:t xml:space="preserve"> the related capital at 7.55%, plus tax impacts</w:t>
      </w:r>
      <w:r>
        <w:t xml:space="preserve">, however, </w:t>
      </w:r>
      <w:r w:rsidR="005C77D8">
        <w:t xml:space="preserve">after implementation </w:t>
      </w:r>
      <w:r w:rsidRPr="00C86B4D" w:rsidR="00C86B4D">
        <w:t xml:space="preserve">of Section 8386.3(e) </w:t>
      </w:r>
      <w:r w:rsidR="005C77D8">
        <w:t xml:space="preserve">ratepayers will </w:t>
      </w:r>
      <w:r>
        <w:t>finance the related capital</w:t>
      </w:r>
      <w:r w:rsidR="005C77D8">
        <w:t xml:space="preserve"> at the 4.59% cost of debt only</w:t>
      </w:r>
      <w:r w:rsidR="003757FA">
        <w:t xml:space="preserve"> for PTYs 2020-2022</w:t>
      </w:r>
      <w:r w:rsidR="003930CC">
        <w:t xml:space="preserve">.  </w:t>
      </w:r>
    </w:p>
    <w:p w:rsidR="00D65004" w:rsidP="000F3E3E" w:rsidRDefault="00D65004" w14:paraId="06382166" w14:textId="3492825D"/>
    <w:p w:rsidR="009643DD" w:rsidP="000F3E3E" w:rsidRDefault="009643DD" w14:paraId="009C454B" w14:textId="7718BF2B">
      <w:pPr>
        <w:rPr>
          <w:u w:val="single"/>
        </w:rPr>
      </w:pPr>
      <w:r w:rsidRPr="009643DD">
        <w:rPr>
          <w:u w:val="single"/>
        </w:rPr>
        <w:t>SDG&amp;E’s Methodology</w:t>
      </w:r>
    </w:p>
    <w:p w:rsidR="00C9002D" w:rsidP="000F3E3E" w:rsidRDefault="00C9002D" w14:paraId="0B6AC923" w14:textId="1AB30894">
      <w:pPr>
        <w:rPr>
          <w:u w:val="single"/>
        </w:rPr>
      </w:pPr>
    </w:p>
    <w:p w:rsidRPr="009B67D2" w:rsidR="00C9002D" w:rsidP="000F3E3E" w:rsidRDefault="00BC6185" w14:paraId="615CC678" w14:textId="4F3C9E9E">
      <w:r>
        <w:t xml:space="preserve">As referred to in </w:t>
      </w:r>
      <w:r w:rsidRPr="009B67D2" w:rsidR="009B67D2">
        <w:t xml:space="preserve">Section 8386.3(e), </w:t>
      </w:r>
      <w:r w:rsidR="00754B1B">
        <w:t>PUC</w:t>
      </w:r>
      <w:r>
        <w:t xml:space="preserve"> </w:t>
      </w:r>
      <w:r w:rsidRPr="00BC6185" w:rsidR="009B67D2">
        <w:t>Section 3280</w:t>
      </w:r>
      <w:r w:rsidRPr="009B67D2" w:rsidR="009B67D2">
        <w:t xml:space="preserve"> states that SDG&amp;E’s allocation metric is 4.3% of the</w:t>
      </w:r>
      <w:r w:rsidR="003E67D6">
        <w:t xml:space="preserve"> excluded </w:t>
      </w:r>
      <w:r w:rsidRPr="009B67D2" w:rsidR="009B67D2">
        <w:t>$5 billion aggregate</w:t>
      </w:r>
      <w:r w:rsidR="00E91FE2">
        <w:t xml:space="preserve"> large electric corporation</w:t>
      </w:r>
      <w:r w:rsidRPr="009B67D2" w:rsidR="009B67D2">
        <w:t xml:space="preserve"> spending, meaning that </w:t>
      </w:r>
      <w:r w:rsidRPr="009B67D2" w:rsidR="009B67D2">
        <w:rPr>
          <w:u w:val="single"/>
        </w:rPr>
        <w:t>SDG&amp;E is required to exclude $215 million of</w:t>
      </w:r>
      <w:r w:rsidR="00E91FE2">
        <w:rPr>
          <w:u w:val="single"/>
        </w:rPr>
        <w:t xml:space="preserve"> approved</w:t>
      </w:r>
      <w:r w:rsidRPr="009B67D2" w:rsidR="009B67D2">
        <w:rPr>
          <w:u w:val="single"/>
        </w:rPr>
        <w:t xml:space="preserve"> wildfire mitigation plan capital expenditures from equity rate base</w:t>
      </w:r>
      <w:r w:rsidR="009B67D2">
        <w:rPr>
          <w:u w:val="single"/>
        </w:rPr>
        <w:t>.</w:t>
      </w:r>
    </w:p>
    <w:p w:rsidR="009B67D2" w:rsidP="000F3E3E" w:rsidRDefault="009B67D2" w14:paraId="175891DA" w14:textId="3BE00873">
      <w:pPr>
        <w:rPr>
          <w:u w:val="single"/>
        </w:rPr>
      </w:pPr>
    </w:p>
    <w:p w:rsidR="000F6D77" w:rsidP="000F3E3E" w:rsidRDefault="00067D30" w14:paraId="6B191956" w14:textId="5D351CAA">
      <w:r>
        <w:t xml:space="preserve">As set forth in </w:t>
      </w:r>
      <w:r w:rsidR="000F3E3E">
        <w:t>AL 3488-E</w:t>
      </w:r>
      <w:r w:rsidR="004A4432">
        <w:t xml:space="preserve">, </w:t>
      </w:r>
      <w:r w:rsidR="000F6D77">
        <w:t xml:space="preserve">SDG&amp;E’s method for </w:t>
      </w:r>
      <w:r w:rsidR="00C71F11">
        <w:t xml:space="preserve">implementing the requirement of </w:t>
      </w:r>
      <w:r w:rsidR="000F6D77">
        <w:t>Section 8386.3(e) begins</w:t>
      </w:r>
      <w:r w:rsidR="004A4432">
        <w:t xml:space="preserve"> by</w:t>
      </w:r>
      <w:r w:rsidR="000F6D77">
        <w:t xml:space="preserve"> tracking </w:t>
      </w:r>
      <w:r w:rsidR="009643DD">
        <w:t xml:space="preserve">approved </w:t>
      </w:r>
      <w:r w:rsidR="000F6D77">
        <w:t xml:space="preserve">wildfire mitigation capital expenditures as of August 1, 2019, the first month after AB 1054 was signed into law.  </w:t>
      </w:r>
      <w:r w:rsidR="00C9002D">
        <w:t>SDG&amp;E notes t</w:t>
      </w:r>
      <w:r w:rsidR="000F6D77">
        <w:t xml:space="preserve">his is consistent with the application of Section 8386.3(e) </w:t>
      </w:r>
      <w:r w:rsidR="009643DD">
        <w:t xml:space="preserve">proposed by </w:t>
      </w:r>
      <w:r w:rsidR="000F6D77">
        <w:t>the other large electrical corporations.</w:t>
      </w:r>
      <w:r w:rsidR="000F6D77">
        <w:rPr>
          <w:rStyle w:val="FootnoteReference"/>
        </w:rPr>
        <w:footnoteReference w:id="8"/>
      </w:r>
      <w:r w:rsidR="00C71F11">
        <w:t xml:space="preserve">  </w:t>
      </w:r>
    </w:p>
    <w:p w:rsidR="00067D30" w:rsidP="000F3E3E" w:rsidRDefault="00067D30" w14:paraId="69AFB402" w14:textId="77777777"/>
    <w:p w:rsidR="004A1329" w:rsidP="000F3E3E" w:rsidRDefault="003E67D6" w14:paraId="12FEB509" w14:textId="0217095C">
      <w:r>
        <w:t xml:space="preserve">Next, </w:t>
      </w:r>
      <w:r w:rsidR="003E0255">
        <w:t>AL 3488</w:t>
      </w:r>
      <w:r>
        <w:t xml:space="preserve">-E sets forth a schedule of the capital expenditures from 2019 through 2020 and the related capital deployment from PTY 2020 through PTY 2022.  SDG&amp;E then computes the standard revenue requirement using its 7.55% rate of return and compares </w:t>
      </w:r>
      <w:r w:rsidR="00BD052D">
        <w:t xml:space="preserve">it </w:t>
      </w:r>
      <w:r>
        <w:t xml:space="preserve">to the </w:t>
      </w:r>
      <w:r w:rsidR="00BD052D">
        <w:t xml:space="preserve">revenue requirement result </w:t>
      </w:r>
      <w:r>
        <w:t xml:space="preserve">using its 4.59% cost of debt only.  </w:t>
      </w:r>
    </w:p>
    <w:p w:rsidR="0002652B" w:rsidP="000F3E3E" w:rsidRDefault="0002652B" w14:paraId="48CEB469" w14:textId="77777777"/>
    <w:p w:rsidR="00C766F2" w:rsidP="00035209" w:rsidRDefault="00C766F2" w14:paraId="249DE3D2" w14:textId="77777777">
      <w:pPr>
        <w:jc w:val="center"/>
        <w:rPr>
          <w:u w:val="single"/>
        </w:rPr>
      </w:pPr>
    </w:p>
    <w:p w:rsidR="00C766F2" w:rsidP="00035209" w:rsidRDefault="00C766F2" w14:paraId="36B5C469" w14:textId="77777777">
      <w:pPr>
        <w:jc w:val="center"/>
        <w:rPr>
          <w:u w:val="single"/>
        </w:rPr>
      </w:pPr>
    </w:p>
    <w:p w:rsidR="00C766F2" w:rsidP="00035209" w:rsidRDefault="00C766F2" w14:paraId="12EA3392" w14:textId="77777777">
      <w:pPr>
        <w:jc w:val="center"/>
        <w:rPr>
          <w:u w:val="single"/>
        </w:rPr>
      </w:pPr>
    </w:p>
    <w:p w:rsidR="003E67D6" w:rsidP="00035209" w:rsidRDefault="00CD65AA" w14:paraId="771C0E38" w14:textId="763CBB4B">
      <w:pPr>
        <w:jc w:val="center"/>
        <w:rPr>
          <w:u w:val="single"/>
        </w:rPr>
      </w:pPr>
      <w:r w:rsidRPr="00035209">
        <w:rPr>
          <w:u w:val="single"/>
        </w:rPr>
        <w:lastRenderedPageBreak/>
        <w:t>T</w:t>
      </w:r>
      <w:r w:rsidRPr="00035209" w:rsidR="003E67D6">
        <w:rPr>
          <w:u w:val="single"/>
        </w:rPr>
        <w:t>able</w:t>
      </w:r>
      <w:r w:rsidRPr="00035209">
        <w:rPr>
          <w:u w:val="single"/>
        </w:rPr>
        <w:t xml:space="preserve"> 1</w:t>
      </w:r>
      <w:r w:rsidR="00BC1566">
        <w:rPr>
          <w:u w:val="single"/>
        </w:rPr>
        <w:t>:</w:t>
      </w:r>
      <w:r w:rsidRPr="00035209" w:rsidR="003E67D6">
        <w:rPr>
          <w:u w:val="single"/>
        </w:rPr>
        <w:t xml:space="preserve"> from </w:t>
      </w:r>
      <w:r w:rsidR="001E265A">
        <w:rPr>
          <w:u w:val="single"/>
        </w:rPr>
        <w:t xml:space="preserve">SDG&amp;E </w:t>
      </w:r>
      <w:r w:rsidRPr="00035209" w:rsidR="003E67D6">
        <w:rPr>
          <w:u w:val="single"/>
        </w:rPr>
        <w:t>AL 3488-E:</w:t>
      </w:r>
    </w:p>
    <w:p w:rsidR="00A0133B" w:rsidP="00035209" w:rsidRDefault="00A0133B" w14:paraId="5DCB4D36" w14:textId="5B5DFB9D">
      <w:pPr>
        <w:jc w:val="center"/>
        <w:rPr>
          <w:u w:val="single"/>
        </w:rPr>
      </w:pPr>
    </w:p>
    <w:p w:rsidRPr="00035209" w:rsidR="00A0133B" w:rsidP="00035209" w:rsidRDefault="00A0133B" w14:paraId="3F8A9E8F" w14:textId="5A502EE9">
      <w:pPr>
        <w:jc w:val="center"/>
        <w:rPr>
          <w:u w:val="single"/>
        </w:rPr>
      </w:pPr>
      <w:r w:rsidRPr="00A0133B">
        <w:rPr>
          <w:noProof/>
        </w:rPr>
        <w:drawing>
          <wp:inline distT="0" distB="0" distL="0" distR="0" wp14:anchorId="081DB32D" wp14:editId="122CC362">
            <wp:extent cx="5402580" cy="1623060"/>
            <wp:effectExtent l="0" t="0" r="762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02580" cy="1623060"/>
                    </a:xfrm>
                    <a:prstGeom prst="rect">
                      <a:avLst/>
                    </a:prstGeom>
                    <a:noFill/>
                    <a:ln>
                      <a:noFill/>
                    </a:ln>
                  </pic:spPr>
                </pic:pic>
              </a:graphicData>
            </a:graphic>
          </wp:inline>
        </w:drawing>
      </w:r>
    </w:p>
    <w:p w:rsidR="0056069B" w:rsidP="000F3E3E" w:rsidRDefault="0056069B" w14:paraId="563F8ECF" w14:textId="77777777"/>
    <w:p w:rsidR="00035209" w:rsidP="000F3E3E" w:rsidRDefault="00035209" w14:paraId="2FCC743A" w14:textId="58D77518">
      <w:r>
        <w:t xml:space="preserve">As shown in Table 1, </w:t>
      </w:r>
      <w:r w:rsidR="00905BBF">
        <w:t>SDG&amp;E is scheduled to reach its first $215 million in capital expenditures during PTY 2020.  B</w:t>
      </w:r>
      <w:r w:rsidR="00596C5C">
        <w:t>y comparing the revenue requirement on the capital using the full 7.55% rate of return to the revenue requirement using the 4.59% cost of debt only, SDG&amp;E</w:t>
      </w:r>
      <w:r w:rsidR="002F6D3E">
        <w:t xml:space="preserve"> </w:t>
      </w:r>
      <w:r w:rsidR="00737B9C">
        <w:t xml:space="preserve">is able to </w:t>
      </w:r>
      <w:r w:rsidR="002F6D3E">
        <w:t xml:space="preserve">isolate </w:t>
      </w:r>
      <w:r w:rsidR="0056069B">
        <w:t xml:space="preserve">the </w:t>
      </w:r>
      <w:r w:rsidR="00737B9C">
        <w:t xml:space="preserve">revenue requirement </w:t>
      </w:r>
      <w:r w:rsidR="0056069B">
        <w:t>difference</w:t>
      </w:r>
      <w:r w:rsidR="00737B9C">
        <w:t xml:space="preserve"> that is equivalent to including the capital in </w:t>
      </w:r>
      <w:r w:rsidR="00AD6C95">
        <w:t>equity rate base</w:t>
      </w:r>
      <w:r w:rsidR="00905BBF">
        <w:t xml:space="preserve">. </w:t>
      </w:r>
    </w:p>
    <w:p w:rsidR="00035209" w:rsidP="000F3E3E" w:rsidRDefault="00035209" w14:paraId="25B8FFB6" w14:textId="77777777"/>
    <w:p w:rsidR="003E67D6" w:rsidP="000F3E3E" w:rsidRDefault="00393FCE" w14:paraId="2AAD6885" w14:textId="1069762F">
      <w:r>
        <w:t xml:space="preserve">For example, SDG&amp;E calculates a $21.3 million revenue requirement using the adopted 7.55% rate of return on PTY 2020 capital placed in service while calculating a $13.0 million revenue requirement </w:t>
      </w:r>
      <w:r w:rsidR="00F962F2">
        <w:t xml:space="preserve">using only a debt return of 4.59% on </w:t>
      </w:r>
      <w:r>
        <w:t>the same capital</w:t>
      </w:r>
      <w:r w:rsidR="00F962F2">
        <w:t xml:space="preserve"> placed</w:t>
      </w:r>
      <w:r>
        <w:t xml:space="preserve"> in service</w:t>
      </w:r>
      <w:r w:rsidR="00F962F2">
        <w:t>.</w:t>
      </w:r>
      <w:r>
        <w:t xml:space="preserve">  The difference between the two revenue requirements for PTY 2020 is $8.3 million, which represent</w:t>
      </w:r>
      <w:r w:rsidR="00F962F2">
        <w:t>s</w:t>
      </w:r>
      <w:r>
        <w:t xml:space="preserve"> the return on equity for the capital.</w:t>
      </w:r>
    </w:p>
    <w:p w:rsidR="00147435" w:rsidP="000F3E3E" w:rsidRDefault="00147435" w14:paraId="276B01E7" w14:textId="41110890"/>
    <w:p w:rsidR="00EF359F" w:rsidP="00EF359F" w:rsidRDefault="00EF359F" w14:paraId="50CCCDAD" w14:textId="38F59587">
      <w:r>
        <w:t xml:space="preserve">SDG&amp;E then proposes reducing the revenue requirement by $8.3 million in 2020, $10.9 million in 2021, and $10.3 million in 2022 in order to comply with the equity rate base exclusion required by </w:t>
      </w:r>
      <w:r w:rsidRPr="0056069B">
        <w:t>Section 8386.3(e)</w:t>
      </w:r>
      <w:r>
        <w:t>.</w:t>
      </w:r>
    </w:p>
    <w:p w:rsidR="00EF359F" w:rsidP="000F3E3E" w:rsidRDefault="00EF359F" w14:paraId="0974C9B4" w14:textId="77777777"/>
    <w:p w:rsidR="00A6219D" w:rsidP="000F3E3E" w:rsidRDefault="00A6219D" w14:paraId="70BD64CA" w14:textId="2B58FD45">
      <w:r>
        <w:t>SDG&amp;E AL 3488-E includes an Attachment A with additional calculation details.  For example, Table 2 below is reproduced from Attachment A and demonstrates how SDG&amp;E arrive</w:t>
      </w:r>
      <w:r w:rsidR="005148C1">
        <w:t>s</w:t>
      </w:r>
      <w:r>
        <w:t xml:space="preserve"> at the $8.3 million reduction for PTY 2020:</w:t>
      </w:r>
    </w:p>
    <w:p w:rsidR="00A6219D" w:rsidP="000F3E3E" w:rsidRDefault="00A6219D" w14:paraId="65B206C3" w14:textId="79BA5D26"/>
    <w:p w:rsidRPr="00BC1566" w:rsidR="00A6219D" w:rsidP="0073319A" w:rsidRDefault="00A6219D" w14:paraId="7D9473BC" w14:textId="49739248">
      <w:pPr>
        <w:keepNext/>
        <w:jc w:val="center"/>
        <w:rPr>
          <w:u w:val="single"/>
        </w:rPr>
      </w:pPr>
      <w:r w:rsidRPr="00BC1566">
        <w:rPr>
          <w:u w:val="single"/>
        </w:rPr>
        <w:lastRenderedPageBreak/>
        <w:t xml:space="preserve">Table 2: </w:t>
      </w:r>
      <w:r w:rsidRPr="00BC1566" w:rsidR="00BC1566">
        <w:rPr>
          <w:u w:val="single"/>
        </w:rPr>
        <w:t>from SDG&amp;E AL 3488-E, Attachment A</w:t>
      </w:r>
    </w:p>
    <w:p w:rsidR="00A6219D" w:rsidP="0073319A" w:rsidRDefault="00BC1566" w14:paraId="124408A6" w14:textId="698DA334">
      <w:pPr>
        <w:keepNext/>
        <w:jc w:val="center"/>
        <w:rPr>
          <w:sz w:val="22"/>
          <w:szCs w:val="22"/>
        </w:rPr>
      </w:pPr>
      <w:r w:rsidRPr="00BC1566">
        <w:rPr>
          <w:sz w:val="22"/>
          <w:szCs w:val="22"/>
        </w:rPr>
        <w:t>(dollars in millions)</w:t>
      </w:r>
    </w:p>
    <w:p w:rsidR="0073319A" w:rsidP="0073319A" w:rsidRDefault="0073319A" w14:paraId="79BAE564" w14:textId="77777777">
      <w:pPr>
        <w:keepNext/>
        <w:jc w:val="center"/>
        <w:rPr>
          <w:sz w:val="22"/>
          <w:szCs w:val="22"/>
        </w:rPr>
      </w:pPr>
    </w:p>
    <w:p w:rsidR="00147435" w:rsidP="000F3E3E" w:rsidRDefault="009516C2" w14:paraId="1DFCCBCA" w14:textId="700899B7">
      <w:r w:rsidRPr="009516C2">
        <w:rPr>
          <w:noProof/>
        </w:rPr>
        <w:drawing>
          <wp:inline distT="0" distB="0" distL="0" distR="0" wp14:anchorId="740771CB" wp14:editId="6BB135A1">
            <wp:extent cx="5044440" cy="2661174"/>
            <wp:effectExtent l="0" t="0" r="3810" b="635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048749" cy="2663447"/>
                    </a:xfrm>
                    <a:prstGeom prst="rect">
                      <a:avLst/>
                    </a:prstGeom>
                    <a:noFill/>
                    <a:ln>
                      <a:noFill/>
                    </a:ln>
                  </pic:spPr>
                </pic:pic>
              </a:graphicData>
            </a:graphic>
          </wp:inline>
        </w:drawing>
      </w:r>
    </w:p>
    <w:p w:rsidR="00147435" w:rsidP="000F3E3E" w:rsidRDefault="00147435" w14:paraId="1A366EF1" w14:textId="2AE596BD"/>
    <w:p w:rsidR="00147435" w:rsidP="000F3E3E" w:rsidRDefault="00147435" w14:paraId="44D49C6A" w14:textId="576D62DF">
      <w:r>
        <w:t>As shown in Table 2, the $8.3 million reduction for PTY 2020 is mostly attributed to the removal of the Return on Common Equity and the associated taxes, while there is a</w:t>
      </w:r>
      <w:r w:rsidR="005148C1">
        <w:t xml:space="preserve">n offsetting </w:t>
      </w:r>
      <w:r>
        <w:t>increase for the</w:t>
      </w:r>
      <w:r w:rsidR="00013361">
        <w:t xml:space="preserve"> additional</w:t>
      </w:r>
      <w:r>
        <w:t xml:space="preserve"> cost of debt</w:t>
      </w:r>
      <w:r w:rsidR="005148C1">
        <w:t xml:space="preserve"> that replaces the equity financing</w:t>
      </w:r>
      <w:r w:rsidR="004A5E93">
        <w:t xml:space="preserve">.  Depreciation expense remains unchanged as the </w:t>
      </w:r>
      <w:r w:rsidR="00DF729F">
        <w:t xml:space="preserve">amount of </w:t>
      </w:r>
      <w:r w:rsidR="004A5E93">
        <w:t>capital deployed</w:t>
      </w:r>
      <w:r w:rsidR="005148C1">
        <w:t xml:space="preserve"> is </w:t>
      </w:r>
      <w:r w:rsidR="0025476D">
        <w:t>the same under either scenario</w:t>
      </w:r>
      <w:r w:rsidR="005148C1">
        <w:t>.</w:t>
      </w:r>
      <w:r w:rsidR="005148C1">
        <w:rPr>
          <w:rStyle w:val="FootnoteReference"/>
        </w:rPr>
        <w:footnoteReference w:id="9"/>
      </w:r>
    </w:p>
    <w:p w:rsidR="00D95213" w:rsidP="000F3E3E" w:rsidRDefault="00D95213" w14:paraId="50B426E4" w14:textId="664DE894"/>
    <w:p w:rsidRPr="00941AAC" w:rsidR="00941AAC" w:rsidRDefault="00941AAC" w14:paraId="0EEE1C8B" w14:textId="24A8D6C2">
      <w:pPr>
        <w:rPr>
          <w:u w:val="single"/>
        </w:rPr>
      </w:pPr>
      <w:r w:rsidRPr="00941AAC">
        <w:rPr>
          <w:u w:val="single"/>
        </w:rPr>
        <w:t>Supplemental AL 3488-E-A</w:t>
      </w:r>
    </w:p>
    <w:p w:rsidR="00941AAC" w:rsidRDefault="00941AAC" w14:paraId="7C43A0CC" w14:textId="77777777"/>
    <w:p w:rsidR="006B2034" w:rsidRDefault="00871D92" w14:paraId="5C9B21DA" w14:textId="5831AB5B">
      <w:r>
        <w:t>SDG&amp;E filed supplemental</w:t>
      </w:r>
      <w:r w:rsidR="00AB225D">
        <w:t xml:space="preserve"> AL 3488-E-A on March 4, 2020 clarifying the proposed implementation of the calculated reductions to revenue requirement.  AL 3488-E-A </w:t>
      </w:r>
      <w:r w:rsidR="006B2034">
        <w:t>states</w:t>
      </w:r>
      <w:r w:rsidR="00C31EC0">
        <w:t>:</w:t>
      </w:r>
      <w:r w:rsidR="006B2034">
        <w:t xml:space="preserve"> </w:t>
      </w:r>
    </w:p>
    <w:p w:rsidR="00871D92" w:rsidP="006B2034" w:rsidRDefault="006B2034" w14:paraId="095F6583" w14:textId="0E6E902B">
      <w:pPr>
        <w:ind w:left="720"/>
        <w:rPr>
          <w:i/>
          <w:iCs/>
        </w:rPr>
      </w:pPr>
      <w:r w:rsidRPr="006B2034">
        <w:rPr>
          <w:i/>
          <w:iCs/>
        </w:rPr>
        <w:t>“The implementation of this refund will be part of SDG&amp;E’s next available revenue requirement rate change and will be amortized through the end of the year. Currently, SDG&amp;E is expected to implement a revenue requirement rate change April 1, 2020 for the Self-Generation Incentive Program (SGIP) pursuant to D.20-01-021 and SDG&amp;E’s 2019 ERRA Trigger Application (D.20-02057).  Subsequent to April 1, 2020, SDG&amp;E’s next expected revenue requirement rate change will be submitted through its year-end electric consolidated advice letter for rates effective January 1, 2021.</w:t>
      </w:r>
      <w:r w:rsidRPr="006B2034" w:rsidR="00D11CB2">
        <w:rPr>
          <w:i/>
          <w:iCs/>
        </w:rPr>
        <w:t>”</w:t>
      </w:r>
      <w:r w:rsidRPr="006B2034" w:rsidR="00656266">
        <w:rPr>
          <w:rStyle w:val="FootnoteReference"/>
          <w:i/>
          <w:iCs/>
        </w:rPr>
        <w:footnoteReference w:id="10"/>
      </w:r>
      <w:r w:rsidRPr="006B2034" w:rsidR="00D11CB2">
        <w:rPr>
          <w:i/>
          <w:iCs/>
        </w:rPr>
        <w:t xml:space="preserve"> </w:t>
      </w:r>
      <w:r w:rsidRPr="006B2034" w:rsidR="00AB225D">
        <w:rPr>
          <w:i/>
          <w:iCs/>
        </w:rPr>
        <w:t xml:space="preserve">   </w:t>
      </w:r>
    </w:p>
    <w:p w:rsidR="00D767E5" w:rsidP="006B2034" w:rsidRDefault="00D767E5" w14:paraId="1BD07226" w14:textId="26B7D2BB">
      <w:pPr>
        <w:ind w:left="720"/>
        <w:rPr>
          <w:i/>
          <w:iCs/>
        </w:rPr>
      </w:pPr>
    </w:p>
    <w:p w:rsidRPr="00D767E5" w:rsidR="00D767E5" w:rsidP="00D767E5" w:rsidRDefault="00D767E5" w14:paraId="751C08E0" w14:textId="6911DA1B">
      <w:r w:rsidRPr="00D767E5">
        <w:lastRenderedPageBreak/>
        <w:t xml:space="preserve">SDG&amp;E filed supplemental AL 3488-E-A at the request of Energy Division for more clarification regarding the timing of the implementation of the proposed refunds. </w:t>
      </w:r>
    </w:p>
    <w:p w:rsidR="00AB225D" w:rsidRDefault="00AB225D" w14:paraId="3CEA7AD2" w14:textId="77777777"/>
    <w:p w:rsidR="00C9002D" w:rsidRDefault="00A92DEB" w14:paraId="3356069A" w14:textId="3D2E9404">
      <w:pPr>
        <w:rPr>
          <w:u w:val="single"/>
        </w:rPr>
      </w:pPr>
      <w:r>
        <w:rPr>
          <w:u w:val="single"/>
        </w:rPr>
        <w:t>CPUC Review of SDG&amp;E’s Proposal</w:t>
      </w:r>
    </w:p>
    <w:p w:rsidR="00D65004" w:rsidRDefault="00D65004" w14:paraId="55DA2F7C" w14:textId="2E5C8C01">
      <w:pPr>
        <w:rPr>
          <w:u w:val="single"/>
        </w:rPr>
      </w:pPr>
    </w:p>
    <w:p w:rsidR="00D65004" w:rsidP="00D65004" w:rsidRDefault="00D65004" w14:paraId="26CE40D7" w14:textId="4869B568">
      <w:r w:rsidRPr="00406AFC">
        <w:t xml:space="preserve">From a practical standpoint, by excluding capital expenditures from equity rate base, Section 8386.3(e) ensures that large electric corporation shareholders will not profit from the first $5 billion spent, in aggregate, on </w:t>
      </w:r>
      <w:r w:rsidR="00FA1755">
        <w:t xml:space="preserve">approved </w:t>
      </w:r>
      <w:r w:rsidRPr="00406AFC">
        <w:t xml:space="preserve">wildfire mitigation capital expenditures.  </w:t>
      </w:r>
    </w:p>
    <w:p w:rsidR="00D65004" w:rsidP="00D65004" w:rsidRDefault="00D65004" w14:paraId="519A30AD" w14:textId="77777777"/>
    <w:p w:rsidR="00D65004" w:rsidP="00D65004" w:rsidRDefault="00D65004" w14:paraId="234A3C02" w14:textId="14290574">
      <w:r>
        <w:t xml:space="preserve">However, from a ratemaking implementation standpoint, excluding </w:t>
      </w:r>
      <w:r w:rsidR="00845D98">
        <w:t xml:space="preserve">certain </w:t>
      </w:r>
      <w:r>
        <w:t xml:space="preserve">capital from equity rate base is a financial adjustment that reduces financing costs for </w:t>
      </w:r>
      <w:r w:rsidRPr="00B016A5" w:rsidR="00F85128">
        <w:rPr>
          <w:i/>
          <w:iCs/>
        </w:rPr>
        <w:t>already-</w:t>
      </w:r>
      <w:r w:rsidRPr="00B016A5">
        <w:rPr>
          <w:i/>
          <w:iCs/>
        </w:rPr>
        <w:t>approved</w:t>
      </w:r>
      <w:r>
        <w:t xml:space="preserve"> capital expenditures by </w:t>
      </w:r>
      <w:r w:rsidR="00034C59">
        <w:t>substituting</w:t>
      </w:r>
      <w:r>
        <w:t xml:space="preserve"> the full rate of return with the debt only return.  </w:t>
      </w:r>
      <w:r w:rsidRPr="00034C59">
        <w:rPr>
          <w:u w:val="single"/>
        </w:rPr>
        <w:t xml:space="preserve">Thus, </w:t>
      </w:r>
      <w:r w:rsidR="00845D98">
        <w:rPr>
          <w:u w:val="single"/>
        </w:rPr>
        <w:t xml:space="preserve">for SDG&amp;E, </w:t>
      </w:r>
      <w:r w:rsidRPr="00034C59">
        <w:rPr>
          <w:u w:val="single"/>
        </w:rPr>
        <w:t xml:space="preserve">the exclusion from equity rate base can be distilled to a dollar amount reduction </w:t>
      </w:r>
      <w:r w:rsidR="00AF3291">
        <w:rPr>
          <w:u w:val="single"/>
        </w:rPr>
        <w:t>to a previously-approved</w:t>
      </w:r>
      <w:r w:rsidRPr="00034C59">
        <w:rPr>
          <w:u w:val="single"/>
        </w:rPr>
        <w:t xml:space="preserve"> revenue requirement.</w:t>
      </w:r>
      <w:r>
        <w:t xml:space="preserve"> </w:t>
      </w:r>
    </w:p>
    <w:p w:rsidR="00CD5903" w:rsidRDefault="00CD5903" w14:paraId="594BB380" w14:textId="77777777">
      <w:pPr>
        <w:rPr>
          <w:u w:val="single"/>
        </w:rPr>
      </w:pPr>
    </w:p>
    <w:p w:rsidR="00293DD8" w:rsidRDefault="0014036E" w14:paraId="5E9E4EB5" w14:textId="6D0346A6">
      <w:r>
        <w:t>I</w:t>
      </w:r>
      <w:r w:rsidR="00F85128">
        <w:t xml:space="preserve">t is </w:t>
      </w:r>
      <w:r w:rsidR="00CD5903">
        <w:t xml:space="preserve">therefore </w:t>
      </w:r>
      <w:r w:rsidR="00F85128">
        <w:t xml:space="preserve">reasonable for SDG&amp;E to </w:t>
      </w:r>
      <w:r w:rsidR="00034C59">
        <w:t xml:space="preserve">determine </w:t>
      </w:r>
      <w:r w:rsidR="00F85128">
        <w:t xml:space="preserve">ratepayer savings </w:t>
      </w:r>
      <w:r>
        <w:t xml:space="preserve">for PTYs 2020-2022 </w:t>
      </w:r>
      <w:r w:rsidR="00F85128">
        <w:t xml:space="preserve">from the </w:t>
      </w:r>
      <w:r w:rsidR="00824349">
        <w:t xml:space="preserve">AB 1054 </w:t>
      </w:r>
      <w:r w:rsidR="00F85128">
        <w:t>equity rate base exclusion by</w:t>
      </w:r>
      <w:r w:rsidR="00034C59">
        <w:t xml:space="preserve"> calculating </w:t>
      </w:r>
      <w:r w:rsidR="00F85128">
        <w:t xml:space="preserve">the </w:t>
      </w:r>
      <w:r w:rsidR="00034C59">
        <w:t xml:space="preserve">difference between the </w:t>
      </w:r>
      <w:r w:rsidR="00F85128">
        <w:t>revenue requirement</w:t>
      </w:r>
      <w:r w:rsidR="006D6EE9">
        <w:t xml:space="preserve"> on the capital expenditures</w:t>
      </w:r>
      <w:r w:rsidR="00F85128">
        <w:t xml:space="preserve"> </w:t>
      </w:r>
      <w:r w:rsidR="00034C59">
        <w:t xml:space="preserve">using </w:t>
      </w:r>
      <w:r w:rsidR="00F85128">
        <w:t xml:space="preserve">the full </w:t>
      </w:r>
      <w:r w:rsidR="00034C59">
        <w:t xml:space="preserve">7.55% </w:t>
      </w:r>
      <w:r w:rsidR="00F85128">
        <w:t>rate of return and the</w:t>
      </w:r>
      <w:r w:rsidR="006D6EE9">
        <w:t xml:space="preserve"> revenue requirement </w:t>
      </w:r>
      <w:r w:rsidR="00824349">
        <w:t xml:space="preserve">on the same capital expenditures </w:t>
      </w:r>
      <w:r w:rsidR="006D6EE9">
        <w:t>using the</w:t>
      </w:r>
      <w:r w:rsidR="00F85128">
        <w:t xml:space="preserve"> </w:t>
      </w:r>
      <w:r w:rsidR="00CD5903">
        <w:t xml:space="preserve">4.59% </w:t>
      </w:r>
      <w:r w:rsidR="00F85128">
        <w:t xml:space="preserve">return on debt.  </w:t>
      </w:r>
      <w:r w:rsidRPr="00293DD8" w:rsidR="00293DD8">
        <w:t xml:space="preserve"> </w:t>
      </w:r>
    </w:p>
    <w:p w:rsidR="009167B6" w:rsidRDefault="009167B6" w14:paraId="3564AF30" w14:textId="77777777"/>
    <w:p w:rsidR="008D25BF" w:rsidRDefault="008D25BF" w14:paraId="79FF226D" w14:textId="31A2991D">
      <w:r>
        <w:t>S</w:t>
      </w:r>
      <w:r w:rsidRPr="008D25BF">
        <w:t xml:space="preserve">ince AB 1054 became law on July 12, 2019 and capital accounting systems generally work on a monthly accrual basis, it is </w:t>
      </w:r>
      <w:r>
        <w:t xml:space="preserve">also </w:t>
      </w:r>
      <w:r w:rsidRPr="008D25BF">
        <w:t xml:space="preserve">reasonable for SDG&amp;E to begin tracking its $215 million of excludable capital expenditures as of </w:t>
      </w:r>
      <w:r w:rsidR="00C766F2">
        <w:br/>
      </w:r>
      <w:r w:rsidRPr="008D25BF">
        <w:t>August 1, 2019.</w:t>
      </w:r>
    </w:p>
    <w:p w:rsidR="00410BD5" w:rsidRDefault="00410BD5" w14:paraId="12094BE3" w14:textId="09B0EDBA"/>
    <w:p w:rsidR="00410BD5" w:rsidRDefault="00410BD5" w14:paraId="639CBD21" w14:textId="14297751">
      <w:r>
        <w:t>With respect to SDG&amp;E ‘s statement indicating its intent to file a financing order application, we find this to be consistent with language in PUC Sec. 8386.3(e):</w:t>
      </w:r>
    </w:p>
    <w:p w:rsidR="00410BD5" w:rsidP="00410BD5" w:rsidRDefault="00410BD5" w14:paraId="557706BF" w14:textId="77777777">
      <w:pPr>
        <w:ind w:left="720"/>
      </w:pPr>
      <w:r>
        <w:rPr>
          <w:i/>
          <w:iCs/>
        </w:rPr>
        <w:t>…An electrical corporation’s share of the fire risk mitigation capital expenditures and the debt financing costs of these fire risk mitigation capital expenditures may be financed through a financing order pursuant to Section 851, subject to the requirements of that financing order.</w:t>
      </w:r>
    </w:p>
    <w:p w:rsidR="00410BD5" w:rsidRDefault="00410BD5" w14:paraId="0D4AF0D1" w14:textId="77777777"/>
    <w:p w:rsidR="00C70EF1" w:rsidRDefault="00541CB8" w14:paraId="7514E7E4" w14:textId="617B7891">
      <w:r>
        <w:t>The CPUC</w:t>
      </w:r>
      <w:r w:rsidRPr="009167B6" w:rsidR="009167B6">
        <w:t xml:space="preserve"> has reviewed SDG&amp;E AL 3488-E, supplemental AL 3488-E-A and SDG&amp;E’s underlying calculations</w:t>
      </w:r>
      <w:r w:rsidR="006D6EE9">
        <w:t xml:space="preserve"> that substantiate </w:t>
      </w:r>
      <w:r w:rsidR="006022F1">
        <w:t>T</w:t>
      </w:r>
      <w:r w:rsidR="006D6EE9">
        <w:t>able</w:t>
      </w:r>
      <w:r w:rsidR="006022F1">
        <w:t>s</w:t>
      </w:r>
      <w:r w:rsidR="006D6EE9">
        <w:t xml:space="preserve"> 1</w:t>
      </w:r>
      <w:r w:rsidR="006022F1">
        <w:t xml:space="preserve"> and 2</w:t>
      </w:r>
      <w:r w:rsidR="006D6EE9">
        <w:t>,</w:t>
      </w:r>
      <w:r w:rsidRPr="009167B6" w:rsidR="009167B6">
        <w:t xml:space="preserve"> and </w:t>
      </w:r>
      <w:r>
        <w:t>finds</w:t>
      </w:r>
      <w:r w:rsidRPr="009167B6" w:rsidR="009167B6">
        <w:t xml:space="preserve"> the </w:t>
      </w:r>
      <w:r>
        <w:t xml:space="preserve">proposed </w:t>
      </w:r>
      <w:r w:rsidRPr="009167B6" w:rsidR="009167B6">
        <w:t xml:space="preserve">revenue requirement reductions </w:t>
      </w:r>
      <w:r w:rsidR="00122CE6">
        <w:t xml:space="preserve">and the timing for such reductions </w:t>
      </w:r>
      <w:r w:rsidRPr="009167B6" w:rsidR="009167B6">
        <w:lastRenderedPageBreak/>
        <w:t>contained therein</w:t>
      </w:r>
      <w:r w:rsidR="00515681">
        <w:t xml:space="preserve"> to be reasonable</w:t>
      </w:r>
      <w:r w:rsidRPr="009167B6" w:rsidR="009167B6">
        <w:t>.</w:t>
      </w:r>
      <w:r w:rsidR="00515681">
        <w:t xml:space="preserve">  SDG&amp;E AL 3488-E and AL 3488-E-A therefore, are approved.</w:t>
      </w:r>
    </w:p>
    <w:p w:rsidR="000C5A0C" w:rsidRDefault="000C5A0C" w14:paraId="216EBAAF" w14:textId="4AD2ECE7"/>
    <w:p w:rsidR="000C5A0C" w:rsidRDefault="000C5A0C" w14:paraId="18D72CCB" w14:textId="3A650917">
      <w:r>
        <w:t>It is important to note that the revenue requirement adjustments proposed by SDG&amp;E in AL 3488-E and supplemental AL 3488-E-A for PTY</w:t>
      </w:r>
      <w:r w:rsidR="00FE08F8">
        <w:t>s</w:t>
      </w:r>
      <w:r>
        <w:t xml:space="preserve"> 2020-2022 are not the final </w:t>
      </w:r>
      <w:r w:rsidR="00130928">
        <w:t xml:space="preserve">equity rate base </w:t>
      </w:r>
      <w:r>
        <w:t xml:space="preserve">adjustments related to the $215 million capital expenditures.  Pursuant to </w:t>
      </w:r>
      <w:r w:rsidR="0023179C">
        <w:t>PUC Section 8386.3(e)</w:t>
      </w:r>
      <w:r>
        <w:t xml:space="preserve">, SDG&amp;E will be required to make revenue requirement </w:t>
      </w:r>
      <w:r w:rsidR="00140B3D">
        <w:t>adjustments</w:t>
      </w:r>
      <w:r>
        <w:t xml:space="preserve"> </w:t>
      </w:r>
      <w:r w:rsidR="00DB30CE">
        <w:t xml:space="preserve">in each year after 2022 </w:t>
      </w:r>
      <w:r>
        <w:t>reflecting the exclusion from equity rate base for the</w:t>
      </w:r>
      <w:r w:rsidR="00130928">
        <w:t xml:space="preserve"> entire</w:t>
      </w:r>
      <w:r>
        <w:t xml:space="preserve"> useful life of these </w:t>
      </w:r>
      <w:r w:rsidR="00130928">
        <w:t>capital expenditures</w:t>
      </w:r>
      <w:r>
        <w:t xml:space="preserve">.  </w:t>
      </w:r>
    </w:p>
    <w:p w:rsidR="00B009C4" w:rsidRDefault="00B009C4" w14:paraId="3174C140" w14:textId="676E8323"/>
    <w:p w:rsidRPr="00E614D3" w:rsidR="00E614D3" w:rsidP="00E614D3" w:rsidRDefault="00E614D3" w14:paraId="2382B99A" w14:textId="117335D5">
      <w:pPr>
        <w:rPr>
          <w:u w:val="single"/>
        </w:rPr>
      </w:pPr>
      <w:r>
        <w:rPr>
          <w:u w:val="single"/>
        </w:rPr>
        <w:t>Protest</w:t>
      </w:r>
      <w:r w:rsidR="00C372DD">
        <w:rPr>
          <w:u w:val="single"/>
        </w:rPr>
        <w:t xml:space="preserve"> of the Protect Our Communities Foundation</w:t>
      </w:r>
      <w:r w:rsidR="002E2E2D">
        <w:rPr>
          <w:u w:val="single"/>
        </w:rPr>
        <w:t xml:space="preserve"> and SDG&amp;E’s Reply</w:t>
      </w:r>
      <w:r w:rsidR="00C372DD">
        <w:rPr>
          <w:u w:val="single"/>
        </w:rPr>
        <w:t xml:space="preserve"> </w:t>
      </w:r>
    </w:p>
    <w:p w:rsidR="00E614D3" w:rsidP="00E614D3" w:rsidRDefault="00E614D3" w14:paraId="6916FFDE" w14:textId="77777777"/>
    <w:p w:rsidR="00131D20" w:rsidP="00CF1039" w:rsidRDefault="00E614D3" w14:paraId="19E04C3E" w14:textId="520C2CDF">
      <w:r>
        <w:t xml:space="preserve">POC’s </w:t>
      </w:r>
      <w:r w:rsidR="00CF1039">
        <w:t xml:space="preserve">Protest states that </w:t>
      </w:r>
      <w:r w:rsidR="007912C2">
        <w:t xml:space="preserve">supplemental </w:t>
      </w:r>
      <w:r w:rsidR="00CF1039">
        <w:t>AL 3488-E-A “neither explains what additional information was requested nor how the information provided in the Advice Letter meets those requirements.</w:t>
      </w:r>
      <w:r w:rsidR="00E15F74">
        <w:t xml:space="preserve">  </w:t>
      </w:r>
      <w:r w:rsidR="00CF1039">
        <w:t>Nor is it clear as to whether SDGE</w:t>
      </w:r>
      <w:r w:rsidR="00F61EF8">
        <w:t xml:space="preserve"> </w:t>
      </w:r>
      <w:r w:rsidR="00E609C2">
        <w:t>[sic]</w:t>
      </w:r>
      <w:r w:rsidR="00CF1039">
        <w:t xml:space="preserve"> 3488-E-A is in fact adding to Advice Letter 3488-E or eliminating aspects of Advice Letter 3488-E.”</w:t>
      </w:r>
      <w:r w:rsidR="00CF1039">
        <w:rPr>
          <w:rStyle w:val="FootnoteReference"/>
        </w:rPr>
        <w:footnoteReference w:id="11"/>
      </w:r>
    </w:p>
    <w:p w:rsidR="00131D20" w:rsidP="00E614D3" w:rsidRDefault="00131D20" w14:paraId="55BEA399" w14:textId="16C1AC36"/>
    <w:p w:rsidR="00131D20" w:rsidP="00E614D3" w:rsidRDefault="00744212" w14:paraId="76AAEFE2" w14:textId="1FA508CC">
      <w:r>
        <w:t>Regarding the additional information</w:t>
      </w:r>
      <w:r w:rsidR="0073188B">
        <w:t xml:space="preserve">, </w:t>
      </w:r>
      <w:r>
        <w:t xml:space="preserve">supplemental AL 3488-E-A </w:t>
      </w:r>
      <w:r w:rsidR="00C15314">
        <w:t>contains a section titled “Discussion- Timing Of Refund”</w:t>
      </w:r>
      <w:r w:rsidR="008E47B6">
        <w:rPr>
          <w:rStyle w:val="FootnoteReference"/>
        </w:rPr>
        <w:footnoteReference w:id="12"/>
      </w:r>
      <w:r w:rsidR="00C15314">
        <w:t xml:space="preserve"> that </w:t>
      </w:r>
      <w:r>
        <w:t xml:space="preserve">explains that </w:t>
      </w:r>
      <w:r w:rsidR="0073188B">
        <w:t>implementation of the PTY 2020 refund “will be part of SDG&amp;E’s next available revenue requirement rate change and will be amortized through the end of the year.”</w:t>
      </w:r>
      <w:r w:rsidR="0073188B">
        <w:rPr>
          <w:rStyle w:val="FootnoteReference"/>
        </w:rPr>
        <w:footnoteReference w:id="13"/>
      </w:r>
      <w:r>
        <w:t xml:space="preserve"> </w:t>
      </w:r>
      <w:r w:rsidR="0073188B">
        <w:t xml:space="preserve"> </w:t>
      </w:r>
      <w:r>
        <w:t xml:space="preserve">This information was not </w:t>
      </w:r>
      <w:r w:rsidR="002B2ABD">
        <w:t xml:space="preserve">previously included </w:t>
      </w:r>
      <w:r>
        <w:t>in AL 3488-E</w:t>
      </w:r>
      <w:r w:rsidR="009A2C92">
        <w:t xml:space="preserve"> and therefore </w:t>
      </w:r>
      <w:r w:rsidR="002E2E2D">
        <w:t>provides</w:t>
      </w:r>
      <w:r w:rsidR="009A2C92">
        <w:t xml:space="preserve"> the additional information. </w:t>
      </w:r>
    </w:p>
    <w:p w:rsidR="00744212" w:rsidP="00E614D3" w:rsidRDefault="00744212" w14:paraId="17288F16" w14:textId="0A060B0C"/>
    <w:p w:rsidR="00744212" w:rsidP="00E614D3" w:rsidRDefault="00744212" w14:paraId="24E28CD9" w14:textId="45D8ACD9">
      <w:r>
        <w:t xml:space="preserve">Regarding the Protest’s concern whether supplemental AL 3488-E-A is eliminating aspects of </w:t>
      </w:r>
      <w:r w:rsidR="00485CED">
        <w:t xml:space="preserve">the original </w:t>
      </w:r>
      <w:r>
        <w:t xml:space="preserve">AL 3488-E, </w:t>
      </w:r>
      <w:r w:rsidR="00485CED">
        <w:t xml:space="preserve">supplemental AL 3488-E-A clearly states that it </w:t>
      </w:r>
      <w:r w:rsidRPr="00241C28" w:rsidR="00241C28">
        <w:t xml:space="preserve">“supplements in part and will not change the integrity of the </w:t>
      </w:r>
      <w:r w:rsidR="00AA52A8">
        <w:t>o</w:t>
      </w:r>
      <w:r w:rsidRPr="00241C28" w:rsidR="00241C28">
        <w:t>riginal AL 3488-E”</w:t>
      </w:r>
      <w:r w:rsidR="00241C28">
        <w:rPr>
          <w:rStyle w:val="FootnoteReference"/>
        </w:rPr>
        <w:footnoteReference w:id="14"/>
      </w:r>
      <w:r w:rsidR="00241C28">
        <w:t xml:space="preserve">  As a result,</w:t>
      </w:r>
      <w:r w:rsidR="00D63D3F">
        <w:t xml:space="preserve"> </w:t>
      </w:r>
      <w:r w:rsidR="00FF2370">
        <w:t xml:space="preserve">the Commission finds that </w:t>
      </w:r>
      <w:r w:rsidR="00241C28">
        <w:t xml:space="preserve">supplemental </w:t>
      </w:r>
      <w:r w:rsidR="00C766F2">
        <w:br/>
      </w:r>
      <w:r w:rsidR="00241C28">
        <w:t xml:space="preserve">AL 3488-E-A does not eliminate </w:t>
      </w:r>
      <w:r w:rsidRPr="00485CED" w:rsidR="00241C28">
        <w:rPr>
          <w:u w:val="single"/>
        </w:rPr>
        <w:t>any</w:t>
      </w:r>
      <w:r w:rsidR="00241C28">
        <w:t xml:space="preserve"> information contained in AL 3488-E</w:t>
      </w:r>
      <w:r w:rsidR="00FF2370">
        <w:t xml:space="preserve">. </w:t>
      </w:r>
    </w:p>
    <w:p w:rsidR="00637746" w:rsidP="00E614D3" w:rsidRDefault="00637746" w14:paraId="62BA0867" w14:textId="15E13A2D"/>
    <w:p w:rsidR="00F8023C" w:rsidP="00C5349F" w:rsidRDefault="00F61EF8" w14:paraId="1CCE90A8" w14:textId="5B7C89F4">
      <w:r>
        <w:t>P</w:t>
      </w:r>
      <w:r w:rsidR="00C5349F">
        <w:t xml:space="preserve">OC’s </w:t>
      </w:r>
      <w:r>
        <w:t xml:space="preserve">Protest </w:t>
      </w:r>
      <w:r w:rsidR="00C5349F">
        <w:t xml:space="preserve">adds </w:t>
      </w:r>
      <w:r>
        <w:t>that “</w:t>
      </w:r>
      <w:r w:rsidRPr="00F61EF8">
        <w:t>Advice Letter 3488-E-A fails to include any reference to the recent decision D.20-01</w:t>
      </w:r>
      <w:r>
        <w:t>-</w:t>
      </w:r>
      <w:r w:rsidRPr="00F61EF8">
        <w:t xml:space="preserve">002 which is currently under discussion in </w:t>
      </w:r>
      <w:r w:rsidR="00C766F2">
        <w:br/>
      </w:r>
      <w:r w:rsidRPr="00F61EF8">
        <w:lastRenderedPageBreak/>
        <w:t xml:space="preserve">I.19-10-010/011, </w:t>
      </w:r>
      <w:r w:rsidRPr="00AE4DC4">
        <w:t>requires</w:t>
      </w:r>
      <w:r w:rsidRPr="00F61EF8">
        <w:t xml:space="preserve"> SDG&amp;E to file a petition to modify D.19-09-051 in </w:t>
      </w:r>
      <w:r w:rsidR="00C766F2">
        <w:br/>
      </w:r>
      <w:r w:rsidRPr="00F61EF8">
        <w:t>A.17-10-007, and which involves SDG&amp;E’s requested revenue requirements in 2022 and 2023</w:t>
      </w:r>
      <w:r>
        <w:t>.”</w:t>
      </w:r>
      <w:r>
        <w:rPr>
          <w:rStyle w:val="FootnoteReference"/>
        </w:rPr>
        <w:footnoteReference w:id="15"/>
      </w:r>
      <w:r>
        <w:t xml:space="preserve"> </w:t>
      </w:r>
      <w:r w:rsidR="00C5349F">
        <w:t xml:space="preserve">  However, </w:t>
      </w:r>
      <w:r w:rsidR="004F6847">
        <w:t xml:space="preserve">as noted in </w:t>
      </w:r>
      <w:r w:rsidR="00C5349F">
        <w:t>SDG&amp;E’s Reply</w:t>
      </w:r>
      <w:r w:rsidR="004F6847">
        <w:t xml:space="preserve">, </w:t>
      </w:r>
      <w:r w:rsidRPr="00C5349F" w:rsidR="00C5349F">
        <w:t>AL 3488-E was not protested</w:t>
      </w:r>
      <w:r w:rsidR="00C5349F">
        <w:t xml:space="preserve"> and the Commission’s General Order (GO) </w:t>
      </w:r>
      <w:r w:rsidRPr="00C5349F" w:rsidR="00C5349F">
        <w:t xml:space="preserve">96-B, General Rule 7.5.1, states </w:t>
      </w:r>
      <w:r w:rsidR="007E1F96">
        <w:t xml:space="preserve">that </w:t>
      </w:r>
      <w:r w:rsidRPr="00C5349F" w:rsidR="00C5349F">
        <w:t>“any new protest shall be limited to the substance of the supplemental or additional information contained herein.”</w:t>
      </w:r>
    </w:p>
    <w:p w:rsidR="00F8023C" w:rsidP="00C5349F" w:rsidRDefault="00F8023C" w14:paraId="250683E2" w14:textId="77777777"/>
    <w:p w:rsidR="00F61EF8" w:rsidP="00C5349F" w:rsidRDefault="00F8023C" w14:paraId="5AC2AD4A" w14:textId="136E5A6F">
      <w:r>
        <w:t>S</w:t>
      </w:r>
      <w:r w:rsidRPr="00C5349F" w:rsidR="00C5349F">
        <w:t xml:space="preserve">upplemental </w:t>
      </w:r>
      <w:r w:rsidR="00C5349F">
        <w:t xml:space="preserve">AL 3488-E-A contains additional </w:t>
      </w:r>
      <w:r w:rsidRPr="00C5349F" w:rsidR="00C5349F">
        <w:t xml:space="preserve">information </w:t>
      </w:r>
      <w:r w:rsidR="00C5349F">
        <w:t>related</w:t>
      </w:r>
      <w:r w:rsidRPr="00C5349F" w:rsidR="00C5349F">
        <w:t xml:space="preserve"> to the timing of the PTY 2020 customer refund</w:t>
      </w:r>
      <w:r w:rsidR="00582374">
        <w:t>, does not eliminate information from AL 3488-E</w:t>
      </w:r>
      <w:r w:rsidR="00A624F3">
        <w:t xml:space="preserve"> (which was not protested)</w:t>
      </w:r>
      <w:r w:rsidR="00582374">
        <w:t xml:space="preserve"> and does not</w:t>
      </w:r>
      <w:r>
        <w:t xml:space="preserve"> reference </w:t>
      </w:r>
      <w:r w:rsidR="00582374">
        <w:t>D.20-01-002.</w:t>
      </w:r>
      <w:r w:rsidRPr="00C5349F" w:rsidR="00C5349F">
        <w:t xml:space="preserve"> </w:t>
      </w:r>
      <w:r w:rsidR="00C5349F">
        <w:t>Therefore</w:t>
      </w:r>
      <w:r w:rsidRPr="00C5349F" w:rsidR="00C5349F">
        <w:t>,</w:t>
      </w:r>
      <w:r w:rsidR="00B651A5">
        <w:t xml:space="preserve"> pursuant to GO 96-B,</w:t>
      </w:r>
      <w:r w:rsidR="00C5349F">
        <w:t xml:space="preserve"> POC’s </w:t>
      </w:r>
      <w:r w:rsidR="004F6847">
        <w:t xml:space="preserve">Protest </w:t>
      </w:r>
      <w:r w:rsidR="00EA6B23">
        <w:t xml:space="preserve">should be </w:t>
      </w:r>
      <w:r w:rsidR="00C5349F">
        <w:t>limited to the additional information</w:t>
      </w:r>
      <w:r w:rsidR="00A624F3">
        <w:t xml:space="preserve"> presented in supplemental AL 3488-E-A</w:t>
      </w:r>
      <w:r w:rsidR="00BF2E0A">
        <w:t>.</w:t>
      </w:r>
    </w:p>
    <w:p w:rsidR="00D413EF" w:rsidP="00C5349F" w:rsidRDefault="00D413EF" w14:paraId="0A13C88F" w14:textId="3401BB6A"/>
    <w:p w:rsidR="00D413EF" w:rsidP="00D413EF" w:rsidRDefault="00A0020E" w14:paraId="3AA74A98" w14:textId="4D14D283">
      <w:r>
        <w:t>T</w:t>
      </w:r>
      <w:r w:rsidR="00D413EF">
        <w:t>he Prote</w:t>
      </w:r>
      <w:r w:rsidR="00666BFE">
        <w:t>st</w:t>
      </w:r>
      <w:r w:rsidR="00B83A89">
        <w:t xml:space="preserve"> further</w:t>
      </w:r>
      <w:r w:rsidR="00666BFE">
        <w:t xml:space="preserve"> states that</w:t>
      </w:r>
      <w:r w:rsidR="00D413EF">
        <w:t xml:space="preserve"> “</w:t>
      </w:r>
      <w:r w:rsidRPr="00BE7E63" w:rsidR="00D413EF">
        <w:t>Although the decision in the cost of capital proceeding was issued on December 20, 2019,</w:t>
      </w:r>
      <w:r w:rsidR="00D413EF">
        <w:t xml:space="preserve"> </w:t>
      </w:r>
      <w:r w:rsidRPr="00BE7E63" w:rsidR="00D413EF">
        <w:t>SDG&amp;E provides no update or explanation regarding the effect of D.19-12-056 on this Advice Letter or how this Advice Letter incorporates the holdings of D.19-12-056.</w:t>
      </w:r>
      <w:r w:rsidR="00D413EF">
        <w:t>”</w:t>
      </w:r>
      <w:r w:rsidR="00D413EF">
        <w:rPr>
          <w:rStyle w:val="FootnoteReference"/>
        </w:rPr>
        <w:footnoteReference w:id="16"/>
      </w:r>
      <w:r>
        <w:t xml:space="preserve">  Again, pursuant to GO 96-B General Rule 7.5.1, supplemental AL 3488-E-A does not discuss SDG&amp;E’s cost of capital proceeding, therefore POC’s protest should be limited to the additional information presented.  Nevertheless, SDG&amp;E’s Reply explains that</w:t>
      </w:r>
      <w:r w:rsidR="00D2644E">
        <w:t xml:space="preserve"> as a result of D.19-12-056 and AL 3499-E/2836-G</w:t>
      </w:r>
      <w:r>
        <w:t xml:space="preserve"> “</w:t>
      </w:r>
      <w:r w:rsidR="00D2644E">
        <w:t xml:space="preserve">all </w:t>
      </w:r>
      <w:r>
        <w:t xml:space="preserve">the components of </w:t>
      </w:r>
      <w:r w:rsidR="00D2644E">
        <w:t xml:space="preserve">SDG&amp;E’s </w:t>
      </w:r>
      <w:r>
        <w:t xml:space="preserve">Cost of Capital </w:t>
      </w:r>
      <w:r w:rsidR="00D2644E">
        <w:t>will remain un</w:t>
      </w:r>
      <w:r>
        <w:t xml:space="preserve">changed </w:t>
      </w:r>
      <w:r w:rsidR="00D2644E">
        <w:t>from</w:t>
      </w:r>
      <w:r>
        <w:t xml:space="preserve"> D.17-07-005.”</w:t>
      </w:r>
      <w:r>
        <w:rPr>
          <w:rStyle w:val="FootnoteReference"/>
        </w:rPr>
        <w:footnoteReference w:id="17"/>
      </w:r>
      <w:r>
        <w:t xml:space="preserve">  As a result, there will be no impact from </w:t>
      </w:r>
      <w:r w:rsidR="00B83A89">
        <w:t>SDG&amp;E’s</w:t>
      </w:r>
      <w:r w:rsidR="00D2644E">
        <w:t xml:space="preserve"> recent Cost of Capital</w:t>
      </w:r>
      <w:r>
        <w:t xml:space="preserve"> </w:t>
      </w:r>
      <w:r w:rsidR="00D2644E">
        <w:t>proceeding on</w:t>
      </w:r>
      <w:r>
        <w:t xml:space="preserve"> AL 3488-E or supplemental AL 3488-E-A.</w:t>
      </w:r>
    </w:p>
    <w:p w:rsidR="00B00034" w:rsidP="00D413EF" w:rsidRDefault="00B00034" w14:paraId="5C562F41" w14:textId="715FAFFF"/>
    <w:p w:rsidR="00B00034" w:rsidP="00D413EF" w:rsidRDefault="00B00034" w14:paraId="7EEFAC3D" w14:textId="5F1B1E64">
      <w:r>
        <w:t xml:space="preserve">To summarize, the Commission finds that the Protest’s concerns regarding the </w:t>
      </w:r>
      <w:r w:rsidR="00666BFE">
        <w:t xml:space="preserve">possible </w:t>
      </w:r>
      <w:r>
        <w:t xml:space="preserve">elimination of information from AL 3488-E is unwarranted, discussion of D.20-01-002 is out of scope, and there is no impact from SDG&amp;E’s cost of capital proceeding on the </w:t>
      </w:r>
      <w:r w:rsidR="008A46D7">
        <w:t xml:space="preserve">PTY </w:t>
      </w:r>
      <w:r>
        <w:t xml:space="preserve">refund amounts calculated in AL 3488-E. </w:t>
      </w:r>
    </w:p>
    <w:p w:rsidR="00D413EF" w:rsidP="00D413EF" w:rsidRDefault="00D413EF" w14:paraId="3EE57B6A" w14:textId="77777777"/>
    <w:p w:rsidR="00E614D3" w:rsidP="00E614D3" w:rsidRDefault="00C372DD" w14:paraId="2FE3DA99" w14:textId="567E0B4B">
      <w:r w:rsidRPr="00C372DD">
        <w:rPr>
          <w:u w:val="single"/>
        </w:rPr>
        <w:t>For the reasons stated above, POC’s Protest of supplemental AL 3488-E-A is denied</w:t>
      </w:r>
      <w:r>
        <w:t>.</w:t>
      </w:r>
      <w:r w:rsidR="003721BC">
        <w:t xml:space="preserve"> </w:t>
      </w:r>
    </w:p>
    <w:p w:rsidR="00406AFC" w:rsidRDefault="00406AFC" w14:paraId="60885434" w14:textId="69134952">
      <w:pPr>
        <w:rPr>
          <w:u w:val="single"/>
        </w:rPr>
      </w:pPr>
    </w:p>
    <w:p w:rsidR="008C16E8" w:rsidRDefault="00FA6D9E" w14:paraId="7C64B171" w14:textId="392C2F0D">
      <w:r>
        <w:t>T</w:t>
      </w:r>
      <w:r w:rsidR="00344837">
        <w:t xml:space="preserve">he Commission approves the revenue requirement reductions </w:t>
      </w:r>
      <w:r w:rsidR="008C16E8">
        <w:t>for PTYs 2020</w:t>
      </w:r>
      <w:r w:rsidR="00EE4410">
        <w:t xml:space="preserve">, 2021 and </w:t>
      </w:r>
      <w:r w:rsidR="008C16E8">
        <w:t xml:space="preserve">2022 </w:t>
      </w:r>
      <w:r w:rsidR="00344837">
        <w:t>proposed by SDG&amp;E in AL 3488-E</w:t>
      </w:r>
      <w:r w:rsidR="001A670E">
        <w:t xml:space="preserve">.  </w:t>
      </w:r>
      <w:r w:rsidR="00075569">
        <w:t xml:space="preserve">The </w:t>
      </w:r>
      <w:r w:rsidR="001A670E">
        <w:t xml:space="preserve">PTY 2020 </w:t>
      </w:r>
      <w:r w:rsidR="00075569">
        <w:t xml:space="preserve">reduction of </w:t>
      </w:r>
      <w:r w:rsidR="00075569">
        <w:lastRenderedPageBreak/>
        <w:t xml:space="preserve">$8.3 million </w:t>
      </w:r>
      <w:r w:rsidR="001A670E">
        <w:t xml:space="preserve">shall be </w:t>
      </w:r>
      <w:r w:rsidR="00344837">
        <w:t xml:space="preserve">implemented during SDG&amp;E’s next </w:t>
      </w:r>
      <w:r w:rsidR="001A670E">
        <w:t xml:space="preserve">available revenue </w:t>
      </w:r>
      <w:r w:rsidR="00344837">
        <w:t>requirement change</w:t>
      </w:r>
      <w:r w:rsidR="001A670E">
        <w:t xml:space="preserve">. </w:t>
      </w:r>
    </w:p>
    <w:p w:rsidR="008C16E8" w:rsidRDefault="008C16E8" w14:paraId="03ED433A" w14:textId="77777777"/>
    <w:p w:rsidR="00344837" w:rsidRDefault="00344837" w14:paraId="51BD5DD2" w14:textId="53C538B2">
      <w:r>
        <w:t>If SDG&amp;E’s next</w:t>
      </w:r>
      <w:r w:rsidR="008C16E8">
        <w:t xml:space="preserve"> available</w:t>
      </w:r>
      <w:r>
        <w:t xml:space="preserve"> revenue requirement change is not until </w:t>
      </w:r>
      <w:r w:rsidR="00C766F2">
        <w:br/>
      </w:r>
      <w:r>
        <w:t xml:space="preserve">January 1, 2021, SDG&amp;E will include the PTY 2020 reduction of $8.3 million, </w:t>
      </w:r>
      <w:r w:rsidR="00EA112D">
        <w:t>simultaneously</w:t>
      </w:r>
      <w:r w:rsidR="008C16E8">
        <w:t xml:space="preserve"> with </w:t>
      </w:r>
      <w:r>
        <w:t xml:space="preserve">the PTY 2021 </w:t>
      </w:r>
      <w:r w:rsidR="008C16E8">
        <w:t xml:space="preserve">revenue requirement </w:t>
      </w:r>
      <w:r>
        <w:t xml:space="preserve">reduction of $10.9 million.  </w:t>
      </w:r>
      <w:r w:rsidR="008C16E8">
        <w:t xml:space="preserve">The </w:t>
      </w:r>
      <w:r>
        <w:t>PTY 2022 reduction of $10.3 million sh</w:t>
      </w:r>
      <w:r w:rsidR="005D1253">
        <w:t xml:space="preserve">all </w:t>
      </w:r>
      <w:r>
        <w:t xml:space="preserve">be included in SDG&amp;E’s annual revenue requirement </w:t>
      </w:r>
      <w:r w:rsidR="00AC2B69">
        <w:t>implementation filing</w:t>
      </w:r>
      <w:r w:rsidR="00B17CEE">
        <w:t xml:space="preserve"> effective</w:t>
      </w:r>
      <w:r w:rsidR="00AC2B69">
        <w:t xml:space="preserve"> </w:t>
      </w:r>
      <w:r>
        <w:t>for January 1, 202</w:t>
      </w:r>
      <w:r w:rsidR="00AC2B69">
        <w:t>2</w:t>
      </w:r>
      <w:r>
        <w:t xml:space="preserve">. </w:t>
      </w:r>
    </w:p>
    <w:p w:rsidR="00CF17DE" w:rsidRDefault="00CF17DE" w14:paraId="0B54F006" w14:textId="77777777"/>
    <w:p w:rsidRPr="009722EC" w:rsidR="003F6E5A" w:rsidP="009722EC" w:rsidRDefault="00CF17DE" w14:paraId="75B85404" w14:textId="68BF4371">
      <w:pPr>
        <w:pStyle w:val="Heading1"/>
      </w:pPr>
      <w:r>
        <w:t>Comments</w:t>
      </w:r>
    </w:p>
    <w:p w:rsidR="00CB6214" w:rsidP="00CB6214" w:rsidRDefault="00CB6214" w14:paraId="1D7D7A52" w14:textId="77777777">
      <w:pPr>
        <w:pStyle w:val="Heading1"/>
        <w:rPr>
          <w:rFonts w:ascii="Palatino" w:hAnsi="Palatino"/>
          <w:b w:val="0"/>
          <w:caps w:val="0"/>
          <w:kern w:val="0"/>
          <w:u w:val="none"/>
        </w:rPr>
      </w:pPr>
      <w:r>
        <w:rPr>
          <w:rFonts w:ascii="Palatino" w:hAnsi="Palatino"/>
          <w:b w:val="0"/>
          <w:caps w:val="0"/>
          <w:kern w:val="0"/>
          <w:u w:val="none"/>
        </w:rPr>
        <w:t xml:space="preserve">Public Utilities Code section 311(g)(1) provides that this resolution must be served on all parties and subject to at least 30 days public review.  Please note that comments are due 20 days from the mailing date of this resolution. Section 311(g)(2) provides that this 30-day review period and 20-day comment period may be reduced or waived upon the stipulation of all parties in the proceeding. </w:t>
      </w:r>
    </w:p>
    <w:p w:rsidR="00CB6214" w:rsidP="00CB6214" w:rsidRDefault="00CB6214" w14:paraId="71CA6C09" w14:textId="77777777">
      <w:r>
        <w:t>The 30-day review and 20-day comment period for the draft of this resolution was neither waived nor reduced.  Accordingly, this draft resolution was mailed to parties for comments, and will be placed on the Commission's agenda no earlier than 30 days from today.</w:t>
      </w:r>
    </w:p>
    <w:p w:rsidR="008C16E8" w:rsidRDefault="008C16E8" w14:paraId="5C9F2E99" w14:textId="77777777"/>
    <w:p w:rsidR="00CF17DE" w:rsidRDefault="00CF17DE" w14:paraId="2CA938A4" w14:textId="77777777">
      <w:pPr>
        <w:pStyle w:val="Heading1"/>
      </w:pPr>
      <w:r>
        <w:t>Findings</w:t>
      </w:r>
    </w:p>
    <w:p w:rsidR="007C49FD" w:rsidRDefault="007C49FD" w14:paraId="38F0ADE4" w14:textId="49EC55EC">
      <w:pPr>
        <w:numPr>
          <w:ilvl w:val="0"/>
          <w:numId w:val="4"/>
        </w:numPr>
      </w:pPr>
      <w:r>
        <w:t>AB 105</w:t>
      </w:r>
      <w:r w:rsidR="0017267E">
        <w:t xml:space="preserve">4, </w:t>
      </w:r>
      <w:r>
        <w:t>signed into law on July 12, 2019</w:t>
      </w:r>
      <w:r w:rsidR="0017267E">
        <w:t>,</w:t>
      </w:r>
      <w:r>
        <w:t xml:space="preserve"> req</w:t>
      </w:r>
      <w:r w:rsidR="0017267E">
        <w:t>uir</w:t>
      </w:r>
      <w:r w:rsidR="00CE4B99">
        <w:t>es</w:t>
      </w:r>
      <w:r w:rsidR="0017267E">
        <w:t xml:space="preserve"> </w:t>
      </w:r>
      <w:r>
        <w:t>the Commission</w:t>
      </w:r>
      <w:r w:rsidR="0017267E">
        <w:t xml:space="preserve"> to</w:t>
      </w:r>
      <w:r>
        <w:t xml:space="preserve"> exclude the first $5 billion of </w:t>
      </w:r>
      <w:r w:rsidR="00DB49F5">
        <w:t xml:space="preserve">approved </w:t>
      </w:r>
      <w:r>
        <w:t xml:space="preserve">wildfire mitigation capital expenditures </w:t>
      </w:r>
      <w:r w:rsidR="0017267E">
        <w:t xml:space="preserve">of the three large electric IOUs </w:t>
      </w:r>
      <w:r>
        <w:t>from equity rate base</w:t>
      </w:r>
      <w:r w:rsidR="0017267E">
        <w:t>.</w:t>
      </w:r>
    </w:p>
    <w:p w:rsidR="0017267E" w:rsidRDefault="0017267E" w14:paraId="1BAAC331" w14:textId="501CE373">
      <w:pPr>
        <w:numPr>
          <w:ilvl w:val="0"/>
          <w:numId w:val="4"/>
        </w:numPr>
      </w:pPr>
      <w:r>
        <w:t xml:space="preserve">According to </w:t>
      </w:r>
      <w:r w:rsidR="00285F27">
        <w:t>Public Utilities Code Section 3280</w:t>
      </w:r>
      <w:r>
        <w:t xml:space="preserve"> SDG&amp;E’s share of the first </w:t>
      </w:r>
      <w:r w:rsidR="00C766F2">
        <w:br/>
      </w:r>
      <w:r>
        <w:t>$5 billion</w:t>
      </w:r>
      <w:r w:rsidR="00DB49F5">
        <w:t xml:space="preserve"> aggregate </w:t>
      </w:r>
      <w:r w:rsidR="00723F04">
        <w:t xml:space="preserve">wildfire mitigation </w:t>
      </w:r>
      <w:r w:rsidR="00DB49F5">
        <w:t>capital spending</w:t>
      </w:r>
      <w:r>
        <w:t xml:space="preserve"> is 4.3%, or $215 million</w:t>
      </w:r>
      <w:r w:rsidR="00DB49F5">
        <w:t>.</w:t>
      </w:r>
    </w:p>
    <w:p w:rsidR="00DB49F5" w:rsidRDefault="00DB49F5" w14:paraId="32C2A04E" w14:textId="26240DA7">
      <w:pPr>
        <w:numPr>
          <w:ilvl w:val="0"/>
          <w:numId w:val="4"/>
        </w:numPr>
      </w:pPr>
      <w:r>
        <w:t xml:space="preserve">August 1, 2019 is an acceptable date for SDG&amp;E to begin tracking the $215 million of approved wildfire mitigation capital spending to be excluded from equity rate base. </w:t>
      </w:r>
    </w:p>
    <w:p w:rsidR="00CF17DE" w:rsidP="00656606" w:rsidRDefault="007C49FD" w14:paraId="72EEB142" w14:textId="44E17606">
      <w:pPr>
        <w:numPr>
          <w:ilvl w:val="0"/>
          <w:numId w:val="4"/>
        </w:numPr>
      </w:pPr>
      <w:r>
        <w:t xml:space="preserve">Ordering Paragraph 6 of D.19-09-051 directed SDG&amp;E to file a Tier 3 Advice Letter </w:t>
      </w:r>
      <w:r w:rsidR="006E7185">
        <w:t>“…</w:t>
      </w:r>
      <w:r w:rsidRPr="006E7185" w:rsidR="006E7185">
        <w:t>providing a detailed explanation and showing of the revenue requirement impact of the Public Utilities Code section 8386.3(e) equity rate base exclusion when it makes its annual PTY revenue requirement implementation filings</w:t>
      </w:r>
      <w:r w:rsidR="006E7185">
        <w:t>.”</w:t>
      </w:r>
    </w:p>
    <w:p w:rsidR="00F543B0" w:rsidP="00F543B0" w:rsidRDefault="00656606" w14:paraId="52977F8F" w14:textId="718CB49E">
      <w:pPr>
        <w:numPr>
          <w:ilvl w:val="0"/>
          <w:numId w:val="4"/>
        </w:numPr>
      </w:pPr>
      <w:r>
        <w:lastRenderedPageBreak/>
        <w:t>SDG&amp;E’s underlying calculations and revenue requirement reductions set forth in AL 3488-E appropriately capture the equity rate base exclusion requirements of AB 1054</w:t>
      </w:r>
      <w:r w:rsidR="00ED2FD1">
        <w:t xml:space="preserve"> for years 2020, 2021, and 2022</w:t>
      </w:r>
      <w:r>
        <w:t xml:space="preserve">. </w:t>
      </w:r>
    </w:p>
    <w:p w:rsidR="002171E3" w:rsidP="00F543B0" w:rsidRDefault="00876700" w14:paraId="673CFE68" w14:textId="4A1EA6B0">
      <w:pPr>
        <w:numPr>
          <w:ilvl w:val="0"/>
          <w:numId w:val="4"/>
        </w:numPr>
      </w:pPr>
      <w:r>
        <w:t xml:space="preserve">The equity rate base exclusion described in </w:t>
      </w:r>
      <w:r w:rsidR="002171E3">
        <w:t>P</w:t>
      </w:r>
      <w:r w:rsidR="002D4882">
        <w:t>ublic Utilities Code</w:t>
      </w:r>
      <w:r w:rsidR="002171E3">
        <w:t xml:space="preserve"> Section 8386.3(e) </w:t>
      </w:r>
      <w:r w:rsidR="00B47724">
        <w:t xml:space="preserve">is not limited to PTYs 2020-2022 and </w:t>
      </w:r>
      <w:r w:rsidR="0023179C">
        <w:t xml:space="preserve">remains in effect for the entire useful life of the assets. </w:t>
      </w:r>
      <w:r w:rsidR="002171E3">
        <w:t xml:space="preserve"> </w:t>
      </w:r>
    </w:p>
    <w:p w:rsidR="00CF17DE" w:rsidRDefault="00CF17DE" w14:paraId="4A132E55" w14:textId="77777777">
      <w:pPr>
        <w:rPr>
          <w:b/>
        </w:rPr>
      </w:pPr>
    </w:p>
    <w:p w:rsidR="00CF17DE" w:rsidRDefault="00CF17DE" w14:paraId="5CE5485F" w14:textId="77777777">
      <w:pPr>
        <w:pStyle w:val="Heading1"/>
      </w:pPr>
      <w:r>
        <w:t>Therefore it is ordered that:</w:t>
      </w:r>
    </w:p>
    <w:p w:rsidR="00F543B0" w:rsidP="00F543B0" w:rsidRDefault="00CF17DE" w14:paraId="64BE91B7" w14:textId="242585F9">
      <w:pPr>
        <w:numPr>
          <w:ilvl w:val="0"/>
          <w:numId w:val="5"/>
        </w:numPr>
        <w:rPr>
          <w:snapToGrid w:val="0"/>
        </w:rPr>
      </w:pPr>
      <w:r>
        <w:rPr>
          <w:snapToGrid w:val="0"/>
        </w:rPr>
        <w:t xml:space="preserve">The request of </w:t>
      </w:r>
      <w:r w:rsidR="0017267E">
        <w:rPr>
          <w:snapToGrid w:val="0"/>
        </w:rPr>
        <w:t xml:space="preserve">SDG&amp;E </w:t>
      </w:r>
      <w:r>
        <w:rPr>
          <w:snapToGrid w:val="0"/>
        </w:rPr>
        <w:t>to</w:t>
      </w:r>
      <w:r w:rsidR="0017267E">
        <w:rPr>
          <w:snapToGrid w:val="0"/>
        </w:rPr>
        <w:t xml:space="preserve"> reduce </w:t>
      </w:r>
      <w:r w:rsidR="008331CE">
        <w:rPr>
          <w:snapToGrid w:val="0"/>
        </w:rPr>
        <w:t xml:space="preserve">PTY </w:t>
      </w:r>
      <w:r w:rsidR="0017267E">
        <w:rPr>
          <w:snapToGrid w:val="0"/>
        </w:rPr>
        <w:t>revenue requirements by $</w:t>
      </w:r>
      <w:r w:rsidRPr="00CE4B99" w:rsidR="00CE4B99">
        <w:rPr>
          <w:snapToGrid w:val="0"/>
        </w:rPr>
        <w:t>8.3 million</w:t>
      </w:r>
      <w:r w:rsidR="008331CE">
        <w:rPr>
          <w:snapToGrid w:val="0"/>
        </w:rPr>
        <w:t xml:space="preserve"> in 2020</w:t>
      </w:r>
      <w:r w:rsidRPr="00CE4B99" w:rsidR="00CE4B99">
        <w:rPr>
          <w:snapToGrid w:val="0"/>
        </w:rPr>
        <w:t>, $10.9 million</w:t>
      </w:r>
      <w:r w:rsidR="008331CE">
        <w:rPr>
          <w:snapToGrid w:val="0"/>
        </w:rPr>
        <w:t xml:space="preserve"> in 2021</w:t>
      </w:r>
      <w:r w:rsidRPr="00CE4B99" w:rsidR="00CE4B99">
        <w:rPr>
          <w:snapToGrid w:val="0"/>
        </w:rPr>
        <w:t xml:space="preserve">, and $10.3 million in </w:t>
      </w:r>
      <w:r w:rsidR="008331CE">
        <w:rPr>
          <w:snapToGrid w:val="0"/>
        </w:rPr>
        <w:t>2022 as</w:t>
      </w:r>
      <w:r>
        <w:rPr>
          <w:snapToGrid w:val="0"/>
        </w:rPr>
        <w:t xml:space="preserve"> </w:t>
      </w:r>
      <w:r w:rsidR="00563942">
        <w:rPr>
          <w:snapToGrid w:val="0"/>
        </w:rPr>
        <w:t>proposed</w:t>
      </w:r>
      <w:r>
        <w:rPr>
          <w:snapToGrid w:val="0"/>
        </w:rPr>
        <w:t xml:space="preserve"> in Advice Letter </w:t>
      </w:r>
      <w:r w:rsidR="0017267E">
        <w:t>3488</w:t>
      </w:r>
      <w:r>
        <w:t>-E</w:t>
      </w:r>
      <w:r w:rsidR="00F543B0">
        <w:t xml:space="preserve"> </w:t>
      </w:r>
      <w:r w:rsidRPr="008C16E8" w:rsidR="00F543B0">
        <w:t>and supplemental</w:t>
      </w:r>
      <w:r w:rsidR="008C16E8">
        <w:t xml:space="preserve"> 3488-E-A</w:t>
      </w:r>
      <w:r w:rsidR="0017267E">
        <w:t xml:space="preserve"> </w:t>
      </w:r>
      <w:r>
        <w:rPr>
          <w:snapToGrid w:val="0"/>
        </w:rPr>
        <w:t>is approve</w:t>
      </w:r>
      <w:r w:rsidR="0017267E">
        <w:rPr>
          <w:snapToGrid w:val="0"/>
        </w:rPr>
        <w:t>d without modification.</w:t>
      </w:r>
    </w:p>
    <w:p w:rsidR="00773886" w:rsidP="00CB6993" w:rsidRDefault="00EA1DD7" w14:paraId="30EDBEE5" w14:textId="77777777">
      <w:pPr>
        <w:numPr>
          <w:ilvl w:val="0"/>
          <w:numId w:val="5"/>
        </w:numPr>
        <w:rPr>
          <w:snapToGrid w:val="0"/>
        </w:rPr>
      </w:pPr>
      <w:r w:rsidRPr="00CB6993">
        <w:rPr>
          <w:snapToGrid w:val="0"/>
        </w:rPr>
        <w:t xml:space="preserve">SDG&amp;E should implement the </w:t>
      </w:r>
      <w:r w:rsidRPr="00CB6993" w:rsidR="00CB6993">
        <w:rPr>
          <w:snapToGrid w:val="0"/>
        </w:rPr>
        <w:t xml:space="preserve">$8.3 million </w:t>
      </w:r>
      <w:r w:rsidRPr="00CB6993">
        <w:rPr>
          <w:snapToGrid w:val="0"/>
        </w:rPr>
        <w:t xml:space="preserve">PTY 2020 </w:t>
      </w:r>
      <w:r w:rsidR="00CB6993">
        <w:rPr>
          <w:snapToGrid w:val="0"/>
        </w:rPr>
        <w:t xml:space="preserve">revenue requirement </w:t>
      </w:r>
      <w:r w:rsidRPr="00CB6993" w:rsidR="00CB6993">
        <w:rPr>
          <w:snapToGrid w:val="0"/>
        </w:rPr>
        <w:t>reduction</w:t>
      </w:r>
      <w:r w:rsidRPr="00CB6993">
        <w:rPr>
          <w:snapToGrid w:val="0"/>
        </w:rPr>
        <w:t xml:space="preserve"> at the next possible rate change.  </w:t>
      </w:r>
    </w:p>
    <w:p w:rsidR="00EA1DD7" w:rsidP="00CB6993" w:rsidRDefault="00EA1DD7" w14:paraId="7FE78306" w14:textId="7F4E83FF">
      <w:pPr>
        <w:numPr>
          <w:ilvl w:val="0"/>
          <w:numId w:val="5"/>
        </w:numPr>
        <w:rPr>
          <w:snapToGrid w:val="0"/>
        </w:rPr>
      </w:pPr>
      <w:r w:rsidRPr="00CB6993">
        <w:rPr>
          <w:snapToGrid w:val="0"/>
        </w:rPr>
        <w:t xml:space="preserve">If </w:t>
      </w:r>
      <w:r w:rsidR="00CB6993">
        <w:rPr>
          <w:snapToGrid w:val="0"/>
        </w:rPr>
        <w:t>SDG&amp;E’s</w:t>
      </w:r>
      <w:r w:rsidRPr="00CB6993">
        <w:rPr>
          <w:snapToGrid w:val="0"/>
        </w:rPr>
        <w:t xml:space="preserve"> next rate change takes place </w:t>
      </w:r>
      <w:r w:rsidR="00CB6993">
        <w:rPr>
          <w:snapToGrid w:val="0"/>
        </w:rPr>
        <w:t xml:space="preserve">on </w:t>
      </w:r>
      <w:r w:rsidRPr="00CB6993">
        <w:rPr>
          <w:snapToGrid w:val="0"/>
        </w:rPr>
        <w:t xml:space="preserve">January 1, 2021, SDG&amp;E will implement </w:t>
      </w:r>
      <w:r w:rsidRPr="00CB6993" w:rsidR="00CB6993">
        <w:rPr>
          <w:snapToGrid w:val="0"/>
        </w:rPr>
        <w:t xml:space="preserve">the </w:t>
      </w:r>
      <w:r w:rsidR="00CB6993">
        <w:rPr>
          <w:snapToGrid w:val="0"/>
        </w:rPr>
        <w:t xml:space="preserve">PTY </w:t>
      </w:r>
      <w:r w:rsidRPr="00CB6993">
        <w:rPr>
          <w:snapToGrid w:val="0"/>
        </w:rPr>
        <w:t>2020</w:t>
      </w:r>
      <w:r w:rsidRPr="00CB6993" w:rsidR="00CB6993">
        <w:rPr>
          <w:snapToGrid w:val="0"/>
        </w:rPr>
        <w:t xml:space="preserve"> </w:t>
      </w:r>
      <w:r w:rsidRPr="00CB6993">
        <w:rPr>
          <w:snapToGrid w:val="0"/>
        </w:rPr>
        <w:t>savings</w:t>
      </w:r>
      <w:r w:rsidRPr="00CB6993" w:rsidR="00CB6993">
        <w:rPr>
          <w:snapToGrid w:val="0"/>
        </w:rPr>
        <w:t xml:space="preserve"> of $8.3 million,</w:t>
      </w:r>
      <w:r w:rsidRPr="00CB6993">
        <w:rPr>
          <w:snapToGrid w:val="0"/>
        </w:rPr>
        <w:t xml:space="preserve"> </w:t>
      </w:r>
      <w:r w:rsidRPr="00CB6993" w:rsidR="00CB6993">
        <w:rPr>
          <w:snapToGrid w:val="0"/>
        </w:rPr>
        <w:t xml:space="preserve">concurrently with the </w:t>
      </w:r>
      <w:r w:rsidR="00C766F2">
        <w:rPr>
          <w:snapToGrid w:val="0"/>
        </w:rPr>
        <w:br/>
      </w:r>
      <w:r w:rsidRPr="00CB6993" w:rsidR="00CB6993">
        <w:rPr>
          <w:snapToGrid w:val="0"/>
        </w:rPr>
        <w:t xml:space="preserve">$10.9 million savings for </w:t>
      </w:r>
      <w:r w:rsidR="00166E89">
        <w:rPr>
          <w:snapToGrid w:val="0"/>
        </w:rPr>
        <w:t xml:space="preserve">PTY </w:t>
      </w:r>
      <w:r w:rsidRPr="00CB6993" w:rsidR="00CB6993">
        <w:rPr>
          <w:snapToGrid w:val="0"/>
        </w:rPr>
        <w:t>2021.</w:t>
      </w:r>
      <w:r w:rsidR="00773886">
        <w:rPr>
          <w:snapToGrid w:val="0"/>
        </w:rPr>
        <w:t xml:space="preserve">  SDG&amp;E’s PTY 2022 revenue requirement reduction of $10.3 million shall be implemented effective January 1, 2022.  </w:t>
      </w:r>
    </w:p>
    <w:p w:rsidR="00EC6F25" w:rsidP="00CB6993" w:rsidRDefault="00EC6F25" w14:paraId="286F7955" w14:textId="06867EF5">
      <w:pPr>
        <w:numPr>
          <w:ilvl w:val="0"/>
          <w:numId w:val="5"/>
        </w:numPr>
        <w:rPr>
          <w:snapToGrid w:val="0"/>
        </w:rPr>
      </w:pPr>
      <w:r>
        <w:rPr>
          <w:snapToGrid w:val="0"/>
        </w:rPr>
        <w:t xml:space="preserve">Pursuant to </w:t>
      </w:r>
      <w:r w:rsidR="0023179C">
        <w:rPr>
          <w:snapToGrid w:val="0"/>
        </w:rPr>
        <w:t>P</w:t>
      </w:r>
      <w:r w:rsidR="00191445">
        <w:rPr>
          <w:snapToGrid w:val="0"/>
        </w:rPr>
        <w:t>ublic Utilities Code</w:t>
      </w:r>
      <w:r w:rsidR="0023179C">
        <w:rPr>
          <w:snapToGrid w:val="0"/>
        </w:rPr>
        <w:t xml:space="preserve"> Section 8386.3(e), </w:t>
      </w:r>
      <w:r>
        <w:rPr>
          <w:snapToGrid w:val="0"/>
        </w:rPr>
        <w:t xml:space="preserve">for each year following 2022, SDG&amp;E is required </w:t>
      </w:r>
      <w:r w:rsidR="008A073E">
        <w:rPr>
          <w:snapToGrid w:val="0"/>
        </w:rPr>
        <w:t>to</w:t>
      </w:r>
      <w:r>
        <w:rPr>
          <w:snapToGrid w:val="0"/>
        </w:rPr>
        <w:t xml:space="preserve"> reflect the equity rate base exclusion </w:t>
      </w:r>
      <w:r w:rsidR="008A073E">
        <w:rPr>
          <w:snapToGrid w:val="0"/>
        </w:rPr>
        <w:t>for</w:t>
      </w:r>
      <w:r>
        <w:rPr>
          <w:snapToGrid w:val="0"/>
        </w:rPr>
        <w:t xml:space="preserve"> the first $215 million of approved wildfire mitigation capital expenditures</w:t>
      </w:r>
      <w:r w:rsidR="008A073E">
        <w:rPr>
          <w:snapToGrid w:val="0"/>
        </w:rPr>
        <w:t xml:space="preserve"> until the end of the useful life</w:t>
      </w:r>
      <w:r w:rsidR="00E37E88">
        <w:rPr>
          <w:snapToGrid w:val="0"/>
        </w:rPr>
        <w:t xml:space="preserve"> of the assets</w:t>
      </w:r>
      <w:r w:rsidR="008A073E">
        <w:rPr>
          <w:snapToGrid w:val="0"/>
        </w:rPr>
        <w:t>.</w:t>
      </w:r>
      <w:r>
        <w:rPr>
          <w:snapToGrid w:val="0"/>
        </w:rPr>
        <w:t xml:space="preserve"> </w:t>
      </w:r>
    </w:p>
    <w:p w:rsidR="00CF17DE" w:rsidRDefault="00CF17DE" w14:paraId="68D5A3AF" w14:textId="77777777">
      <w:pPr>
        <w:tabs>
          <w:tab w:val="left" w:pos="720"/>
          <w:tab w:val="left" w:pos="1296"/>
          <w:tab w:val="left" w:pos="2016"/>
          <w:tab w:val="left" w:pos="2736"/>
          <w:tab w:val="left" w:pos="3456"/>
          <w:tab w:val="left" w:pos="4176"/>
          <w:tab w:val="left" w:pos="5760"/>
        </w:tabs>
      </w:pPr>
    </w:p>
    <w:p w:rsidR="00C766F2" w:rsidRDefault="00C766F2" w14:paraId="558D6A0B" w14:textId="77777777">
      <w:pPr>
        <w:tabs>
          <w:tab w:val="left" w:pos="720"/>
          <w:tab w:val="left" w:pos="1296"/>
          <w:tab w:val="left" w:pos="2016"/>
          <w:tab w:val="left" w:pos="2736"/>
          <w:tab w:val="left" w:pos="3456"/>
          <w:tab w:val="left" w:pos="4176"/>
          <w:tab w:val="left" w:pos="5760"/>
        </w:tabs>
      </w:pPr>
    </w:p>
    <w:p w:rsidR="00C766F2" w:rsidRDefault="00C766F2" w14:paraId="420DA3F6" w14:textId="77777777">
      <w:pPr>
        <w:tabs>
          <w:tab w:val="left" w:pos="720"/>
          <w:tab w:val="left" w:pos="1296"/>
          <w:tab w:val="left" w:pos="2016"/>
          <w:tab w:val="left" w:pos="2736"/>
          <w:tab w:val="left" w:pos="3456"/>
          <w:tab w:val="left" w:pos="4176"/>
          <w:tab w:val="left" w:pos="5760"/>
        </w:tabs>
      </w:pPr>
    </w:p>
    <w:p w:rsidR="00C766F2" w:rsidRDefault="00C766F2" w14:paraId="6A656163" w14:textId="77777777">
      <w:pPr>
        <w:tabs>
          <w:tab w:val="left" w:pos="720"/>
          <w:tab w:val="left" w:pos="1296"/>
          <w:tab w:val="left" w:pos="2016"/>
          <w:tab w:val="left" w:pos="2736"/>
          <w:tab w:val="left" w:pos="3456"/>
          <w:tab w:val="left" w:pos="4176"/>
          <w:tab w:val="left" w:pos="5760"/>
        </w:tabs>
      </w:pPr>
    </w:p>
    <w:p w:rsidR="00C766F2" w:rsidRDefault="00C766F2" w14:paraId="53EE4F8A" w14:textId="77777777">
      <w:pPr>
        <w:tabs>
          <w:tab w:val="left" w:pos="720"/>
          <w:tab w:val="left" w:pos="1296"/>
          <w:tab w:val="left" w:pos="2016"/>
          <w:tab w:val="left" w:pos="2736"/>
          <w:tab w:val="left" w:pos="3456"/>
          <w:tab w:val="left" w:pos="4176"/>
          <w:tab w:val="left" w:pos="5760"/>
        </w:tabs>
      </w:pPr>
    </w:p>
    <w:p w:rsidR="00C766F2" w:rsidRDefault="00C766F2" w14:paraId="376BF90B" w14:textId="77777777">
      <w:pPr>
        <w:tabs>
          <w:tab w:val="left" w:pos="720"/>
          <w:tab w:val="left" w:pos="1296"/>
          <w:tab w:val="left" w:pos="2016"/>
          <w:tab w:val="left" w:pos="2736"/>
          <w:tab w:val="left" w:pos="3456"/>
          <w:tab w:val="left" w:pos="4176"/>
          <w:tab w:val="left" w:pos="5760"/>
        </w:tabs>
      </w:pPr>
    </w:p>
    <w:p w:rsidR="00C766F2" w:rsidRDefault="00C766F2" w14:paraId="184E02C3" w14:textId="77777777">
      <w:pPr>
        <w:tabs>
          <w:tab w:val="left" w:pos="720"/>
          <w:tab w:val="left" w:pos="1296"/>
          <w:tab w:val="left" w:pos="2016"/>
          <w:tab w:val="left" w:pos="2736"/>
          <w:tab w:val="left" w:pos="3456"/>
          <w:tab w:val="left" w:pos="4176"/>
          <w:tab w:val="left" w:pos="5760"/>
        </w:tabs>
      </w:pPr>
    </w:p>
    <w:p w:rsidR="00C766F2" w:rsidRDefault="00C766F2" w14:paraId="5DC77B14" w14:textId="77777777">
      <w:pPr>
        <w:tabs>
          <w:tab w:val="left" w:pos="720"/>
          <w:tab w:val="left" w:pos="1296"/>
          <w:tab w:val="left" w:pos="2016"/>
          <w:tab w:val="left" w:pos="2736"/>
          <w:tab w:val="left" w:pos="3456"/>
          <w:tab w:val="left" w:pos="4176"/>
          <w:tab w:val="left" w:pos="5760"/>
        </w:tabs>
      </w:pPr>
    </w:p>
    <w:p w:rsidR="00C766F2" w:rsidRDefault="00C766F2" w14:paraId="785A2FC0" w14:textId="77777777">
      <w:pPr>
        <w:tabs>
          <w:tab w:val="left" w:pos="720"/>
          <w:tab w:val="left" w:pos="1296"/>
          <w:tab w:val="left" w:pos="2016"/>
          <w:tab w:val="left" w:pos="2736"/>
          <w:tab w:val="left" w:pos="3456"/>
          <w:tab w:val="left" w:pos="4176"/>
          <w:tab w:val="left" w:pos="5760"/>
        </w:tabs>
      </w:pPr>
    </w:p>
    <w:p w:rsidR="00C766F2" w:rsidRDefault="00C766F2" w14:paraId="50C79E44" w14:textId="77777777">
      <w:pPr>
        <w:tabs>
          <w:tab w:val="left" w:pos="720"/>
          <w:tab w:val="left" w:pos="1296"/>
          <w:tab w:val="left" w:pos="2016"/>
          <w:tab w:val="left" w:pos="2736"/>
          <w:tab w:val="left" w:pos="3456"/>
          <w:tab w:val="left" w:pos="4176"/>
          <w:tab w:val="left" w:pos="5760"/>
        </w:tabs>
      </w:pPr>
    </w:p>
    <w:p w:rsidR="00C766F2" w:rsidRDefault="00C766F2" w14:paraId="0E9F1C2D" w14:textId="77777777">
      <w:pPr>
        <w:tabs>
          <w:tab w:val="left" w:pos="720"/>
          <w:tab w:val="left" w:pos="1296"/>
          <w:tab w:val="left" w:pos="2016"/>
          <w:tab w:val="left" w:pos="2736"/>
          <w:tab w:val="left" w:pos="3456"/>
          <w:tab w:val="left" w:pos="4176"/>
          <w:tab w:val="left" w:pos="5760"/>
        </w:tabs>
      </w:pPr>
    </w:p>
    <w:p w:rsidR="00C766F2" w:rsidRDefault="00C766F2" w14:paraId="2CE2FF13" w14:textId="77777777">
      <w:pPr>
        <w:tabs>
          <w:tab w:val="left" w:pos="720"/>
          <w:tab w:val="left" w:pos="1296"/>
          <w:tab w:val="left" w:pos="2016"/>
          <w:tab w:val="left" w:pos="2736"/>
          <w:tab w:val="left" w:pos="3456"/>
          <w:tab w:val="left" w:pos="4176"/>
          <w:tab w:val="left" w:pos="5760"/>
        </w:tabs>
      </w:pPr>
    </w:p>
    <w:p w:rsidR="00C766F2" w:rsidRDefault="00C766F2" w14:paraId="5511C1E2" w14:textId="77777777">
      <w:pPr>
        <w:tabs>
          <w:tab w:val="left" w:pos="720"/>
          <w:tab w:val="left" w:pos="1296"/>
          <w:tab w:val="left" w:pos="2016"/>
          <w:tab w:val="left" w:pos="2736"/>
          <w:tab w:val="left" w:pos="3456"/>
          <w:tab w:val="left" w:pos="4176"/>
          <w:tab w:val="left" w:pos="5760"/>
        </w:tabs>
      </w:pPr>
    </w:p>
    <w:p w:rsidR="00C766F2" w:rsidRDefault="00C766F2" w14:paraId="4FBE135A" w14:textId="77777777">
      <w:pPr>
        <w:tabs>
          <w:tab w:val="left" w:pos="720"/>
          <w:tab w:val="left" w:pos="1296"/>
          <w:tab w:val="left" w:pos="2016"/>
          <w:tab w:val="left" w:pos="2736"/>
          <w:tab w:val="left" w:pos="3456"/>
          <w:tab w:val="left" w:pos="4176"/>
          <w:tab w:val="left" w:pos="5760"/>
        </w:tabs>
      </w:pPr>
    </w:p>
    <w:p w:rsidR="00C766F2" w:rsidRDefault="00C766F2" w14:paraId="7A475C1A" w14:textId="77777777">
      <w:pPr>
        <w:tabs>
          <w:tab w:val="left" w:pos="720"/>
          <w:tab w:val="left" w:pos="1296"/>
          <w:tab w:val="left" w:pos="2016"/>
          <w:tab w:val="left" w:pos="2736"/>
          <w:tab w:val="left" w:pos="3456"/>
          <w:tab w:val="left" w:pos="4176"/>
          <w:tab w:val="left" w:pos="5760"/>
        </w:tabs>
      </w:pPr>
    </w:p>
    <w:p w:rsidR="00C766F2" w:rsidRDefault="00C766F2" w14:paraId="45A4D15C" w14:textId="77777777">
      <w:pPr>
        <w:tabs>
          <w:tab w:val="left" w:pos="720"/>
          <w:tab w:val="left" w:pos="1296"/>
          <w:tab w:val="left" w:pos="2016"/>
          <w:tab w:val="left" w:pos="2736"/>
          <w:tab w:val="left" w:pos="3456"/>
          <w:tab w:val="left" w:pos="4176"/>
          <w:tab w:val="left" w:pos="5760"/>
        </w:tabs>
      </w:pPr>
    </w:p>
    <w:p w:rsidR="00C766F2" w:rsidRDefault="00C766F2" w14:paraId="7C19F93A" w14:textId="77777777">
      <w:pPr>
        <w:tabs>
          <w:tab w:val="left" w:pos="720"/>
          <w:tab w:val="left" w:pos="1296"/>
          <w:tab w:val="left" w:pos="2016"/>
          <w:tab w:val="left" w:pos="2736"/>
          <w:tab w:val="left" w:pos="3456"/>
          <w:tab w:val="left" w:pos="4176"/>
          <w:tab w:val="left" w:pos="5760"/>
        </w:tabs>
      </w:pPr>
    </w:p>
    <w:p w:rsidR="00CF17DE" w:rsidRDefault="00CF17DE" w14:paraId="66F54F6E" w14:textId="0D291512">
      <w:pPr>
        <w:tabs>
          <w:tab w:val="left" w:pos="720"/>
          <w:tab w:val="left" w:pos="1296"/>
          <w:tab w:val="left" w:pos="2016"/>
          <w:tab w:val="left" w:pos="2736"/>
          <w:tab w:val="left" w:pos="3456"/>
          <w:tab w:val="left" w:pos="4176"/>
          <w:tab w:val="left" w:pos="5760"/>
        </w:tabs>
      </w:pPr>
      <w:r>
        <w:lastRenderedPageBreak/>
        <w:t>This Resolution is effective today.</w:t>
      </w:r>
    </w:p>
    <w:p w:rsidR="00CB42C3" w:rsidRDefault="00CB42C3" w14:paraId="6BF52D83" w14:textId="77777777">
      <w:pPr>
        <w:tabs>
          <w:tab w:val="left" w:pos="720"/>
          <w:tab w:val="left" w:pos="1296"/>
          <w:tab w:val="left" w:pos="2016"/>
          <w:tab w:val="left" w:pos="2736"/>
          <w:tab w:val="left" w:pos="3456"/>
          <w:tab w:val="left" w:pos="4176"/>
          <w:tab w:val="left" w:pos="5760"/>
        </w:tabs>
      </w:pPr>
    </w:p>
    <w:p w:rsidR="00CF17DE" w:rsidRDefault="00CF17DE" w14:paraId="37DFF2C7" w14:textId="304290FE">
      <w:pPr>
        <w:rPr>
          <w:snapToGrid w:val="0"/>
        </w:rPr>
      </w:pPr>
      <w:r>
        <w:rPr>
          <w:snapToGrid w:val="0"/>
        </w:rPr>
        <w:t xml:space="preserve">I certify that the foregoing resolution was duly introduced, passed and adopted at a conference of the Public Utilities Commission of the State of California held on </w:t>
      </w:r>
      <w:r w:rsidR="00D90952">
        <w:rPr>
          <w:snapToGrid w:val="0"/>
        </w:rPr>
        <w:t>June 11, 2020</w:t>
      </w:r>
      <w:r>
        <w:rPr>
          <w:snapToGrid w:val="0"/>
        </w:rPr>
        <w:t>; the following Commissioners voting favorably thereon:</w:t>
      </w:r>
    </w:p>
    <w:p w:rsidR="00CF17DE" w:rsidRDefault="00CF17DE" w14:paraId="25717D42" w14:textId="77777777">
      <w:pPr>
        <w:tabs>
          <w:tab w:val="left" w:pos="720"/>
          <w:tab w:val="left" w:pos="1152"/>
          <w:tab w:val="left" w:pos="1728"/>
          <w:tab w:val="left" w:pos="3168"/>
          <w:tab w:val="left" w:pos="5040"/>
        </w:tabs>
        <w:ind w:right="144"/>
      </w:pPr>
    </w:p>
    <w:p w:rsidR="00CF17DE" w:rsidRDefault="00CF17DE" w14:paraId="0DDF12F7" w14:textId="77777777">
      <w:pPr>
        <w:tabs>
          <w:tab w:val="left" w:pos="720"/>
          <w:tab w:val="left" w:pos="1152"/>
          <w:tab w:val="left" w:pos="1728"/>
          <w:tab w:val="left" w:pos="3168"/>
          <w:tab w:val="left" w:pos="5040"/>
        </w:tabs>
        <w:ind w:right="144"/>
      </w:pPr>
    </w:p>
    <w:p w:rsidR="00CF17DE" w:rsidRDefault="00CF17DE" w14:paraId="41E733DF" w14:textId="77777777">
      <w:pPr>
        <w:tabs>
          <w:tab w:val="left" w:pos="720"/>
          <w:tab w:val="left" w:pos="1152"/>
          <w:tab w:val="left" w:pos="1728"/>
          <w:tab w:val="left" w:pos="3168"/>
          <w:tab w:val="left" w:pos="5040"/>
        </w:tabs>
        <w:ind w:right="144"/>
      </w:pPr>
    </w:p>
    <w:p w:rsidR="00CF17DE" w:rsidRDefault="00CF17DE" w14:paraId="5DBDB6F2" w14:textId="77777777">
      <w:pPr>
        <w:tabs>
          <w:tab w:val="left" w:pos="720"/>
          <w:tab w:val="left" w:pos="1152"/>
          <w:tab w:val="left" w:pos="1728"/>
          <w:tab w:val="left" w:pos="3168"/>
          <w:tab w:val="left" w:pos="5040"/>
        </w:tabs>
        <w:ind w:right="144"/>
      </w:pPr>
    </w:p>
    <w:p w:rsidR="00CF17DE" w:rsidRDefault="00CF17DE" w14:paraId="52203FF3" w14:textId="77777777">
      <w:pPr>
        <w:tabs>
          <w:tab w:val="left" w:pos="720"/>
          <w:tab w:val="left" w:pos="1152"/>
          <w:tab w:val="left" w:pos="1728"/>
          <w:tab w:val="left" w:pos="3168"/>
          <w:tab w:val="left" w:pos="5040"/>
        </w:tabs>
        <w:ind w:right="144"/>
      </w:pPr>
      <w:r>
        <w:tab/>
      </w:r>
      <w:r>
        <w:tab/>
      </w:r>
      <w:r>
        <w:tab/>
      </w:r>
      <w:r>
        <w:tab/>
      </w:r>
      <w:r>
        <w:tab/>
      </w:r>
      <w:r>
        <w:tab/>
        <w:t>_______________</w:t>
      </w:r>
      <w:r w:rsidR="008E6797">
        <w:t>______</w:t>
      </w:r>
    </w:p>
    <w:p w:rsidR="00CF17DE" w:rsidRDefault="00CF17DE" w14:paraId="3A42258B" w14:textId="070BB4D6">
      <w:r>
        <w:tab/>
      </w:r>
      <w:r>
        <w:tab/>
      </w:r>
      <w:r>
        <w:tab/>
      </w:r>
      <w:r>
        <w:tab/>
      </w:r>
      <w:r>
        <w:tab/>
      </w:r>
      <w:r>
        <w:tab/>
      </w:r>
      <w:r>
        <w:tab/>
      </w:r>
      <w:r>
        <w:tab/>
      </w:r>
      <w:r w:rsidR="00E356B6">
        <w:t xml:space="preserve">ALICE STEBBINS </w:t>
      </w:r>
    </w:p>
    <w:p w:rsidR="00CF17DE" w:rsidRDefault="00CF17DE" w14:paraId="16A71E4A" w14:textId="77777777">
      <w:r>
        <w:tab/>
      </w:r>
      <w:r>
        <w:tab/>
      </w:r>
      <w:r>
        <w:tab/>
      </w:r>
      <w:r>
        <w:tab/>
      </w:r>
      <w:r>
        <w:tab/>
      </w:r>
      <w:r>
        <w:tab/>
      </w:r>
      <w:r>
        <w:tab/>
      </w:r>
      <w:r>
        <w:tab/>
        <w:t>Executive Director</w:t>
      </w:r>
    </w:p>
    <w:sectPr w:rsidR="00CF17DE">
      <w:headerReference w:type="default" r:id="rId10"/>
      <w:footerReference w:type="default" r:id="rId11"/>
      <w:headerReference w:type="first" r:id="rId12"/>
      <w:footerReference w:type="first" r:id="rId13"/>
      <w:type w:val="continuous"/>
      <w:pgSz w:w="12240" w:h="15840" w:code="1"/>
      <w:pgMar w:top="1440" w:right="1440" w:bottom="1440"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E109E9" w14:textId="77777777" w:rsidR="00631168" w:rsidRDefault="00631168">
      <w:r>
        <w:separator/>
      </w:r>
    </w:p>
  </w:endnote>
  <w:endnote w:type="continuationSeparator" w:id="0">
    <w:p w14:paraId="2AB34511" w14:textId="77777777" w:rsidR="00631168" w:rsidRDefault="006311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w:panose1 w:val="02070409020205020404"/>
    <w:charset w:val="00"/>
    <w:family w:val="modern"/>
    <w:notTrueType/>
    <w:pitch w:val="fixed"/>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w:altName w:val="Book Antiqua"/>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E28374" w14:textId="77777777" w:rsidR="00CF17DE" w:rsidRDefault="00CF17DE">
    <w:pPr>
      <w:pStyle w:val="Footer"/>
    </w:pPr>
    <w:r>
      <w:rPr>
        <w:rStyle w:val="PageNumber"/>
      </w:rPr>
      <w:fldChar w:fldCharType="begin"/>
    </w:r>
    <w:r>
      <w:rPr>
        <w:rStyle w:val="PageNumber"/>
      </w:rPr>
      <w:instrText xml:space="preserve"> PAGE </w:instrText>
    </w:r>
    <w:r>
      <w:rPr>
        <w:rStyle w:val="PageNumber"/>
      </w:rPr>
      <w:fldChar w:fldCharType="separate"/>
    </w:r>
    <w:r w:rsidR="00ED2FD1">
      <w:rPr>
        <w:rStyle w:val="PageNumber"/>
        <w:noProof/>
      </w:rPr>
      <w:t>7</w:t>
    </w:r>
    <w:r>
      <w:rPr>
        <w:rStyle w:val="PageNumbe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94F35F" w14:textId="3FC3D70C" w:rsidR="00CF17DE" w:rsidRDefault="00CB3589" w:rsidP="00CB3589">
    <w:pPr>
      <w:pStyle w:val="Footer"/>
      <w:tabs>
        <w:tab w:val="clear" w:pos="4320"/>
        <w:tab w:val="center" w:pos="4680"/>
      </w:tabs>
      <w:jc w:val="left"/>
    </w:pPr>
    <w:r w:rsidRPr="00CB3589">
      <w:rPr>
        <w:rFonts w:ascii="Palatino Linotype" w:hAnsi="Palatino Linotype" w:cs="Tahoma"/>
        <w:sz w:val="24"/>
        <w:szCs w:val="24"/>
      </w:rPr>
      <w:t>335833744</w:t>
    </w:r>
    <w:r>
      <w:rPr>
        <w:rFonts w:ascii="Tahoma" w:hAnsi="Tahoma" w:cs="Tahoma"/>
        <w:sz w:val="17"/>
        <w:szCs w:val="17"/>
      </w:rPr>
      <w:tab/>
    </w:r>
    <w:r w:rsidR="00CF17DE">
      <w:rPr>
        <w:rStyle w:val="PageNumber"/>
      </w:rPr>
      <w:fldChar w:fldCharType="begin"/>
    </w:r>
    <w:r w:rsidR="00CF17DE">
      <w:rPr>
        <w:rStyle w:val="PageNumber"/>
      </w:rPr>
      <w:instrText xml:space="preserve"> PAGE </w:instrText>
    </w:r>
    <w:r w:rsidR="00CF17DE">
      <w:rPr>
        <w:rStyle w:val="PageNumber"/>
      </w:rPr>
      <w:fldChar w:fldCharType="separate"/>
    </w:r>
    <w:r w:rsidR="00ED2FD1">
      <w:rPr>
        <w:rStyle w:val="PageNumber"/>
        <w:noProof/>
      </w:rPr>
      <w:t>1</w:t>
    </w:r>
    <w:r w:rsidR="00CF17DE">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524463" w14:textId="77777777" w:rsidR="00631168" w:rsidRDefault="00631168">
      <w:r>
        <w:separator/>
      </w:r>
    </w:p>
  </w:footnote>
  <w:footnote w:type="continuationSeparator" w:id="0">
    <w:p w14:paraId="073DDFAE" w14:textId="77777777" w:rsidR="00631168" w:rsidRDefault="00631168">
      <w:r>
        <w:continuationSeparator/>
      </w:r>
    </w:p>
  </w:footnote>
  <w:footnote w:type="continuationNotice" w:id="1">
    <w:p w14:paraId="7A64B940" w14:textId="77777777" w:rsidR="00631168" w:rsidRDefault="00631168">
      <w:pPr>
        <w:rPr>
          <w:sz w:val="22"/>
        </w:rPr>
      </w:pPr>
    </w:p>
    <w:p w14:paraId="0523BD52" w14:textId="77777777" w:rsidR="00631168" w:rsidRDefault="00631168">
      <w:pPr>
        <w:jc w:val="right"/>
        <w:rPr>
          <w:sz w:val="22"/>
        </w:rPr>
      </w:pPr>
      <w:r>
        <w:rPr>
          <w:i/>
          <w:sz w:val="22"/>
        </w:rPr>
        <w:t>Footnote continued on next page</w:t>
      </w:r>
    </w:p>
  </w:footnote>
  <w:footnote w:id="2">
    <w:p w14:paraId="5E80D5DA" w14:textId="47085C1F" w:rsidR="008E4B57" w:rsidRPr="00F8023C" w:rsidRDefault="008E4B57" w:rsidP="00F8023C">
      <w:pPr>
        <w:pStyle w:val="FootnoteText"/>
        <w:numPr>
          <w:ilvl w:val="0"/>
          <w:numId w:val="0"/>
        </w:numPr>
        <w:spacing w:after="0"/>
        <w:rPr>
          <w:sz w:val="22"/>
          <w:szCs w:val="22"/>
        </w:rPr>
      </w:pPr>
      <w:r w:rsidRPr="00F8023C">
        <w:rPr>
          <w:rStyle w:val="FootnoteReference"/>
          <w:sz w:val="22"/>
          <w:szCs w:val="22"/>
        </w:rPr>
        <w:footnoteRef/>
      </w:r>
      <w:r w:rsidR="005C47DE" w:rsidRPr="00F8023C">
        <w:rPr>
          <w:sz w:val="22"/>
          <w:szCs w:val="22"/>
        </w:rPr>
        <w:t xml:space="preserve"> AB 1054 added Sec. 8386.3(e) to the Public Utilities Code.</w:t>
      </w:r>
    </w:p>
  </w:footnote>
  <w:footnote w:id="3">
    <w:p w14:paraId="4C372946" w14:textId="40B36B71" w:rsidR="008B1ECF" w:rsidRDefault="008B1ECF" w:rsidP="00F8023C">
      <w:pPr>
        <w:pStyle w:val="FootnoteText"/>
        <w:numPr>
          <w:ilvl w:val="0"/>
          <w:numId w:val="0"/>
        </w:numPr>
        <w:spacing w:after="0"/>
        <w:ind w:left="360" w:hanging="360"/>
      </w:pPr>
      <w:r w:rsidRPr="00F8023C">
        <w:rPr>
          <w:rStyle w:val="FootnoteReference"/>
          <w:sz w:val="22"/>
          <w:szCs w:val="22"/>
        </w:rPr>
        <w:footnoteRef/>
      </w:r>
      <w:r w:rsidRPr="00F8023C">
        <w:rPr>
          <w:sz w:val="22"/>
          <w:szCs w:val="22"/>
        </w:rPr>
        <w:t xml:space="preserve"> SDG&amp;E Supplemental Advice Letter 3488-E-A, p. 2. </w:t>
      </w:r>
    </w:p>
  </w:footnote>
  <w:footnote w:id="4">
    <w:p w14:paraId="409F0EE5" w14:textId="775DC936" w:rsidR="00B03C9F" w:rsidRPr="00F8023C" w:rsidRDefault="00B03C9F" w:rsidP="00CF22DE">
      <w:pPr>
        <w:pStyle w:val="FootnoteText"/>
        <w:numPr>
          <w:ilvl w:val="0"/>
          <w:numId w:val="0"/>
        </w:numPr>
        <w:spacing w:after="0"/>
        <w:ind w:left="360" w:hanging="360"/>
        <w:rPr>
          <w:sz w:val="22"/>
          <w:szCs w:val="22"/>
        </w:rPr>
      </w:pPr>
      <w:r w:rsidRPr="00F8023C">
        <w:rPr>
          <w:rStyle w:val="FootnoteReference"/>
          <w:sz w:val="22"/>
          <w:szCs w:val="22"/>
        </w:rPr>
        <w:footnoteRef/>
      </w:r>
      <w:r w:rsidRPr="00F8023C">
        <w:rPr>
          <w:sz w:val="22"/>
          <w:szCs w:val="22"/>
        </w:rPr>
        <w:t xml:space="preserve"> </w:t>
      </w:r>
      <w:r w:rsidR="0006439C" w:rsidRPr="00F8023C">
        <w:rPr>
          <w:sz w:val="22"/>
          <w:szCs w:val="22"/>
        </w:rPr>
        <w:t>D</w:t>
      </w:r>
      <w:r w:rsidRPr="00F8023C">
        <w:rPr>
          <w:sz w:val="22"/>
          <w:szCs w:val="22"/>
        </w:rPr>
        <w:t>ebt financing for ratemaking does not require additional revenue for income taxes</w:t>
      </w:r>
      <w:r w:rsidR="00287258">
        <w:rPr>
          <w:sz w:val="22"/>
          <w:szCs w:val="22"/>
        </w:rPr>
        <w:t>,</w:t>
      </w:r>
      <w:r w:rsidRPr="00F8023C">
        <w:rPr>
          <w:sz w:val="22"/>
          <w:szCs w:val="22"/>
        </w:rPr>
        <w:t xml:space="preserve"> because the interest expense on debt is deductible from taxable income.  </w:t>
      </w:r>
    </w:p>
  </w:footnote>
  <w:footnote w:id="5">
    <w:p w14:paraId="0DCDB17D" w14:textId="2096AC2E" w:rsidR="00B03C9F" w:rsidRDefault="00B03C9F" w:rsidP="00CF22DE">
      <w:pPr>
        <w:pStyle w:val="FootnoteText"/>
        <w:numPr>
          <w:ilvl w:val="0"/>
          <w:numId w:val="0"/>
        </w:numPr>
        <w:spacing w:after="0"/>
        <w:ind w:left="360" w:hanging="360"/>
      </w:pPr>
      <w:r w:rsidRPr="00F8023C">
        <w:rPr>
          <w:rStyle w:val="FootnoteReference"/>
          <w:sz w:val="22"/>
          <w:szCs w:val="22"/>
        </w:rPr>
        <w:footnoteRef/>
      </w:r>
      <w:r w:rsidRPr="00F8023C">
        <w:rPr>
          <w:sz w:val="22"/>
          <w:szCs w:val="22"/>
        </w:rPr>
        <w:t xml:space="preserve"> </w:t>
      </w:r>
      <w:bookmarkStart w:id="4" w:name="_Hlk35426509"/>
      <w:r w:rsidR="00AD3748" w:rsidRPr="00F8023C">
        <w:rPr>
          <w:sz w:val="22"/>
          <w:szCs w:val="22"/>
        </w:rPr>
        <w:t xml:space="preserve">D.19-12-056, </w:t>
      </w:r>
      <w:r w:rsidR="005C77D8" w:rsidRPr="00F8023C">
        <w:rPr>
          <w:sz w:val="22"/>
          <w:szCs w:val="22"/>
        </w:rPr>
        <w:t xml:space="preserve">p. </w:t>
      </w:r>
      <w:r w:rsidR="00AD3748" w:rsidRPr="00F8023C">
        <w:rPr>
          <w:sz w:val="22"/>
          <w:szCs w:val="22"/>
        </w:rPr>
        <w:t>2.</w:t>
      </w:r>
      <w:bookmarkEnd w:id="4"/>
    </w:p>
  </w:footnote>
  <w:footnote w:id="6">
    <w:p w14:paraId="4BE1B114" w14:textId="372FCE7E" w:rsidR="00880547" w:rsidRPr="00F8023C" w:rsidRDefault="00880547" w:rsidP="00CF22DE">
      <w:pPr>
        <w:pStyle w:val="FootnoteText"/>
        <w:numPr>
          <w:ilvl w:val="0"/>
          <w:numId w:val="0"/>
        </w:numPr>
        <w:spacing w:after="0"/>
        <w:ind w:left="360" w:hanging="360"/>
        <w:rPr>
          <w:sz w:val="22"/>
          <w:szCs w:val="22"/>
        </w:rPr>
      </w:pPr>
      <w:r w:rsidRPr="00F8023C">
        <w:rPr>
          <w:rStyle w:val="FootnoteReference"/>
          <w:sz w:val="22"/>
          <w:szCs w:val="22"/>
        </w:rPr>
        <w:footnoteRef/>
      </w:r>
      <w:r w:rsidRPr="00F8023C">
        <w:rPr>
          <w:sz w:val="22"/>
          <w:szCs w:val="22"/>
        </w:rPr>
        <w:t xml:space="preserve"> The debt/equity ratio of 50/50 is used for illustrative purposes.  Actual capital structure will vary</w:t>
      </w:r>
      <w:r w:rsidR="00C12173" w:rsidRPr="00F8023C">
        <w:rPr>
          <w:sz w:val="22"/>
          <w:szCs w:val="22"/>
        </w:rPr>
        <w:t xml:space="preserve"> by utility</w:t>
      </w:r>
      <w:r w:rsidRPr="00F8023C">
        <w:rPr>
          <w:sz w:val="22"/>
          <w:szCs w:val="22"/>
        </w:rPr>
        <w:t xml:space="preserve"> and include a small percentage of preferred equity. </w:t>
      </w:r>
    </w:p>
  </w:footnote>
  <w:footnote w:id="7">
    <w:p w14:paraId="43C34D97" w14:textId="1756281D" w:rsidR="00C12173" w:rsidRPr="00F8023C" w:rsidRDefault="00C12173" w:rsidP="00FA0CE7">
      <w:pPr>
        <w:pStyle w:val="FootnoteText"/>
        <w:numPr>
          <w:ilvl w:val="0"/>
          <w:numId w:val="0"/>
        </w:numPr>
        <w:spacing w:after="0"/>
        <w:rPr>
          <w:sz w:val="22"/>
          <w:szCs w:val="22"/>
        </w:rPr>
      </w:pPr>
      <w:r w:rsidRPr="00F8023C">
        <w:rPr>
          <w:rStyle w:val="FootnoteReference"/>
          <w:sz w:val="22"/>
          <w:szCs w:val="22"/>
        </w:rPr>
        <w:footnoteRef/>
      </w:r>
      <w:r w:rsidRPr="00F8023C">
        <w:rPr>
          <w:sz w:val="22"/>
          <w:szCs w:val="22"/>
        </w:rPr>
        <w:t xml:space="preserve"> </w:t>
      </w:r>
      <w:r w:rsidR="004A1329" w:rsidRPr="00F8023C">
        <w:rPr>
          <w:sz w:val="22"/>
          <w:szCs w:val="22"/>
        </w:rPr>
        <w:t>D.19-12-056, p. 2.</w:t>
      </w:r>
    </w:p>
  </w:footnote>
  <w:footnote w:id="8">
    <w:p w14:paraId="4A2FFA61" w14:textId="1235D637" w:rsidR="000F6D77" w:rsidRDefault="000F6D77" w:rsidP="00FA0CE7">
      <w:pPr>
        <w:pStyle w:val="FootnoteText"/>
        <w:numPr>
          <w:ilvl w:val="0"/>
          <w:numId w:val="0"/>
        </w:numPr>
        <w:spacing w:after="0"/>
      </w:pPr>
      <w:r w:rsidRPr="00F8023C">
        <w:rPr>
          <w:rStyle w:val="FootnoteReference"/>
          <w:sz w:val="22"/>
          <w:szCs w:val="22"/>
        </w:rPr>
        <w:footnoteRef/>
      </w:r>
      <w:r w:rsidRPr="00F8023C">
        <w:rPr>
          <w:sz w:val="22"/>
          <w:szCs w:val="22"/>
        </w:rPr>
        <w:t xml:space="preserve"> SCE: A.19-08-013 and PG&amp;E: A.18-12-009.</w:t>
      </w:r>
      <w:r>
        <w:t xml:space="preserve"> </w:t>
      </w:r>
    </w:p>
  </w:footnote>
  <w:footnote w:id="9">
    <w:p w14:paraId="056C2D2E" w14:textId="7326A56F" w:rsidR="005148C1" w:rsidRPr="00F8023C" w:rsidRDefault="005148C1" w:rsidP="00F8023C">
      <w:pPr>
        <w:pStyle w:val="FootnoteText"/>
        <w:numPr>
          <w:ilvl w:val="0"/>
          <w:numId w:val="0"/>
        </w:numPr>
        <w:spacing w:after="0"/>
        <w:ind w:left="360" w:hanging="360"/>
        <w:rPr>
          <w:sz w:val="22"/>
          <w:szCs w:val="22"/>
        </w:rPr>
      </w:pPr>
      <w:r w:rsidRPr="00F8023C">
        <w:rPr>
          <w:rStyle w:val="FootnoteReference"/>
          <w:sz w:val="22"/>
          <w:szCs w:val="22"/>
        </w:rPr>
        <w:footnoteRef/>
      </w:r>
      <w:r w:rsidRPr="00F8023C">
        <w:rPr>
          <w:sz w:val="22"/>
          <w:szCs w:val="22"/>
        </w:rPr>
        <w:t xml:space="preserve"> See SDG&amp;E AL 3488-E, Attachment A for additional</w:t>
      </w:r>
      <w:r w:rsidR="00A40613" w:rsidRPr="00F8023C">
        <w:rPr>
          <w:sz w:val="22"/>
          <w:szCs w:val="22"/>
        </w:rPr>
        <w:t xml:space="preserve"> PTY</w:t>
      </w:r>
      <w:r w:rsidR="00F5686D">
        <w:rPr>
          <w:sz w:val="22"/>
          <w:szCs w:val="22"/>
        </w:rPr>
        <w:t>s</w:t>
      </w:r>
      <w:r w:rsidRPr="00F8023C">
        <w:rPr>
          <w:sz w:val="22"/>
          <w:szCs w:val="22"/>
        </w:rPr>
        <w:t xml:space="preserve"> </w:t>
      </w:r>
      <w:r w:rsidR="00C4384B">
        <w:rPr>
          <w:sz w:val="22"/>
          <w:szCs w:val="22"/>
        </w:rPr>
        <w:t xml:space="preserve">2021-2022 </w:t>
      </w:r>
      <w:r w:rsidRPr="00F8023C">
        <w:rPr>
          <w:sz w:val="22"/>
          <w:szCs w:val="22"/>
        </w:rPr>
        <w:t>calculation details</w:t>
      </w:r>
      <w:r w:rsidR="00A40613" w:rsidRPr="00F8023C">
        <w:rPr>
          <w:sz w:val="22"/>
          <w:szCs w:val="22"/>
        </w:rPr>
        <w:t>.</w:t>
      </w:r>
    </w:p>
  </w:footnote>
  <w:footnote w:id="10">
    <w:p w14:paraId="5225AA47" w14:textId="2FFB01D2" w:rsidR="00656266" w:rsidRDefault="00656266" w:rsidP="00F8023C">
      <w:pPr>
        <w:pStyle w:val="FootnoteText"/>
        <w:numPr>
          <w:ilvl w:val="0"/>
          <w:numId w:val="0"/>
        </w:numPr>
        <w:spacing w:after="0"/>
        <w:ind w:left="360" w:hanging="360"/>
      </w:pPr>
      <w:r w:rsidRPr="00F8023C">
        <w:rPr>
          <w:rStyle w:val="FootnoteReference"/>
          <w:sz w:val="22"/>
          <w:szCs w:val="22"/>
        </w:rPr>
        <w:footnoteRef/>
      </w:r>
      <w:r w:rsidRPr="00F8023C">
        <w:rPr>
          <w:sz w:val="22"/>
          <w:szCs w:val="22"/>
        </w:rPr>
        <w:t xml:space="preserve"> </w:t>
      </w:r>
      <w:bookmarkStart w:id="5" w:name="_Hlk36633394"/>
      <w:r w:rsidRPr="00F8023C">
        <w:rPr>
          <w:sz w:val="22"/>
          <w:szCs w:val="22"/>
        </w:rPr>
        <w:t xml:space="preserve">SDG&amp;E Supplemental AL 3488-E-A, p. </w:t>
      </w:r>
      <w:r w:rsidR="006B2034" w:rsidRPr="00F8023C">
        <w:rPr>
          <w:sz w:val="22"/>
          <w:szCs w:val="22"/>
        </w:rPr>
        <w:t>2.</w:t>
      </w:r>
      <w:bookmarkEnd w:id="5"/>
    </w:p>
  </w:footnote>
  <w:footnote w:id="11">
    <w:p w14:paraId="14B90C9F" w14:textId="1632EFFC" w:rsidR="00CF1039" w:rsidRPr="00F8023C" w:rsidRDefault="00CF1039" w:rsidP="00D07E06">
      <w:pPr>
        <w:pStyle w:val="FootnoteText"/>
        <w:numPr>
          <w:ilvl w:val="0"/>
          <w:numId w:val="0"/>
        </w:numPr>
        <w:spacing w:after="0"/>
        <w:ind w:left="360" w:hanging="360"/>
        <w:rPr>
          <w:sz w:val="22"/>
          <w:szCs w:val="22"/>
        </w:rPr>
      </w:pPr>
      <w:r w:rsidRPr="00F8023C">
        <w:rPr>
          <w:rStyle w:val="FootnoteReference"/>
          <w:sz w:val="22"/>
          <w:szCs w:val="22"/>
        </w:rPr>
        <w:footnoteRef/>
      </w:r>
      <w:r w:rsidRPr="00F8023C">
        <w:rPr>
          <w:sz w:val="22"/>
          <w:szCs w:val="22"/>
        </w:rPr>
        <w:t xml:space="preserve"> </w:t>
      </w:r>
      <w:r w:rsidR="008E47B6" w:rsidRPr="00F8023C">
        <w:rPr>
          <w:sz w:val="22"/>
          <w:szCs w:val="22"/>
        </w:rPr>
        <w:t>POC</w:t>
      </w:r>
      <w:r w:rsidRPr="00F8023C">
        <w:rPr>
          <w:sz w:val="22"/>
          <w:szCs w:val="22"/>
        </w:rPr>
        <w:t xml:space="preserve"> Protest of SDG&amp;E supplemental A</w:t>
      </w:r>
      <w:r w:rsidR="00B83A89">
        <w:rPr>
          <w:sz w:val="22"/>
          <w:szCs w:val="22"/>
        </w:rPr>
        <w:t>L</w:t>
      </w:r>
      <w:r w:rsidRPr="00F8023C">
        <w:rPr>
          <w:sz w:val="22"/>
          <w:szCs w:val="22"/>
        </w:rPr>
        <w:t xml:space="preserve"> 3488-E-A, p. </w:t>
      </w:r>
      <w:r w:rsidR="00B83A89">
        <w:rPr>
          <w:sz w:val="22"/>
          <w:szCs w:val="22"/>
        </w:rPr>
        <w:t>1.</w:t>
      </w:r>
    </w:p>
  </w:footnote>
  <w:footnote w:id="12">
    <w:p w14:paraId="4FC9A635" w14:textId="55E8706C" w:rsidR="008E47B6" w:rsidRPr="00F8023C" w:rsidRDefault="008E47B6" w:rsidP="00D07E06">
      <w:pPr>
        <w:pStyle w:val="FootnoteText"/>
        <w:numPr>
          <w:ilvl w:val="0"/>
          <w:numId w:val="0"/>
        </w:numPr>
        <w:spacing w:after="0"/>
        <w:ind w:left="360" w:hanging="360"/>
        <w:rPr>
          <w:sz w:val="22"/>
          <w:szCs w:val="22"/>
        </w:rPr>
      </w:pPr>
      <w:r w:rsidRPr="00F8023C">
        <w:rPr>
          <w:rStyle w:val="FootnoteReference"/>
          <w:sz w:val="22"/>
          <w:szCs w:val="22"/>
        </w:rPr>
        <w:footnoteRef/>
      </w:r>
      <w:r w:rsidRPr="00F8023C">
        <w:rPr>
          <w:sz w:val="22"/>
          <w:szCs w:val="22"/>
        </w:rPr>
        <w:t xml:space="preserve"> SDG&amp;E Supplemental AL 3488-E-A, p. 2.</w:t>
      </w:r>
    </w:p>
  </w:footnote>
  <w:footnote w:id="13">
    <w:p w14:paraId="4E6251F7" w14:textId="3D1CF2E7" w:rsidR="0073188B" w:rsidRPr="00F8023C" w:rsidRDefault="0073188B" w:rsidP="00D07E06">
      <w:pPr>
        <w:pStyle w:val="FootnoteText"/>
        <w:numPr>
          <w:ilvl w:val="0"/>
          <w:numId w:val="0"/>
        </w:numPr>
        <w:spacing w:after="0"/>
        <w:ind w:left="360" w:hanging="360"/>
        <w:rPr>
          <w:sz w:val="22"/>
          <w:szCs w:val="22"/>
        </w:rPr>
      </w:pPr>
      <w:r w:rsidRPr="00F8023C">
        <w:rPr>
          <w:rStyle w:val="FootnoteReference"/>
          <w:sz w:val="22"/>
          <w:szCs w:val="22"/>
        </w:rPr>
        <w:footnoteRef/>
      </w:r>
      <w:r w:rsidRPr="00F8023C">
        <w:rPr>
          <w:sz w:val="22"/>
          <w:szCs w:val="22"/>
        </w:rPr>
        <w:t xml:space="preserve"> </w:t>
      </w:r>
      <w:r w:rsidR="008E47B6" w:rsidRPr="00F8023C">
        <w:rPr>
          <w:sz w:val="22"/>
          <w:szCs w:val="22"/>
        </w:rPr>
        <w:t>Ibid.</w:t>
      </w:r>
    </w:p>
  </w:footnote>
  <w:footnote w:id="14">
    <w:p w14:paraId="6E82F596" w14:textId="2807AC50" w:rsidR="00241C28" w:rsidRPr="00F8023C" w:rsidRDefault="00241C28" w:rsidP="00D07E06">
      <w:pPr>
        <w:pStyle w:val="FootnoteText"/>
        <w:numPr>
          <w:ilvl w:val="0"/>
          <w:numId w:val="0"/>
        </w:numPr>
        <w:spacing w:after="0"/>
        <w:ind w:left="360" w:hanging="360"/>
        <w:rPr>
          <w:sz w:val="22"/>
          <w:szCs w:val="22"/>
        </w:rPr>
      </w:pPr>
      <w:r w:rsidRPr="00F8023C">
        <w:rPr>
          <w:rStyle w:val="FootnoteReference"/>
          <w:sz w:val="22"/>
          <w:szCs w:val="22"/>
        </w:rPr>
        <w:footnoteRef/>
      </w:r>
      <w:r w:rsidRPr="00F8023C">
        <w:rPr>
          <w:sz w:val="22"/>
          <w:szCs w:val="22"/>
        </w:rPr>
        <w:t xml:space="preserve"> </w:t>
      </w:r>
      <w:r w:rsidR="00FC372B">
        <w:rPr>
          <w:sz w:val="22"/>
          <w:szCs w:val="22"/>
        </w:rPr>
        <w:t>Ibid.</w:t>
      </w:r>
    </w:p>
  </w:footnote>
  <w:footnote w:id="15">
    <w:p w14:paraId="7F440616" w14:textId="656EC008" w:rsidR="00F61EF8" w:rsidRDefault="00F61EF8" w:rsidP="00641120">
      <w:pPr>
        <w:pStyle w:val="FootnoteText"/>
        <w:numPr>
          <w:ilvl w:val="0"/>
          <w:numId w:val="0"/>
        </w:numPr>
        <w:spacing w:after="0"/>
        <w:ind w:left="360" w:hanging="360"/>
      </w:pPr>
      <w:r w:rsidRPr="00F8023C">
        <w:rPr>
          <w:rStyle w:val="FootnoteReference"/>
          <w:sz w:val="22"/>
          <w:szCs w:val="22"/>
        </w:rPr>
        <w:footnoteRef/>
      </w:r>
      <w:r w:rsidRPr="00F8023C">
        <w:rPr>
          <w:sz w:val="22"/>
          <w:szCs w:val="22"/>
        </w:rPr>
        <w:t xml:space="preserve"> POC Protest</w:t>
      </w:r>
      <w:r w:rsidR="00B83A89">
        <w:rPr>
          <w:sz w:val="22"/>
          <w:szCs w:val="22"/>
        </w:rPr>
        <w:t xml:space="preserve"> of SDG&amp;E supplemental AL 3488-E-A</w:t>
      </w:r>
      <w:r w:rsidRPr="00F8023C">
        <w:rPr>
          <w:sz w:val="22"/>
          <w:szCs w:val="22"/>
        </w:rPr>
        <w:t>, p. 2.</w:t>
      </w:r>
    </w:p>
  </w:footnote>
  <w:footnote w:id="16">
    <w:p w14:paraId="48018E36" w14:textId="76C8ED91" w:rsidR="00D413EF" w:rsidRPr="00527EF6" w:rsidRDefault="00D413EF" w:rsidP="00641120">
      <w:pPr>
        <w:pStyle w:val="FootnoteText"/>
        <w:numPr>
          <w:ilvl w:val="0"/>
          <w:numId w:val="0"/>
        </w:numPr>
        <w:spacing w:after="0"/>
        <w:ind w:left="360" w:hanging="360"/>
        <w:rPr>
          <w:sz w:val="22"/>
          <w:szCs w:val="22"/>
        </w:rPr>
      </w:pPr>
      <w:r w:rsidRPr="00527EF6">
        <w:rPr>
          <w:rStyle w:val="FootnoteReference"/>
          <w:sz w:val="22"/>
          <w:szCs w:val="22"/>
        </w:rPr>
        <w:footnoteRef/>
      </w:r>
      <w:r w:rsidRPr="00527EF6">
        <w:rPr>
          <w:sz w:val="22"/>
          <w:szCs w:val="22"/>
        </w:rPr>
        <w:t xml:space="preserve"> POC Protest</w:t>
      </w:r>
      <w:r w:rsidR="005F2A57" w:rsidRPr="00527EF6">
        <w:rPr>
          <w:sz w:val="22"/>
          <w:szCs w:val="22"/>
        </w:rPr>
        <w:t xml:space="preserve"> of SDG&amp;E supplemental AL 3488-E-A</w:t>
      </w:r>
      <w:r w:rsidRPr="00527EF6">
        <w:rPr>
          <w:sz w:val="22"/>
          <w:szCs w:val="22"/>
        </w:rPr>
        <w:t>, p. 2.</w:t>
      </w:r>
    </w:p>
  </w:footnote>
  <w:footnote w:id="17">
    <w:p w14:paraId="764C57B0" w14:textId="50A0BFDF" w:rsidR="00A0020E" w:rsidRDefault="00A0020E" w:rsidP="00641120">
      <w:pPr>
        <w:pStyle w:val="FootnoteText"/>
        <w:numPr>
          <w:ilvl w:val="0"/>
          <w:numId w:val="0"/>
        </w:numPr>
        <w:spacing w:after="0"/>
        <w:ind w:left="360" w:hanging="360"/>
      </w:pPr>
      <w:r w:rsidRPr="00527EF6">
        <w:rPr>
          <w:rStyle w:val="FootnoteReference"/>
          <w:sz w:val="22"/>
          <w:szCs w:val="22"/>
        </w:rPr>
        <w:footnoteRef/>
      </w:r>
      <w:r w:rsidRPr="00527EF6">
        <w:rPr>
          <w:sz w:val="22"/>
          <w:szCs w:val="22"/>
        </w:rPr>
        <w:t xml:space="preserve"> </w:t>
      </w:r>
      <w:r w:rsidR="00527EF6" w:rsidRPr="00527EF6">
        <w:rPr>
          <w:sz w:val="22"/>
          <w:szCs w:val="22"/>
        </w:rPr>
        <w:t>SDG&amp;E Reply to POC’s Protest of SDG&amp;E supplemental AL 3488-E-A, p. 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3264C6" w14:textId="2415870A" w:rsidR="00CF17DE" w:rsidRDefault="00CF17DE">
    <w:pPr>
      <w:pStyle w:val="Header"/>
      <w:tabs>
        <w:tab w:val="clear" w:pos="4320"/>
        <w:tab w:val="clear" w:pos="8640"/>
        <w:tab w:val="center" w:pos="4680"/>
        <w:tab w:val="right" w:pos="9180"/>
      </w:tabs>
    </w:pPr>
    <w:r>
      <w:t>Resolution E</w:t>
    </w:r>
    <w:r w:rsidR="00BE4737">
      <w:t>-5071</w:t>
    </w:r>
    <w:r w:rsidR="003F6E5A">
      <w:tab/>
    </w:r>
    <w:r>
      <w:t>DRAFT</w:t>
    </w:r>
    <w:r>
      <w:tab/>
    </w:r>
    <w:r w:rsidR="00D90952">
      <w:t>June 11</w:t>
    </w:r>
    <w:r w:rsidR="008D3AFC">
      <w:t>, 2020</w:t>
    </w:r>
  </w:p>
  <w:p w14:paraId="0250B941" w14:textId="260AFA5D" w:rsidR="00CF17DE" w:rsidRDefault="00BE4737">
    <w:pPr>
      <w:pStyle w:val="Header"/>
      <w:tabs>
        <w:tab w:val="clear" w:pos="4320"/>
        <w:tab w:val="clear" w:pos="8640"/>
        <w:tab w:val="center" w:pos="4680"/>
        <w:tab w:val="right" w:pos="9180"/>
      </w:tabs>
    </w:pPr>
    <w:r>
      <w:t xml:space="preserve">SDG&amp;E </w:t>
    </w:r>
    <w:r w:rsidR="00CF17DE">
      <w:t xml:space="preserve">AL </w:t>
    </w:r>
    <w:r>
      <w:t>3488</w:t>
    </w:r>
    <w:r w:rsidR="00CF17DE">
      <w:t>-E</w:t>
    </w:r>
    <w:r>
      <w:t>/3488-E-A</w:t>
    </w:r>
    <w:r w:rsidR="00CF17DE">
      <w:t>/</w:t>
    </w:r>
    <w:r>
      <w:t>mc8</w:t>
    </w:r>
  </w:p>
  <w:p w14:paraId="6DDFA45D" w14:textId="77777777" w:rsidR="00CF17DE" w:rsidRDefault="00CF17D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1BCB6B" w14:textId="77777777" w:rsidR="00CF17DE" w:rsidRPr="008E6797" w:rsidRDefault="00CF17DE" w:rsidP="003F6E5A">
    <w:pPr>
      <w:pStyle w:val="Header"/>
      <w:jc w:val="center"/>
      <w:rPr>
        <w:rFonts w:ascii="Helvetica" w:hAnsi="Helvetica"/>
        <w:sz w:val="28"/>
      </w:rPr>
    </w:pPr>
    <w:r w:rsidRPr="008E6797">
      <w:t>DRAFT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AE5E0A"/>
    <w:multiLevelType w:val="singleLevel"/>
    <w:tmpl w:val="81622C8A"/>
    <w:lvl w:ilvl="0">
      <w:start w:val="1"/>
      <w:numFmt w:val="upperLetter"/>
      <w:pStyle w:val="AListIndent"/>
      <w:lvlText w:val="%1. "/>
      <w:lvlJc w:val="left"/>
      <w:pPr>
        <w:tabs>
          <w:tab w:val="num" w:pos="1152"/>
        </w:tabs>
        <w:ind w:left="1152" w:hanging="432"/>
      </w:pPr>
      <w:rPr>
        <w:rFonts w:ascii="Courier" w:hAnsi="Courier" w:hint="default"/>
        <w:b w:val="0"/>
        <w:i w:val="0"/>
        <w:sz w:val="24"/>
      </w:rPr>
    </w:lvl>
  </w:abstractNum>
  <w:abstractNum w:abstractNumId="1" w15:restartNumberingAfterBreak="0">
    <w:nsid w:val="0BDB7819"/>
    <w:multiLevelType w:val="singleLevel"/>
    <w:tmpl w:val="0409000F"/>
    <w:lvl w:ilvl="0">
      <w:start w:val="1"/>
      <w:numFmt w:val="decimal"/>
      <w:lvlText w:val="%1."/>
      <w:lvlJc w:val="left"/>
      <w:pPr>
        <w:tabs>
          <w:tab w:val="num" w:pos="360"/>
        </w:tabs>
        <w:ind w:left="360" w:hanging="360"/>
      </w:pPr>
    </w:lvl>
  </w:abstractNum>
  <w:abstractNum w:abstractNumId="2" w15:restartNumberingAfterBreak="0">
    <w:nsid w:val="19237998"/>
    <w:multiLevelType w:val="hybridMultilevel"/>
    <w:tmpl w:val="2F229B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1480B1D"/>
    <w:multiLevelType w:val="multilevel"/>
    <w:tmpl w:val="88443944"/>
    <w:lvl w:ilvl="0">
      <w:start w:val="1"/>
      <w:numFmt w:val="decimal"/>
      <w:pStyle w:val="FootnoteText"/>
      <w:lvlText w:val="%1."/>
      <w:lvlJc w:val="left"/>
      <w:pPr>
        <w:tabs>
          <w:tab w:val="num" w:pos="360"/>
        </w:tabs>
        <w:ind w:left="360" w:hanging="360"/>
      </w:pPr>
      <w:rPr>
        <w:rFonts w:hint="default"/>
      </w:rPr>
    </w:lvl>
    <w:lvl w:ilvl="1">
      <w:start w:val="1"/>
      <w:numFmt w:val="decimal"/>
      <w:pStyle w:val="Heading2"/>
      <w:isLgl/>
      <w:lvlText w:val="%1.%2"/>
      <w:lvlJc w:val="left"/>
      <w:pPr>
        <w:tabs>
          <w:tab w:val="num" w:pos="1215"/>
        </w:tabs>
        <w:ind w:left="1215" w:hanging="495"/>
      </w:pPr>
      <w:rPr>
        <w:rFonts w:hint="default"/>
      </w:rPr>
    </w:lvl>
    <w:lvl w:ilvl="2">
      <w:start w:val="1"/>
      <w:numFmt w:val="decimal"/>
      <w:isLgl/>
      <w:lvlText w:val="%1.%2.%3"/>
      <w:lvlJc w:val="left"/>
      <w:pPr>
        <w:tabs>
          <w:tab w:val="num" w:pos="2160"/>
        </w:tabs>
        <w:ind w:left="2160" w:hanging="720"/>
      </w:pPr>
      <w:rPr>
        <w:rFonts w:hint="default"/>
      </w:rPr>
    </w:lvl>
    <w:lvl w:ilvl="3">
      <w:start w:val="1"/>
      <w:numFmt w:val="decimalZero"/>
      <w:isLgl/>
      <w:lvlText w:val="%1.%2.%3.%4"/>
      <w:lvlJc w:val="left"/>
      <w:pPr>
        <w:tabs>
          <w:tab w:val="num" w:pos="2880"/>
        </w:tabs>
        <w:ind w:left="2880" w:hanging="720"/>
      </w:pPr>
      <w:rPr>
        <w:rFonts w:hint="default"/>
      </w:rPr>
    </w:lvl>
    <w:lvl w:ilvl="4">
      <w:start w:val="1"/>
      <w:numFmt w:val="decimal"/>
      <w:isLgl/>
      <w:lvlText w:val="%1.%2.%3.%4.%5"/>
      <w:lvlJc w:val="left"/>
      <w:pPr>
        <w:tabs>
          <w:tab w:val="num" w:pos="3960"/>
        </w:tabs>
        <w:ind w:left="3960" w:hanging="1080"/>
      </w:pPr>
      <w:rPr>
        <w:rFonts w:hint="default"/>
      </w:rPr>
    </w:lvl>
    <w:lvl w:ilvl="5">
      <w:start w:val="1"/>
      <w:numFmt w:val="decimal"/>
      <w:isLgl/>
      <w:lvlText w:val="%1.%2.%3.%4.%5.%6"/>
      <w:lvlJc w:val="left"/>
      <w:pPr>
        <w:tabs>
          <w:tab w:val="num" w:pos="5040"/>
        </w:tabs>
        <w:ind w:left="5040" w:hanging="1440"/>
      </w:pPr>
      <w:rPr>
        <w:rFonts w:hint="default"/>
      </w:rPr>
    </w:lvl>
    <w:lvl w:ilvl="6">
      <w:start w:val="1"/>
      <w:numFmt w:val="decimal"/>
      <w:isLgl/>
      <w:lvlText w:val="%1.%2.%3.%4.%5.%6.%7"/>
      <w:lvlJc w:val="left"/>
      <w:pPr>
        <w:tabs>
          <w:tab w:val="num" w:pos="5760"/>
        </w:tabs>
        <w:ind w:left="5760" w:hanging="1440"/>
      </w:pPr>
      <w:rPr>
        <w:rFonts w:hint="default"/>
      </w:rPr>
    </w:lvl>
    <w:lvl w:ilvl="7">
      <w:start w:val="1"/>
      <w:numFmt w:val="decimal"/>
      <w:isLgl/>
      <w:lvlText w:val="%1.%2.%3.%4.%5.%6.%7.%8"/>
      <w:lvlJc w:val="left"/>
      <w:pPr>
        <w:tabs>
          <w:tab w:val="num" w:pos="6840"/>
        </w:tabs>
        <w:ind w:left="6840" w:hanging="1800"/>
      </w:pPr>
      <w:rPr>
        <w:rFonts w:hint="default"/>
      </w:rPr>
    </w:lvl>
    <w:lvl w:ilvl="8">
      <w:start w:val="1"/>
      <w:numFmt w:val="decimal"/>
      <w:isLgl/>
      <w:lvlText w:val="%1.%2.%3.%4.%5.%6.%7.%8.%9"/>
      <w:lvlJc w:val="left"/>
      <w:pPr>
        <w:tabs>
          <w:tab w:val="num" w:pos="7560"/>
        </w:tabs>
        <w:ind w:left="7560" w:hanging="1800"/>
      </w:pPr>
      <w:rPr>
        <w:rFonts w:hint="default"/>
      </w:rPr>
    </w:lvl>
  </w:abstractNum>
  <w:abstractNum w:abstractNumId="4" w15:restartNumberingAfterBreak="0">
    <w:nsid w:val="26F8414F"/>
    <w:multiLevelType w:val="hybridMultilevel"/>
    <w:tmpl w:val="A19EBC4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43D34417"/>
    <w:multiLevelType w:val="multilevel"/>
    <w:tmpl w:val="C28E5C40"/>
    <w:lvl w:ilvl="0">
      <w:start w:val="1"/>
      <w:numFmt w:val="decimal"/>
      <w:pStyle w:val="1ListIndent"/>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6" w15:restartNumberingAfterBreak="0">
    <w:nsid w:val="572565C7"/>
    <w:multiLevelType w:val="singleLevel"/>
    <w:tmpl w:val="B4D29030"/>
    <w:lvl w:ilvl="0">
      <w:start w:val="1"/>
      <w:numFmt w:val="decimal"/>
      <w:lvlText w:val="%1."/>
      <w:lvlJc w:val="left"/>
      <w:pPr>
        <w:tabs>
          <w:tab w:val="num" w:pos="420"/>
        </w:tabs>
        <w:ind w:left="420" w:hanging="420"/>
      </w:pPr>
      <w:rPr>
        <w:rFonts w:hint="default"/>
      </w:rPr>
    </w:lvl>
  </w:abstractNum>
  <w:abstractNum w:abstractNumId="7" w15:restartNumberingAfterBreak="0">
    <w:nsid w:val="6BB84711"/>
    <w:multiLevelType w:val="hybridMultilevel"/>
    <w:tmpl w:val="3CA611E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7E56713E"/>
    <w:multiLevelType w:val="hybridMultilevel"/>
    <w:tmpl w:val="455667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 w:numId="2">
    <w:abstractNumId w:val="5"/>
  </w:num>
  <w:num w:numId="3">
    <w:abstractNumId w:val="3"/>
  </w:num>
  <w:num w:numId="4">
    <w:abstractNumId w:val="6"/>
  </w:num>
  <w:num w:numId="5">
    <w:abstractNumId w:val="1"/>
  </w:num>
  <w:num w:numId="6">
    <w:abstractNumId w:val="4"/>
  </w:num>
  <w:num w:numId="7">
    <w:abstractNumId w:val="7"/>
  </w:num>
  <w:num w:numId="8">
    <w:abstractNumId w:val="8"/>
  </w:num>
  <w:num w:numId="9">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lang="en-US" w:vendorID="8" w:dllVersion="513" w:checkStyle="1" w:appName="MSWord"/>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1D70"/>
    <w:rsid w:val="00013361"/>
    <w:rsid w:val="00025975"/>
    <w:rsid w:val="0002652B"/>
    <w:rsid w:val="00027D75"/>
    <w:rsid w:val="00034C59"/>
    <w:rsid w:val="00035209"/>
    <w:rsid w:val="00041136"/>
    <w:rsid w:val="00054DF9"/>
    <w:rsid w:val="00060DB0"/>
    <w:rsid w:val="0006439C"/>
    <w:rsid w:val="0006587A"/>
    <w:rsid w:val="00067D30"/>
    <w:rsid w:val="00075569"/>
    <w:rsid w:val="00076D49"/>
    <w:rsid w:val="00085181"/>
    <w:rsid w:val="00093DB2"/>
    <w:rsid w:val="000A6D3B"/>
    <w:rsid w:val="000B5D11"/>
    <w:rsid w:val="000C5A0C"/>
    <w:rsid w:val="000D3A75"/>
    <w:rsid w:val="000D5FF2"/>
    <w:rsid w:val="000E1C4C"/>
    <w:rsid w:val="000E6DB6"/>
    <w:rsid w:val="000E7DE6"/>
    <w:rsid w:val="000F0317"/>
    <w:rsid w:val="000F2762"/>
    <w:rsid w:val="000F3E3E"/>
    <w:rsid w:val="000F6D77"/>
    <w:rsid w:val="00116979"/>
    <w:rsid w:val="00122CE6"/>
    <w:rsid w:val="00130928"/>
    <w:rsid w:val="00131D20"/>
    <w:rsid w:val="0014036E"/>
    <w:rsid w:val="00140B3D"/>
    <w:rsid w:val="00141FFB"/>
    <w:rsid w:val="00142FB8"/>
    <w:rsid w:val="00147435"/>
    <w:rsid w:val="0015360E"/>
    <w:rsid w:val="0015543D"/>
    <w:rsid w:val="00165280"/>
    <w:rsid w:val="00166E89"/>
    <w:rsid w:val="00170552"/>
    <w:rsid w:val="0017149F"/>
    <w:rsid w:val="0017267E"/>
    <w:rsid w:val="00184B0A"/>
    <w:rsid w:val="00186F1E"/>
    <w:rsid w:val="0019006F"/>
    <w:rsid w:val="00191445"/>
    <w:rsid w:val="001A670E"/>
    <w:rsid w:val="001B78FB"/>
    <w:rsid w:val="001D5B37"/>
    <w:rsid w:val="001E265A"/>
    <w:rsid w:val="001E3FEB"/>
    <w:rsid w:val="001E6E72"/>
    <w:rsid w:val="001F5023"/>
    <w:rsid w:val="00205EA3"/>
    <w:rsid w:val="00207E34"/>
    <w:rsid w:val="002171E3"/>
    <w:rsid w:val="0022197B"/>
    <w:rsid w:val="0022767F"/>
    <w:rsid w:val="0023179C"/>
    <w:rsid w:val="00241C28"/>
    <w:rsid w:val="0024585A"/>
    <w:rsid w:val="0024771B"/>
    <w:rsid w:val="0025476D"/>
    <w:rsid w:val="00254F05"/>
    <w:rsid w:val="002724DC"/>
    <w:rsid w:val="00282D87"/>
    <w:rsid w:val="00285F27"/>
    <w:rsid w:val="00287258"/>
    <w:rsid w:val="00293DD8"/>
    <w:rsid w:val="002A06BC"/>
    <w:rsid w:val="002B2ABD"/>
    <w:rsid w:val="002D4882"/>
    <w:rsid w:val="002E2E2D"/>
    <w:rsid w:val="002F4E85"/>
    <w:rsid w:val="002F6649"/>
    <w:rsid w:val="002F6D3E"/>
    <w:rsid w:val="00302256"/>
    <w:rsid w:val="003110F8"/>
    <w:rsid w:val="003226E2"/>
    <w:rsid w:val="00330F3E"/>
    <w:rsid w:val="00340FC6"/>
    <w:rsid w:val="00344837"/>
    <w:rsid w:val="00354827"/>
    <w:rsid w:val="003702DF"/>
    <w:rsid w:val="003721BC"/>
    <w:rsid w:val="003757FA"/>
    <w:rsid w:val="0038140A"/>
    <w:rsid w:val="003930CC"/>
    <w:rsid w:val="003938E5"/>
    <w:rsid w:val="00393FCE"/>
    <w:rsid w:val="00394B3A"/>
    <w:rsid w:val="003960EA"/>
    <w:rsid w:val="003960EE"/>
    <w:rsid w:val="003B1839"/>
    <w:rsid w:val="003D5B48"/>
    <w:rsid w:val="003E0255"/>
    <w:rsid w:val="003E0353"/>
    <w:rsid w:val="003E67D6"/>
    <w:rsid w:val="003F6E5A"/>
    <w:rsid w:val="00400F6B"/>
    <w:rsid w:val="00406AFC"/>
    <w:rsid w:val="00410BD5"/>
    <w:rsid w:val="00416263"/>
    <w:rsid w:val="00427ECD"/>
    <w:rsid w:val="00440AB7"/>
    <w:rsid w:val="00461AF5"/>
    <w:rsid w:val="00467956"/>
    <w:rsid w:val="00470B9B"/>
    <w:rsid w:val="0047217B"/>
    <w:rsid w:val="00475E4B"/>
    <w:rsid w:val="00485CED"/>
    <w:rsid w:val="004905D3"/>
    <w:rsid w:val="004A1329"/>
    <w:rsid w:val="004A4432"/>
    <w:rsid w:val="004A5E93"/>
    <w:rsid w:val="004B0861"/>
    <w:rsid w:val="004B7F87"/>
    <w:rsid w:val="004D3212"/>
    <w:rsid w:val="004F2771"/>
    <w:rsid w:val="004F599A"/>
    <w:rsid w:val="004F6847"/>
    <w:rsid w:val="00506AD4"/>
    <w:rsid w:val="005148C1"/>
    <w:rsid w:val="00515681"/>
    <w:rsid w:val="00527EF6"/>
    <w:rsid w:val="005306CA"/>
    <w:rsid w:val="00531C5A"/>
    <w:rsid w:val="0053313F"/>
    <w:rsid w:val="00536119"/>
    <w:rsid w:val="00541CB8"/>
    <w:rsid w:val="00554C6A"/>
    <w:rsid w:val="00555C11"/>
    <w:rsid w:val="0056069B"/>
    <w:rsid w:val="00562CE5"/>
    <w:rsid w:val="00563942"/>
    <w:rsid w:val="00582374"/>
    <w:rsid w:val="00591C97"/>
    <w:rsid w:val="00593807"/>
    <w:rsid w:val="00593FFC"/>
    <w:rsid w:val="00596C5C"/>
    <w:rsid w:val="005A52C1"/>
    <w:rsid w:val="005C3C31"/>
    <w:rsid w:val="005C47DE"/>
    <w:rsid w:val="005C6433"/>
    <w:rsid w:val="005C77D8"/>
    <w:rsid w:val="005D1253"/>
    <w:rsid w:val="005F1942"/>
    <w:rsid w:val="005F2A57"/>
    <w:rsid w:val="006022F1"/>
    <w:rsid w:val="00605718"/>
    <w:rsid w:val="00624761"/>
    <w:rsid w:val="00631168"/>
    <w:rsid w:val="006347C7"/>
    <w:rsid w:val="006348AB"/>
    <w:rsid w:val="00637746"/>
    <w:rsid w:val="00641120"/>
    <w:rsid w:val="006442B8"/>
    <w:rsid w:val="00645D01"/>
    <w:rsid w:val="006533B7"/>
    <w:rsid w:val="00656266"/>
    <w:rsid w:val="00656606"/>
    <w:rsid w:val="0066281C"/>
    <w:rsid w:val="00665413"/>
    <w:rsid w:val="00666BFE"/>
    <w:rsid w:val="00667DD5"/>
    <w:rsid w:val="0067045F"/>
    <w:rsid w:val="00682905"/>
    <w:rsid w:val="0068463B"/>
    <w:rsid w:val="00687F3F"/>
    <w:rsid w:val="0069631C"/>
    <w:rsid w:val="006B05EE"/>
    <w:rsid w:val="006B2034"/>
    <w:rsid w:val="006B733A"/>
    <w:rsid w:val="006D0218"/>
    <w:rsid w:val="006D469C"/>
    <w:rsid w:val="006D6EE9"/>
    <w:rsid w:val="006D79E8"/>
    <w:rsid w:val="006E7185"/>
    <w:rsid w:val="007121CB"/>
    <w:rsid w:val="00716A9C"/>
    <w:rsid w:val="007218F3"/>
    <w:rsid w:val="00721996"/>
    <w:rsid w:val="00723F04"/>
    <w:rsid w:val="0073188B"/>
    <w:rsid w:val="0073319A"/>
    <w:rsid w:val="00735789"/>
    <w:rsid w:val="00737B9C"/>
    <w:rsid w:val="00744212"/>
    <w:rsid w:val="00754B1B"/>
    <w:rsid w:val="00773886"/>
    <w:rsid w:val="00776433"/>
    <w:rsid w:val="007872E2"/>
    <w:rsid w:val="007912C2"/>
    <w:rsid w:val="0079221B"/>
    <w:rsid w:val="00794FB4"/>
    <w:rsid w:val="007A13AF"/>
    <w:rsid w:val="007A1AD1"/>
    <w:rsid w:val="007A281A"/>
    <w:rsid w:val="007A554C"/>
    <w:rsid w:val="007B01A6"/>
    <w:rsid w:val="007B07EB"/>
    <w:rsid w:val="007C49FD"/>
    <w:rsid w:val="007C6911"/>
    <w:rsid w:val="007D578F"/>
    <w:rsid w:val="007D67CA"/>
    <w:rsid w:val="007E1F96"/>
    <w:rsid w:val="007F5472"/>
    <w:rsid w:val="007F599A"/>
    <w:rsid w:val="00801D70"/>
    <w:rsid w:val="00804A9C"/>
    <w:rsid w:val="00811581"/>
    <w:rsid w:val="00813C81"/>
    <w:rsid w:val="00816269"/>
    <w:rsid w:val="00824349"/>
    <w:rsid w:val="008331CE"/>
    <w:rsid w:val="008443B2"/>
    <w:rsid w:val="00845D98"/>
    <w:rsid w:val="00846F56"/>
    <w:rsid w:val="00854036"/>
    <w:rsid w:val="00871D92"/>
    <w:rsid w:val="00876700"/>
    <w:rsid w:val="00880547"/>
    <w:rsid w:val="00885587"/>
    <w:rsid w:val="008A073E"/>
    <w:rsid w:val="008A46D7"/>
    <w:rsid w:val="008A5D93"/>
    <w:rsid w:val="008A767A"/>
    <w:rsid w:val="008B03E3"/>
    <w:rsid w:val="008B1ECF"/>
    <w:rsid w:val="008C16E8"/>
    <w:rsid w:val="008C2289"/>
    <w:rsid w:val="008D25BF"/>
    <w:rsid w:val="008D3AFC"/>
    <w:rsid w:val="008E47B6"/>
    <w:rsid w:val="008E4B57"/>
    <w:rsid w:val="008E6797"/>
    <w:rsid w:val="008F75A8"/>
    <w:rsid w:val="00905BBF"/>
    <w:rsid w:val="00906DF0"/>
    <w:rsid w:val="009119EC"/>
    <w:rsid w:val="009167B6"/>
    <w:rsid w:val="00924C37"/>
    <w:rsid w:val="00941AAC"/>
    <w:rsid w:val="00942F56"/>
    <w:rsid w:val="009516C2"/>
    <w:rsid w:val="00952FE5"/>
    <w:rsid w:val="009643DD"/>
    <w:rsid w:val="00966821"/>
    <w:rsid w:val="009722EC"/>
    <w:rsid w:val="009724EE"/>
    <w:rsid w:val="00977549"/>
    <w:rsid w:val="009809B1"/>
    <w:rsid w:val="00983491"/>
    <w:rsid w:val="009A24A8"/>
    <w:rsid w:val="009A2C92"/>
    <w:rsid w:val="009A50E0"/>
    <w:rsid w:val="009B0F51"/>
    <w:rsid w:val="009B276D"/>
    <w:rsid w:val="009B5CA7"/>
    <w:rsid w:val="009B67D2"/>
    <w:rsid w:val="009D7160"/>
    <w:rsid w:val="009D7AC3"/>
    <w:rsid w:val="009E5D21"/>
    <w:rsid w:val="00A0020E"/>
    <w:rsid w:val="00A0133B"/>
    <w:rsid w:val="00A03B03"/>
    <w:rsid w:val="00A1526C"/>
    <w:rsid w:val="00A15E03"/>
    <w:rsid w:val="00A218B6"/>
    <w:rsid w:val="00A277E3"/>
    <w:rsid w:val="00A40613"/>
    <w:rsid w:val="00A413E4"/>
    <w:rsid w:val="00A44B70"/>
    <w:rsid w:val="00A5699C"/>
    <w:rsid w:val="00A60201"/>
    <w:rsid w:val="00A60A8F"/>
    <w:rsid w:val="00A6219D"/>
    <w:rsid w:val="00A624F3"/>
    <w:rsid w:val="00A6680D"/>
    <w:rsid w:val="00A712C7"/>
    <w:rsid w:val="00A77EBE"/>
    <w:rsid w:val="00A841AB"/>
    <w:rsid w:val="00A92DEB"/>
    <w:rsid w:val="00AA52A8"/>
    <w:rsid w:val="00AA5AD2"/>
    <w:rsid w:val="00AB225D"/>
    <w:rsid w:val="00AB68F0"/>
    <w:rsid w:val="00AC1A86"/>
    <w:rsid w:val="00AC2B69"/>
    <w:rsid w:val="00AD3748"/>
    <w:rsid w:val="00AD6C95"/>
    <w:rsid w:val="00AE4DC4"/>
    <w:rsid w:val="00AE664C"/>
    <w:rsid w:val="00AF1DF6"/>
    <w:rsid w:val="00AF3291"/>
    <w:rsid w:val="00AF77E7"/>
    <w:rsid w:val="00B00034"/>
    <w:rsid w:val="00B009C4"/>
    <w:rsid w:val="00B0132F"/>
    <w:rsid w:val="00B016A5"/>
    <w:rsid w:val="00B01ECF"/>
    <w:rsid w:val="00B03C9F"/>
    <w:rsid w:val="00B1086D"/>
    <w:rsid w:val="00B17CEE"/>
    <w:rsid w:val="00B20AB3"/>
    <w:rsid w:val="00B220BA"/>
    <w:rsid w:val="00B2391B"/>
    <w:rsid w:val="00B47724"/>
    <w:rsid w:val="00B50FFB"/>
    <w:rsid w:val="00B651A5"/>
    <w:rsid w:val="00B76960"/>
    <w:rsid w:val="00B83A89"/>
    <w:rsid w:val="00B8501E"/>
    <w:rsid w:val="00B927B5"/>
    <w:rsid w:val="00BC1566"/>
    <w:rsid w:val="00BC6185"/>
    <w:rsid w:val="00BD052D"/>
    <w:rsid w:val="00BE4737"/>
    <w:rsid w:val="00BE7E63"/>
    <w:rsid w:val="00BF13A2"/>
    <w:rsid w:val="00BF2E0A"/>
    <w:rsid w:val="00BF499E"/>
    <w:rsid w:val="00BF7436"/>
    <w:rsid w:val="00C034B7"/>
    <w:rsid w:val="00C04CA7"/>
    <w:rsid w:val="00C052E6"/>
    <w:rsid w:val="00C12173"/>
    <w:rsid w:val="00C15314"/>
    <w:rsid w:val="00C17E95"/>
    <w:rsid w:val="00C23AB3"/>
    <w:rsid w:val="00C3192D"/>
    <w:rsid w:val="00C31EC0"/>
    <w:rsid w:val="00C326EF"/>
    <w:rsid w:val="00C372DD"/>
    <w:rsid w:val="00C4384B"/>
    <w:rsid w:val="00C516ED"/>
    <w:rsid w:val="00C5349F"/>
    <w:rsid w:val="00C572C8"/>
    <w:rsid w:val="00C66D26"/>
    <w:rsid w:val="00C70EF1"/>
    <w:rsid w:val="00C71F11"/>
    <w:rsid w:val="00C766F2"/>
    <w:rsid w:val="00C86B4D"/>
    <w:rsid w:val="00C9002D"/>
    <w:rsid w:val="00CB1C6F"/>
    <w:rsid w:val="00CB3589"/>
    <w:rsid w:val="00CB42C3"/>
    <w:rsid w:val="00CB4750"/>
    <w:rsid w:val="00CB6214"/>
    <w:rsid w:val="00CB6993"/>
    <w:rsid w:val="00CB77B3"/>
    <w:rsid w:val="00CD5903"/>
    <w:rsid w:val="00CD65AA"/>
    <w:rsid w:val="00CD73B2"/>
    <w:rsid w:val="00CE4B99"/>
    <w:rsid w:val="00CF1039"/>
    <w:rsid w:val="00CF17DE"/>
    <w:rsid w:val="00CF22DE"/>
    <w:rsid w:val="00CF7FC2"/>
    <w:rsid w:val="00D0484A"/>
    <w:rsid w:val="00D07E06"/>
    <w:rsid w:val="00D11CB2"/>
    <w:rsid w:val="00D137B9"/>
    <w:rsid w:val="00D20F6C"/>
    <w:rsid w:val="00D258A2"/>
    <w:rsid w:val="00D2644E"/>
    <w:rsid w:val="00D413EF"/>
    <w:rsid w:val="00D47178"/>
    <w:rsid w:val="00D50593"/>
    <w:rsid w:val="00D52173"/>
    <w:rsid w:val="00D52F2C"/>
    <w:rsid w:val="00D606F1"/>
    <w:rsid w:val="00D63D3F"/>
    <w:rsid w:val="00D65004"/>
    <w:rsid w:val="00D767E5"/>
    <w:rsid w:val="00D9025D"/>
    <w:rsid w:val="00D90952"/>
    <w:rsid w:val="00D95213"/>
    <w:rsid w:val="00D9645F"/>
    <w:rsid w:val="00DB08CE"/>
    <w:rsid w:val="00DB0AE9"/>
    <w:rsid w:val="00DB30CE"/>
    <w:rsid w:val="00DB49F5"/>
    <w:rsid w:val="00DB6F2C"/>
    <w:rsid w:val="00DE3256"/>
    <w:rsid w:val="00DF35CC"/>
    <w:rsid w:val="00DF729F"/>
    <w:rsid w:val="00E02127"/>
    <w:rsid w:val="00E04E8A"/>
    <w:rsid w:val="00E070FA"/>
    <w:rsid w:val="00E07802"/>
    <w:rsid w:val="00E106E5"/>
    <w:rsid w:val="00E14095"/>
    <w:rsid w:val="00E15F74"/>
    <w:rsid w:val="00E22E6E"/>
    <w:rsid w:val="00E356B6"/>
    <w:rsid w:val="00E37E88"/>
    <w:rsid w:val="00E56EE2"/>
    <w:rsid w:val="00E609C2"/>
    <w:rsid w:val="00E614D3"/>
    <w:rsid w:val="00E6725C"/>
    <w:rsid w:val="00E71A08"/>
    <w:rsid w:val="00E91FE2"/>
    <w:rsid w:val="00E928CF"/>
    <w:rsid w:val="00EA0EDD"/>
    <w:rsid w:val="00EA112D"/>
    <w:rsid w:val="00EA1DD7"/>
    <w:rsid w:val="00EA5B90"/>
    <w:rsid w:val="00EA6B23"/>
    <w:rsid w:val="00EA7D41"/>
    <w:rsid w:val="00EB119C"/>
    <w:rsid w:val="00EC5DAC"/>
    <w:rsid w:val="00EC6F25"/>
    <w:rsid w:val="00ED2FD1"/>
    <w:rsid w:val="00EE4410"/>
    <w:rsid w:val="00EE5205"/>
    <w:rsid w:val="00EF359F"/>
    <w:rsid w:val="00F16C02"/>
    <w:rsid w:val="00F22086"/>
    <w:rsid w:val="00F246AC"/>
    <w:rsid w:val="00F25DDE"/>
    <w:rsid w:val="00F272D8"/>
    <w:rsid w:val="00F378E8"/>
    <w:rsid w:val="00F51F8B"/>
    <w:rsid w:val="00F543B0"/>
    <w:rsid w:val="00F5468D"/>
    <w:rsid w:val="00F5686D"/>
    <w:rsid w:val="00F61EF8"/>
    <w:rsid w:val="00F8023C"/>
    <w:rsid w:val="00F85128"/>
    <w:rsid w:val="00F962F2"/>
    <w:rsid w:val="00F97391"/>
    <w:rsid w:val="00FA0CE7"/>
    <w:rsid w:val="00FA1755"/>
    <w:rsid w:val="00FA6D9E"/>
    <w:rsid w:val="00FC372B"/>
    <w:rsid w:val="00FC3EF2"/>
    <w:rsid w:val="00FD436F"/>
    <w:rsid w:val="00FE08F8"/>
    <w:rsid w:val="00FE6CAC"/>
    <w:rsid w:val="00FE71AD"/>
    <w:rsid w:val="00FF2370"/>
    <w:rsid w:val="00FF4AFC"/>
    <w:rsid w:val="00FF5909"/>
    <w:rsid w:val="00FF66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9AF26BD"/>
  <w15:docId w15:val="{6941DF6E-0BDF-4D37-BB85-D331E74B5DC5}"/>
  <w:removePersonalInformation/>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Palatino" w:hAnsi="Palatino"/>
      <w:sz w:val="26"/>
    </w:rPr>
  </w:style>
  <w:style w:type="paragraph" w:styleId="Heading1">
    <w:name w:val="heading 1"/>
    <w:basedOn w:val="Normal"/>
    <w:next w:val="standard"/>
    <w:link w:val="Heading1Char"/>
    <w:qFormat/>
    <w:pPr>
      <w:keepNext/>
      <w:spacing w:before="120" w:after="240"/>
      <w:outlineLvl w:val="0"/>
    </w:pPr>
    <w:rPr>
      <w:rFonts w:ascii="Helvetica" w:hAnsi="Helvetica"/>
      <w:b/>
      <w:caps/>
      <w:kern w:val="28"/>
      <w:u w:val="single"/>
    </w:rPr>
  </w:style>
  <w:style w:type="paragraph" w:styleId="Heading2">
    <w:name w:val="heading 2"/>
    <w:basedOn w:val="Normal"/>
    <w:next w:val="sub1"/>
    <w:qFormat/>
    <w:pPr>
      <w:keepNext/>
      <w:numPr>
        <w:ilvl w:val="1"/>
        <w:numId w:val="3"/>
      </w:numPr>
      <w:spacing w:before="120" w:after="120"/>
      <w:outlineLvl w:val="1"/>
    </w:pPr>
    <w:rPr>
      <w:rFonts w:ascii="Helvetica" w:hAnsi="Helvetica"/>
      <w:b/>
      <w:i/>
    </w:rPr>
  </w:style>
  <w:style w:type="paragraph" w:styleId="Heading3">
    <w:name w:val="heading 3"/>
    <w:basedOn w:val="Normal"/>
    <w:next w:val="sub2"/>
    <w:qFormat/>
    <w:pPr>
      <w:keepNext/>
      <w:spacing w:before="120" w:after="120"/>
      <w:ind w:firstLine="2160"/>
      <w:outlineLvl w:val="2"/>
    </w:pPr>
    <w:rPr>
      <w:rFonts w:ascii="Helvetica" w:hAnsi="Helvetica"/>
      <w:b/>
    </w:rPr>
  </w:style>
  <w:style w:type="paragraph" w:styleId="Heading4">
    <w:name w:val="heading 4"/>
    <w:basedOn w:val="Normal"/>
    <w:next w:val="sub3"/>
    <w:qFormat/>
    <w:pPr>
      <w:keepNext/>
      <w:spacing w:before="120" w:after="120"/>
      <w:ind w:firstLine="2880"/>
      <w:outlineLvl w:val="3"/>
    </w:pPr>
    <w:rPr>
      <w:rFonts w:ascii="Helvetica" w:hAnsi="Helvetica"/>
      <w:b/>
      <w:i/>
    </w:rPr>
  </w:style>
  <w:style w:type="paragraph" w:styleId="Heading5">
    <w:name w:val="heading 5"/>
    <w:basedOn w:val="Normal"/>
    <w:next w:val="sub4"/>
    <w:qFormat/>
    <w:pPr>
      <w:spacing w:before="120" w:after="120"/>
      <w:ind w:firstLine="3600"/>
      <w:outlineLvl w:val="4"/>
    </w:pPr>
    <w:rPr>
      <w:rFonts w:ascii="Helvetica" w:hAnsi="Helvetica"/>
      <w:b/>
    </w:rPr>
  </w:style>
  <w:style w:type="paragraph" w:styleId="Heading6">
    <w:name w:val="heading 6"/>
    <w:basedOn w:val="Normal"/>
    <w:next w:val="Normal"/>
    <w:qFormat/>
    <w:pPr>
      <w:keepNext/>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pPr>
      <w:numPr>
        <w:numId w:val="3"/>
      </w:numPr>
      <w:spacing w:after="240"/>
    </w:pPr>
    <w:rPr>
      <w:sz w:val="24"/>
    </w:rPr>
  </w:style>
  <w:style w:type="paragraph" w:styleId="EndnoteText">
    <w:name w:val="endnote text"/>
    <w:basedOn w:val="Normal"/>
    <w:semiHidden/>
    <w:rPr>
      <w:sz w:val="20"/>
    </w:rPr>
  </w:style>
  <w:style w:type="paragraph" w:customStyle="1" w:styleId="standard">
    <w:name w:val="standard"/>
    <w:basedOn w:val="Normal"/>
    <w:pPr>
      <w:spacing w:line="360" w:lineRule="auto"/>
      <w:ind w:firstLine="720"/>
    </w:pPr>
  </w:style>
  <w:style w:type="paragraph" w:styleId="Subtitle">
    <w:name w:val="Subtitle"/>
    <w:basedOn w:val="Normal"/>
    <w:qFormat/>
    <w:pPr>
      <w:spacing w:after="60"/>
      <w:jc w:val="center"/>
    </w:pPr>
    <w:rPr>
      <w:rFonts w:ascii="Arial" w:hAnsi="Arial"/>
    </w:rPr>
  </w:style>
  <w:style w:type="paragraph" w:customStyle="1" w:styleId="Quote1">
    <w:name w:val="Quote1"/>
    <w:basedOn w:val="standard"/>
    <w:next w:val="standard"/>
    <w:pPr>
      <w:spacing w:before="120" w:after="240" w:line="240" w:lineRule="auto"/>
      <w:ind w:left="720" w:right="720" w:firstLine="0"/>
    </w:pPr>
  </w:style>
  <w:style w:type="paragraph" w:customStyle="1" w:styleId="Style1">
    <w:name w:val="Style1"/>
    <w:basedOn w:val="1ListIndent"/>
    <w:pPr>
      <w:numPr>
        <w:numId w:val="0"/>
      </w:numPr>
    </w:pPr>
  </w:style>
  <w:style w:type="paragraph" w:styleId="TOC4">
    <w:name w:val="toc 4"/>
    <w:basedOn w:val="Normal"/>
    <w:next w:val="Normal"/>
    <w:semiHidden/>
    <w:pPr>
      <w:tabs>
        <w:tab w:val="right" w:leader="dot" w:pos="9360"/>
      </w:tabs>
      <w:ind w:left="720"/>
    </w:pPr>
  </w:style>
  <w:style w:type="paragraph" w:customStyle="1" w:styleId="main">
    <w:name w:val="main"/>
    <w:basedOn w:val="Normal"/>
    <w:pPr>
      <w:jc w:val="center"/>
    </w:pPr>
    <w:rPr>
      <w:rFonts w:ascii="Helvetica" w:hAnsi="Helvetica"/>
      <w:b/>
    </w:rPr>
  </w:style>
  <w:style w:type="paragraph" w:customStyle="1" w:styleId="mainex">
    <w:name w:val="mainex"/>
    <w:basedOn w:val="main"/>
    <w:pPr>
      <w:keepNext/>
    </w:pPr>
    <w:rPr>
      <w:spacing w:val="120"/>
    </w:rPr>
  </w:style>
  <w:style w:type="paragraph" w:customStyle="1" w:styleId="num1">
    <w:name w:val="num1"/>
    <w:basedOn w:val="Normal"/>
    <w:pPr>
      <w:tabs>
        <w:tab w:val="left" w:pos="-720"/>
      </w:tabs>
      <w:suppressAutoHyphens/>
      <w:spacing w:after="240"/>
    </w:pPr>
  </w:style>
  <w:style w:type="paragraph" w:styleId="Header">
    <w:name w:val="header"/>
    <w:basedOn w:val="Normal"/>
    <w:pPr>
      <w:widowControl w:val="0"/>
      <w:tabs>
        <w:tab w:val="center" w:pos="4320"/>
        <w:tab w:val="right" w:pos="8640"/>
      </w:tabs>
    </w:pPr>
  </w:style>
  <w:style w:type="paragraph" w:customStyle="1" w:styleId="num2">
    <w:name w:val="num2"/>
    <w:basedOn w:val="num1"/>
    <w:pPr>
      <w:ind w:firstLine="270"/>
    </w:pPr>
  </w:style>
  <w:style w:type="paragraph" w:styleId="Footer">
    <w:name w:val="footer"/>
    <w:basedOn w:val="Normal"/>
    <w:pPr>
      <w:tabs>
        <w:tab w:val="center" w:pos="4320"/>
        <w:tab w:val="right" w:pos="8640"/>
      </w:tabs>
      <w:jc w:val="center"/>
    </w:pPr>
  </w:style>
  <w:style w:type="paragraph" w:customStyle="1" w:styleId="sub1">
    <w:name w:val="sub1"/>
    <w:basedOn w:val="Normal"/>
    <w:pPr>
      <w:spacing w:line="360" w:lineRule="auto"/>
      <w:ind w:firstLine="1440"/>
    </w:pPr>
  </w:style>
  <w:style w:type="paragraph" w:customStyle="1" w:styleId="titlebar">
    <w:name w:val="title bar"/>
    <w:basedOn w:val="main"/>
    <w:pPr>
      <w:keepNext/>
      <w:suppressAutoHyphens/>
    </w:pPr>
  </w:style>
  <w:style w:type="character" w:styleId="PageNumber">
    <w:name w:val="page number"/>
    <w:basedOn w:val="DefaultParagraphFont"/>
  </w:style>
  <w:style w:type="paragraph" w:customStyle="1" w:styleId="sub2">
    <w:name w:val="sub2"/>
    <w:basedOn w:val="Normal"/>
    <w:pPr>
      <w:spacing w:line="360" w:lineRule="auto"/>
      <w:ind w:firstLine="2160"/>
    </w:pPr>
  </w:style>
  <w:style w:type="paragraph" w:customStyle="1" w:styleId="sub3">
    <w:name w:val="sub3"/>
    <w:basedOn w:val="Normal"/>
    <w:pPr>
      <w:spacing w:line="360" w:lineRule="auto"/>
      <w:ind w:firstLine="2880"/>
    </w:pPr>
  </w:style>
  <w:style w:type="paragraph" w:customStyle="1" w:styleId="sub4">
    <w:name w:val="sub4"/>
    <w:basedOn w:val="Normal"/>
    <w:pPr>
      <w:ind w:firstLine="3600"/>
    </w:pPr>
  </w:style>
  <w:style w:type="paragraph" w:customStyle="1" w:styleId="dummy">
    <w:name w:val="dummy"/>
    <w:basedOn w:val="Heading1"/>
    <w:pPr>
      <w:outlineLvl w:val="9"/>
    </w:pPr>
  </w:style>
  <w:style w:type="paragraph" w:customStyle="1" w:styleId="AListIndent">
    <w:name w:val="A. List Indent"/>
    <w:basedOn w:val="1ListIndent"/>
    <w:pPr>
      <w:numPr>
        <w:numId w:val="1"/>
      </w:numPr>
      <w:ind w:left="1440" w:hanging="720"/>
    </w:pPr>
  </w:style>
  <w:style w:type="character" w:styleId="EndnoteReference">
    <w:name w:val="endnote reference"/>
    <w:semiHidden/>
    <w:rPr>
      <w:vertAlign w:val="superscript"/>
    </w:rPr>
  </w:style>
  <w:style w:type="paragraph" w:customStyle="1" w:styleId="1ListIndent">
    <w:name w:val="1. List Indent"/>
    <w:basedOn w:val="num2"/>
    <w:pPr>
      <w:numPr>
        <w:numId w:val="2"/>
      </w:numPr>
      <w:ind w:left="1080"/>
    </w:pPr>
  </w:style>
  <w:style w:type="character" w:styleId="FootnoteReference">
    <w:name w:val="footnote reference"/>
    <w:semiHidden/>
    <w:rPr>
      <w:vertAlign w:val="superscript"/>
    </w:rPr>
  </w:style>
  <w:style w:type="paragraph" w:styleId="List">
    <w:name w:val="List"/>
    <w:basedOn w:val="Normal"/>
    <w:pPr>
      <w:ind w:left="360" w:hanging="360"/>
    </w:pPr>
    <w:rPr>
      <w:rFonts w:ascii="Times New Roman" w:hAnsi="Times New Roman"/>
      <w:sz w:val="24"/>
    </w:rPr>
  </w:style>
  <w:style w:type="paragraph" w:customStyle="1" w:styleId="Res-Caption">
    <w:name w:val="Res-Caption"/>
    <w:basedOn w:val="Normal"/>
    <w:pPr>
      <w:ind w:left="720" w:right="720"/>
    </w:pPr>
  </w:style>
  <w:style w:type="paragraph" w:customStyle="1" w:styleId="Res-TitleResolution">
    <w:name w:val="Res-Title (Resolution)"/>
    <w:basedOn w:val="main"/>
  </w:style>
  <w:style w:type="paragraph" w:customStyle="1" w:styleId="ALs">
    <w:name w:val="ALs"/>
    <w:basedOn w:val="Normal"/>
    <w:rPr>
      <w:rFonts w:ascii="Times New Roman" w:hAnsi="Times New Roman"/>
      <w:sz w:val="24"/>
    </w:rPr>
  </w:style>
  <w:style w:type="paragraph" w:styleId="ListParagraph">
    <w:name w:val="List Paragraph"/>
    <w:basedOn w:val="Normal"/>
    <w:uiPriority w:val="34"/>
    <w:qFormat/>
    <w:rsid w:val="003F6E5A"/>
    <w:pPr>
      <w:ind w:left="720"/>
      <w:contextualSpacing/>
    </w:pPr>
  </w:style>
  <w:style w:type="paragraph" w:styleId="BalloonText">
    <w:name w:val="Balloon Text"/>
    <w:basedOn w:val="Normal"/>
    <w:link w:val="BalloonTextChar"/>
    <w:rsid w:val="00645D01"/>
    <w:rPr>
      <w:rFonts w:ascii="Segoe UI" w:hAnsi="Segoe UI" w:cs="Segoe UI"/>
      <w:sz w:val="18"/>
      <w:szCs w:val="18"/>
    </w:rPr>
  </w:style>
  <w:style w:type="character" w:customStyle="1" w:styleId="BalloonTextChar">
    <w:name w:val="Balloon Text Char"/>
    <w:basedOn w:val="DefaultParagraphFont"/>
    <w:link w:val="BalloonText"/>
    <w:rsid w:val="00645D01"/>
    <w:rPr>
      <w:rFonts w:ascii="Segoe UI" w:hAnsi="Segoe UI" w:cs="Segoe UI"/>
      <w:sz w:val="18"/>
      <w:szCs w:val="18"/>
    </w:rPr>
  </w:style>
  <w:style w:type="paragraph" w:styleId="Revision">
    <w:name w:val="Revision"/>
    <w:hidden/>
    <w:uiPriority w:val="99"/>
    <w:semiHidden/>
    <w:rsid w:val="00EA7D41"/>
    <w:rPr>
      <w:rFonts w:ascii="Palatino" w:hAnsi="Palatino"/>
      <w:sz w:val="26"/>
    </w:rPr>
  </w:style>
  <w:style w:type="character" w:styleId="CommentReference">
    <w:name w:val="annotation reference"/>
    <w:basedOn w:val="DefaultParagraphFont"/>
    <w:semiHidden/>
    <w:unhideWhenUsed/>
    <w:rsid w:val="00EA7D41"/>
    <w:rPr>
      <w:sz w:val="16"/>
      <w:szCs w:val="16"/>
    </w:rPr>
  </w:style>
  <w:style w:type="paragraph" w:styleId="CommentText">
    <w:name w:val="annotation text"/>
    <w:basedOn w:val="Normal"/>
    <w:link w:val="CommentTextChar"/>
    <w:semiHidden/>
    <w:unhideWhenUsed/>
    <w:rsid w:val="00EA7D41"/>
    <w:rPr>
      <w:sz w:val="20"/>
    </w:rPr>
  </w:style>
  <w:style w:type="character" w:customStyle="1" w:styleId="CommentTextChar">
    <w:name w:val="Comment Text Char"/>
    <w:basedOn w:val="DefaultParagraphFont"/>
    <w:link w:val="CommentText"/>
    <w:semiHidden/>
    <w:rsid w:val="00EA7D41"/>
    <w:rPr>
      <w:rFonts w:ascii="Palatino" w:hAnsi="Palatino"/>
    </w:rPr>
  </w:style>
  <w:style w:type="paragraph" w:styleId="CommentSubject">
    <w:name w:val="annotation subject"/>
    <w:basedOn w:val="CommentText"/>
    <w:next w:val="CommentText"/>
    <w:link w:val="CommentSubjectChar"/>
    <w:semiHidden/>
    <w:unhideWhenUsed/>
    <w:rsid w:val="00EA7D41"/>
    <w:rPr>
      <w:b/>
      <w:bCs/>
    </w:rPr>
  </w:style>
  <w:style w:type="character" w:customStyle="1" w:styleId="CommentSubjectChar">
    <w:name w:val="Comment Subject Char"/>
    <w:basedOn w:val="CommentTextChar"/>
    <w:link w:val="CommentSubject"/>
    <w:semiHidden/>
    <w:rsid w:val="00EA7D41"/>
    <w:rPr>
      <w:rFonts w:ascii="Palatino" w:hAnsi="Palatino"/>
      <w:b/>
      <w:bCs/>
    </w:rPr>
  </w:style>
  <w:style w:type="character" w:customStyle="1" w:styleId="Heading1Char">
    <w:name w:val="Heading 1 Char"/>
    <w:basedOn w:val="DefaultParagraphFont"/>
    <w:link w:val="Heading1"/>
    <w:rsid w:val="00CB6214"/>
    <w:rPr>
      <w:rFonts w:ascii="Helvetica" w:hAnsi="Helvetica"/>
      <w:b/>
      <w:caps/>
      <w:kern w:val="28"/>
      <w:sz w:val="26"/>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6491164">
      <w:bodyDiv w:val="1"/>
      <w:marLeft w:val="0"/>
      <w:marRight w:val="0"/>
      <w:marTop w:val="0"/>
      <w:marBottom w:val="0"/>
      <w:divBdr>
        <w:top w:val="none" w:sz="0" w:space="0" w:color="auto"/>
        <w:left w:val="none" w:sz="0" w:space="0" w:color="auto"/>
        <w:bottom w:val="none" w:sz="0" w:space="0" w:color="auto"/>
        <w:right w:val="none" w:sz="0" w:space="0" w:color="auto"/>
      </w:divBdr>
    </w:div>
    <w:div w:id="473640994">
      <w:bodyDiv w:val="1"/>
      <w:marLeft w:val="0"/>
      <w:marRight w:val="0"/>
      <w:marTop w:val="0"/>
      <w:marBottom w:val="0"/>
      <w:divBdr>
        <w:top w:val="none" w:sz="0" w:space="0" w:color="auto"/>
        <w:left w:val="none" w:sz="0" w:space="0" w:color="auto"/>
        <w:bottom w:val="none" w:sz="0" w:space="0" w:color="auto"/>
        <w:right w:val="none" w:sz="0" w:space="0" w:color="auto"/>
      </w:divBdr>
    </w:div>
    <w:div w:id="992178709">
      <w:bodyDiv w:val="1"/>
      <w:marLeft w:val="0"/>
      <w:marRight w:val="0"/>
      <w:marTop w:val="0"/>
      <w:marBottom w:val="0"/>
      <w:divBdr>
        <w:top w:val="none" w:sz="0" w:space="0" w:color="auto"/>
        <w:left w:val="none" w:sz="0" w:space="0" w:color="auto"/>
        <w:bottom w:val="none" w:sz="0" w:space="0" w:color="auto"/>
        <w:right w:val="none" w:sz="0" w:space="0" w:color="auto"/>
      </w:divBdr>
    </w:div>
    <w:div w:id="1099789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7986FC-135C-48E9-8FAD-5ED449113AC9}">
  <ds:schemaRefs>
    <ds:schemaRef ds:uri="http://schemas.openxmlformats.org/officeDocument/2006/bibliography"/>
  </ds:schemaRefs>
</ds:datastoreItem>
</file>

<file path=docProps/app.xml><?xml version="1.0" encoding="utf-8"?>
<ap:Properties xmlns:vt="http://schemas.openxmlformats.org/officeDocument/2006/docPropsVTypes" xmlns:ap="http://schemas.openxmlformats.org/officeDocument/2006/extended-properties">
  <ap:Template>Normal.dotm</ap:Template>
  <ap:TotalTime>0</ap:TotalTime>
  <ap:Pages>12</ap:Pages>
  <ap:Words>2853</ap:Words>
  <ap:Characters>16265</ap:Characters>
  <ap:Application>Microsoft Office Word</ap:Application>
  <ap:DocSecurity>0</ap:DocSecurity>
  <ap:Lines>135</ap:Lines>
  <ap:Paragraphs>38</ap:Paragraphs>
  <ap:ScaleCrop>false</ap:ScaleCrop>
  <ap:HeadingPairs>
    <vt:vector baseType="variant" size="2">
      <vt:variant>
        <vt:lpstr>Title</vt:lpstr>
      </vt:variant>
      <vt:variant>
        <vt:i4>1</vt:i4>
      </vt:variant>
    </vt:vector>
  </ap:HeadingPairs>
  <ap:TitlesOfParts>
    <vt:vector baseType="lpstr" size="1">
      <vt:lpstr>Resolution Template</vt:lpstr>
    </vt:vector>
  </ap:TitlesOfParts>
  <ap:Company/>
  <ap:LinksUpToDate>false</ap:LinksUpToDate>
  <ap:CharactersWithSpaces>19080</ap:CharactersWithSpaces>
  <ap:SharedDoc>false</ap:SharedDoc>
  <ap:HyperlinksChanged>false</ap:HyperlinksChanged>
  <ap:AppVersion>12.0000</ap:AppVersion>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1</cp:revision>
  <cp:lastPrinted>2000-06-01T18:55:00Z</cp:lastPrinted>
  <dcterms:created xsi:type="dcterms:W3CDTF">2020-05-01T14:42:53Z</dcterms:created>
  <dcterms:modified xsi:type="dcterms:W3CDTF">2020-05-01T14:42:53Z</dcterms:modified>
</cp:coreProperties>
</file>