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567E3" w:rsidR="00BD6C3F" w:rsidP="00B83EAA" w:rsidRDefault="00BD6C3F" w14:paraId="36E8DCE8" w14:textId="77777777">
      <w:pPr>
        <w:pBdr>
          <w:top w:val="double" w:color="auto" w:sz="6" w:space="1"/>
        </w:pBdr>
        <w:jc w:val="both"/>
        <w:rPr>
          <w:b/>
          <w:i/>
        </w:rPr>
      </w:pPr>
      <w:bookmarkStart w:name="_Hlk35420093" w:id="0"/>
    </w:p>
    <w:p w:rsidRPr="00C567E3" w:rsidR="00BD6C3F" w:rsidRDefault="00F91FB5" w14:paraId="1E6F8C98" w14:textId="77777777">
      <w:pPr>
        <w:jc w:val="center"/>
        <w:rPr>
          <w:b/>
          <w:i/>
        </w:rPr>
      </w:pPr>
      <w:r>
        <w:rPr>
          <w:noProof/>
        </w:rPr>
        <mc:AlternateContent>
          <mc:Choice Requires="wps">
            <w:drawing>
              <wp:anchor distT="0" distB="0" distL="114300" distR="114300" simplePos="0" relativeHeight="251657216" behindDoc="0" locked="0" layoutInCell="0" allowOverlap="1" wp14:editId="6241D0B7" wp14:anchorId="35E30BA0">
                <wp:simplePos x="0" y="0"/>
                <wp:positionH relativeFrom="margin">
                  <wp:align>center</wp:align>
                </wp:positionH>
                <wp:positionV relativeFrom="paragraph">
                  <wp:posOffset>58420</wp:posOffset>
                </wp:positionV>
                <wp:extent cx="2195195" cy="274320"/>
                <wp:effectExtent l="19050" t="20320" r="14605" b="196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5195" cy="274320"/>
                        </a:xfrm>
                        <a:prstGeom prst="rect">
                          <a:avLst/>
                        </a:prstGeom>
                        <a:solidFill>
                          <a:srgbClr val="CCCCCC"/>
                        </a:solidFill>
                        <a:ln w="25400">
                          <a:solidFill>
                            <a:srgbClr val="000000"/>
                          </a:solidFill>
                          <a:miter lim="800000"/>
                          <a:headEnd/>
                          <a:tailEnd/>
                        </a:ln>
                      </wps:spPr>
                      <wps:txbx>
                        <w:txbxContent>
                          <w:p w:rsidR="006A0B79" w:rsidRDefault="006A0B79" w14:paraId="6F6EB8B2" w14:textId="77777777">
                            <w:pPr>
                              <w:jc w:val="center"/>
                              <w:rPr>
                                <w:rFonts w:ascii="Arial" w:hAnsi="Arial"/>
                                <w:sz w:val="28"/>
                              </w:rPr>
                            </w:pPr>
                            <w:r>
                              <w:rPr>
                                <w:rFonts w:ascii="Arial" w:hAnsi="Arial"/>
                                <w:sz w:val="28"/>
                              </w:rPr>
                              <w:t>Closed to the Public</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left:0;text-align:left;margin-left:0;margin-top:4.6pt;width:172.85pt;height:21.6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6" o:allowincell="f" fillcolor="#ccc" strokeweight="2pt" w14:anchorId="35E30B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">
                <v:textbox inset="1pt,1pt,1pt,1pt">
                  <w:txbxContent>
                    <w:p w:rsidR="006A0B79" w:rsidRDefault="006A0B79" w14:paraId="6F6EB8B2" w14:textId="77777777">
                      <w:pPr>
                        <w:jc w:val="center"/>
                        <w:rPr>
                          <w:rFonts w:ascii="Arial" w:hAnsi="Arial"/>
                          <w:sz w:val="28"/>
                        </w:rPr>
                      </w:pPr>
                      <w:r>
                        <w:rPr>
                          <w:rFonts w:ascii="Arial" w:hAnsi="Arial"/>
                          <w:sz w:val="28"/>
                        </w:rPr>
                        <w:t>Closed to the Public</w:t>
                      </w:r>
                    </w:p>
                  </w:txbxContent>
                </v:textbox>
                <w10:wrap anchorx="margin"/>
              </v:rect>
            </w:pict>
          </mc:Fallback>
        </mc:AlternateContent>
      </w:r>
    </w:p>
    <w:p w:rsidRPr="00C567E3" w:rsidR="00BD6C3F" w:rsidRDefault="00BD6C3F" w14:paraId="387174AB" w14:textId="77777777">
      <w:pPr>
        <w:jc w:val="both"/>
        <w:rPr>
          <w:b/>
          <w:i/>
        </w:rPr>
      </w:pPr>
    </w:p>
    <w:p w:rsidRPr="00C567E3" w:rsidR="00BD6C3F" w:rsidRDefault="00BD6C3F" w14:paraId="7395889A" w14:textId="77777777">
      <w:pPr>
        <w:jc w:val="center"/>
        <w:rPr>
          <w:b/>
          <w:i/>
        </w:rPr>
      </w:pPr>
    </w:p>
    <w:p w:rsidRPr="00B83EAA" w:rsidR="00BD6C3F" w:rsidRDefault="00BD6C3F" w14:paraId="4AA67CE6" w14:textId="77777777">
      <w:pPr>
        <w:jc w:val="center"/>
        <w:rPr>
          <w:b/>
          <w:i/>
          <w:sz w:val="28"/>
        </w:rPr>
      </w:pPr>
      <w:r w:rsidRPr="00B83EAA">
        <w:rPr>
          <w:b/>
          <w:i/>
          <w:sz w:val="28"/>
        </w:rPr>
        <w:t>Public Utilities Commission of the State of California</w:t>
      </w:r>
    </w:p>
    <w:p w:rsidRPr="00C567E3" w:rsidR="00BD6C3F" w:rsidRDefault="00BD6C3F" w14:paraId="70124E41" w14:textId="77777777">
      <w:pPr>
        <w:jc w:val="center"/>
        <w:rPr>
          <w:b/>
          <w:i/>
        </w:rPr>
      </w:pPr>
    </w:p>
    <w:p w:rsidRPr="0089231D" w:rsidR="00BD6C3F" w:rsidRDefault="00BD6C3F" w14:paraId="0951177E" w14:textId="0867F20F">
      <w:pPr>
        <w:jc w:val="center"/>
        <w:rPr>
          <w:b/>
          <w:i/>
          <w:sz w:val="28"/>
          <w:szCs w:val="28"/>
        </w:rPr>
      </w:pPr>
      <w:r w:rsidRPr="0089231D">
        <w:rPr>
          <w:b/>
          <w:i/>
          <w:sz w:val="28"/>
          <w:szCs w:val="28"/>
        </w:rPr>
        <w:t xml:space="preserve">Ratesetting Deliberative Meeting Agenda No. </w:t>
      </w:r>
      <w:r w:rsidR="007852F3">
        <w:rPr>
          <w:b/>
          <w:i/>
          <w:sz w:val="28"/>
          <w:szCs w:val="28"/>
        </w:rPr>
        <w:t>1</w:t>
      </w:r>
      <w:r w:rsidR="00294431">
        <w:rPr>
          <w:b/>
          <w:i/>
          <w:sz w:val="28"/>
          <w:szCs w:val="28"/>
        </w:rPr>
        <w:t>2</w:t>
      </w:r>
      <w:r w:rsidR="00DC2310">
        <w:rPr>
          <w:b/>
          <w:i/>
          <w:sz w:val="28"/>
          <w:szCs w:val="28"/>
        </w:rPr>
        <w:t>9</w:t>
      </w:r>
    </w:p>
    <w:p w:rsidR="00BD6C3F" w:rsidRDefault="00DC2310" w14:paraId="06FEE444" w14:textId="47640972">
      <w:pPr>
        <w:jc w:val="center"/>
        <w:rPr>
          <w:b/>
          <w:i/>
          <w:sz w:val="28"/>
          <w:szCs w:val="28"/>
        </w:rPr>
      </w:pPr>
      <w:r>
        <w:rPr>
          <w:b/>
          <w:i/>
          <w:sz w:val="28"/>
          <w:szCs w:val="28"/>
        </w:rPr>
        <w:t>Friday</w:t>
      </w:r>
      <w:r w:rsidRPr="0089231D" w:rsidR="00BD6C3F">
        <w:rPr>
          <w:b/>
          <w:i/>
          <w:sz w:val="28"/>
          <w:szCs w:val="28"/>
        </w:rPr>
        <w:t>,</w:t>
      </w:r>
      <w:r w:rsidR="00775D95">
        <w:rPr>
          <w:b/>
          <w:i/>
          <w:sz w:val="28"/>
          <w:szCs w:val="28"/>
        </w:rPr>
        <w:t xml:space="preserve"> </w:t>
      </w:r>
      <w:r w:rsidR="007B0300">
        <w:rPr>
          <w:b/>
          <w:i/>
          <w:sz w:val="28"/>
          <w:szCs w:val="28"/>
        </w:rPr>
        <w:t xml:space="preserve">May </w:t>
      </w:r>
      <w:r>
        <w:rPr>
          <w:b/>
          <w:i/>
          <w:sz w:val="28"/>
          <w:szCs w:val="28"/>
        </w:rPr>
        <w:t>15</w:t>
      </w:r>
      <w:r w:rsidR="000B44AC">
        <w:rPr>
          <w:b/>
          <w:i/>
          <w:sz w:val="28"/>
          <w:szCs w:val="28"/>
        </w:rPr>
        <w:t>,</w:t>
      </w:r>
      <w:r w:rsidR="00501A9C">
        <w:rPr>
          <w:b/>
          <w:i/>
          <w:sz w:val="28"/>
          <w:szCs w:val="28"/>
        </w:rPr>
        <w:t xml:space="preserve"> 20</w:t>
      </w:r>
      <w:r w:rsidR="00294431">
        <w:rPr>
          <w:b/>
          <w:i/>
          <w:sz w:val="28"/>
          <w:szCs w:val="28"/>
        </w:rPr>
        <w:t>20</w:t>
      </w:r>
      <w:r w:rsidRPr="0089231D" w:rsidR="0089231D">
        <w:rPr>
          <w:b/>
          <w:i/>
          <w:sz w:val="28"/>
          <w:szCs w:val="28"/>
        </w:rPr>
        <w:t xml:space="preserve"> </w:t>
      </w:r>
      <w:r w:rsidR="00950EF7">
        <w:rPr>
          <w:b/>
          <w:i/>
          <w:sz w:val="28"/>
          <w:szCs w:val="28"/>
        </w:rPr>
        <w:t>1</w:t>
      </w:r>
      <w:r>
        <w:rPr>
          <w:b/>
          <w:i/>
          <w:sz w:val="28"/>
          <w:szCs w:val="28"/>
        </w:rPr>
        <w:t>0</w:t>
      </w:r>
      <w:r w:rsidRPr="0089231D" w:rsidR="00BD6C3F">
        <w:rPr>
          <w:b/>
          <w:i/>
          <w:sz w:val="28"/>
          <w:szCs w:val="28"/>
        </w:rPr>
        <w:t>:</w:t>
      </w:r>
      <w:r>
        <w:rPr>
          <w:b/>
          <w:i/>
          <w:sz w:val="28"/>
          <w:szCs w:val="28"/>
        </w:rPr>
        <w:t>0</w:t>
      </w:r>
      <w:r w:rsidRPr="0089231D" w:rsidR="000E491C">
        <w:rPr>
          <w:b/>
          <w:i/>
          <w:sz w:val="28"/>
          <w:szCs w:val="28"/>
        </w:rPr>
        <w:t>0</w:t>
      </w:r>
      <w:r w:rsidRPr="0089231D" w:rsidR="00BD6C3F">
        <w:rPr>
          <w:b/>
          <w:i/>
          <w:sz w:val="28"/>
          <w:szCs w:val="28"/>
        </w:rPr>
        <w:t xml:space="preserve"> </w:t>
      </w:r>
      <w:r>
        <w:rPr>
          <w:b/>
          <w:i/>
          <w:sz w:val="28"/>
          <w:szCs w:val="28"/>
        </w:rPr>
        <w:t>a</w:t>
      </w:r>
      <w:r w:rsidRPr="0089231D" w:rsidR="00BD6C3F">
        <w:rPr>
          <w:b/>
          <w:i/>
          <w:sz w:val="28"/>
          <w:szCs w:val="28"/>
        </w:rPr>
        <w:t>.m</w:t>
      </w:r>
      <w:r w:rsidRPr="0089231D" w:rsidR="00740B49">
        <w:rPr>
          <w:b/>
          <w:i/>
          <w:sz w:val="28"/>
          <w:szCs w:val="28"/>
        </w:rPr>
        <w:t>.</w:t>
      </w:r>
    </w:p>
    <w:p w:rsidRPr="0089231D" w:rsidR="00BD6C3F" w:rsidRDefault="007C30DB" w14:paraId="7B87AD9C" w14:textId="40AC98B3">
      <w:pPr>
        <w:jc w:val="center"/>
        <w:rPr>
          <w:b/>
          <w:i/>
          <w:sz w:val="28"/>
          <w:szCs w:val="28"/>
        </w:rPr>
      </w:pPr>
      <w:r>
        <w:rPr>
          <w:b/>
          <w:i/>
          <w:sz w:val="28"/>
          <w:szCs w:val="28"/>
        </w:rPr>
        <w:t>Remotely</w:t>
      </w:r>
    </w:p>
    <w:p w:rsidR="00BD6C3F" w:rsidRDefault="00BD6C3F" w14:paraId="1F1C409F" w14:textId="77777777">
      <w:pPr>
        <w:jc w:val="center"/>
        <w:rPr>
          <w:b/>
          <w:i/>
        </w:rPr>
      </w:pPr>
    </w:p>
    <w:p w:rsidRPr="00C567E3" w:rsidR="00D01779" w:rsidRDefault="00D01779" w14:paraId="19E7CC7C" w14:textId="77777777">
      <w:pPr>
        <w:jc w:val="center"/>
        <w:rPr>
          <w:b/>
          <w:i/>
        </w:rPr>
      </w:pPr>
    </w:p>
    <w:p w:rsidRPr="005D7BD0" w:rsidR="00BD6C3F" w:rsidRDefault="00BD6C3F" w14:paraId="6C9C77C7" w14:textId="3A21E521">
      <w:pPr>
        <w:jc w:val="center"/>
        <w:rPr>
          <w:b/>
          <w:u w:val="single"/>
        </w:rPr>
      </w:pPr>
      <w:r w:rsidRPr="005D7BD0">
        <w:rPr>
          <w:b/>
          <w:u w:val="single"/>
        </w:rPr>
        <w:t>Commissioners</w:t>
      </w:r>
    </w:p>
    <w:p w:rsidRPr="00C567E3" w:rsidR="007C30DB" w:rsidRDefault="007C30DB" w14:paraId="415FF69C" w14:textId="77777777">
      <w:pPr>
        <w:jc w:val="center"/>
        <w:rPr>
          <w:b/>
        </w:rPr>
      </w:pPr>
    </w:p>
    <w:p w:rsidRPr="00C567E3" w:rsidR="00BD6C3F" w:rsidRDefault="00294431" w14:paraId="49ABF91D" w14:textId="6B392080">
      <w:pPr>
        <w:jc w:val="center"/>
        <w:rPr>
          <w:b/>
        </w:rPr>
      </w:pPr>
      <w:r>
        <w:rPr>
          <w:b/>
        </w:rPr>
        <w:t>Marybel Batjer</w:t>
      </w:r>
      <w:r w:rsidRPr="00C567E3" w:rsidR="00BD6C3F">
        <w:rPr>
          <w:b/>
        </w:rPr>
        <w:t>, President</w:t>
      </w:r>
    </w:p>
    <w:p w:rsidRPr="005D7BD0" w:rsidR="00BD6C3F" w:rsidRDefault="004C4FD2" w14:paraId="6580B60F" w14:textId="77777777">
      <w:pPr>
        <w:jc w:val="center"/>
      </w:pPr>
      <w:r>
        <w:rPr>
          <w:b/>
        </w:rPr>
        <w:t>Martha Guzman Aceves</w:t>
      </w:r>
    </w:p>
    <w:p w:rsidRPr="0094227C" w:rsidR="002C6125" w:rsidRDefault="002C6125" w14:paraId="31F2E9D2" w14:textId="77777777">
      <w:pPr>
        <w:jc w:val="center"/>
        <w:rPr>
          <w:b/>
        </w:rPr>
      </w:pPr>
      <w:r w:rsidRPr="0094227C">
        <w:rPr>
          <w:b/>
        </w:rPr>
        <w:t>Liane M. Randolph</w:t>
      </w:r>
    </w:p>
    <w:p w:rsidR="00BD6C3F" w:rsidRDefault="004C4FD2" w14:paraId="4F00E837" w14:textId="7D3119EC">
      <w:pPr>
        <w:jc w:val="center"/>
        <w:rPr>
          <w:b/>
        </w:rPr>
      </w:pPr>
      <w:r>
        <w:rPr>
          <w:b/>
        </w:rPr>
        <w:t>Clifford Rechtschaffen</w:t>
      </w:r>
    </w:p>
    <w:p w:rsidR="00294431" w:rsidRDefault="00294431" w14:paraId="5FBC7E2D" w14:textId="71BD3CEA">
      <w:pPr>
        <w:jc w:val="center"/>
        <w:rPr>
          <w:b/>
        </w:rPr>
      </w:pPr>
      <w:r w:rsidRPr="0094227C">
        <w:rPr>
          <w:b/>
        </w:rPr>
        <w:t>Genevieve Shiroma</w:t>
      </w:r>
    </w:p>
    <w:p w:rsidR="00BD6C3F" w:rsidRDefault="00BD6C3F" w14:paraId="70D97865" w14:textId="6E7DFEB4">
      <w:pPr>
        <w:rPr>
          <w:b/>
        </w:rPr>
      </w:pPr>
    </w:p>
    <w:p w:rsidR="00301BC8" w:rsidP="00301BC8" w:rsidRDefault="00301BC8" w14:paraId="2198C8FD" w14:textId="77777777">
      <w:pPr>
        <w:autoSpaceDE w:val="0"/>
        <w:autoSpaceDN w:val="0"/>
        <w:adjustRightInd w:val="0"/>
        <w:jc w:val="center"/>
        <w:rPr>
          <w:rFonts w:ascii="TimesNewRoman" w:hAnsi="TimesNewRoman" w:cs="TimesNewRoman"/>
        </w:rPr>
      </w:pPr>
      <w:r>
        <w:rPr>
          <w:rFonts w:ascii="TimesNewRoman" w:hAnsi="TimesNewRoman" w:cs="TimesNewRoman"/>
        </w:rPr>
        <w:t>Pursuant to Executive Order N-29-20, paragraph 3, that was issued on March 17, 2020, Commissioners may participate remotely from teleconferencing locations</w:t>
      </w:r>
    </w:p>
    <w:p w:rsidRPr="0019248B" w:rsidR="0019248B" w:rsidP="0019248B" w:rsidRDefault="0019248B" w14:paraId="36AAFBF1" w14:textId="77777777">
      <w:pPr>
        <w:jc w:val="center"/>
        <w:rPr>
          <w:rFonts w:eastAsia="Calibri"/>
        </w:rPr>
      </w:pPr>
    </w:p>
    <w:p w:rsidRPr="0019248B" w:rsidR="0019248B" w:rsidP="0019248B" w:rsidRDefault="0019248B" w14:paraId="589017C7" w14:textId="2381FE4D">
      <w:pPr>
        <w:jc w:val="center"/>
        <w:rPr>
          <w:rFonts w:eastAsia="Calibri"/>
        </w:rPr>
      </w:pPr>
      <w:r w:rsidRPr="0019248B">
        <w:rPr>
          <w:rFonts w:eastAsia="Calibri"/>
        </w:rPr>
        <w:t>Link to Executive Order N-2</w:t>
      </w:r>
      <w:r w:rsidR="00EB79E4">
        <w:rPr>
          <w:rFonts w:eastAsia="Calibri"/>
        </w:rPr>
        <w:t>9</w:t>
      </w:r>
      <w:r w:rsidRPr="0019248B">
        <w:rPr>
          <w:rFonts w:eastAsia="Calibri"/>
        </w:rPr>
        <w:t>-20:</w:t>
      </w:r>
    </w:p>
    <w:p w:rsidRPr="0019248B" w:rsidR="0019248B" w:rsidP="0019248B" w:rsidRDefault="00BD7D28" w14:paraId="6453DCB5" w14:textId="151DFA64">
      <w:pPr>
        <w:jc w:val="center"/>
      </w:pPr>
      <w:hyperlink w:history="1" r:id="rId8">
        <w:r w:rsidRPr="00EB79E4" w:rsidR="00EB79E4">
          <w:rPr>
            <w:rStyle w:val="Hyperlink"/>
          </w:rPr>
          <w:t>https://www.gov.ca.gov/wp-content/uploads/2020/03/3.17.20-N-29-20-EO.pdf</w:t>
        </w:r>
      </w:hyperlink>
    </w:p>
    <w:p w:rsidRPr="00C567E3" w:rsidR="0019248B" w:rsidRDefault="0019248B" w14:paraId="72A12AFC" w14:textId="77777777">
      <w:pPr>
        <w:rPr>
          <w:b/>
        </w:rPr>
      </w:pPr>
    </w:p>
    <w:p w:rsidR="00BD6C3F" w:rsidP="00B83EAA" w:rsidRDefault="00BD6C3F" w14:paraId="4E247F0B" w14:textId="4E73F85F">
      <w:pPr>
        <w:jc w:val="center"/>
        <w:rPr>
          <w:i/>
        </w:rPr>
      </w:pPr>
      <w:r w:rsidRPr="00C567E3">
        <w:rPr>
          <w:i/>
        </w:rPr>
        <w:t xml:space="preserve">This Ratesetting Deliberative Meeting will commence at the above date and time and may be continued from day to day up to the convening of the </w:t>
      </w:r>
      <w:r w:rsidR="007B0300">
        <w:rPr>
          <w:i/>
        </w:rPr>
        <w:t xml:space="preserve">May </w:t>
      </w:r>
      <w:r w:rsidR="00DC2310">
        <w:rPr>
          <w:i/>
        </w:rPr>
        <w:t>21</w:t>
      </w:r>
      <w:r w:rsidR="00DA0DD7">
        <w:rPr>
          <w:i/>
        </w:rPr>
        <w:t>, 2020</w:t>
      </w:r>
      <w:r w:rsidRPr="00C567E3">
        <w:rPr>
          <w:i/>
        </w:rPr>
        <w:t xml:space="preserve"> Business Meeting.</w:t>
      </w:r>
    </w:p>
    <w:p w:rsidRPr="00C567E3" w:rsidR="002E7043" w:rsidP="00B83EAA" w:rsidRDefault="002E7043" w14:paraId="692AACF3" w14:textId="77777777">
      <w:pPr>
        <w:jc w:val="center"/>
        <w:rPr>
          <w:i/>
        </w:rPr>
      </w:pPr>
      <w:r w:rsidRPr="002E7043">
        <w:rPr>
          <w:i/>
        </w:rPr>
        <w:t>This Ratesetting Deliberative Meeting is being held pursuant to Pub. Util. Code § 1701.3(h)(6).</w:t>
      </w:r>
    </w:p>
    <w:p w:rsidRPr="00C567E3" w:rsidR="00BD6C3F" w:rsidRDefault="00BD6C3F" w14:paraId="2539CBF5" w14:textId="77777777">
      <w:pPr>
        <w:rPr>
          <w:i/>
        </w:rPr>
      </w:pPr>
    </w:p>
    <w:p w:rsidR="00BD6C3F" w:rsidRDefault="00BD6C3F" w14:paraId="35523C23" w14:textId="78C3B13C">
      <w:pPr>
        <w:pBdr>
          <w:bottom w:val="double" w:color="auto" w:sz="6" w:space="1"/>
        </w:pBdr>
        <w:jc w:val="center"/>
        <w:rPr>
          <w:i/>
        </w:rPr>
      </w:pPr>
      <w:r w:rsidRPr="00C567E3">
        <w:rPr>
          <w:i/>
        </w:rPr>
        <w:t xml:space="preserve">Website:  </w:t>
      </w:r>
      <w:hyperlink w:history="1" r:id="rId9">
        <w:r w:rsidRPr="00767F35" w:rsidR="002C6125">
          <w:rPr>
            <w:rStyle w:val="Hyperlink"/>
            <w:i/>
          </w:rPr>
          <w:t>http://www.cpuc.ca.gov</w:t>
        </w:r>
      </w:hyperlink>
    </w:p>
    <w:p w:rsidRPr="00C567E3" w:rsidR="00BD6C3F" w:rsidRDefault="00BD6C3F" w14:paraId="2ED9E528" w14:textId="77777777">
      <w:pPr>
        <w:jc w:val="center"/>
      </w:pPr>
    </w:p>
    <w:p w:rsidRPr="00C567E3" w:rsidR="00BD6C3F" w:rsidRDefault="00BD6C3F" w14:paraId="3ACB257E" w14:textId="77777777">
      <w:pPr>
        <w:jc w:val="center"/>
      </w:pPr>
    </w:p>
    <w:p w:rsidRPr="00C567E3" w:rsidR="00BD6C3F" w:rsidRDefault="00BD6C3F" w14:paraId="1E6A2413" w14:textId="77777777">
      <w:pPr>
        <w:jc w:val="center"/>
      </w:pPr>
      <w:r w:rsidRPr="00C567E3">
        <w:t>Ratesetting Deliberative Meeting</w:t>
      </w:r>
    </w:p>
    <w:p w:rsidRPr="00C567E3" w:rsidR="00BD6C3F" w:rsidRDefault="00950EF7" w14:paraId="68F6A373" w14:textId="0B5FFEDB">
      <w:pPr>
        <w:jc w:val="center"/>
      </w:pPr>
      <w:r>
        <w:t>1</w:t>
      </w:r>
      <w:r w:rsidR="00DC2310">
        <w:t>0</w:t>
      </w:r>
      <w:r w:rsidRPr="00C567E3" w:rsidR="00B3196E">
        <w:t>:</w:t>
      </w:r>
      <w:r w:rsidR="00DC2310">
        <w:t>0</w:t>
      </w:r>
      <w:r w:rsidRPr="00C567E3" w:rsidR="000E491C">
        <w:t>0</w:t>
      </w:r>
      <w:r w:rsidR="00566CCC">
        <w:t xml:space="preserve"> </w:t>
      </w:r>
      <w:r w:rsidR="00DC2310">
        <w:t>a</w:t>
      </w:r>
      <w:r w:rsidRPr="00C567E3" w:rsidR="00BD6C3F">
        <w:t>.m.</w:t>
      </w:r>
    </w:p>
    <w:p w:rsidR="008B347B" w:rsidP="00294431" w:rsidRDefault="007C30DB" w14:paraId="5375FDCF" w14:textId="0F846BFB">
      <w:pPr>
        <w:jc w:val="center"/>
      </w:pPr>
      <w:r>
        <w:t>Remotely</w:t>
      </w:r>
    </w:p>
    <w:p w:rsidR="007C30DB" w:rsidP="00294431" w:rsidRDefault="007C30DB" w14:paraId="662F2817" w14:textId="77777777">
      <w:pPr>
        <w:jc w:val="center"/>
      </w:pPr>
    </w:p>
    <w:p w:rsidRPr="00C567E3" w:rsidR="00D865FC" w:rsidP="00D865FC" w:rsidRDefault="00D865FC" w14:paraId="7096C304" w14:textId="77777777">
      <w:pPr>
        <w:jc w:val="center"/>
      </w:pPr>
    </w:p>
    <w:p w:rsidRPr="00C567E3" w:rsidR="00BD6C3F" w:rsidRDefault="00F91FB5" w14:paraId="62C461F8" w14:textId="77777777">
      <w:r>
        <w:rPr>
          <w:noProof/>
        </w:rPr>
        <mc:AlternateContent>
          <mc:Choice Requires="wps">
            <w:drawing>
              <wp:anchor distT="0" distB="0" distL="114300" distR="114300" simplePos="0" relativeHeight="251658240" behindDoc="0" locked="0" layoutInCell="0" allowOverlap="1" wp14:editId="614C2316" wp14:anchorId="11F0E349">
                <wp:simplePos x="0" y="0"/>
                <wp:positionH relativeFrom="margin">
                  <wp:align>center</wp:align>
                </wp:positionH>
                <wp:positionV relativeFrom="paragraph">
                  <wp:posOffset>-7620</wp:posOffset>
                </wp:positionV>
                <wp:extent cx="4846955" cy="458470"/>
                <wp:effectExtent l="19050" t="20955" r="20320"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46955" cy="458470"/>
                        </a:xfrm>
                        <a:prstGeom prst="rect">
                          <a:avLst/>
                        </a:prstGeom>
                        <a:solidFill>
                          <a:srgbClr val="CCCCCC"/>
                        </a:solidFill>
                        <a:ln w="25400">
                          <a:solidFill>
                            <a:srgbClr val="000000"/>
                          </a:solidFill>
                          <a:miter lim="800000"/>
                          <a:headEnd/>
                          <a:tailEnd/>
                        </a:ln>
                      </wps:spPr>
                      <wps:txbx>
                        <w:txbxContent>
                          <w:p w:rsidRPr="00D01779" w:rsidR="006A0B79" w:rsidP="001F4B5D" w:rsidRDefault="006A0B79" w14:paraId="60A98199" w14:textId="77777777">
                            <w:pPr>
                              <w:tabs>
                                <w:tab w:val="left" w:pos="1350"/>
                              </w:tabs>
                              <w:spacing w:after="60"/>
                              <w:jc w:val="center"/>
                              <w:rPr>
                                <w:sz w:val="22"/>
                              </w:rPr>
                            </w:pPr>
                            <w:r w:rsidRPr="00D01779">
                              <w:rPr>
                                <w:sz w:val="22"/>
                              </w:rPr>
                              <w:t>For further information contact the Public Advisor</w:t>
                            </w:r>
                          </w:p>
                          <w:p w:rsidRPr="00D01779" w:rsidR="006A0B79" w:rsidRDefault="006A0B79" w14:paraId="61DDC59D" w14:textId="79B54583">
                            <w:pPr>
                              <w:tabs>
                                <w:tab w:val="left" w:pos="1350"/>
                              </w:tabs>
                              <w:jc w:val="center"/>
                              <w:rPr>
                                <w:sz w:val="22"/>
                              </w:rPr>
                            </w:pPr>
                            <w:r w:rsidRPr="00D01779">
                              <w:rPr>
                                <w:sz w:val="22"/>
                              </w:rPr>
                              <w:t xml:space="preserve">Phone: (415) 703-2074   </w:t>
                            </w:r>
                            <w:r w:rsidR="00294431">
                              <w:rPr>
                                <w:sz w:val="22"/>
                              </w:rPr>
                              <w:t>-</w:t>
                            </w:r>
                            <w:r w:rsidRPr="00D01779">
                              <w:rPr>
                                <w:sz w:val="22"/>
                              </w:rPr>
                              <w:t xml:space="preserve">   E-mail: </w:t>
                            </w:r>
                            <w:hyperlink w:history="1" r:id="rId10">
                              <w:r w:rsidRPr="00D01779" w:rsidR="002C6125">
                                <w:rPr>
                                  <w:rStyle w:val="Hyperlink"/>
                                  <w:sz w:val="22"/>
                                </w:rPr>
                                <w:t>public.advisor@cpuc.ca.gov</w:t>
                              </w:r>
                            </w:hyperlink>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0;margin-top:-.6pt;width:381.65pt;height:36.1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spid="_x0000_s1027" o:allowincell="f" fillcolor="#ccc" strokeweight="2pt" w14:anchorId="11F0E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">
                <v:textbox inset="1pt,1pt,1pt,1pt">
                  <w:txbxContent>
                    <w:p w:rsidRPr="00D01779" w:rsidR="006A0B79" w:rsidP="001F4B5D" w:rsidRDefault="006A0B79" w14:paraId="60A98199" w14:textId="77777777">
                      <w:pPr>
                        <w:tabs>
                          <w:tab w:val="left" w:pos="1350"/>
                        </w:tabs>
                        <w:spacing w:after="60"/>
                        <w:jc w:val="center"/>
                        <w:rPr>
                          <w:sz w:val="22"/>
                        </w:rPr>
                      </w:pPr>
                      <w:r w:rsidRPr="00D01779">
                        <w:rPr>
                          <w:sz w:val="22"/>
                        </w:rPr>
                        <w:t>For further information contact the Public Advisor</w:t>
                      </w:r>
                    </w:p>
                    <w:p w:rsidRPr="00D01779" w:rsidR="006A0B79" w:rsidRDefault="006A0B79" w14:paraId="61DDC59D" w14:textId="79B54583">
                      <w:pPr>
                        <w:tabs>
                          <w:tab w:val="left" w:pos="1350"/>
                        </w:tabs>
                        <w:jc w:val="center"/>
                        <w:rPr>
                          <w:sz w:val="22"/>
                        </w:rPr>
                      </w:pPr>
                      <w:r w:rsidRPr="00D01779">
                        <w:rPr>
                          <w:sz w:val="22"/>
                        </w:rPr>
                        <w:t xml:space="preserve">Phone: (415) 703-2074   </w:t>
                      </w:r>
                      <w:r w:rsidR="00294431">
                        <w:rPr>
                          <w:sz w:val="22"/>
                        </w:rPr>
                        <w:t>-</w:t>
                      </w:r>
                      <w:r w:rsidRPr="00D01779">
                        <w:rPr>
                          <w:sz w:val="22"/>
                        </w:rPr>
                        <w:t xml:space="preserve">   E-mail: </w:t>
                      </w:r>
                      <w:hyperlink w:history="1" r:id="rId11">
                        <w:r w:rsidRPr="00D01779" w:rsidR="002C6125">
                          <w:rPr>
                            <w:rStyle w:val="Hyperlink"/>
                            <w:sz w:val="22"/>
                          </w:rPr>
                          <w:t>public.advisor@cpuc.ca.gov</w:t>
                        </w:r>
                      </w:hyperlink>
                    </w:p>
                  </w:txbxContent>
                </v:textbox>
                <w10:wrap anchorx="margin"/>
              </v:rect>
            </w:pict>
          </mc:Fallback>
        </mc:AlternateContent>
      </w:r>
    </w:p>
    <w:p w:rsidRPr="00501A9C" w:rsidR="008B347B" w:rsidP="00501A9C" w:rsidRDefault="008B347B" w14:paraId="603EDFBE" w14:textId="77777777">
      <w:pPr>
        <w:sectPr w:rsidRPr="00501A9C" w:rsidR="008B347B" w:rsidSect="00B83EAA">
          <w:footerReference w:type="default" r:id="rId12"/>
          <w:pgSz w:w="12240" w:h="15840" w:code="1"/>
          <w:pgMar w:top="1440" w:right="1440" w:bottom="1440" w:left="1440" w:header="720" w:footer="720" w:gutter="0"/>
          <w:cols w:space="720"/>
          <w:titlePg/>
        </w:sectPr>
      </w:pPr>
    </w:p>
    <w:p w:rsidR="000B6B52" w:rsidP="00D7400F" w:rsidRDefault="000B6B52" w14:paraId="4805658E" w14:textId="77777777">
      <w:pPr>
        <w:pStyle w:val="Heading1"/>
        <w:rPr>
          <w:rFonts w:ascii="Arial" w:hAnsi="Arial" w:cs="Arial"/>
          <w:sz w:val="24"/>
        </w:rPr>
      </w:pPr>
    </w:p>
    <w:p w:rsidRPr="00D01779" w:rsidR="001552C4" w:rsidP="00D7400F" w:rsidRDefault="001552C4" w14:paraId="671A563C" w14:textId="1CFD99E3">
      <w:pPr>
        <w:pStyle w:val="Heading1"/>
        <w:rPr>
          <w:rFonts w:ascii="Arial" w:hAnsi="Arial" w:cs="Arial"/>
        </w:rPr>
      </w:pPr>
      <w:r w:rsidRPr="00DA7A9E">
        <w:rPr>
          <w:rFonts w:ascii="Arial" w:hAnsi="Arial" w:cs="Arial"/>
          <w:sz w:val="24"/>
        </w:rPr>
        <w:t>AGENDA</w:t>
      </w:r>
    </w:p>
    <w:p w:rsidR="002A086B" w:rsidP="003C668E" w:rsidRDefault="001552C4" w14:paraId="786B304F" w14:textId="799358E5">
      <w:pPr>
        <w:jc w:val="center"/>
        <w:rPr>
          <w:rFonts w:ascii="Arial" w:hAnsi="Arial" w:cs="Arial"/>
          <w:i/>
          <w:sz w:val="22"/>
        </w:rPr>
      </w:pPr>
      <w:r w:rsidRPr="001F4B5D">
        <w:rPr>
          <w:rFonts w:ascii="Arial" w:hAnsi="Arial" w:cs="Arial"/>
          <w:i/>
          <w:sz w:val="22"/>
        </w:rPr>
        <w:t>(Agenda ID number correspond</w:t>
      </w:r>
      <w:r w:rsidR="00DC2310">
        <w:rPr>
          <w:rFonts w:ascii="Arial" w:hAnsi="Arial" w:cs="Arial"/>
          <w:i/>
          <w:sz w:val="22"/>
        </w:rPr>
        <w:t>s</w:t>
      </w:r>
      <w:r w:rsidRPr="001F4B5D">
        <w:rPr>
          <w:rFonts w:ascii="Arial" w:hAnsi="Arial" w:cs="Arial"/>
          <w:i/>
          <w:sz w:val="22"/>
        </w:rPr>
        <w:t xml:space="preserve"> to the </w:t>
      </w:r>
      <w:r w:rsidR="007B0300">
        <w:rPr>
          <w:rFonts w:ascii="Arial" w:hAnsi="Arial" w:cs="Arial"/>
          <w:i/>
          <w:sz w:val="22"/>
        </w:rPr>
        <w:t xml:space="preserve">May </w:t>
      </w:r>
      <w:r w:rsidR="00DC2310">
        <w:rPr>
          <w:rFonts w:ascii="Arial" w:hAnsi="Arial" w:cs="Arial"/>
          <w:i/>
          <w:sz w:val="22"/>
        </w:rPr>
        <w:t>21</w:t>
      </w:r>
      <w:r w:rsidR="00C03903">
        <w:rPr>
          <w:rFonts w:ascii="Arial" w:hAnsi="Arial" w:cs="Arial"/>
          <w:i/>
          <w:sz w:val="22"/>
        </w:rPr>
        <w:t>, 2020</w:t>
      </w:r>
      <w:r w:rsidRPr="001F4B5D">
        <w:rPr>
          <w:rFonts w:ascii="Arial" w:hAnsi="Arial" w:cs="Arial"/>
          <w:i/>
          <w:sz w:val="22"/>
        </w:rPr>
        <w:t xml:space="preserve"> Business Meeting Agenda)</w:t>
      </w:r>
    </w:p>
    <w:p w:rsidR="00F45E91" w:rsidP="003C668E" w:rsidRDefault="00F45E91" w14:paraId="5592FDC6" w14:textId="77777777">
      <w:pPr>
        <w:jc w:val="center"/>
        <w:rPr>
          <w:rFonts w:ascii="Arial" w:hAnsi="Arial" w:cs="Arial"/>
          <w:i/>
          <w:sz w:val="22"/>
        </w:rPr>
      </w:pPr>
    </w:p>
    <w:p w:rsidR="00B75350" w:rsidP="003C668E" w:rsidRDefault="00B75350" w14:paraId="432931D9" w14:textId="77777777">
      <w:pPr>
        <w:jc w:val="center"/>
        <w:rPr>
          <w:rFonts w:ascii="Arial" w:hAnsi="Arial" w:cs="Arial"/>
          <w:i/>
          <w:sz w:val="22"/>
        </w:rPr>
      </w:pPr>
    </w:p>
    <w:tbl>
      <w:tblPr>
        <w:tblW w:w="5000" w:type="pct"/>
        <w:tblLook w:val="0000" w:firstRow="0" w:lastRow="0" w:firstColumn="0" w:lastColumn="0" w:noHBand="0" w:noVBand="0"/>
      </w:tblPr>
      <w:tblGrid>
        <w:gridCol w:w="1018"/>
        <w:gridCol w:w="8342"/>
      </w:tblGrid>
      <w:tr w:rsidRPr="00B75350" w:rsidR="004D6724" w:rsidTr="00F45E91" w14:paraId="678DE0EA" w14:textId="77777777">
        <w:trPr>
          <w:trHeight w:val="1458"/>
        </w:trPr>
        <w:tc>
          <w:tcPr>
            <w:tcW w:w="544" w:type="pct"/>
          </w:tcPr>
          <w:p w:rsidRPr="00B75350" w:rsidR="004D6724" w:rsidP="00D35321" w:rsidRDefault="004D6724" w14:paraId="1E6A2215" w14:textId="77777777">
            <w:pPr>
              <w:rPr>
                <w:rFonts w:ascii="Arial" w:hAnsi="Arial" w:cs="Arial"/>
                <w:b/>
              </w:rPr>
            </w:pPr>
            <w:r w:rsidRPr="00B75350">
              <w:rPr>
                <w:rFonts w:ascii="Arial" w:hAnsi="Arial" w:cs="Arial"/>
                <w:b/>
              </w:rPr>
              <w:t>NOTE:</w:t>
            </w:r>
          </w:p>
        </w:tc>
        <w:tc>
          <w:tcPr>
            <w:tcW w:w="4456" w:type="pct"/>
          </w:tcPr>
          <w:p w:rsidRPr="008F766D" w:rsidR="008F766D" w:rsidP="008F766D" w:rsidRDefault="008F766D" w14:paraId="49CC767E" w14:textId="4DE20D0C">
            <w:pPr>
              <w:pStyle w:val="Default"/>
              <w:rPr>
                <w:b/>
                <w:bCs/>
              </w:rPr>
            </w:pPr>
            <w:r w:rsidRPr="008F766D">
              <w:rPr>
                <w:b/>
                <w:bCs/>
              </w:rPr>
              <w:t xml:space="preserve">Ex </w:t>
            </w:r>
            <w:proofErr w:type="spellStart"/>
            <w:r w:rsidRPr="008F766D">
              <w:rPr>
                <w:b/>
                <w:bCs/>
              </w:rPr>
              <w:t>Parte</w:t>
            </w:r>
            <w:proofErr w:type="spellEnd"/>
            <w:r w:rsidRPr="008F766D">
              <w:rPr>
                <w:b/>
                <w:bCs/>
              </w:rPr>
              <w:t xml:space="preserve"> communications are prohibited on Agenda ID Number</w:t>
            </w:r>
          </w:p>
          <w:p w:rsidR="00844858" w:rsidP="001512F4" w:rsidRDefault="007B0300" w14:paraId="16AE94CB" w14:textId="269D3F55">
            <w:pPr>
              <w:pStyle w:val="Default"/>
              <w:rPr>
                <w:b/>
                <w:bCs/>
              </w:rPr>
            </w:pPr>
            <w:r>
              <w:rPr>
                <w:b/>
                <w:bCs/>
              </w:rPr>
              <w:t>183</w:t>
            </w:r>
            <w:r w:rsidR="00DC2310">
              <w:rPr>
                <w:b/>
                <w:bCs/>
              </w:rPr>
              <w:t>40</w:t>
            </w:r>
            <w:r w:rsidRPr="008F766D" w:rsidR="008F766D">
              <w:rPr>
                <w:b/>
                <w:bCs/>
              </w:rPr>
              <w:t xml:space="preserve"> from the day of the Ratesetting Deliberative Meeting</w:t>
            </w:r>
            <w:r w:rsidR="001512F4">
              <w:rPr>
                <w:b/>
                <w:bCs/>
              </w:rPr>
              <w:t xml:space="preserve"> </w:t>
            </w:r>
            <w:r w:rsidRPr="008F766D" w:rsidR="008F766D">
              <w:rPr>
                <w:b/>
                <w:bCs/>
              </w:rPr>
              <w:t>through the conclusion of the Business Meeting, at which a vote on</w:t>
            </w:r>
            <w:r w:rsidR="001512F4">
              <w:rPr>
                <w:b/>
                <w:bCs/>
              </w:rPr>
              <w:t xml:space="preserve"> </w:t>
            </w:r>
            <w:r w:rsidRPr="008F766D" w:rsidR="008F766D">
              <w:rPr>
                <w:b/>
                <w:bCs/>
              </w:rPr>
              <w:t>the Proposed Decision is scheduled. Rule 8.2(c)(4).</w:t>
            </w:r>
          </w:p>
          <w:p w:rsidR="00520218" w:rsidP="001512F4" w:rsidRDefault="00520218" w14:paraId="12AFD9B3" w14:textId="77777777">
            <w:pPr>
              <w:pStyle w:val="Default"/>
              <w:rPr>
                <w:b/>
                <w:bCs/>
              </w:rPr>
            </w:pPr>
          </w:p>
          <w:p w:rsidR="00F45E91" w:rsidP="001512F4" w:rsidRDefault="00F45E91" w14:paraId="0B0E9C76" w14:textId="77777777">
            <w:pPr>
              <w:pStyle w:val="Default"/>
              <w:rPr>
                <w:b/>
              </w:rPr>
            </w:pPr>
          </w:p>
          <w:p w:rsidRPr="004D6724" w:rsidR="004D6724" w:rsidP="00E01D56" w:rsidRDefault="004D6724" w14:paraId="68AA47B5" w14:textId="394908FD">
            <w:pPr>
              <w:rPr>
                <w:rFonts w:ascii="Arial" w:hAnsi="Arial" w:cs="Arial"/>
                <w:b/>
              </w:rPr>
            </w:pPr>
          </w:p>
        </w:tc>
      </w:tr>
      <w:tr w:rsidRPr="00DC0ED4" w:rsidR="00A76944" w:rsidTr="00F45E91" w14:paraId="43036088" w14:textId="77777777">
        <w:trPr>
          <w:trHeight w:val="144"/>
        </w:trPr>
        <w:tc>
          <w:tcPr>
            <w:tcW w:w="544" w:type="pct"/>
          </w:tcPr>
          <w:p w:rsidRPr="00D01779" w:rsidR="00A76944" w:rsidP="008F766D" w:rsidRDefault="00A76944" w14:paraId="48FA5C01" w14:textId="529DD7B9">
            <w:pPr>
              <w:ind w:hanging="105"/>
              <w:rPr>
                <w:rFonts w:ascii="Arial" w:hAnsi="Arial" w:cs="Arial"/>
                <w:b/>
              </w:rPr>
            </w:pPr>
            <w:r>
              <w:rPr>
                <w:rFonts w:ascii="Arial" w:hAnsi="Arial" w:cs="Arial"/>
                <w:b/>
              </w:rPr>
              <w:t>[1</w:t>
            </w:r>
            <w:r w:rsidR="001512F4">
              <w:rPr>
                <w:rFonts w:ascii="Arial" w:hAnsi="Arial" w:cs="Arial"/>
                <w:b/>
              </w:rPr>
              <w:t>8</w:t>
            </w:r>
            <w:r w:rsidR="00DC2310">
              <w:rPr>
                <w:rFonts w:ascii="Arial" w:hAnsi="Arial" w:cs="Arial"/>
                <w:b/>
              </w:rPr>
              <w:t>340</w:t>
            </w:r>
            <w:r w:rsidR="008F766D">
              <w:rPr>
                <w:rFonts w:ascii="Arial" w:hAnsi="Arial" w:cs="Arial"/>
                <w:b/>
              </w:rPr>
              <w:t>]</w:t>
            </w:r>
          </w:p>
        </w:tc>
        <w:tc>
          <w:tcPr>
            <w:tcW w:w="4456" w:type="pct"/>
          </w:tcPr>
          <w:p w:rsidR="007B0300" w:rsidP="00C348A9" w:rsidRDefault="00A7228B" w14:paraId="1964CFFE" w14:textId="408E8AA8">
            <w:pPr>
              <w:autoSpaceDE w:val="0"/>
              <w:autoSpaceDN w:val="0"/>
              <w:adjustRightInd w:val="0"/>
              <w:rPr>
                <w:rFonts w:ascii="Arial" w:hAnsi="Arial" w:cs="Arial"/>
                <w:b/>
                <w:bCs/>
              </w:rPr>
            </w:pPr>
            <w:r w:rsidRPr="00A7228B">
              <w:rPr>
                <w:rFonts w:ascii="Arial" w:hAnsi="Arial" w:cs="Arial"/>
                <w:b/>
                <w:bCs/>
              </w:rPr>
              <w:t>Reorganization Plan of Pacific Gas and Electric Company</w:t>
            </w:r>
          </w:p>
          <w:p w:rsidR="00A7228B" w:rsidP="00C348A9" w:rsidRDefault="00A7228B" w14:paraId="376A2BCB" w14:textId="77777777">
            <w:pPr>
              <w:autoSpaceDE w:val="0"/>
              <w:autoSpaceDN w:val="0"/>
              <w:adjustRightInd w:val="0"/>
              <w:rPr>
                <w:rFonts w:ascii="Arial" w:hAnsi="Arial" w:cs="Arial"/>
                <w:b/>
                <w:bCs/>
              </w:rPr>
            </w:pPr>
          </w:p>
          <w:p w:rsidR="00A7228B" w:rsidP="00C348A9" w:rsidRDefault="00A7228B" w14:paraId="5E7668B3" w14:textId="77777777">
            <w:pPr>
              <w:autoSpaceDE w:val="0"/>
              <w:autoSpaceDN w:val="0"/>
              <w:adjustRightInd w:val="0"/>
              <w:rPr>
                <w:rFonts w:ascii="Arial" w:hAnsi="Arial" w:cs="Arial"/>
                <w:b/>
                <w:bCs/>
              </w:rPr>
            </w:pPr>
            <w:r w:rsidRPr="00A7228B">
              <w:rPr>
                <w:rFonts w:ascii="Arial" w:hAnsi="Arial" w:cs="Arial"/>
                <w:b/>
                <w:bCs/>
              </w:rPr>
              <w:t>I.19-09-016</w:t>
            </w:r>
          </w:p>
          <w:p w:rsidR="00A7228B" w:rsidP="00C348A9" w:rsidRDefault="00A7228B" w14:paraId="627A577A" w14:textId="77777777">
            <w:pPr>
              <w:autoSpaceDE w:val="0"/>
              <w:autoSpaceDN w:val="0"/>
              <w:adjustRightInd w:val="0"/>
              <w:rPr>
                <w:rFonts w:ascii="Arial" w:hAnsi="Arial" w:cs="Arial"/>
              </w:rPr>
            </w:pPr>
            <w:r w:rsidRPr="00A7228B">
              <w:rPr>
                <w:rFonts w:ascii="Arial" w:hAnsi="Arial" w:cs="Arial"/>
              </w:rPr>
              <w:t xml:space="preserve">Order Instituting Investigation on the Commission's Own Motion to Consider the Ratemaking and Other Implications of a Proposed Plan for Resolution of Voluntary Case filed by Pacific Gas and Electric Company, pursuant to Chapter 11 of the Bankruptcy Code, in the United States Bankruptcy Court, Northern District of California, San Francisco Division, In re Pacific Gas and Electric Corporation and Pacific Gas and Electric Company, </w:t>
            </w:r>
          </w:p>
          <w:p w:rsidRPr="00A7228B" w:rsidR="00A7228B" w:rsidP="00C348A9" w:rsidRDefault="00A7228B" w14:paraId="3940D5A5" w14:textId="6CA71FC2">
            <w:pPr>
              <w:autoSpaceDE w:val="0"/>
              <w:autoSpaceDN w:val="0"/>
              <w:adjustRightInd w:val="0"/>
              <w:rPr>
                <w:rFonts w:ascii="Arial" w:hAnsi="Arial" w:cs="Arial"/>
              </w:rPr>
            </w:pPr>
            <w:r w:rsidRPr="00A7228B">
              <w:rPr>
                <w:rFonts w:ascii="Arial" w:hAnsi="Arial" w:cs="Arial"/>
              </w:rPr>
              <w:t>Case No.19-30088.</w:t>
            </w:r>
          </w:p>
          <w:p w:rsidRPr="00392410" w:rsidR="00C348A9" w:rsidP="00C348A9" w:rsidRDefault="00C348A9" w14:paraId="59C9F9D0" w14:textId="77777777">
            <w:pPr>
              <w:autoSpaceDE w:val="0"/>
              <w:autoSpaceDN w:val="0"/>
              <w:adjustRightInd w:val="0"/>
              <w:rPr>
                <w:rFonts w:ascii="Arial" w:hAnsi="Arial" w:cs="Arial"/>
                <w:iCs/>
                <w:sz w:val="20"/>
              </w:rPr>
            </w:pPr>
          </w:p>
          <w:p w:rsidRPr="001F4B5D" w:rsidR="00A76944" w:rsidP="002D4F99" w:rsidRDefault="00A76944" w14:paraId="11618AE3" w14:textId="77777777">
            <w:pPr>
              <w:spacing w:after="120"/>
              <w:rPr>
                <w:rFonts w:ascii="Arial" w:hAnsi="Arial" w:cs="Arial"/>
                <w:b/>
                <w:iCs/>
                <w:sz w:val="22"/>
              </w:rPr>
            </w:pPr>
            <w:r w:rsidRPr="001F4B5D">
              <w:rPr>
                <w:rFonts w:ascii="Arial" w:hAnsi="Arial" w:cs="Arial"/>
                <w:b/>
                <w:iCs/>
                <w:sz w:val="22"/>
              </w:rPr>
              <w:t>PROPOSED OUTCOME:</w:t>
            </w:r>
          </w:p>
          <w:p w:rsidRPr="00A7228B" w:rsidR="007B0300" w:rsidP="00A7228B" w:rsidRDefault="00A7228B" w14:paraId="185FB5EF" w14:textId="0AAB8BD9">
            <w:pPr>
              <w:pStyle w:val="ListParagraph"/>
              <w:numPr>
                <w:ilvl w:val="0"/>
                <w:numId w:val="34"/>
              </w:numPr>
              <w:rPr>
                <w:rFonts w:ascii="Arial" w:hAnsi="Arial" w:cs="Arial"/>
                <w:iCs/>
                <w:sz w:val="22"/>
              </w:rPr>
            </w:pPr>
            <w:r w:rsidRPr="00A7228B">
              <w:rPr>
                <w:rFonts w:ascii="Arial" w:hAnsi="Arial" w:cs="Arial"/>
                <w:sz w:val="22"/>
                <w:szCs w:val="22"/>
              </w:rPr>
              <w:t>Approves reorganization plan of Pacific Gas and Electric Company (PG&amp;E) and its holding company PG&amp;E Corporation (PG&amp;E Corp.) pursuant to the requirements of Assembly Bill 1054 (Stats. 2019, Ch.79) with conditions and modifications.</w:t>
            </w:r>
          </w:p>
          <w:p w:rsidR="00A7228B" w:rsidP="00A7228B" w:rsidRDefault="00A7228B" w14:paraId="7220BDD3" w14:textId="1F1D3A0F">
            <w:pPr>
              <w:pStyle w:val="ListParagraph"/>
              <w:numPr>
                <w:ilvl w:val="0"/>
                <w:numId w:val="34"/>
              </w:numPr>
              <w:rPr>
                <w:rFonts w:ascii="Arial" w:hAnsi="Arial" w:cs="Arial"/>
                <w:iCs/>
                <w:sz w:val="22"/>
              </w:rPr>
            </w:pPr>
            <w:r w:rsidRPr="00A7228B">
              <w:rPr>
                <w:rFonts w:ascii="Arial" w:hAnsi="Arial" w:cs="Arial"/>
                <w:iCs/>
                <w:sz w:val="22"/>
              </w:rPr>
              <w:t>Adopts, with some modifications, certain Assigned Commissioner Ruling Proposals to require changes to PG&amp;E's governance structure and management, and for PG&amp;E to submit to an enhanced regulatory oversight process. </w:t>
            </w:r>
          </w:p>
          <w:p w:rsidR="00A7228B" w:rsidP="00A7228B" w:rsidRDefault="00A7228B" w14:paraId="3F492418" w14:textId="3D6D88A2">
            <w:pPr>
              <w:pStyle w:val="ListParagraph"/>
              <w:numPr>
                <w:ilvl w:val="0"/>
                <w:numId w:val="34"/>
              </w:numPr>
              <w:rPr>
                <w:rFonts w:ascii="Arial" w:hAnsi="Arial" w:cs="Arial"/>
                <w:iCs/>
                <w:sz w:val="22"/>
              </w:rPr>
            </w:pPr>
            <w:r w:rsidRPr="00A7228B">
              <w:rPr>
                <w:rFonts w:ascii="Arial" w:hAnsi="Arial" w:cs="Arial"/>
                <w:iCs/>
                <w:sz w:val="22"/>
              </w:rPr>
              <w:t>Directs PG&amp;E to file certain further applications and advice letters to address issues that require additional development prior to implementation. </w:t>
            </w:r>
          </w:p>
          <w:p w:rsidR="00A7228B" w:rsidP="00A7228B" w:rsidRDefault="00A7228B" w14:paraId="2E1F9342" w14:textId="2548BD3C">
            <w:pPr>
              <w:pStyle w:val="ListParagraph"/>
              <w:numPr>
                <w:ilvl w:val="0"/>
                <w:numId w:val="34"/>
              </w:numPr>
              <w:rPr>
                <w:rFonts w:ascii="Arial" w:hAnsi="Arial" w:cs="Arial"/>
                <w:iCs/>
                <w:sz w:val="22"/>
              </w:rPr>
            </w:pPr>
            <w:r w:rsidRPr="00A7228B">
              <w:rPr>
                <w:rFonts w:ascii="Arial" w:hAnsi="Arial" w:cs="Arial"/>
                <w:iCs/>
                <w:sz w:val="22"/>
              </w:rPr>
              <w:t>Approves cost recovery of financing fees associated with PG&amp;E's emergence from bankruptcy.</w:t>
            </w:r>
          </w:p>
          <w:p w:rsidR="00A7228B" w:rsidP="00A7228B" w:rsidRDefault="00A7228B" w14:paraId="72906DAD" w14:textId="5B407A4E">
            <w:pPr>
              <w:pStyle w:val="ListParagraph"/>
              <w:numPr>
                <w:ilvl w:val="0"/>
                <w:numId w:val="34"/>
              </w:numPr>
              <w:rPr>
                <w:rFonts w:ascii="Arial" w:hAnsi="Arial" w:cs="Arial"/>
                <w:iCs/>
                <w:sz w:val="22"/>
              </w:rPr>
            </w:pPr>
            <w:r w:rsidRPr="00A7228B">
              <w:rPr>
                <w:rFonts w:ascii="Arial" w:hAnsi="Arial" w:cs="Arial"/>
                <w:iCs/>
                <w:sz w:val="22"/>
              </w:rPr>
              <w:t>Denies cost recovery of professional fees associated with the bankruptcy.</w:t>
            </w:r>
          </w:p>
          <w:p w:rsidR="00A7228B" w:rsidP="00A7228B" w:rsidRDefault="00A7228B" w14:paraId="53A0F0C8" w14:textId="6A6B0F21">
            <w:pPr>
              <w:pStyle w:val="ListParagraph"/>
              <w:numPr>
                <w:ilvl w:val="0"/>
                <w:numId w:val="34"/>
              </w:numPr>
              <w:rPr>
                <w:rFonts w:ascii="Arial" w:hAnsi="Arial" w:cs="Arial"/>
                <w:iCs/>
                <w:sz w:val="22"/>
              </w:rPr>
            </w:pPr>
            <w:r w:rsidRPr="00A7228B">
              <w:rPr>
                <w:rFonts w:ascii="Arial" w:hAnsi="Arial" w:cs="Arial"/>
                <w:iCs/>
                <w:sz w:val="22"/>
              </w:rPr>
              <w:t>Denies cost recovery of wildfire liabilities from 2017 and 2018 except in connection</w:t>
            </w:r>
            <w:r>
              <w:rPr>
                <w:rFonts w:ascii="Arial" w:hAnsi="Arial" w:cs="Arial"/>
                <w:iCs/>
                <w:sz w:val="22"/>
              </w:rPr>
              <w:t xml:space="preserve"> </w:t>
            </w:r>
            <w:r w:rsidRPr="00A7228B">
              <w:rPr>
                <w:rFonts w:ascii="Arial" w:hAnsi="Arial" w:cs="Arial"/>
                <w:iCs/>
                <w:sz w:val="22"/>
              </w:rPr>
              <w:t>with separate securitization application.</w:t>
            </w:r>
          </w:p>
          <w:p w:rsidR="00A7228B" w:rsidP="00A7228B" w:rsidRDefault="00A7228B" w14:paraId="28304306" w14:textId="1DF84037">
            <w:pPr>
              <w:pStyle w:val="ListParagraph"/>
              <w:numPr>
                <w:ilvl w:val="0"/>
                <w:numId w:val="34"/>
              </w:numPr>
              <w:rPr>
                <w:rFonts w:ascii="Arial" w:hAnsi="Arial" w:cs="Arial"/>
                <w:iCs/>
                <w:sz w:val="22"/>
              </w:rPr>
            </w:pPr>
            <w:r w:rsidRPr="00A7228B">
              <w:rPr>
                <w:rFonts w:ascii="Arial" w:hAnsi="Arial" w:cs="Arial"/>
                <w:iCs/>
                <w:sz w:val="22"/>
              </w:rPr>
              <w:t>Approves PG&amp;E request to issue new debt and securities to finance bankruptcy exit</w:t>
            </w:r>
            <w:r>
              <w:rPr>
                <w:rFonts w:ascii="Arial" w:hAnsi="Arial" w:cs="Arial"/>
                <w:iCs/>
                <w:sz w:val="22"/>
              </w:rPr>
              <w:t xml:space="preserve"> </w:t>
            </w:r>
            <w:r w:rsidRPr="00A7228B">
              <w:rPr>
                <w:rFonts w:ascii="Arial" w:hAnsi="Arial" w:cs="Arial"/>
                <w:iCs/>
                <w:sz w:val="22"/>
              </w:rPr>
              <w:t>plan. Grants PG&amp;E conditional waiver from its authorized capital structure.</w:t>
            </w:r>
          </w:p>
          <w:p w:rsidR="00A7228B" w:rsidP="00A7228B" w:rsidRDefault="00A7228B" w14:paraId="57C43D38" w14:textId="77D44501">
            <w:pPr>
              <w:pStyle w:val="ListParagraph"/>
              <w:numPr>
                <w:ilvl w:val="0"/>
                <w:numId w:val="34"/>
              </w:numPr>
              <w:rPr>
                <w:rFonts w:ascii="Arial" w:hAnsi="Arial" w:cs="Arial"/>
                <w:iCs/>
                <w:sz w:val="22"/>
              </w:rPr>
            </w:pPr>
            <w:r w:rsidRPr="00A7228B">
              <w:rPr>
                <w:rFonts w:ascii="Arial" w:hAnsi="Arial" w:cs="Arial"/>
                <w:iCs/>
                <w:sz w:val="22"/>
              </w:rPr>
              <w:t>Directs PG&amp;E to pay the Commission's professional fees associated with the</w:t>
            </w:r>
            <w:r>
              <w:rPr>
                <w:rFonts w:ascii="Arial" w:hAnsi="Arial" w:cs="Arial"/>
                <w:iCs/>
                <w:sz w:val="22"/>
              </w:rPr>
              <w:t xml:space="preserve"> </w:t>
            </w:r>
            <w:r w:rsidRPr="00A7228B">
              <w:rPr>
                <w:rFonts w:ascii="Arial" w:hAnsi="Arial" w:cs="Arial"/>
                <w:iCs/>
                <w:sz w:val="22"/>
              </w:rPr>
              <w:t>bankruptcy proceedings.  </w:t>
            </w:r>
          </w:p>
          <w:p w:rsidR="00A7228B" w:rsidP="00A7228B" w:rsidRDefault="00A7228B" w14:paraId="25682D3A" w14:textId="05E38E11">
            <w:pPr>
              <w:pStyle w:val="ListParagraph"/>
              <w:numPr>
                <w:ilvl w:val="0"/>
                <w:numId w:val="34"/>
              </w:numPr>
              <w:rPr>
                <w:rFonts w:ascii="Arial" w:hAnsi="Arial" w:cs="Arial"/>
                <w:iCs/>
                <w:sz w:val="22"/>
              </w:rPr>
            </w:pPr>
            <w:r w:rsidRPr="00A7228B">
              <w:rPr>
                <w:rFonts w:ascii="Arial" w:hAnsi="Arial" w:cs="Arial"/>
                <w:iCs/>
                <w:sz w:val="22"/>
              </w:rPr>
              <w:t>Disposes of other issues raised in the proceeding and as required pursuant to AB</w:t>
            </w:r>
            <w:r>
              <w:rPr>
                <w:rFonts w:ascii="Arial" w:hAnsi="Arial" w:cs="Arial"/>
                <w:iCs/>
                <w:sz w:val="22"/>
              </w:rPr>
              <w:t xml:space="preserve"> 1054.</w:t>
            </w:r>
          </w:p>
          <w:p w:rsidR="00A7228B" w:rsidP="00A7228B" w:rsidRDefault="00A7228B" w14:paraId="05CDDFB2" w14:textId="7B242A40">
            <w:pPr>
              <w:rPr>
                <w:rFonts w:ascii="Arial" w:hAnsi="Arial" w:cs="Arial"/>
                <w:iCs/>
                <w:sz w:val="22"/>
              </w:rPr>
            </w:pPr>
          </w:p>
          <w:p w:rsidR="00A7228B" w:rsidP="00A7228B" w:rsidRDefault="00A7228B" w14:paraId="3575C0CD" w14:textId="01725384">
            <w:pPr>
              <w:rPr>
                <w:rFonts w:ascii="Arial" w:hAnsi="Arial" w:cs="Arial"/>
                <w:iCs/>
                <w:sz w:val="22"/>
              </w:rPr>
            </w:pPr>
          </w:p>
          <w:p w:rsidRPr="00A7228B" w:rsidR="00A7228B" w:rsidP="00A7228B" w:rsidRDefault="00A7228B" w14:paraId="19FA96AB" w14:textId="77777777">
            <w:pPr>
              <w:rPr>
                <w:rFonts w:ascii="Arial" w:hAnsi="Arial" w:cs="Arial"/>
                <w:iCs/>
                <w:sz w:val="22"/>
              </w:rPr>
            </w:pPr>
          </w:p>
          <w:p w:rsidR="00A7228B" w:rsidP="00A7228B" w:rsidRDefault="00A7228B" w14:paraId="6BDBFE31" w14:textId="63D37996">
            <w:pPr>
              <w:pStyle w:val="ListParagraph"/>
              <w:rPr>
                <w:rFonts w:ascii="Arial" w:hAnsi="Arial" w:cs="Arial"/>
                <w:iCs/>
                <w:sz w:val="22"/>
              </w:rPr>
            </w:pPr>
          </w:p>
          <w:p w:rsidRPr="00704440" w:rsidR="00AC04FE" w:rsidP="00A7228B" w:rsidRDefault="00AC04FE" w14:paraId="42EC5CD0" w14:textId="77777777">
            <w:pPr>
              <w:pStyle w:val="ListParagraph"/>
              <w:rPr>
                <w:rFonts w:ascii="Arial" w:hAnsi="Arial" w:cs="Arial"/>
                <w:iCs/>
                <w:sz w:val="22"/>
              </w:rPr>
            </w:pPr>
          </w:p>
          <w:p w:rsidRPr="001F4B5D" w:rsidR="00A76944" w:rsidP="002D4F99" w:rsidRDefault="00A76944" w14:paraId="61C64823" w14:textId="77777777">
            <w:pPr>
              <w:spacing w:after="120"/>
              <w:rPr>
                <w:rFonts w:ascii="Arial" w:hAnsi="Arial" w:cs="Arial"/>
                <w:b/>
                <w:iCs/>
                <w:sz w:val="22"/>
              </w:rPr>
            </w:pPr>
            <w:r w:rsidRPr="001F4B5D">
              <w:rPr>
                <w:rFonts w:ascii="Arial" w:hAnsi="Arial" w:cs="Arial"/>
                <w:b/>
                <w:iCs/>
                <w:sz w:val="22"/>
              </w:rPr>
              <w:t>SAFETY CONSIDERATIONS:</w:t>
            </w:r>
          </w:p>
          <w:p w:rsidRPr="00A7228B" w:rsidR="00A7228B" w:rsidP="008E10A0" w:rsidRDefault="00A7228B" w14:paraId="5AF86264" w14:textId="20D86EA5">
            <w:pPr>
              <w:pStyle w:val="ListParagraph"/>
              <w:numPr>
                <w:ilvl w:val="0"/>
                <w:numId w:val="33"/>
              </w:numPr>
              <w:rPr>
                <w:rFonts w:ascii="Arial" w:hAnsi="Arial" w:cs="Arial"/>
                <w:iCs/>
                <w:sz w:val="22"/>
              </w:rPr>
            </w:pPr>
            <w:r w:rsidRPr="00A7228B">
              <w:rPr>
                <w:rFonts w:ascii="Arial" w:hAnsi="Arial" w:cs="Arial"/>
                <w:color w:val="000000"/>
                <w:sz w:val="22"/>
                <w:szCs w:val="17"/>
              </w:rPr>
              <w:t>Changes required to PG&amp;E's board of directors and management and new Commission oversight process will enhance and facilitate PG&amp;E's ability to provide safe, reliable, and affordable utility service.</w:t>
            </w:r>
          </w:p>
          <w:p w:rsidRPr="00A7228B" w:rsidR="00A7228B" w:rsidP="00A7228B" w:rsidRDefault="00A7228B" w14:paraId="555EA202" w14:textId="77777777">
            <w:pPr>
              <w:pStyle w:val="ListParagraph"/>
              <w:rPr>
                <w:rFonts w:ascii="Arial" w:hAnsi="Arial" w:cs="Arial"/>
                <w:iCs/>
                <w:sz w:val="22"/>
              </w:rPr>
            </w:pPr>
          </w:p>
          <w:p w:rsidRPr="001F4B5D" w:rsidR="00A76944" w:rsidP="002D4F99" w:rsidRDefault="00A76944" w14:paraId="0E658DA9" w14:textId="77777777">
            <w:pPr>
              <w:spacing w:after="120"/>
              <w:rPr>
                <w:rFonts w:ascii="Arial" w:hAnsi="Arial" w:cs="Arial"/>
                <w:b/>
                <w:iCs/>
                <w:sz w:val="22"/>
              </w:rPr>
            </w:pPr>
            <w:r w:rsidRPr="001F4B5D">
              <w:rPr>
                <w:rFonts w:ascii="Arial" w:hAnsi="Arial" w:cs="Arial"/>
                <w:b/>
                <w:iCs/>
                <w:sz w:val="22"/>
              </w:rPr>
              <w:t>ESTIMATED COST:</w:t>
            </w:r>
          </w:p>
          <w:p w:rsidRPr="00AC04FE" w:rsidR="001512F4" w:rsidP="00A7228B" w:rsidRDefault="00A7228B" w14:paraId="48417820" w14:textId="28FD8B67">
            <w:pPr>
              <w:pStyle w:val="ListParagraph"/>
              <w:numPr>
                <w:ilvl w:val="0"/>
                <w:numId w:val="33"/>
              </w:numPr>
              <w:rPr>
                <w:rFonts w:ascii="Arial" w:hAnsi="Arial" w:cs="Arial"/>
                <w:iCs/>
                <w:sz w:val="22"/>
              </w:rPr>
            </w:pPr>
            <w:r w:rsidRPr="00A7228B">
              <w:rPr>
                <w:rFonts w:ascii="Arial" w:hAnsi="Arial" w:cs="Arial"/>
                <w:color w:val="000000"/>
                <w:sz w:val="22"/>
                <w:szCs w:val="17"/>
              </w:rPr>
              <w:t>There is an estimated net savings to ratepayers associated with PG&amp;E's refinancing of existing debt as a result of reorganization plan. Amount of annual cost savings net of financing fees to be specified in a future cost of capital filing.</w:t>
            </w:r>
          </w:p>
          <w:p w:rsidRPr="001512F4" w:rsidR="00AC04FE" w:rsidP="00AC04FE" w:rsidRDefault="00AC04FE" w14:paraId="21D9AF88" w14:textId="77777777">
            <w:pPr>
              <w:pStyle w:val="ListParagraph"/>
              <w:rPr>
                <w:rFonts w:ascii="Arial" w:hAnsi="Arial" w:cs="Arial"/>
                <w:iCs/>
                <w:sz w:val="22"/>
              </w:rPr>
            </w:pPr>
          </w:p>
          <w:p w:rsidR="00A76944" w:rsidP="002D4F99" w:rsidRDefault="00A76944" w14:paraId="723F899E" w14:textId="495CB804">
            <w:pPr>
              <w:autoSpaceDE w:val="0"/>
              <w:autoSpaceDN w:val="0"/>
              <w:adjustRightInd w:val="0"/>
              <w:spacing w:after="60"/>
              <w:rPr>
                <w:rFonts w:ascii="Arial" w:hAnsi="Arial" w:cs="Arial"/>
                <w:color w:val="000000"/>
                <w:sz w:val="22"/>
              </w:rPr>
            </w:pPr>
            <w:r w:rsidRPr="001F4B5D">
              <w:rPr>
                <w:rFonts w:ascii="Arial" w:hAnsi="Arial" w:cs="Arial"/>
                <w:color w:val="000000"/>
                <w:sz w:val="22"/>
              </w:rPr>
              <w:t>(</w:t>
            </w:r>
            <w:proofErr w:type="spellStart"/>
            <w:r w:rsidR="007D3349">
              <w:rPr>
                <w:rFonts w:ascii="Arial" w:hAnsi="Arial" w:cs="Arial"/>
                <w:sz w:val="22"/>
                <w:szCs w:val="22"/>
              </w:rPr>
              <w:t>Comr</w:t>
            </w:r>
            <w:proofErr w:type="spellEnd"/>
            <w:r w:rsidR="007D3349">
              <w:rPr>
                <w:rFonts w:ascii="Arial" w:hAnsi="Arial" w:cs="Arial"/>
                <w:sz w:val="22"/>
                <w:szCs w:val="22"/>
              </w:rPr>
              <w:t xml:space="preserve"> </w:t>
            </w:r>
            <w:r w:rsidRPr="00AC04FE" w:rsidR="00AC04FE">
              <w:rPr>
                <w:rFonts w:ascii="Arial" w:hAnsi="Arial" w:cs="Arial"/>
                <w:sz w:val="22"/>
                <w:szCs w:val="22"/>
              </w:rPr>
              <w:t>Batjer - Judge Allen</w:t>
            </w:r>
            <w:r w:rsidRPr="001F4B5D">
              <w:rPr>
                <w:rFonts w:ascii="Arial" w:hAnsi="Arial" w:cs="Arial"/>
                <w:color w:val="000000"/>
                <w:sz w:val="22"/>
              </w:rPr>
              <w:t xml:space="preserve">) </w:t>
            </w:r>
          </w:p>
          <w:p w:rsidRPr="00AC04FE" w:rsidR="00AC04FE" w:rsidP="00CE5625" w:rsidRDefault="00BD7D28" w14:paraId="24E30F59" w14:textId="76B9C6ED">
            <w:pPr>
              <w:autoSpaceDE w:val="0"/>
              <w:autoSpaceDN w:val="0"/>
              <w:adjustRightInd w:val="0"/>
              <w:spacing w:after="60"/>
              <w:rPr>
                <w:rFonts w:ascii="Arial" w:hAnsi="Arial" w:cs="Arial"/>
                <w:color w:val="0000FF"/>
                <w:sz w:val="22"/>
                <w:szCs w:val="22"/>
                <w:u w:val="single"/>
              </w:rPr>
            </w:pPr>
            <w:hyperlink w:history="1" r:id="rId13">
              <w:r w:rsidRPr="00471E8F" w:rsidR="00AC04FE">
                <w:rPr>
                  <w:rStyle w:val="Hyperlink"/>
                  <w:rFonts w:ascii="Arial" w:hAnsi="Arial" w:cs="Arial"/>
                  <w:sz w:val="22"/>
                  <w:szCs w:val="22"/>
                </w:rPr>
                <w:t>http://docs.cpuc.ca.gov/SearchRes.aspx?docformat=ALL&amp;docid=333877762</w:t>
              </w:r>
            </w:hyperlink>
          </w:p>
          <w:p w:rsidRPr="001F4B5D" w:rsidR="00A76944" w:rsidP="00CE5625" w:rsidRDefault="00A76944" w14:paraId="37CE2213" w14:textId="2BF107DC">
            <w:pPr>
              <w:autoSpaceDE w:val="0"/>
              <w:autoSpaceDN w:val="0"/>
              <w:adjustRightInd w:val="0"/>
              <w:spacing w:after="60"/>
              <w:rPr>
                <w:rFonts w:ascii="Arial" w:hAnsi="Arial" w:cs="Arial"/>
                <w:i/>
                <w:iCs/>
                <w:sz w:val="22"/>
              </w:rPr>
            </w:pPr>
            <w:r w:rsidRPr="001F4B5D">
              <w:rPr>
                <w:rFonts w:ascii="Arial" w:hAnsi="Arial" w:cs="Arial"/>
                <w:i/>
                <w:iCs/>
                <w:sz w:val="22"/>
              </w:rPr>
              <w:t>Pub. Util. Code § 311 – This item was mailed for Public Comment.</w:t>
            </w:r>
          </w:p>
          <w:p w:rsidR="00A76944" w:rsidP="002D4F99" w:rsidRDefault="00A76944" w14:paraId="79FE120F" w14:textId="77777777">
            <w:pPr>
              <w:autoSpaceDE w:val="0"/>
              <w:autoSpaceDN w:val="0"/>
              <w:adjustRightInd w:val="0"/>
              <w:rPr>
                <w:rFonts w:ascii="Arial" w:hAnsi="Arial" w:cs="Arial"/>
                <w:bCs/>
                <w:sz w:val="22"/>
              </w:rPr>
            </w:pPr>
            <w:r w:rsidRPr="001F4B5D">
              <w:rPr>
                <w:rFonts w:ascii="Arial" w:hAnsi="Arial" w:cs="Arial"/>
                <w:bCs/>
                <w:i/>
                <w:sz w:val="22"/>
              </w:rPr>
              <w:t>Pub. Util. Code §1701.1 -- This proceeding is categorized as Ratesetting</w:t>
            </w:r>
            <w:r w:rsidRPr="001F4B5D">
              <w:rPr>
                <w:rFonts w:ascii="Arial" w:hAnsi="Arial" w:cs="Arial"/>
                <w:bCs/>
                <w:sz w:val="22"/>
              </w:rPr>
              <w:t>.</w:t>
            </w:r>
          </w:p>
          <w:p w:rsidR="001D1DE8" w:rsidP="00322239" w:rsidRDefault="00A76944" w14:paraId="374E68E1" w14:textId="77777777">
            <w:pPr>
              <w:autoSpaceDE w:val="0"/>
              <w:autoSpaceDN w:val="0"/>
              <w:adjustRightInd w:val="0"/>
              <w:rPr>
                <w:rFonts w:ascii="Arial" w:hAnsi="Arial" w:cs="Arial"/>
                <w:bCs/>
                <w:iCs/>
                <w:color w:val="000000"/>
                <w:u w:val="single"/>
              </w:rPr>
            </w:pPr>
            <w:r w:rsidRPr="00BB0D8B">
              <w:rPr>
                <w:rFonts w:ascii="Arial" w:hAnsi="Arial" w:cs="Arial"/>
                <w:bCs/>
                <w:iCs/>
                <w:color w:val="000000"/>
                <w:sz w:val="22"/>
                <w:szCs w:val="22"/>
                <w:u w:val="single"/>
              </w:rPr>
              <w:t>This matter may be considered during the Ratesetting Deliberative Meeting</w:t>
            </w:r>
            <w:r w:rsidRPr="00BB0D8B">
              <w:rPr>
                <w:rFonts w:ascii="Arial" w:hAnsi="Arial" w:cs="Arial"/>
                <w:bCs/>
                <w:iCs/>
                <w:color w:val="000000"/>
                <w:u w:val="single"/>
              </w:rPr>
              <w:t>.</w:t>
            </w:r>
          </w:p>
          <w:p w:rsidRPr="009F731B" w:rsidR="00322239" w:rsidP="00322239" w:rsidRDefault="00322239" w14:paraId="0B046780" w14:textId="74673AF9">
            <w:pPr>
              <w:autoSpaceDE w:val="0"/>
              <w:autoSpaceDN w:val="0"/>
              <w:adjustRightInd w:val="0"/>
              <w:rPr>
                <w:rFonts w:ascii="Arial" w:hAnsi="Arial" w:cs="Arial"/>
                <w:sz w:val="22"/>
                <w:szCs w:val="22"/>
              </w:rPr>
            </w:pPr>
          </w:p>
        </w:tc>
      </w:tr>
      <w:bookmarkEnd w:id="0"/>
      <w:tr w:rsidRPr="009F731B" w:rsidR="00146E67" w:rsidTr="00735701" w14:paraId="2F76DF1B" w14:textId="77777777">
        <w:trPr>
          <w:trHeight w:val="144"/>
        </w:trPr>
        <w:tc>
          <w:tcPr>
            <w:tcW w:w="544" w:type="pct"/>
          </w:tcPr>
          <w:p w:rsidRPr="00D01779" w:rsidR="00146E67" w:rsidP="00735701" w:rsidRDefault="00146E67" w14:paraId="02834FD6" w14:textId="37153491">
            <w:pPr>
              <w:ind w:hanging="105"/>
              <w:rPr>
                <w:rFonts w:ascii="Arial" w:hAnsi="Arial" w:cs="Arial"/>
                <w:b/>
              </w:rPr>
            </w:pPr>
          </w:p>
        </w:tc>
        <w:tc>
          <w:tcPr>
            <w:tcW w:w="4456" w:type="pct"/>
          </w:tcPr>
          <w:p w:rsidRPr="009F731B" w:rsidR="00146E67" w:rsidP="00146E67" w:rsidRDefault="00146E67" w14:paraId="6CAFCDCB" w14:textId="2C5BD799">
            <w:pPr>
              <w:autoSpaceDE w:val="0"/>
              <w:autoSpaceDN w:val="0"/>
              <w:adjustRightInd w:val="0"/>
              <w:rPr>
                <w:rFonts w:ascii="Arial" w:hAnsi="Arial" w:cs="Arial"/>
                <w:sz w:val="22"/>
                <w:szCs w:val="22"/>
              </w:rPr>
            </w:pPr>
          </w:p>
        </w:tc>
      </w:tr>
    </w:tbl>
    <w:p w:rsidR="00B75350" w:rsidP="00994D28" w:rsidRDefault="00B75350" w14:paraId="5E92841C" w14:textId="77777777"/>
    <w:sectPr w:rsidR="00B75350" w:rsidSect="00B75350">
      <w:headerReference w:type="default" r:id="rId14"/>
      <w:pgSz w:w="12240" w:h="15840"/>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1C3F0" w14:textId="77777777" w:rsidR="00BD7D28" w:rsidRDefault="00BD7D28">
      <w:r>
        <w:separator/>
      </w:r>
    </w:p>
  </w:endnote>
  <w:endnote w:type="continuationSeparator" w:id="0">
    <w:p w14:paraId="06849D84" w14:textId="77777777" w:rsidR="00BD7D28" w:rsidRDefault="00BD7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986D" w14:textId="5D2414EF" w:rsidR="006A0B79" w:rsidRDefault="006A0B79">
    <w:pPr>
      <w:pStyle w:val="Footer"/>
      <w:jc w:val="center"/>
    </w:pPr>
    <w:r>
      <w:rPr>
        <w:rStyle w:val="PageNumber"/>
      </w:rPr>
      <w:fldChar w:fldCharType="begin"/>
    </w:r>
    <w:r>
      <w:rPr>
        <w:rStyle w:val="PageNumber"/>
      </w:rPr>
      <w:instrText xml:space="preserve"> PAGE </w:instrText>
    </w:r>
    <w:r>
      <w:rPr>
        <w:rStyle w:val="PageNumber"/>
      </w:rPr>
      <w:fldChar w:fldCharType="separate"/>
    </w:r>
    <w:r w:rsidR="009D73BD">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C7017" w14:textId="77777777" w:rsidR="00BD7D28" w:rsidRDefault="00BD7D28">
      <w:r>
        <w:separator/>
      </w:r>
    </w:p>
  </w:footnote>
  <w:footnote w:type="continuationSeparator" w:id="0">
    <w:p w14:paraId="6D507D75" w14:textId="77777777" w:rsidR="00BD7D28" w:rsidRDefault="00BD7D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3DCD8" w14:textId="1CF31B34" w:rsidR="00CB41D8" w:rsidRDefault="006A0B79" w:rsidP="000B137A">
    <w:pPr>
      <w:pStyle w:val="Header"/>
      <w:tabs>
        <w:tab w:val="clear" w:pos="8640"/>
        <w:tab w:val="right" w:pos="9360"/>
      </w:tabs>
      <w:rPr>
        <w:i/>
        <w:iCs/>
        <w:sz w:val="20"/>
      </w:rPr>
    </w:pPr>
    <w:r>
      <w:rPr>
        <w:i/>
        <w:iCs/>
        <w:sz w:val="20"/>
      </w:rPr>
      <w:t>Ratesetting Deliberativ</w:t>
    </w:r>
    <w:r w:rsidR="00566CCC">
      <w:rPr>
        <w:i/>
        <w:iCs/>
        <w:sz w:val="20"/>
      </w:rPr>
      <w:t xml:space="preserve">e Meeting Agenda No. </w:t>
    </w:r>
    <w:r w:rsidR="0096320A">
      <w:rPr>
        <w:i/>
        <w:iCs/>
        <w:sz w:val="20"/>
      </w:rPr>
      <w:t>1</w:t>
    </w:r>
    <w:r w:rsidR="008F766D">
      <w:rPr>
        <w:i/>
        <w:iCs/>
        <w:sz w:val="20"/>
      </w:rPr>
      <w:t>2</w:t>
    </w:r>
    <w:r w:rsidR="00DC2310">
      <w:rPr>
        <w:i/>
        <w:iCs/>
        <w:sz w:val="20"/>
      </w:rPr>
      <w:t>9</w:t>
    </w:r>
    <w:r w:rsidR="00566CCC">
      <w:rPr>
        <w:i/>
        <w:iCs/>
        <w:sz w:val="20"/>
      </w:rPr>
      <w:t xml:space="preserve"> </w:t>
    </w:r>
    <w:r w:rsidR="00566CCC">
      <w:rPr>
        <w:i/>
        <w:iCs/>
        <w:sz w:val="20"/>
      </w:rPr>
      <w:tab/>
    </w:r>
    <w:r w:rsidR="00566CCC">
      <w:rPr>
        <w:i/>
        <w:iCs/>
        <w:sz w:val="20"/>
      </w:rPr>
      <w:tab/>
    </w:r>
    <w:r w:rsidR="00DC2310">
      <w:rPr>
        <w:i/>
        <w:iCs/>
        <w:sz w:val="20"/>
      </w:rPr>
      <w:t>Friday</w:t>
    </w:r>
    <w:r w:rsidR="00EF4807">
      <w:rPr>
        <w:i/>
        <w:iCs/>
        <w:sz w:val="20"/>
      </w:rPr>
      <w:t xml:space="preserve">, </w:t>
    </w:r>
    <w:r w:rsidR="007B0300">
      <w:rPr>
        <w:i/>
        <w:iCs/>
        <w:sz w:val="20"/>
      </w:rPr>
      <w:t xml:space="preserve">May </w:t>
    </w:r>
    <w:r w:rsidR="00DC2310">
      <w:rPr>
        <w:i/>
        <w:iCs/>
        <w:sz w:val="20"/>
      </w:rPr>
      <w:t>15</w:t>
    </w:r>
    <w:r w:rsidR="008F766D">
      <w:rPr>
        <w:i/>
        <w:iCs/>
        <w:sz w:val="20"/>
      </w:rPr>
      <w:t>, 2020</w:t>
    </w:r>
  </w:p>
  <w:p w14:paraId="6BAC00B7" w14:textId="77777777" w:rsidR="006A0B79" w:rsidRDefault="006A0B79">
    <w:pPr>
      <w:pBdr>
        <w:top w:val="double" w:sz="6" w:space="1" w:color="auto"/>
      </w:pBdr>
      <w:jc w:val="both"/>
      <w:rPr>
        <w:b/>
        <w:i/>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7C96"/>
    <w:multiLevelType w:val="hybridMultilevel"/>
    <w:tmpl w:val="A9DE5F0A"/>
    <w:lvl w:ilvl="0" w:tplc="04090001">
      <w:start w:val="1"/>
      <w:numFmt w:val="bullet"/>
      <w:lvlText w:val=""/>
      <w:lvlJc w:val="left"/>
      <w:pPr>
        <w:ind w:left="1440" w:hanging="360"/>
      </w:pPr>
      <w:rPr>
        <w:rFonts w:ascii="Symbol" w:hAnsi="Symbol" w:cs="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1" w15:restartNumberingAfterBreak="0">
    <w:nsid w:val="041E1650"/>
    <w:multiLevelType w:val="hybridMultilevel"/>
    <w:tmpl w:val="5B1E21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22390"/>
    <w:multiLevelType w:val="hybridMultilevel"/>
    <w:tmpl w:val="DF7C270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D4E276C"/>
    <w:multiLevelType w:val="hybridMultilevel"/>
    <w:tmpl w:val="50C4E0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CF4D8E"/>
    <w:multiLevelType w:val="multilevel"/>
    <w:tmpl w:val="F920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716329"/>
    <w:multiLevelType w:val="multilevel"/>
    <w:tmpl w:val="E8EC6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C20B31"/>
    <w:multiLevelType w:val="multilevel"/>
    <w:tmpl w:val="191A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C41A8E"/>
    <w:multiLevelType w:val="multilevel"/>
    <w:tmpl w:val="C4E2A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E375B1"/>
    <w:multiLevelType w:val="multilevel"/>
    <w:tmpl w:val="58F62C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92B2F"/>
    <w:multiLevelType w:val="multilevel"/>
    <w:tmpl w:val="5B8C773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B46E1D"/>
    <w:multiLevelType w:val="hybridMultilevel"/>
    <w:tmpl w:val="A314C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D2062D"/>
    <w:multiLevelType w:val="hybridMultilevel"/>
    <w:tmpl w:val="2F0A1E9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5887213"/>
    <w:multiLevelType w:val="hybridMultilevel"/>
    <w:tmpl w:val="1AF0DE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C83CC6"/>
    <w:multiLevelType w:val="multilevel"/>
    <w:tmpl w:val="4B9C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D41C8D"/>
    <w:multiLevelType w:val="hybridMultilevel"/>
    <w:tmpl w:val="FE6063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CF51BD"/>
    <w:multiLevelType w:val="multilevel"/>
    <w:tmpl w:val="15F49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1A223B"/>
    <w:multiLevelType w:val="hybridMultilevel"/>
    <w:tmpl w:val="F9A02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367BB8"/>
    <w:multiLevelType w:val="multilevel"/>
    <w:tmpl w:val="09322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BA54FD"/>
    <w:multiLevelType w:val="hybridMultilevel"/>
    <w:tmpl w:val="67E05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C093130"/>
    <w:multiLevelType w:val="hybridMultilevel"/>
    <w:tmpl w:val="6DF4C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616ECD"/>
    <w:multiLevelType w:val="multilevel"/>
    <w:tmpl w:val="D9148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D040A3"/>
    <w:multiLevelType w:val="hybridMultilevel"/>
    <w:tmpl w:val="10862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9651A0"/>
    <w:multiLevelType w:val="multilevel"/>
    <w:tmpl w:val="427E6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9002875"/>
    <w:multiLevelType w:val="multilevel"/>
    <w:tmpl w:val="82244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1341DB"/>
    <w:multiLevelType w:val="hybridMultilevel"/>
    <w:tmpl w:val="B00AF7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6830690"/>
    <w:multiLevelType w:val="hybridMultilevel"/>
    <w:tmpl w:val="17160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492CDB"/>
    <w:multiLevelType w:val="multilevel"/>
    <w:tmpl w:val="ED78AD1E"/>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B31383"/>
    <w:multiLevelType w:val="hybridMultilevel"/>
    <w:tmpl w:val="0A24673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100B37"/>
    <w:multiLevelType w:val="hybridMultilevel"/>
    <w:tmpl w:val="0192A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901C29"/>
    <w:multiLevelType w:val="hybridMultilevel"/>
    <w:tmpl w:val="EA902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4C918C5"/>
    <w:multiLevelType w:val="multilevel"/>
    <w:tmpl w:val="EDE2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0D4F6C"/>
    <w:multiLevelType w:val="hybridMultilevel"/>
    <w:tmpl w:val="5C162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C90F4D"/>
    <w:multiLevelType w:val="hybridMultilevel"/>
    <w:tmpl w:val="1C52D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6"/>
  </w:num>
  <w:num w:numId="4">
    <w:abstractNumId w:val="14"/>
  </w:num>
  <w:num w:numId="5">
    <w:abstractNumId w:val="31"/>
  </w:num>
  <w:num w:numId="6">
    <w:abstractNumId w:val="25"/>
  </w:num>
  <w:num w:numId="7">
    <w:abstractNumId w:val="19"/>
  </w:num>
  <w:num w:numId="8">
    <w:abstractNumId w:val="1"/>
  </w:num>
  <w:num w:numId="9">
    <w:abstractNumId w:val="9"/>
  </w:num>
  <w:num w:numId="10">
    <w:abstractNumId w:val="24"/>
  </w:num>
  <w:num w:numId="11">
    <w:abstractNumId w:val="12"/>
  </w:num>
  <w:num w:numId="12">
    <w:abstractNumId w:val="4"/>
  </w:num>
  <w:num w:numId="13">
    <w:abstractNumId w:val="20"/>
  </w:num>
  <w:num w:numId="14">
    <w:abstractNumId w:val="32"/>
  </w:num>
  <w:num w:numId="15">
    <w:abstractNumId w:val="27"/>
  </w:num>
  <w:num w:numId="16">
    <w:abstractNumId w:val="18"/>
  </w:num>
  <w:num w:numId="17">
    <w:abstractNumId w:val="10"/>
  </w:num>
  <w:num w:numId="18">
    <w:abstractNumId w:val="21"/>
  </w:num>
  <w:num w:numId="19">
    <w:abstractNumId w:val="5"/>
  </w:num>
  <w:num w:numId="20">
    <w:abstractNumId w:val="17"/>
  </w:num>
  <w:num w:numId="21">
    <w:abstractNumId w:val="7"/>
  </w:num>
  <w:num w:numId="22">
    <w:abstractNumId w:val="15"/>
  </w:num>
  <w:num w:numId="23">
    <w:abstractNumId w:val="6"/>
  </w:num>
  <w:num w:numId="24">
    <w:abstractNumId w:val="22"/>
  </w:num>
  <w:num w:numId="25">
    <w:abstractNumId w:val="8"/>
  </w:num>
  <w:num w:numId="26">
    <w:abstractNumId w:val="26"/>
  </w:num>
  <w:num w:numId="27">
    <w:abstractNumId w:val="23"/>
  </w:num>
  <w:num w:numId="28">
    <w:abstractNumId w:val="13"/>
  </w:num>
  <w:num w:numId="29">
    <w:abstractNumId w:val="30"/>
  </w:num>
  <w:num w:numId="30">
    <w:abstractNumId w:val="29"/>
  </w:num>
  <w:num w:numId="31">
    <w:abstractNumId w:val="28"/>
  </w:num>
  <w:num w:numId="32">
    <w:abstractNumId w:val="0"/>
  </w:num>
  <w:num w:numId="33">
    <w:abstractNumId w:val="2"/>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C3F"/>
    <w:rsid w:val="00000517"/>
    <w:rsid w:val="00000ACA"/>
    <w:rsid w:val="00002FA6"/>
    <w:rsid w:val="00010050"/>
    <w:rsid w:val="00012396"/>
    <w:rsid w:val="0001622A"/>
    <w:rsid w:val="000220E8"/>
    <w:rsid w:val="00027CDD"/>
    <w:rsid w:val="00032D6E"/>
    <w:rsid w:val="000333BA"/>
    <w:rsid w:val="00033D04"/>
    <w:rsid w:val="00036742"/>
    <w:rsid w:val="00037B8D"/>
    <w:rsid w:val="00042563"/>
    <w:rsid w:val="00046F2D"/>
    <w:rsid w:val="00050ADF"/>
    <w:rsid w:val="0005766D"/>
    <w:rsid w:val="00057AC3"/>
    <w:rsid w:val="00060F1B"/>
    <w:rsid w:val="000647AA"/>
    <w:rsid w:val="00080169"/>
    <w:rsid w:val="00091684"/>
    <w:rsid w:val="000A1EC1"/>
    <w:rsid w:val="000A2386"/>
    <w:rsid w:val="000A7FB1"/>
    <w:rsid w:val="000B137A"/>
    <w:rsid w:val="000B44AC"/>
    <w:rsid w:val="000B6B52"/>
    <w:rsid w:val="000B758C"/>
    <w:rsid w:val="000C03B8"/>
    <w:rsid w:val="000C19F8"/>
    <w:rsid w:val="000C4B12"/>
    <w:rsid w:val="000C7B9C"/>
    <w:rsid w:val="000C7BCC"/>
    <w:rsid w:val="000D6160"/>
    <w:rsid w:val="000D651F"/>
    <w:rsid w:val="000D6DEB"/>
    <w:rsid w:val="000E491C"/>
    <w:rsid w:val="00105623"/>
    <w:rsid w:val="00131EDF"/>
    <w:rsid w:val="001408B9"/>
    <w:rsid w:val="001443F1"/>
    <w:rsid w:val="00144E69"/>
    <w:rsid w:val="00146E67"/>
    <w:rsid w:val="001512E8"/>
    <w:rsid w:val="001512F4"/>
    <w:rsid w:val="001552C4"/>
    <w:rsid w:val="00161A5F"/>
    <w:rsid w:val="00170E06"/>
    <w:rsid w:val="00177155"/>
    <w:rsid w:val="00181168"/>
    <w:rsid w:val="00182A75"/>
    <w:rsid w:val="00182AEA"/>
    <w:rsid w:val="00187A53"/>
    <w:rsid w:val="0019222E"/>
    <w:rsid w:val="0019248B"/>
    <w:rsid w:val="001A38C1"/>
    <w:rsid w:val="001A49E2"/>
    <w:rsid w:val="001A7FCE"/>
    <w:rsid w:val="001B3274"/>
    <w:rsid w:val="001B6809"/>
    <w:rsid w:val="001C6BDE"/>
    <w:rsid w:val="001D11ED"/>
    <w:rsid w:val="001D1DE8"/>
    <w:rsid w:val="001D2128"/>
    <w:rsid w:val="001E16B0"/>
    <w:rsid w:val="001E25F7"/>
    <w:rsid w:val="001E4E64"/>
    <w:rsid w:val="001F29AD"/>
    <w:rsid w:val="001F4B5D"/>
    <w:rsid w:val="00203DA9"/>
    <w:rsid w:val="00222B21"/>
    <w:rsid w:val="00225775"/>
    <w:rsid w:val="00231216"/>
    <w:rsid w:val="00232D2E"/>
    <w:rsid w:val="0023480A"/>
    <w:rsid w:val="0023703B"/>
    <w:rsid w:val="002407E0"/>
    <w:rsid w:val="00242DD3"/>
    <w:rsid w:val="002518A0"/>
    <w:rsid w:val="002552E7"/>
    <w:rsid w:val="00284360"/>
    <w:rsid w:val="00292251"/>
    <w:rsid w:val="00294431"/>
    <w:rsid w:val="00296975"/>
    <w:rsid w:val="0029720B"/>
    <w:rsid w:val="002A086B"/>
    <w:rsid w:val="002A2928"/>
    <w:rsid w:val="002B0A28"/>
    <w:rsid w:val="002B0BB2"/>
    <w:rsid w:val="002B220C"/>
    <w:rsid w:val="002B6774"/>
    <w:rsid w:val="002B74F9"/>
    <w:rsid w:val="002C6125"/>
    <w:rsid w:val="002C6CBC"/>
    <w:rsid w:val="002D3933"/>
    <w:rsid w:val="002D57A8"/>
    <w:rsid w:val="002D70FE"/>
    <w:rsid w:val="002E6F3B"/>
    <w:rsid w:val="002E7043"/>
    <w:rsid w:val="002E73BC"/>
    <w:rsid w:val="00300903"/>
    <w:rsid w:val="00301BC8"/>
    <w:rsid w:val="00304562"/>
    <w:rsid w:val="00316081"/>
    <w:rsid w:val="00322239"/>
    <w:rsid w:val="00322503"/>
    <w:rsid w:val="00327BD6"/>
    <w:rsid w:val="00343664"/>
    <w:rsid w:val="00343F6B"/>
    <w:rsid w:val="00350623"/>
    <w:rsid w:val="00364E84"/>
    <w:rsid w:val="00367DED"/>
    <w:rsid w:val="00376561"/>
    <w:rsid w:val="00386CF2"/>
    <w:rsid w:val="00387521"/>
    <w:rsid w:val="00387754"/>
    <w:rsid w:val="00392410"/>
    <w:rsid w:val="00397983"/>
    <w:rsid w:val="00397EBF"/>
    <w:rsid w:val="003A31BF"/>
    <w:rsid w:val="003B40D4"/>
    <w:rsid w:val="003C668E"/>
    <w:rsid w:val="003D7A01"/>
    <w:rsid w:val="003F2B64"/>
    <w:rsid w:val="003F2BAE"/>
    <w:rsid w:val="003F5E86"/>
    <w:rsid w:val="00401C69"/>
    <w:rsid w:val="00405340"/>
    <w:rsid w:val="004077C8"/>
    <w:rsid w:val="00411E1A"/>
    <w:rsid w:val="00417881"/>
    <w:rsid w:val="0042025D"/>
    <w:rsid w:val="0042346E"/>
    <w:rsid w:val="00423D5F"/>
    <w:rsid w:val="004318C7"/>
    <w:rsid w:val="004507E0"/>
    <w:rsid w:val="004519B7"/>
    <w:rsid w:val="00454EAD"/>
    <w:rsid w:val="004605F2"/>
    <w:rsid w:val="00462814"/>
    <w:rsid w:val="004742F3"/>
    <w:rsid w:val="00474BF8"/>
    <w:rsid w:val="00485A2D"/>
    <w:rsid w:val="004865FC"/>
    <w:rsid w:val="004876A5"/>
    <w:rsid w:val="004908BD"/>
    <w:rsid w:val="004B0D0D"/>
    <w:rsid w:val="004C052A"/>
    <w:rsid w:val="004C4FD2"/>
    <w:rsid w:val="004C6C90"/>
    <w:rsid w:val="004D27D7"/>
    <w:rsid w:val="004D6724"/>
    <w:rsid w:val="004F57A4"/>
    <w:rsid w:val="00501A9C"/>
    <w:rsid w:val="0050511F"/>
    <w:rsid w:val="00506F39"/>
    <w:rsid w:val="0051474C"/>
    <w:rsid w:val="00514901"/>
    <w:rsid w:val="00520218"/>
    <w:rsid w:val="0052382B"/>
    <w:rsid w:val="005257D0"/>
    <w:rsid w:val="00526111"/>
    <w:rsid w:val="0053363C"/>
    <w:rsid w:val="005449C7"/>
    <w:rsid w:val="00555FDB"/>
    <w:rsid w:val="00557C7D"/>
    <w:rsid w:val="00562831"/>
    <w:rsid w:val="00562CC5"/>
    <w:rsid w:val="00566CCC"/>
    <w:rsid w:val="00591A6D"/>
    <w:rsid w:val="00597B35"/>
    <w:rsid w:val="005A0A70"/>
    <w:rsid w:val="005A12BE"/>
    <w:rsid w:val="005A4CBF"/>
    <w:rsid w:val="005B079B"/>
    <w:rsid w:val="005B12CE"/>
    <w:rsid w:val="005B4399"/>
    <w:rsid w:val="005C41D0"/>
    <w:rsid w:val="005C4727"/>
    <w:rsid w:val="005D0554"/>
    <w:rsid w:val="005D131C"/>
    <w:rsid w:val="005D5BE9"/>
    <w:rsid w:val="005D7BD0"/>
    <w:rsid w:val="005E1E66"/>
    <w:rsid w:val="005E247D"/>
    <w:rsid w:val="005E3939"/>
    <w:rsid w:val="005E3E5A"/>
    <w:rsid w:val="005E5F70"/>
    <w:rsid w:val="005E7954"/>
    <w:rsid w:val="00607857"/>
    <w:rsid w:val="00626432"/>
    <w:rsid w:val="00642B56"/>
    <w:rsid w:val="00656081"/>
    <w:rsid w:val="00663CAE"/>
    <w:rsid w:val="00667333"/>
    <w:rsid w:val="006712A4"/>
    <w:rsid w:val="00682013"/>
    <w:rsid w:val="00683A51"/>
    <w:rsid w:val="00686E85"/>
    <w:rsid w:val="00692396"/>
    <w:rsid w:val="00693FF0"/>
    <w:rsid w:val="006952F9"/>
    <w:rsid w:val="0069619D"/>
    <w:rsid w:val="006A0B79"/>
    <w:rsid w:val="006A0F13"/>
    <w:rsid w:val="006A2A4A"/>
    <w:rsid w:val="006A3786"/>
    <w:rsid w:val="006A6986"/>
    <w:rsid w:val="006B4CC3"/>
    <w:rsid w:val="006C5577"/>
    <w:rsid w:val="006D389B"/>
    <w:rsid w:val="006D48A5"/>
    <w:rsid w:val="006E2142"/>
    <w:rsid w:val="006E5A6B"/>
    <w:rsid w:val="006E77BD"/>
    <w:rsid w:val="006F39F8"/>
    <w:rsid w:val="006F3C7E"/>
    <w:rsid w:val="00704440"/>
    <w:rsid w:val="0071179C"/>
    <w:rsid w:val="0072111F"/>
    <w:rsid w:val="00723292"/>
    <w:rsid w:val="007335F3"/>
    <w:rsid w:val="00733D44"/>
    <w:rsid w:val="007377B9"/>
    <w:rsid w:val="00740B49"/>
    <w:rsid w:val="0075467E"/>
    <w:rsid w:val="00770E9B"/>
    <w:rsid w:val="00772B6E"/>
    <w:rsid w:val="00773C1E"/>
    <w:rsid w:val="00775152"/>
    <w:rsid w:val="00775D95"/>
    <w:rsid w:val="00780CBB"/>
    <w:rsid w:val="00783A32"/>
    <w:rsid w:val="007852F3"/>
    <w:rsid w:val="0079035F"/>
    <w:rsid w:val="00793DAC"/>
    <w:rsid w:val="007A2ACE"/>
    <w:rsid w:val="007A3C97"/>
    <w:rsid w:val="007B0300"/>
    <w:rsid w:val="007B0847"/>
    <w:rsid w:val="007B41D8"/>
    <w:rsid w:val="007B5809"/>
    <w:rsid w:val="007B5ED2"/>
    <w:rsid w:val="007C30DB"/>
    <w:rsid w:val="007C4317"/>
    <w:rsid w:val="007D2F69"/>
    <w:rsid w:val="007D3349"/>
    <w:rsid w:val="00824A00"/>
    <w:rsid w:val="0082523F"/>
    <w:rsid w:val="00826C7B"/>
    <w:rsid w:val="0084424D"/>
    <w:rsid w:val="00844858"/>
    <w:rsid w:val="00845A31"/>
    <w:rsid w:val="008541D6"/>
    <w:rsid w:val="00856579"/>
    <w:rsid w:val="0086227D"/>
    <w:rsid w:val="00864C41"/>
    <w:rsid w:val="00870CEF"/>
    <w:rsid w:val="0089231D"/>
    <w:rsid w:val="008A1245"/>
    <w:rsid w:val="008B347B"/>
    <w:rsid w:val="008B3B7D"/>
    <w:rsid w:val="008C62B9"/>
    <w:rsid w:val="008D37D1"/>
    <w:rsid w:val="008F1BB9"/>
    <w:rsid w:val="008F3BB3"/>
    <w:rsid w:val="008F766D"/>
    <w:rsid w:val="00900972"/>
    <w:rsid w:val="00910BC1"/>
    <w:rsid w:val="00914C40"/>
    <w:rsid w:val="00925900"/>
    <w:rsid w:val="00933EAB"/>
    <w:rsid w:val="00936B3B"/>
    <w:rsid w:val="0094227C"/>
    <w:rsid w:val="00945A3D"/>
    <w:rsid w:val="00950EF7"/>
    <w:rsid w:val="00951835"/>
    <w:rsid w:val="00952274"/>
    <w:rsid w:val="00957C68"/>
    <w:rsid w:val="0096032A"/>
    <w:rsid w:val="00963027"/>
    <w:rsid w:val="0096320A"/>
    <w:rsid w:val="00976C55"/>
    <w:rsid w:val="00977B06"/>
    <w:rsid w:val="0098017D"/>
    <w:rsid w:val="0098651D"/>
    <w:rsid w:val="00994D28"/>
    <w:rsid w:val="0099543C"/>
    <w:rsid w:val="00995F39"/>
    <w:rsid w:val="009A0E1A"/>
    <w:rsid w:val="009B7D63"/>
    <w:rsid w:val="009C119D"/>
    <w:rsid w:val="009C3427"/>
    <w:rsid w:val="009C48C6"/>
    <w:rsid w:val="009D1D59"/>
    <w:rsid w:val="009D1E62"/>
    <w:rsid w:val="009D204E"/>
    <w:rsid w:val="009D392B"/>
    <w:rsid w:val="009D5BC5"/>
    <w:rsid w:val="009D73BD"/>
    <w:rsid w:val="009D7CB4"/>
    <w:rsid w:val="009E246A"/>
    <w:rsid w:val="009E69AF"/>
    <w:rsid w:val="009F57B6"/>
    <w:rsid w:val="009F6C9F"/>
    <w:rsid w:val="009F731B"/>
    <w:rsid w:val="00A20812"/>
    <w:rsid w:val="00A25A66"/>
    <w:rsid w:val="00A265FC"/>
    <w:rsid w:val="00A30E77"/>
    <w:rsid w:val="00A3191B"/>
    <w:rsid w:val="00A367C2"/>
    <w:rsid w:val="00A50962"/>
    <w:rsid w:val="00A512AE"/>
    <w:rsid w:val="00A56E0E"/>
    <w:rsid w:val="00A57A56"/>
    <w:rsid w:val="00A61E88"/>
    <w:rsid w:val="00A63AB6"/>
    <w:rsid w:val="00A70D52"/>
    <w:rsid w:val="00A7228B"/>
    <w:rsid w:val="00A76944"/>
    <w:rsid w:val="00A771C0"/>
    <w:rsid w:val="00A80383"/>
    <w:rsid w:val="00A81DB2"/>
    <w:rsid w:val="00A82D4D"/>
    <w:rsid w:val="00A869A7"/>
    <w:rsid w:val="00AB089D"/>
    <w:rsid w:val="00AB51E1"/>
    <w:rsid w:val="00AC04FE"/>
    <w:rsid w:val="00AC2731"/>
    <w:rsid w:val="00AC4EC5"/>
    <w:rsid w:val="00AC60BA"/>
    <w:rsid w:val="00AC614D"/>
    <w:rsid w:val="00AD3447"/>
    <w:rsid w:val="00AF4492"/>
    <w:rsid w:val="00AF6DBF"/>
    <w:rsid w:val="00B01EFE"/>
    <w:rsid w:val="00B03751"/>
    <w:rsid w:val="00B04E3D"/>
    <w:rsid w:val="00B110BC"/>
    <w:rsid w:val="00B2015E"/>
    <w:rsid w:val="00B25DAC"/>
    <w:rsid w:val="00B3196E"/>
    <w:rsid w:val="00B32AB8"/>
    <w:rsid w:val="00B36ECF"/>
    <w:rsid w:val="00B471FF"/>
    <w:rsid w:val="00B47DED"/>
    <w:rsid w:val="00B71088"/>
    <w:rsid w:val="00B75350"/>
    <w:rsid w:val="00B758A3"/>
    <w:rsid w:val="00B7675F"/>
    <w:rsid w:val="00B83EAA"/>
    <w:rsid w:val="00B85366"/>
    <w:rsid w:val="00B8691A"/>
    <w:rsid w:val="00BA3A1E"/>
    <w:rsid w:val="00BB030B"/>
    <w:rsid w:val="00BB0D8B"/>
    <w:rsid w:val="00BD5F19"/>
    <w:rsid w:val="00BD615D"/>
    <w:rsid w:val="00BD6C3F"/>
    <w:rsid w:val="00BD7D28"/>
    <w:rsid w:val="00BE1058"/>
    <w:rsid w:val="00BE5A72"/>
    <w:rsid w:val="00BF0B78"/>
    <w:rsid w:val="00BF1693"/>
    <w:rsid w:val="00BF6E50"/>
    <w:rsid w:val="00C029E5"/>
    <w:rsid w:val="00C03903"/>
    <w:rsid w:val="00C15D63"/>
    <w:rsid w:val="00C25C96"/>
    <w:rsid w:val="00C348A9"/>
    <w:rsid w:val="00C34FB1"/>
    <w:rsid w:val="00C405E5"/>
    <w:rsid w:val="00C4458A"/>
    <w:rsid w:val="00C567E3"/>
    <w:rsid w:val="00C60798"/>
    <w:rsid w:val="00C63061"/>
    <w:rsid w:val="00C650AE"/>
    <w:rsid w:val="00C70A2E"/>
    <w:rsid w:val="00C823C8"/>
    <w:rsid w:val="00C91E5C"/>
    <w:rsid w:val="00CA10E4"/>
    <w:rsid w:val="00CB41D8"/>
    <w:rsid w:val="00CB52F6"/>
    <w:rsid w:val="00CB7720"/>
    <w:rsid w:val="00CB7D12"/>
    <w:rsid w:val="00CD06A2"/>
    <w:rsid w:val="00CD2D8E"/>
    <w:rsid w:val="00CD7E80"/>
    <w:rsid w:val="00CE464F"/>
    <w:rsid w:val="00CE5625"/>
    <w:rsid w:val="00CF5DD5"/>
    <w:rsid w:val="00CF6456"/>
    <w:rsid w:val="00D01779"/>
    <w:rsid w:val="00D03618"/>
    <w:rsid w:val="00D03A2F"/>
    <w:rsid w:val="00D12956"/>
    <w:rsid w:val="00D15838"/>
    <w:rsid w:val="00D16C54"/>
    <w:rsid w:val="00D2094E"/>
    <w:rsid w:val="00D271AD"/>
    <w:rsid w:val="00D40AD7"/>
    <w:rsid w:val="00D4211B"/>
    <w:rsid w:val="00D472C7"/>
    <w:rsid w:val="00D51160"/>
    <w:rsid w:val="00D5402F"/>
    <w:rsid w:val="00D57245"/>
    <w:rsid w:val="00D72DCA"/>
    <w:rsid w:val="00D7400F"/>
    <w:rsid w:val="00D740FB"/>
    <w:rsid w:val="00D77811"/>
    <w:rsid w:val="00D85E5B"/>
    <w:rsid w:val="00D86351"/>
    <w:rsid w:val="00D865FC"/>
    <w:rsid w:val="00D907E5"/>
    <w:rsid w:val="00DA0DD7"/>
    <w:rsid w:val="00DA2D4C"/>
    <w:rsid w:val="00DA40C9"/>
    <w:rsid w:val="00DA6786"/>
    <w:rsid w:val="00DA74D3"/>
    <w:rsid w:val="00DA7A9E"/>
    <w:rsid w:val="00DC0ED4"/>
    <w:rsid w:val="00DC2310"/>
    <w:rsid w:val="00DC4748"/>
    <w:rsid w:val="00DC621C"/>
    <w:rsid w:val="00DD5BB7"/>
    <w:rsid w:val="00DE536B"/>
    <w:rsid w:val="00DF03F1"/>
    <w:rsid w:val="00DF359B"/>
    <w:rsid w:val="00E0160B"/>
    <w:rsid w:val="00E01D56"/>
    <w:rsid w:val="00E07AF7"/>
    <w:rsid w:val="00E10072"/>
    <w:rsid w:val="00E10FD4"/>
    <w:rsid w:val="00E11E54"/>
    <w:rsid w:val="00E25E07"/>
    <w:rsid w:val="00E32A92"/>
    <w:rsid w:val="00E337E3"/>
    <w:rsid w:val="00E5158E"/>
    <w:rsid w:val="00E544A5"/>
    <w:rsid w:val="00E711EA"/>
    <w:rsid w:val="00E71E56"/>
    <w:rsid w:val="00E74A4E"/>
    <w:rsid w:val="00E802A8"/>
    <w:rsid w:val="00E82E27"/>
    <w:rsid w:val="00E93712"/>
    <w:rsid w:val="00EA4F83"/>
    <w:rsid w:val="00EB23BC"/>
    <w:rsid w:val="00EB79E4"/>
    <w:rsid w:val="00EE244E"/>
    <w:rsid w:val="00EE474E"/>
    <w:rsid w:val="00EE4A40"/>
    <w:rsid w:val="00EE5EFB"/>
    <w:rsid w:val="00EF1868"/>
    <w:rsid w:val="00EF26D7"/>
    <w:rsid w:val="00EF26DB"/>
    <w:rsid w:val="00EF3A24"/>
    <w:rsid w:val="00EF3DB8"/>
    <w:rsid w:val="00EF4807"/>
    <w:rsid w:val="00F161B5"/>
    <w:rsid w:val="00F2143B"/>
    <w:rsid w:val="00F230E2"/>
    <w:rsid w:val="00F23F05"/>
    <w:rsid w:val="00F31A3B"/>
    <w:rsid w:val="00F31C5E"/>
    <w:rsid w:val="00F342B2"/>
    <w:rsid w:val="00F45D81"/>
    <w:rsid w:val="00F45E91"/>
    <w:rsid w:val="00F50A13"/>
    <w:rsid w:val="00F62ED1"/>
    <w:rsid w:val="00F64FB2"/>
    <w:rsid w:val="00F841DD"/>
    <w:rsid w:val="00F86D04"/>
    <w:rsid w:val="00F86E14"/>
    <w:rsid w:val="00F91FB5"/>
    <w:rsid w:val="00FA1F7F"/>
    <w:rsid w:val="00FA6045"/>
    <w:rsid w:val="00FA76CF"/>
    <w:rsid w:val="00FB68D9"/>
    <w:rsid w:val="00FC0B70"/>
    <w:rsid w:val="00FC22A4"/>
    <w:rsid w:val="00FD426E"/>
    <w:rsid w:val="00FD6594"/>
    <w:rsid w:val="00FE7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3A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248B"/>
    <w:rPr>
      <w:sz w:val="24"/>
      <w:szCs w:val="24"/>
    </w:rPr>
  </w:style>
  <w:style w:type="paragraph" w:styleId="Heading1">
    <w:name w:val="heading 1"/>
    <w:basedOn w:val="Normal"/>
    <w:next w:val="Normal"/>
    <w:link w:val="Heading1Char"/>
    <w:qFormat/>
    <w:pPr>
      <w:keepNext/>
      <w:jc w:val="center"/>
      <w:outlineLvl w:val="0"/>
    </w:pPr>
    <w:rPr>
      <w:b/>
      <w:sz w:val="32"/>
    </w:rPr>
  </w:style>
  <w:style w:type="paragraph" w:styleId="Heading2">
    <w:name w:val="heading 2"/>
    <w:basedOn w:val="Normal"/>
    <w:next w:val="Normal"/>
    <w:qFormat/>
    <w:pPr>
      <w:keepNext/>
      <w:outlineLvl w:val="1"/>
    </w:pPr>
    <w:rPr>
      <w:b/>
      <w:bCs/>
      <w:color w:val="000000"/>
      <w:szCs w:val="17"/>
    </w:rPr>
  </w:style>
  <w:style w:type="paragraph" w:styleId="Heading3">
    <w:name w:val="heading 3"/>
    <w:basedOn w:val="Normal"/>
    <w:next w:val="Normal"/>
    <w:qFormat/>
    <w:pPr>
      <w:keepNext/>
      <w:pageBreakBefore/>
      <w:outlineLvl w:val="2"/>
    </w:pPr>
    <w:rPr>
      <w:b/>
    </w:rPr>
  </w:style>
  <w:style w:type="paragraph" w:styleId="Heading4">
    <w:name w:val="heading 4"/>
    <w:basedOn w:val="Normal"/>
    <w:next w:val="Normal"/>
    <w:qFormat/>
    <w:pPr>
      <w:keepNext/>
      <w:outlineLvl w:val="3"/>
    </w:pPr>
    <w:rPr>
      <w:i/>
      <w:iCs/>
      <w:color w:val="000000"/>
      <w:szCs w:val="17"/>
    </w:rPr>
  </w:style>
  <w:style w:type="paragraph" w:styleId="Heading5">
    <w:name w:val="heading 5"/>
    <w:basedOn w:val="Normal"/>
    <w:next w:val="Normal"/>
    <w:qFormat/>
    <w:pPr>
      <w:keepNext/>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Revision">
    <w:name w:val="Agenda Revision"/>
    <w:basedOn w:val="Normal"/>
    <w:rPr>
      <w:szCs w:val="20"/>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fc295">
    <w:name w:val="fc295"/>
    <w:rPr>
      <w:rFonts w:ascii="Times New Roman" w:hAnsi="Times New Roman" w:cs="Times New Roman" w:hint="default"/>
      <w:b w:val="0"/>
      <w:bCs w:val="0"/>
      <w:color w:val="000000"/>
      <w:sz w:val="24"/>
      <w:szCs w:val="24"/>
    </w:rPr>
  </w:style>
  <w:style w:type="character" w:customStyle="1" w:styleId="fc561">
    <w:name w:val="fc561"/>
    <w:rPr>
      <w:rFonts w:ascii="Times New Roman" w:hAnsi="Times New Roman" w:cs="Times New Roman" w:hint="default"/>
      <w:b/>
      <w:bCs/>
      <w:color w:val="000000"/>
      <w:sz w:val="22"/>
      <w:szCs w:val="22"/>
    </w:rPr>
  </w:style>
  <w:style w:type="paragraph" w:styleId="BodyText">
    <w:name w:val="Body Text"/>
    <w:basedOn w:val="Normal"/>
    <w:rPr>
      <w:color w:val="000000"/>
      <w:szCs w:val="17"/>
    </w:rPr>
  </w:style>
  <w:style w:type="paragraph" w:styleId="z-TopofForm">
    <w:name w:val="HTML Top of Form"/>
    <w:basedOn w:val="Normal"/>
    <w:next w:val="Normal"/>
    <w:hidden/>
    <w:pPr>
      <w:pBdr>
        <w:bottom w:val="single" w:sz="6" w:space="1" w:color="auto"/>
      </w:pBdr>
      <w:jc w:val="center"/>
    </w:pPr>
    <w:rPr>
      <w:rFonts w:ascii="Arial" w:eastAsia="Arial Unicode MS" w:hAnsi="Arial" w:cs="Arial"/>
      <w:vanish/>
      <w:sz w:val="16"/>
      <w:szCs w:val="16"/>
    </w:rPr>
  </w:style>
  <w:style w:type="paragraph" w:styleId="z-BottomofForm">
    <w:name w:val="HTML Bottom of Form"/>
    <w:basedOn w:val="Normal"/>
    <w:next w:val="Normal"/>
    <w:hidden/>
    <w:pPr>
      <w:pBdr>
        <w:top w:val="single" w:sz="6" w:space="1" w:color="auto"/>
      </w:pBdr>
      <w:jc w:val="center"/>
    </w:pPr>
    <w:rPr>
      <w:rFonts w:ascii="Arial" w:eastAsia="Arial Unicode MS" w:hAnsi="Arial" w:cs="Arial"/>
      <w:vanish/>
      <w:sz w:val="16"/>
      <w:szCs w:val="16"/>
    </w:r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
    <w:name w:val="Body Text Indent"/>
    <w:basedOn w:val="Normal"/>
    <w:pPr>
      <w:overflowPunct w:val="0"/>
      <w:autoSpaceDE w:val="0"/>
      <w:autoSpaceDN w:val="0"/>
      <w:adjustRightInd w:val="0"/>
      <w:ind w:left="155"/>
      <w:textAlignment w:val="baseline"/>
    </w:pPr>
    <w:rPr>
      <w:sz w:val="26"/>
      <w:szCs w:val="20"/>
    </w:rPr>
  </w:style>
  <w:style w:type="paragraph" w:styleId="BodyText2">
    <w:name w:val="Body Text 2"/>
    <w:basedOn w:val="Normal"/>
    <w:rPr>
      <w:sz w:val="26"/>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customStyle="1" w:styleId="apple-style-span">
    <w:name w:val="apple-style-span"/>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800080"/>
      <w:u w:val="single"/>
    </w:rPr>
  </w:style>
  <w:style w:type="paragraph" w:styleId="ListParagraph">
    <w:name w:val="List Paragraph"/>
    <w:basedOn w:val="Normal"/>
    <w:uiPriority w:val="34"/>
    <w:qFormat/>
    <w:rsid w:val="00DC0ED4"/>
    <w:pPr>
      <w:ind w:left="720"/>
      <w:contextualSpacing/>
    </w:pPr>
  </w:style>
  <w:style w:type="character" w:customStyle="1" w:styleId="Heading1Char">
    <w:name w:val="Heading 1 Char"/>
    <w:basedOn w:val="DefaultParagraphFont"/>
    <w:link w:val="Heading1"/>
    <w:rsid w:val="001552C4"/>
    <w:rPr>
      <w:b/>
      <w:sz w:val="32"/>
      <w:szCs w:val="24"/>
    </w:rPr>
  </w:style>
  <w:style w:type="character" w:customStyle="1" w:styleId="UnresolvedMention1">
    <w:name w:val="Unresolved Mention1"/>
    <w:basedOn w:val="DefaultParagraphFont"/>
    <w:uiPriority w:val="99"/>
    <w:semiHidden/>
    <w:unhideWhenUsed/>
    <w:rsid w:val="00BB0D8B"/>
    <w:rPr>
      <w:color w:val="605E5C"/>
      <w:shd w:val="clear" w:color="auto" w:fill="E1DFDD"/>
    </w:rPr>
  </w:style>
  <w:style w:type="paragraph" w:customStyle="1" w:styleId="Default">
    <w:name w:val="Default"/>
    <w:rsid w:val="008448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86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45590">
      <w:bodyDiv w:val="1"/>
      <w:marLeft w:val="0"/>
      <w:marRight w:val="0"/>
      <w:marTop w:val="0"/>
      <w:marBottom w:val="0"/>
      <w:divBdr>
        <w:top w:val="none" w:sz="0" w:space="0" w:color="auto"/>
        <w:left w:val="none" w:sz="0" w:space="0" w:color="auto"/>
        <w:bottom w:val="none" w:sz="0" w:space="0" w:color="auto"/>
        <w:right w:val="none" w:sz="0" w:space="0" w:color="auto"/>
      </w:divBdr>
    </w:div>
    <w:div w:id="91170734">
      <w:bodyDiv w:val="1"/>
      <w:marLeft w:val="0"/>
      <w:marRight w:val="0"/>
      <w:marTop w:val="0"/>
      <w:marBottom w:val="0"/>
      <w:divBdr>
        <w:top w:val="none" w:sz="0" w:space="0" w:color="auto"/>
        <w:left w:val="none" w:sz="0" w:space="0" w:color="auto"/>
        <w:bottom w:val="none" w:sz="0" w:space="0" w:color="auto"/>
        <w:right w:val="none" w:sz="0" w:space="0" w:color="auto"/>
      </w:divBdr>
    </w:div>
    <w:div w:id="203910598">
      <w:bodyDiv w:val="1"/>
      <w:marLeft w:val="0"/>
      <w:marRight w:val="0"/>
      <w:marTop w:val="0"/>
      <w:marBottom w:val="0"/>
      <w:divBdr>
        <w:top w:val="none" w:sz="0" w:space="0" w:color="auto"/>
        <w:left w:val="none" w:sz="0" w:space="0" w:color="auto"/>
        <w:bottom w:val="none" w:sz="0" w:space="0" w:color="auto"/>
        <w:right w:val="none" w:sz="0" w:space="0" w:color="auto"/>
      </w:divBdr>
    </w:div>
    <w:div w:id="233324473">
      <w:bodyDiv w:val="1"/>
      <w:marLeft w:val="0"/>
      <w:marRight w:val="0"/>
      <w:marTop w:val="0"/>
      <w:marBottom w:val="0"/>
      <w:divBdr>
        <w:top w:val="none" w:sz="0" w:space="0" w:color="auto"/>
        <w:left w:val="none" w:sz="0" w:space="0" w:color="auto"/>
        <w:bottom w:val="none" w:sz="0" w:space="0" w:color="auto"/>
        <w:right w:val="none" w:sz="0" w:space="0" w:color="auto"/>
      </w:divBdr>
    </w:div>
    <w:div w:id="300691232">
      <w:bodyDiv w:val="1"/>
      <w:marLeft w:val="0"/>
      <w:marRight w:val="0"/>
      <w:marTop w:val="0"/>
      <w:marBottom w:val="0"/>
      <w:divBdr>
        <w:top w:val="none" w:sz="0" w:space="0" w:color="auto"/>
        <w:left w:val="none" w:sz="0" w:space="0" w:color="auto"/>
        <w:bottom w:val="none" w:sz="0" w:space="0" w:color="auto"/>
        <w:right w:val="none" w:sz="0" w:space="0" w:color="auto"/>
      </w:divBdr>
    </w:div>
    <w:div w:id="307706697">
      <w:bodyDiv w:val="1"/>
      <w:marLeft w:val="0"/>
      <w:marRight w:val="0"/>
      <w:marTop w:val="0"/>
      <w:marBottom w:val="0"/>
      <w:divBdr>
        <w:top w:val="none" w:sz="0" w:space="0" w:color="auto"/>
        <w:left w:val="none" w:sz="0" w:space="0" w:color="auto"/>
        <w:bottom w:val="none" w:sz="0" w:space="0" w:color="auto"/>
        <w:right w:val="none" w:sz="0" w:space="0" w:color="auto"/>
      </w:divBdr>
    </w:div>
    <w:div w:id="398211751">
      <w:bodyDiv w:val="1"/>
      <w:marLeft w:val="0"/>
      <w:marRight w:val="0"/>
      <w:marTop w:val="0"/>
      <w:marBottom w:val="0"/>
      <w:divBdr>
        <w:top w:val="none" w:sz="0" w:space="0" w:color="auto"/>
        <w:left w:val="none" w:sz="0" w:space="0" w:color="auto"/>
        <w:bottom w:val="none" w:sz="0" w:space="0" w:color="auto"/>
        <w:right w:val="none" w:sz="0" w:space="0" w:color="auto"/>
      </w:divBdr>
    </w:div>
    <w:div w:id="452481023">
      <w:bodyDiv w:val="1"/>
      <w:marLeft w:val="0"/>
      <w:marRight w:val="0"/>
      <w:marTop w:val="0"/>
      <w:marBottom w:val="0"/>
      <w:divBdr>
        <w:top w:val="none" w:sz="0" w:space="0" w:color="auto"/>
        <w:left w:val="none" w:sz="0" w:space="0" w:color="auto"/>
        <w:bottom w:val="none" w:sz="0" w:space="0" w:color="auto"/>
        <w:right w:val="none" w:sz="0" w:space="0" w:color="auto"/>
      </w:divBdr>
    </w:div>
    <w:div w:id="553583651">
      <w:bodyDiv w:val="1"/>
      <w:marLeft w:val="0"/>
      <w:marRight w:val="0"/>
      <w:marTop w:val="0"/>
      <w:marBottom w:val="0"/>
      <w:divBdr>
        <w:top w:val="none" w:sz="0" w:space="0" w:color="auto"/>
        <w:left w:val="none" w:sz="0" w:space="0" w:color="auto"/>
        <w:bottom w:val="none" w:sz="0" w:space="0" w:color="auto"/>
        <w:right w:val="none" w:sz="0" w:space="0" w:color="auto"/>
      </w:divBdr>
    </w:div>
    <w:div w:id="656760432">
      <w:bodyDiv w:val="1"/>
      <w:marLeft w:val="0"/>
      <w:marRight w:val="0"/>
      <w:marTop w:val="0"/>
      <w:marBottom w:val="0"/>
      <w:divBdr>
        <w:top w:val="none" w:sz="0" w:space="0" w:color="auto"/>
        <w:left w:val="none" w:sz="0" w:space="0" w:color="auto"/>
        <w:bottom w:val="none" w:sz="0" w:space="0" w:color="auto"/>
        <w:right w:val="none" w:sz="0" w:space="0" w:color="auto"/>
      </w:divBdr>
      <w:divsChild>
        <w:div w:id="846600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568708">
      <w:bodyDiv w:val="1"/>
      <w:marLeft w:val="0"/>
      <w:marRight w:val="0"/>
      <w:marTop w:val="0"/>
      <w:marBottom w:val="0"/>
      <w:divBdr>
        <w:top w:val="none" w:sz="0" w:space="0" w:color="auto"/>
        <w:left w:val="none" w:sz="0" w:space="0" w:color="auto"/>
        <w:bottom w:val="none" w:sz="0" w:space="0" w:color="auto"/>
        <w:right w:val="none" w:sz="0" w:space="0" w:color="auto"/>
      </w:divBdr>
    </w:div>
    <w:div w:id="764613038">
      <w:bodyDiv w:val="1"/>
      <w:marLeft w:val="0"/>
      <w:marRight w:val="0"/>
      <w:marTop w:val="0"/>
      <w:marBottom w:val="0"/>
      <w:divBdr>
        <w:top w:val="none" w:sz="0" w:space="0" w:color="auto"/>
        <w:left w:val="none" w:sz="0" w:space="0" w:color="auto"/>
        <w:bottom w:val="none" w:sz="0" w:space="0" w:color="auto"/>
        <w:right w:val="none" w:sz="0" w:space="0" w:color="auto"/>
      </w:divBdr>
    </w:div>
    <w:div w:id="863204944">
      <w:bodyDiv w:val="1"/>
      <w:marLeft w:val="0"/>
      <w:marRight w:val="0"/>
      <w:marTop w:val="0"/>
      <w:marBottom w:val="0"/>
      <w:divBdr>
        <w:top w:val="none" w:sz="0" w:space="0" w:color="auto"/>
        <w:left w:val="none" w:sz="0" w:space="0" w:color="auto"/>
        <w:bottom w:val="none" w:sz="0" w:space="0" w:color="auto"/>
        <w:right w:val="none" w:sz="0" w:space="0" w:color="auto"/>
      </w:divBdr>
    </w:div>
    <w:div w:id="877468595">
      <w:bodyDiv w:val="1"/>
      <w:marLeft w:val="0"/>
      <w:marRight w:val="0"/>
      <w:marTop w:val="0"/>
      <w:marBottom w:val="0"/>
      <w:divBdr>
        <w:top w:val="none" w:sz="0" w:space="0" w:color="auto"/>
        <w:left w:val="none" w:sz="0" w:space="0" w:color="auto"/>
        <w:bottom w:val="none" w:sz="0" w:space="0" w:color="auto"/>
        <w:right w:val="none" w:sz="0" w:space="0" w:color="auto"/>
      </w:divBdr>
    </w:div>
    <w:div w:id="916667467">
      <w:bodyDiv w:val="1"/>
      <w:marLeft w:val="0"/>
      <w:marRight w:val="0"/>
      <w:marTop w:val="0"/>
      <w:marBottom w:val="0"/>
      <w:divBdr>
        <w:top w:val="none" w:sz="0" w:space="0" w:color="auto"/>
        <w:left w:val="none" w:sz="0" w:space="0" w:color="auto"/>
        <w:bottom w:val="none" w:sz="0" w:space="0" w:color="auto"/>
        <w:right w:val="none" w:sz="0" w:space="0" w:color="auto"/>
      </w:divBdr>
    </w:div>
    <w:div w:id="994798556">
      <w:bodyDiv w:val="1"/>
      <w:marLeft w:val="0"/>
      <w:marRight w:val="0"/>
      <w:marTop w:val="0"/>
      <w:marBottom w:val="0"/>
      <w:divBdr>
        <w:top w:val="none" w:sz="0" w:space="0" w:color="auto"/>
        <w:left w:val="none" w:sz="0" w:space="0" w:color="auto"/>
        <w:bottom w:val="none" w:sz="0" w:space="0" w:color="auto"/>
        <w:right w:val="none" w:sz="0" w:space="0" w:color="auto"/>
      </w:divBdr>
    </w:div>
    <w:div w:id="1147086852">
      <w:bodyDiv w:val="1"/>
      <w:marLeft w:val="0"/>
      <w:marRight w:val="0"/>
      <w:marTop w:val="0"/>
      <w:marBottom w:val="0"/>
      <w:divBdr>
        <w:top w:val="none" w:sz="0" w:space="0" w:color="auto"/>
        <w:left w:val="none" w:sz="0" w:space="0" w:color="auto"/>
        <w:bottom w:val="none" w:sz="0" w:space="0" w:color="auto"/>
        <w:right w:val="none" w:sz="0" w:space="0" w:color="auto"/>
      </w:divBdr>
    </w:div>
    <w:div w:id="1207833916">
      <w:bodyDiv w:val="1"/>
      <w:marLeft w:val="0"/>
      <w:marRight w:val="0"/>
      <w:marTop w:val="0"/>
      <w:marBottom w:val="0"/>
      <w:divBdr>
        <w:top w:val="none" w:sz="0" w:space="0" w:color="auto"/>
        <w:left w:val="none" w:sz="0" w:space="0" w:color="auto"/>
        <w:bottom w:val="none" w:sz="0" w:space="0" w:color="auto"/>
        <w:right w:val="none" w:sz="0" w:space="0" w:color="auto"/>
      </w:divBdr>
    </w:div>
    <w:div w:id="1288002502">
      <w:bodyDiv w:val="1"/>
      <w:marLeft w:val="0"/>
      <w:marRight w:val="0"/>
      <w:marTop w:val="0"/>
      <w:marBottom w:val="0"/>
      <w:divBdr>
        <w:top w:val="none" w:sz="0" w:space="0" w:color="auto"/>
        <w:left w:val="none" w:sz="0" w:space="0" w:color="auto"/>
        <w:bottom w:val="none" w:sz="0" w:space="0" w:color="auto"/>
        <w:right w:val="none" w:sz="0" w:space="0" w:color="auto"/>
      </w:divBdr>
    </w:div>
    <w:div w:id="1340812002">
      <w:bodyDiv w:val="1"/>
      <w:marLeft w:val="0"/>
      <w:marRight w:val="0"/>
      <w:marTop w:val="0"/>
      <w:marBottom w:val="0"/>
      <w:divBdr>
        <w:top w:val="none" w:sz="0" w:space="0" w:color="auto"/>
        <w:left w:val="none" w:sz="0" w:space="0" w:color="auto"/>
        <w:bottom w:val="none" w:sz="0" w:space="0" w:color="auto"/>
        <w:right w:val="none" w:sz="0" w:space="0" w:color="auto"/>
      </w:divBdr>
    </w:div>
    <w:div w:id="1468234958">
      <w:bodyDiv w:val="1"/>
      <w:marLeft w:val="0"/>
      <w:marRight w:val="0"/>
      <w:marTop w:val="0"/>
      <w:marBottom w:val="0"/>
      <w:divBdr>
        <w:top w:val="none" w:sz="0" w:space="0" w:color="auto"/>
        <w:left w:val="none" w:sz="0" w:space="0" w:color="auto"/>
        <w:bottom w:val="none" w:sz="0" w:space="0" w:color="auto"/>
        <w:right w:val="none" w:sz="0" w:space="0" w:color="auto"/>
      </w:divBdr>
    </w:div>
    <w:div w:id="1844126062">
      <w:bodyDiv w:val="1"/>
      <w:marLeft w:val="0"/>
      <w:marRight w:val="0"/>
      <w:marTop w:val="0"/>
      <w:marBottom w:val="0"/>
      <w:divBdr>
        <w:top w:val="none" w:sz="0" w:space="0" w:color="auto"/>
        <w:left w:val="none" w:sz="0" w:space="0" w:color="auto"/>
        <w:bottom w:val="none" w:sz="0" w:space="0" w:color="auto"/>
        <w:right w:val="none" w:sz="0" w:space="0" w:color="auto"/>
      </w:divBdr>
    </w:div>
    <w:div w:id="1845515264">
      <w:bodyDiv w:val="1"/>
      <w:marLeft w:val="0"/>
      <w:marRight w:val="0"/>
      <w:marTop w:val="0"/>
      <w:marBottom w:val="0"/>
      <w:divBdr>
        <w:top w:val="none" w:sz="0" w:space="0" w:color="auto"/>
        <w:left w:val="none" w:sz="0" w:space="0" w:color="auto"/>
        <w:bottom w:val="none" w:sz="0" w:space="0" w:color="auto"/>
        <w:right w:val="none" w:sz="0" w:space="0" w:color="auto"/>
      </w:divBdr>
    </w:div>
    <w:div w:id="1918441724">
      <w:bodyDiv w:val="1"/>
      <w:marLeft w:val="0"/>
      <w:marRight w:val="0"/>
      <w:marTop w:val="0"/>
      <w:marBottom w:val="0"/>
      <w:divBdr>
        <w:top w:val="none" w:sz="0" w:space="0" w:color="auto"/>
        <w:left w:val="none" w:sz="0" w:space="0" w:color="auto"/>
        <w:bottom w:val="none" w:sz="0" w:space="0" w:color="auto"/>
        <w:right w:val="none" w:sz="0" w:space="0" w:color="auto"/>
      </w:divBdr>
      <w:divsChild>
        <w:div w:id="301428807">
          <w:marLeft w:val="0"/>
          <w:marRight w:val="0"/>
          <w:marTop w:val="0"/>
          <w:marBottom w:val="0"/>
          <w:divBdr>
            <w:top w:val="none" w:sz="0" w:space="0" w:color="auto"/>
            <w:left w:val="none" w:sz="0" w:space="0" w:color="auto"/>
            <w:bottom w:val="none" w:sz="0" w:space="0" w:color="auto"/>
            <w:right w:val="none" w:sz="0" w:space="0" w:color="auto"/>
          </w:divBdr>
        </w:div>
      </w:divsChild>
    </w:div>
    <w:div w:id="1927151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ca.gov/wp-content/uploads/2020/03/3.17.20-N-29-20-EO.pdf" TargetMode="External"/><Relationship Id="rId13" Type="http://schemas.openxmlformats.org/officeDocument/2006/relationships/hyperlink" Target="http://docs.cpuc.ca.gov/SearchRes.aspx?docformat=ALL&amp;docid=33387776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blic.advisor@cpuc.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ublic.advisor@cpuc.ca.gov" TargetMode="External"/><Relationship Id="rId4" Type="http://schemas.openxmlformats.org/officeDocument/2006/relationships/settings" Target="settings.xml"/><Relationship Id="rId9" Type="http://schemas.openxmlformats.org/officeDocument/2006/relationships/hyperlink" Target="http://www.cpuc.ca.go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149E9-A75A-40F2-A135-86641FEE042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602</ap:Words>
  <ap:Characters>3432</ap:Characters>
  <ap:Application>Microsoft Office Word</ap:Application>
  <ap:DocSecurity>0</ap:DocSecurity>
  <ap:Lines>28</ap:Lines>
  <ap:Paragraphs>8</ap:Paragraphs>
  <ap:ScaleCrop>false</ap:ScaleCrop>
  <ap:HeadingPairs>
    <vt:vector baseType="variant" size="2">
      <vt:variant>
        <vt:lpstr>Title</vt:lpstr>
      </vt:variant>
      <vt:variant>
        <vt:i4>1</vt:i4>
      </vt:variant>
    </vt:vector>
  </ap:HeadingPairs>
  <ap:TitlesOfParts>
    <vt:vector baseType="lpstr" size="1">
      <vt:lpstr>_</vt:lpstr>
    </vt:vector>
  </ap:TitlesOfParts>
  <ap:LinksUpToDate>false</ap:LinksUpToDate>
  <ap:CharactersWithSpaces>4026</ap:CharactersWithSpaces>
  <ap:SharedDoc>false</ap:SharedDoc>
  <ap:HyperlinkBase/>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2012-12-05T22:17:00Z</cp:lastPrinted>
  <dcterms:created xsi:type="dcterms:W3CDTF">2020-05-12T12:00:00Z</dcterms:created>
  <dcterms:modified xsi:type="dcterms:W3CDTF">2020-05-12T12:00:00Z</dcterms:modified>
</cp:coreProperties>
</file>