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63C" w:rsidP="00C43E79" w:rsidRDefault="00597CB2" w14:paraId="7B3850D9" w14:textId="6C3B5246">
      <w:pPr>
        <w:tabs>
          <w:tab w:val="right" w:pos="8640"/>
        </w:tabs>
        <w:suppressAutoHyphens/>
        <w:rPr>
          <w:color w:val="000000"/>
        </w:rPr>
      </w:pPr>
      <w:r>
        <w:rPr>
          <w:color w:val="000000"/>
        </w:rPr>
        <w:t>RIM/nd3</w:t>
      </w:r>
      <w:r w:rsidR="00C43E79">
        <w:rPr>
          <w:color w:val="000000"/>
        </w:rPr>
        <w:tab/>
      </w:r>
      <w:r w:rsidRPr="0004495C" w:rsidR="00C43E79">
        <w:rPr>
          <w:b/>
          <w:bCs/>
          <w:color w:val="000000"/>
        </w:rPr>
        <w:t>Date of Issuance:  5/2</w:t>
      </w:r>
      <w:r w:rsidR="001473FE">
        <w:rPr>
          <w:b/>
          <w:bCs/>
          <w:color w:val="000000"/>
        </w:rPr>
        <w:t>9</w:t>
      </w:r>
      <w:r w:rsidRPr="0004495C" w:rsidR="00C43E79">
        <w:rPr>
          <w:b/>
          <w:bCs/>
          <w:color w:val="000000"/>
        </w:rPr>
        <w:t>/2020</w:t>
      </w:r>
    </w:p>
    <w:p w:rsidR="0047763C" w:rsidRDefault="0047763C" w14:paraId="3EBECA77" w14:textId="4E86F743">
      <w:pPr>
        <w:suppressAutoHyphens/>
        <w:rPr>
          <w:color w:val="000000"/>
        </w:rPr>
      </w:pPr>
    </w:p>
    <w:p w:rsidR="00CA7B7A" w:rsidRDefault="00CA7B7A" w14:paraId="2AC8A3AD" w14:textId="77777777">
      <w:pPr>
        <w:suppressAutoHyphens/>
        <w:rPr>
          <w:color w:val="000000"/>
        </w:rPr>
      </w:pPr>
    </w:p>
    <w:p w:rsidRPr="008D250E" w:rsidR="00A92D0B" w:rsidRDefault="00A92D0B" w14:paraId="5BDA9FD4" w14:textId="2D0A886F">
      <w:pPr>
        <w:suppressAutoHyphens/>
        <w:rPr>
          <w:color w:val="000000"/>
        </w:rPr>
      </w:pPr>
      <w:r w:rsidRPr="008D250E">
        <w:rPr>
          <w:color w:val="000000"/>
        </w:rPr>
        <w:t xml:space="preserve">Decision </w:t>
      </w:r>
      <w:r w:rsidRPr="00FF78B8" w:rsidR="00FF78B8">
        <w:rPr>
          <w:color w:val="000000"/>
        </w:rPr>
        <w:t>20</w:t>
      </w:r>
      <w:r w:rsidR="00FF78B8">
        <w:rPr>
          <w:color w:val="000000"/>
        </w:rPr>
        <w:t>-</w:t>
      </w:r>
      <w:r w:rsidRPr="00FF78B8" w:rsidR="00FF78B8">
        <w:rPr>
          <w:color w:val="000000"/>
        </w:rPr>
        <w:t>05</w:t>
      </w:r>
      <w:r w:rsidR="00FF78B8">
        <w:rPr>
          <w:color w:val="000000"/>
        </w:rPr>
        <w:t>-</w:t>
      </w:r>
      <w:r w:rsidRPr="00FF78B8" w:rsidR="00FF78B8">
        <w:rPr>
          <w:color w:val="000000"/>
        </w:rPr>
        <w:t>036</w:t>
      </w:r>
      <w:r w:rsidR="00C43E79">
        <w:rPr>
          <w:color w:val="000000"/>
        </w:rPr>
        <w:t xml:space="preserve">  May 21, 2020</w:t>
      </w:r>
    </w:p>
    <w:p w:rsidRPr="008D250E" w:rsidR="00A92D0B" w:rsidRDefault="00A92D0B" w14:paraId="6D327C87" w14:textId="77777777">
      <w:pPr>
        <w:pStyle w:val="titlebar"/>
        <w:rPr>
          <w:rFonts w:ascii="Times New Roman" w:hAnsi="Times New Roman"/>
          <w:color w:val="000000"/>
          <w:sz w:val="24"/>
          <w:szCs w:val="24"/>
        </w:rPr>
      </w:pPr>
    </w:p>
    <w:p w:rsidRPr="008D250E" w:rsidR="00A92D0B" w:rsidRDefault="00A92D0B" w14:paraId="44E03231" w14:textId="77777777">
      <w:pPr>
        <w:pStyle w:val="titlebar"/>
        <w:rPr>
          <w:rFonts w:ascii="Times New Roman" w:hAnsi="Times New Roman"/>
          <w:color w:val="000000"/>
          <w:sz w:val="24"/>
          <w:szCs w:val="24"/>
        </w:rPr>
      </w:pPr>
    </w:p>
    <w:p w:rsidRPr="008D250E" w:rsidR="00A92D0B" w:rsidP="00283AF3" w:rsidRDefault="00A92D0B" w14:paraId="67F2520C" w14:textId="77777777">
      <w:pPr>
        <w:pStyle w:val="titlebar"/>
        <w:ind w:right="-1440"/>
        <w:jc w:val="left"/>
        <w:rPr>
          <w:rFonts w:ascii="Times New Roman" w:hAnsi="Times New Roman"/>
          <w:color w:val="000000"/>
          <w:sz w:val="24"/>
          <w:szCs w:val="24"/>
        </w:rPr>
      </w:pPr>
      <w:r w:rsidRPr="008D250E">
        <w:rPr>
          <w:rFonts w:ascii="Times New Roman" w:hAnsi="Times New Roman"/>
          <w:color w:val="000000"/>
          <w:sz w:val="24"/>
          <w:szCs w:val="24"/>
        </w:rPr>
        <w:t>BEFORE THE PUBLIC UTILITIES COMMISSION OF THE STATE OF CALIFORNIA</w:t>
      </w:r>
    </w:p>
    <w:p w:rsidRPr="008D250E" w:rsidR="00A92D0B" w:rsidRDefault="00A92D0B" w14:paraId="564284CD" w14:textId="77777777">
      <w:pPr>
        <w:suppressAutoHyphens/>
        <w:rPr>
          <w:color w:val="000000"/>
        </w:rPr>
      </w:pPr>
    </w:p>
    <w:tbl>
      <w:tblPr>
        <w:tblW w:w="9828" w:type="dxa"/>
        <w:shd w:val="clear" w:color="auto" w:fill="CCFFCC"/>
        <w:tblLayout w:type="fixed"/>
        <w:tblLook w:val="0000" w:firstRow="0" w:lastRow="0" w:firstColumn="0" w:lastColumn="0" w:noHBand="0" w:noVBand="0"/>
      </w:tblPr>
      <w:tblGrid>
        <w:gridCol w:w="4770"/>
        <w:gridCol w:w="5058"/>
      </w:tblGrid>
      <w:tr w:rsidRPr="008D250E" w:rsidR="00A92D0B" w:rsidTr="00F269EC" w14:paraId="3942D7B4" w14:textId="77777777">
        <w:tc>
          <w:tcPr>
            <w:tcW w:w="4770" w:type="dxa"/>
            <w:tcBorders>
              <w:bottom w:val="single" w:color="auto" w:sz="4" w:space="0"/>
              <w:right w:val="single" w:color="auto" w:sz="4" w:space="0"/>
            </w:tcBorders>
            <w:shd w:val="clear" w:color="auto" w:fill="auto"/>
          </w:tcPr>
          <w:p w:rsidR="00A92D0B" w:rsidRDefault="00844855" w14:paraId="3268B20B" w14:textId="77777777">
            <w:pPr>
              <w:rPr>
                <w:color w:val="000000"/>
              </w:rPr>
            </w:pPr>
            <w:r w:rsidRPr="00844855">
              <w:rPr>
                <w:color w:val="000000"/>
              </w:rPr>
              <w:t xml:space="preserve">Order Instituting Investigation to Address Intrastate Rural Call Completion Issues. </w:t>
            </w:r>
          </w:p>
          <w:p w:rsidRPr="008D250E" w:rsidR="00844855" w:rsidRDefault="00844855" w14:paraId="47850BD9" w14:textId="5C1F28AF">
            <w:pPr>
              <w:rPr>
                <w:color w:val="000000"/>
              </w:rPr>
            </w:pPr>
          </w:p>
        </w:tc>
        <w:tc>
          <w:tcPr>
            <w:tcW w:w="5058" w:type="dxa"/>
            <w:tcBorders>
              <w:left w:val="single" w:color="auto" w:sz="4" w:space="0"/>
            </w:tcBorders>
            <w:shd w:val="clear" w:color="auto" w:fill="auto"/>
          </w:tcPr>
          <w:p w:rsidR="00844855" w:rsidP="00844855" w:rsidRDefault="00844855" w14:paraId="5CC3BC64" w14:textId="77777777">
            <w:pPr>
              <w:tabs>
                <w:tab w:val="left" w:pos="1440"/>
                <w:tab w:val="left" w:pos="3600"/>
              </w:tabs>
              <w:jc w:val="center"/>
              <w:rPr>
                <w:color w:val="000000"/>
              </w:rPr>
            </w:pPr>
          </w:p>
          <w:p w:rsidRPr="008D250E" w:rsidR="00A92D0B" w:rsidP="00844855" w:rsidRDefault="008E6AB7" w14:paraId="56246C5B" w14:textId="65E48806">
            <w:pPr>
              <w:tabs>
                <w:tab w:val="left" w:pos="1440"/>
                <w:tab w:val="left" w:pos="3600"/>
              </w:tabs>
              <w:jc w:val="center"/>
              <w:rPr>
                <w:color w:val="000000"/>
              </w:rPr>
            </w:pPr>
            <w:r w:rsidRPr="008D250E">
              <w:rPr>
                <w:color w:val="000000"/>
              </w:rPr>
              <w:t>Investigation 14</w:t>
            </w:r>
            <w:r w:rsidR="00747698">
              <w:rPr>
                <w:color w:val="000000"/>
              </w:rPr>
              <w:noBreakHyphen/>
            </w:r>
            <w:r w:rsidRPr="008D250E">
              <w:rPr>
                <w:color w:val="000000"/>
              </w:rPr>
              <w:t>05</w:t>
            </w:r>
            <w:r w:rsidR="00747698">
              <w:rPr>
                <w:color w:val="000000"/>
              </w:rPr>
              <w:noBreakHyphen/>
            </w:r>
            <w:r w:rsidRPr="008D250E">
              <w:rPr>
                <w:color w:val="000000"/>
              </w:rPr>
              <w:t>012</w:t>
            </w:r>
          </w:p>
          <w:p w:rsidRPr="008D250E" w:rsidR="00A92D0B" w:rsidP="00844855" w:rsidRDefault="00A92D0B" w14:paraId="7EC7277D" w14:textId="77777777">
            <w:pPr>
              <w:tabs>
                <w:tab w:val="left" w:pos="1440"/>
                <w:tab w:val="left" w:pos="3600"/>
              </w:tabs>
              <w:rPr>
                <w:color w:val="000000"/>
              </w:rPr>
            </w:pPr>
          </w:p>
        </w:tc>
      </w:tr>
    </w:tbl>
    <w:p w:rsidR="00FC72B7" w:rsidP="00F269EC" w:rsidRDefault="00FC72B7" w14:paraId="5459E071" w14:textId="55589108">
      <w:pPr>
        <w:rPr>
          <w:b/>
          <w:color w:val="000000"/>
        </w:rPr>
      </w:pPr>
    </w:p>
    <w:p w:rsidRPr="008D250E" w:rsidR="00F269EC" w:rsidP="00F269EC" w:rsidRDefault="00F269EC" w14:paraId="41C0B733" w14:textId="77777777">
      <w:pPr>
        <w:rPr>
          <w:b/>
          <w:color w:val="000000"/>
        </w:rPr>
      </w:pPr>
    </w:p>
    <w:p w:rsidRPr="008D250E" w:rsidR="008E6AB7" w:rsidRDefault="00A24C29" w14:paraId="42AEE2A4" w14:textId="1D837C45">
      <w:pPr>
        <w:jc w:val="center"/>
        <w:rPr>
          <w:b/>
        </w:rPr>
      </w:pPr>
      <w:r>
        <w:rPr>
          <w:b/>
        </w:rPr>
        <w:t>DECISION GRANTING</w:t>
      </w:r>
      <w:r w:rsidR="008958B8">
        <w:rPr>
          <w:b/>
        </w:rPr>
        <w:t xml:space="preserve"> </w:t>
      </w:r>
      <w:r w:rsidRPr="008D250E" w:rsidR="00A92D0B">
        <w:rPr>
          <w:b/>
        </w:rPr>
        <w:t xml:space="preserve">INTERVENOR COMPENSATION </w:t>
      </w:r>
      <w:r>
        <w:rPr>
          <w:b/>
        </w:rPr>
        <w:t xml:space="preserve">TO </w:t>
      </w:r>
    </w:p>
    <w:p w:rsidR="0079054A" w:rsidRDefault="008E6AB7" w14:paraId="451ED29B" w14:textId="77777777">
      <w:pPr>
        <w:jc w:val="center"/>
        <w:rPr>
          <w:b/>
        </w:rPr>
      </w:pPr>
      <w:r w:rsidRPr="00A24C29">
        <w:rPr>
          <w:b/>
        </w:rPr>
        <w:t>THE UTILITY REFORM NETWORK</w:t>
      </w:r>
      <w:r w:rsidRPr="00A24C29" w:rsidR="00A92D0B">
        <w:rPr>
          <w:b/>
        </w:rPr>
        <w:t xml:space="preserve"> </w:t>
      </w:r>
      <w:r w:rsidRPr="00A24C29" w:rsidR="00A24C29">
        <w:rPr>
          <w:b/>
        </w:rPr>
        <w:t xml:space="preserve">FOR SUBSTANTIAL CONTRIBUTION </w:t>
      </w:r>
    </w:p>
    <w:p w:rsidRPr="00A24C29" w:rsidR="008E6AB7" w:rsidRDefault="00A24C29" w14:paraId="53D0308F" w14:textId="4622EE5A">
      <w:pPr>
        <w:jc w:val="center"/>
        <w:rPr>
          <w:b/>
        </w:rPr>
      </w:pPr>
      <w:r w:rsidRPr="00A24C29">
        <w:rPr>
          <w:b/>
        </w:rPr>
        <w:t xml:space="preserve">TO </w:t>
      </w:r>
      <w:r w:rsidRPr="008D250E" w:rsidR="00A92D0B">
        <w:rPr>
          <w:b/>
        </w:rPr>
        <w:t xml:space="preserve">DECISION </w:t>
      </w:r>
      <w:r>
        <w:rPr>
          <w:b/>
        </w:rPr>
        <w:t>(D.)</w:t>
      </w:r>
      <w:r w:rsidR="0079054A">
        <w:rPr>
          <w:b/>
        </w:rPr>
        <w:t> </w:t>
      </w:r>
      <w:r>
        <w:rPr>
          <w:b/>
        </w:rPr>
        <w:t>18</w:t>
      </w:r>
      <w:r w:rsidR="00747698">
        <w:rPr>
          <w:b/>
        </w:rPr>
        <w:noBreakHyphen/>
      </w:r>
      <w:r>
        <w:rPr>
          <w:b/>
        </w:rPr>
        <w:t>07</w:t>
      </w:r>
      <w:r w:rsidR="00747698">
        <w:rPr>
          <w:b/>
        </w:rPr>
        <w:noBreakHyphen/>
      </w:r>
      <w:r>
        <w:rPr>
          <w:b/>
        </w:rPr>
        <w:t>045 AND D.19</w:t>
      </w:r>
      <w:r w:rsidR="00747698">
        <w:rPr>
          <w:b/>
        </w:rPr>
        <w:noBreakHyphen/>
      </w:r>
      <w:r>
        <w:rPr>
          <w:b/>
        </w:rPr>
        <w:t>09</w:t>
      </w:r>
      <w:r w:rsidR="00747698">
        <w:rPr>
          <w:b/>
        </w:rPr>
        <w:noBreakHyphen/>
      </w:r>
      <w:r>
        <w:rPr>
          <w:b/>
        </w:rPr>
        <w:t>042</w:t>
      </w:r>
    </w:p>
    <w:p w:rsidRPr="008D250E" w:rsidR="00A92D0B" w:rsidRDefault="00A92D0B" w14:paraId="4BEAFF75"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3505"/>
        <w:gridCol w:w="6323"/>
      </w:tblGrid>
      <w:tr w:rsidRPr="008D250E" w:rsidR="00A92D0B" w:rsidTr="00D769BE" w14:paraId="0FE98F62" w14:textId="77777777">
        <w:tc>
          <w:tcPr>
            <w:tcW w:w="3505" w:type="dxa"/>
            <w:shd w:val="clear" w:color="auto" w:fill="auto"/>
          </w:tcPr>
          <w:p w:rsidRPr="008D250E" w:rsidR="008E6AB7" w:rsidP="000B7F7E" w:rsidRDefault="005A63D4" w14:paraId="7FB04934" w14:textId="77777777">
            <w:pPr>
              <w:tabs>
                <w:tab w:val="left" w:pos="1620"/>
                <w:tab w:val="right" w:pos="4500"/>
              </w:tabs>
              <w:rPr>
                <w:b/>
                <w:color w:val="000000"/>
              </w:rPr>
            </w:pPr>
            <w:r w:rsidRPr="008D250E">
              <w:rPr>
                <w:b/>
                <w:color w:val="000000"/>
              </w:rPr>
              <w:t>Intervenor</w:t>
            </w:r>
            <w:r w:rsidRPr="008D250E" w:rsidR="00F63C29">
              <w:rPr>
                <w:b/>
                <w:color w:val="000000"/>
              </w:rPr>
              <w:t>:</w:t>
            </w:r>
            <w:r w:rsidRPr="008D250E" w:rsidR="00691528">
              <w:rPr>
                <w:b/>
                <w:color w:val="000000"/>
              </w:rPr>
              <w:t xml:space="preserve"> </w:t>
            </w:r>
          </w:p>
          <w:p w:rsidRPr="008D250E" w:rsidR="00A92D0B" w:rsidP="000B7F7E" w:rsidRDefault="008E6AB7" w14:paraId="11570D4A" w14:textId="28F53C8A">
            <w:pPr>
              <w:tabs>
                <w:tab w:val="left" w:pos="1620"/>
                <w:tab w:val="right" w:pos="4500"/>
              </w:tabs>
              <w:rPr>
                <w:color w:val="000000"/>
              </w:rPr>
            </w:pPr>
            <w:r w:rsidRPr="008D250E">
              <w:rPr>
                <w:color w:val="000000"/>
              </w:rPr>
              <w:t>The Utility Reform Network</w:t>
            </w:r>
          </w:p>
        </w:tc>
        <w:tc>
          <w:tcPr>
            <w:tcW w:w="6323" w:type="dxa"/>
            <w:shd w:val="clear" w:color="auto" w:fill="auto"/>
          </w:tcPr>
          <w:p w:rsidRPr="004855C1" w:rsidR="00A92D0B" w:rsidP="000B7F7E" w:rsidRDefault="00A92D0B" w14:paraId="53A584EE" w14:textId="2BB27746">
            <w:pPr>
              <w:tabs>
                <w:tab w:val="left" w:pos="1872"/>
                <w:tab w:val="right" w:pos="3672"/>
              </w:tabs>
              <w:rPr>
                <w:b/>
                <w:color w:val="000000"/>
              </w:rPr>
            </w:pPr>
            <w:r w:rsidRPr="004855C1">
              <w:rPr>
                <w:b/>
                <w:color w:val="000000"/>
              </w:rPr>
              <w:t>For contribution to D</w:t>
            </w:r>
            <w:r w:rsidRPr="004855C1" w:rsidR="00E53BCE">
              <w:rPr>
                <w:b/>
                <w:color w:val="000000"/>
              </w:rPr>
              <w:t>ecision</w:t>
            </w:r>
            <w:r w:rsidR="004855C1">
              <w:rPr>
                <w:b/>
                <w:color w:val="000000"/>
              </w:rPr>
              <w:t>s</w:t>
            </w:r>
            <w:r w:rsidRPr="004855C1" w:rsidR="00E53BCE">
              <w:rPr>
                <w:b/>
                <w:color w:val="000000"/>
              </w:rPr>
              <w:t xml:space="preserve"> (D.)</w:t>
            </w:r>
            <w:r w:rsidR="004855C1">
              <w:rPr>
                <w:b/>
                <w:color w:val="000000"/>
              </w:rPr>
              <w:t> </w:t>
            </w:r>
            <w:r w:rsidRPr="004855C1" w:rsidR="00E53BCE">
              <w:rPr>
                <w:b/>
                <w:color w:val="000000"/>
              </w:rPr>
              <w:t>18</w:t>
            </w:r>
            <w:r w:rsidR="00747698">
              <w:rPr>
                <w:b/>
                <w:color w:val="000000"/>
              </w:rPr>
              <w:noBreakHyphen/>
            </w:r>
            <w:r w:rsidRPr="004855C1" w:rsidR="00E53BCE">
              <w:rPr>
                <w:b/>
                <w:color w:val="000000"/>
              </w:rPr>
              <w:t>07</w:t>
            </w:r>
            <w:r w:rsidR="00747698">
              <w:rPr>
                <w:b/>
                <w:color w:val="000000"/>
              </w:rPr>
              <w:noBreakHyphen/>
            </w:r>
            <w:r w:rsidRPr="004855C1" w:rsidR="00E53BCE">
              <w:rPr>
                <w:b/>
                <w:color w:val="000000"/>
              </w:rPr>
              <w:t>045, D.19</w:t>
            </w:r>
            <w:r w:rsidR="00747698">
              <w:rPr>
                <w:b/>
                <w:color w:val="000000"/>
              </w:rPr>
              <w:noBreakHyphen/>
            </w:r>
            <w:r w:rsidRPr="004855C1" w:rsidR="00E53BCE">
              <w:rPr>
                <w:b/>
                <w:color w:val="000000"/>
              </w:rPr>
              <w:t>09</w:t>
            </w:r>
            <w:r w:rsidR="00747698">
              <w:rPr>
                <w:b/>
                <w:color w:val="000000"/>
              </w:rPr>
              <w:noBreakHyphen/>
            </w:r>
            <w:r w:rsidRPr="004855C1" w:rsidR="00E53BCE">
              <w:rPr>
                <w:b/>
                <w:color w:val="000000"/>
              </w:rPr>
              <w:t>042</w:t>
            </w:r>
          </w:p>
        </w:tc>
      </w:tr>
      <w:tr w:rsidRPr="008D250E" w:rsidR="00A92D0B" w:rsidTr="00D769BE" w14:paraId="47003B8E" w14:textId="77777777">
        <w:tc>
          <w:tcPr>
            <w:tcW w:w="3505" w:type="dxa"/>
            <w:shd w:val="clear" w:color="auto" w:fill="auto"/>
          </w:tcPr>
          <w:p w:rsidRPr="008D250E" w:rsidR="00A92D0B" w:rsidP="000B7F7E" w:rsidRDefault="00A92D0B" w14:paraId="0E2E4BD1" w14:textId="133BA2EE">
            <w:pPr>
              <w:tabs>
                <w:tab w:val="left" w:pos="1620"/>
                <w:tab w:val="right" w:pos="4500"/>
              </w:tabs>
              <w:rPr>
                <w:b/>
                <w:color w:val="000000"/>
                <w:u w:val="single"/>
              </w:rPr>
            </w:pPr>
            <w:r w:rsidRPr="008D250E">
              <w:rPr>
                <w:b/>
                <w:color w:val="000000"/>
              </w:rPr>
              <w:t>Claimed:</w:t>
            </w:r>
            <w:r w:rsidRPr="008D250E" w:rsidR="00F63C29">
              <w:rPr>
                <w:b/>
                <w:color w:val="000000"/>
              </w:rPr>
              <w:t xml:space="preserve"> </w:t>
            </w:r>
            <w:r w:rsidRPr="008D250E" w:rsidR="002D21CA">
              <w:rPr>
                <w:b/>
                <w:color w:val="000000"/>
              </w:rPr>
              <w:t xml:space="preserve"> </w:t>
            </w:r>
            <w:r w:rsidRPr="004855C1" w:rsidR="00FC72B7">
              <w:rPr>
                <w:bCs/>
                <w:color w:val="000000"/>
              </w:rPr>
              <w:t>$</w:t>
            </w:r>
            <w:r w:rsidRPr="004855C1" w:rsidR="00753E97">
              <w:rPr>
                <w:bCs/>
                <w:color w:val="000000"/>
              </w:rPr>
              <w:t>88,054.18</w:t>
            </w:r>
          </w:p>
        </w:tc>
        <w:tc>
          <w:tcPr>
            <w:tcW w:w="6323" w:type="dxa"/>
            <w:tcBorders>
              <w:bottom w:val="single" w:color="auto" w:sz="4" w:space="0"/>
            </w:tcBorders>
            <w:shd w:val="clear" w:color="auto" w:fill="auto"/>
          </w:tcPr>
          <w:p w:rsidRPr="008D250E" w:rsidR="00A92D0B" w:rsidP="000B7F7E" w:rsidRDefault="00A92D0B" w14:paraId="211F40A8" w14:textId="22627879">
            <w:pPr>
              <w:tabs>
                <w:tab w:val="left" w:pos="1872"/>
                <w:tab w:val="right" w:pos="3672"/>
              </w:tabs>
              <w:rPr>
                <w:b/>
                <w:color w:val="000000"/>
                <w:u w:val="single"/>
              </w:rPr>
            </w:pPr>
            <w:r w:rsidRPr="008D250E">
              <w:rPr>
                <w:b/>
                <w:color w:val="000000"/>
              </w:rPr>
              <w:t>Awarded:</w:t>
            </w:r>
            <w:r w:rsidRPr="008D250E" w:rsidR="00FC72B7">
              <w:rPr>
                <w:b/>
                <w:color w:val="000000"/>
              </w:rPr>
              <w:t xml:space="preserve">  </w:t>
            </w:r>
            <w:r w:rsidRPr="0065285A" w:rsidR="00FC72B7">
              <w:rPr>
                <w:bCs/>
                <w:color w:val="000000"/>
              </w:rPr>
              <w:t>$</w:t>
            </w:r>
            <w:r w:rsidRPr="0065285A" w:rsidR="008676F5">
              <w:rPr>
                <w:bCs/>
                <w:color w:val="000000"/>
              </w:rPr>
              <w:t>88,054.18</w:t>
            </w:r>
          </w:p>
        </w:tc>
      </w:tr>
      <w:tr w:rsidRPr="008D250E" w:rsidR="00A92D0B" w:rsidTr="00D769BE" w14:paraId="5C56877D" w14:textId="77777777">
        <w:tc>
          <w:tcPr>
            <w:tcW w:w="3505" w:type="dxa"/>
            <w:shd w:val="clear" w:color="auto" w:fill="auto"/>
          </w:tcPr>
          <w:p w:rsidRPr="008D250E" w:rsidR="00A92D0B" w:rsidP="000B7F7E" w:rsidRDefault="00A92D0B" w14:paraId="280C7271" w14:textId="77777777">
            <w:pPr>
              <w:tabs>
                <w:tab w:val="left" w:pos="3060"/>
                <w:tab w:val="right" w:pos="4500"/>
              </w:tabs>
              <w:rPr>
                <w:b/>
                <w:color w:val="000000"/>
              </w:rPr>
            </w:pPr>
            <w:r w:rsidRPr="008D250E">
              <w:rPr>
                <w:b/>
                <w:color w:val="000000"/>
              </w:rPr>
              <w:t xml:space="preserve">Assigned Commissioner: </w:t>
            </w:r>
          </w:p>
          <w:p w:rsidRPr="008D250E" w:rsidR="008E6AB7" w:rsidP="000B7F7E" w:rsidRDefault="008E6AB7" w14:paraId="6EF99E36" w14:textId="008F0FFA">
            <w:pPr>
              <w:tabs>
                <w:tab w:val="left" w:pos="3060"/>
                <w:tab w:val="right" w:pos="4500"/>
              </w:tabs>
              <w:rPr>
                <w:color w:val="000000"/>
                <w:u w:val="single"/>
              </w:rPr>
            </w:pPr>
            <w:r w:rsidRPr="008D250E">
              <w:rPr>
                <w:color w:val="000000"/>
              </w:rPr>
              <w:t>Clifford Rechtschaffen</w:t>
            </w:r>
          </w:p>
        </w:tc>
        <w:tc>
          <w:tcPr>
            <w:tcW w:w="6323" w:type="dxa"/>
            <w:shd w:val="clear" w:color="auto" w:fill="auto"/>
          </w:tcPr>
          <w:p w:rsidRPr="008D250E" w:rsidR="00A92D0B" w:rsidP="000B7F7E" w:rsidRDefault="00A92D0B" w14:paraId="0B64A2C5" w14:textId="77777777">
            <w:pPr>
              <w:tabs>
                <w:tab w:val="left" w:pos="1872"/>
                <w:tab w:val="right" w:pos="3672"/>
              </w:tabs>
              <w:rPr>
                <w:b/>
                <w:color w:val="000000"/>
              </w:rPr>
            </w:pPr>
            <w:r w:rsidRPr="008D250E">
              <w:rPr>
                <w:b/>
                <w:color w:val="000000"/>
              </w:rPr>
              <w:t>Assigned ALJ:</w:t>
            </w:r>
            <w:r w:rsidRPr="008D250E" w:rsidR="00F63C29">
              <w:rPr>
                <w:b/>
                <w:color w:val="000000"/>
              </w:rPr>
              <w:t xml:space="preserve"> </w:t>
            </w:r>
          </w:p>
          <w:p w:rsidRPr="008D250E" w:rsidR="008E6AB7" w:rsidP="000B7F7E" w:rsidRDefault="008E6AB7" w14:paraId="79375F78" w14:textId="2EC514D8">
            <w:pPr>
              <w:tabs>
                <w:tab w:val="left" w:pos="1872"/>
                <w:tab w:val="right" w:pos="3672"/>
              </w:tabs>
              <w:rPr>
                <w:color w:val="000000"/>
                <w:u w:val="single"/>
              </w:rPr>
            </w:pPr>
            <w:r w:rsidRPr="008D250E">
              <w:rPr>
                <w:color w:val="000000"/>
              </w:rPr>
              <w:t>Robert Mason</w:t>
            </w:r>
          </w:p>
        </w:tc>
      </w:tr>
    </w:tbl>
    <w:p w:rsidRPr="008D250E" w:rsidR="00691528" w:rsidP="00912972" w:rsidRDefault="00A92D0B" w14:paraId="3CEED871" w14:textId="77777777">
      <w:pPr>
        <w:keepNext/>
        <w:spacing w:before="240" w:after="120"/>
        <w:jc w:val="center"/>
        <w:rPr>
          <w:b/>
          <w:color w:val="000000"/>
        </w:rPr>
      </w:pPr>
      <w:r w:rsidRPr="008D250E">
        <w:rPr>
          <w:b/>
          <w:color w:val="000000"/>
        </w:rPr>
        <w:t>PART I:  PROCEDURAL ISSUES</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3598"/>
        <w:gridCol w:w="6230"/>
      </w:tblGrid>
      <w:tr w:rsidRPr="008D250E" w:rsidR="00A92D0B" w:rsidTr="00D769BE" w14:paraId="3C5C25ED" w14:textId="77777777">
        <w:tc>
          <w:tcPr>
            <w:tcW w:w="3598" w:type="dxa"/>
            <w:shd w:val="clear" w:color="auto" w:fill="auto"/>
          </w:tcPr>
          <w:p w:rsidRPr="008D250E" w:rsidR="00A92D0B" w:rsidP="00915118" w:rsidRDefault="00A92D0B" w14:paraId="1576A0A6" w14:textId="77777777">
            <w:pPr>
              <w:rPr>
                <w:b/>
                <w:color w:val="000000"/>
              </w:rPr>
            </w:pPr>
            <w:r w:rsidRPr="008D250E">
              <w:rPr>
                <w:b/>
                <w:color w:val="000000"/>
              </w:rPr>
              <w:t xml:space="preserve">A.  Brief </w:t>
            </w:r>
            <w:r w:rsidRPr="008D250E" w:rsidR="00A319DE">
              <w:rPr>
                <w:b/>
                <w:color w:val="000000"/>
              </w:rPr>
              <w:t>d</w:t>
            </w:r>
            <w:r w:rsidRPr="008D250E">
              <w:rPr>
                <w:b/>
                <w:color w:val="000000"/>
              </w:rPr>
              <w:t xml:space="preserve">escription of Decision: </w:t>
            </w:r>
          </w:p>
        </w:tc>
        <w:tc>
          <w:tcPr>
            <w:tcW w:w="6230" w:type="dxa"/>
            <w:shd w:val="clear" w:color="auto" w:fill="auto"/>
          </w:tcPr>
          <w:p w:rsidRPr="008D250E" w:rsidR="00C02649" w:rsidP="00DF760C" w:rsidRDefault="00791C0A" w14:paraId="67B8ECAA" w14:textId="35BE7A8F">
            <w:pPr>
              <w:rPr>
                <w:color w:val="000000"/>
              </w:rPr>
            </w:pPr>
            <w:r w:rsidRPr="008D250E">
              <w:rPr>
                <w:color w:val="000000"/>
              </w:rPr>
              <w:t>This compensation request covers two Commission decision</w:t>
            </w:r>
            <w:r w:rsidRPr="008D250E" w:rsidR="00C3000B">
              <w:rPr>
                <w:color w:val="000000"/>
              </w:rPr>
              <w:t>s</w:t>
            </w:r>
            <w:r w:rsidRPr="008D250E">
              <w:rPr>
                <w:color w:val="000000"/>
              </w:rPr>
              <w:t xml:space="preserve"> related to the policies, procedures, and practices </w:t>
            </w:r>
            <w:r w:rsidRPr="008D250E" w:rsidR="00E15B40">
              <w:rPr>
                <w:color w:val="000000"/>
              </w:rPr>
              <w:t>that impact</w:t>
            </w:r>
            <w:r w:rsidRPr="008D250E">
              <w:rPr>
                <w:color w:val="000000"/>
              </w:rPr>
              <w:t xml:space="preserve"> rural call completion issues</w:t>
            </w:r>
            <w:r w:rsidRPr="008D250E" w:rsidR="00B15C6B">
              <w:rPr>
                <w:color w:val="000000"/>
              </w:rPr>
              <w:t xml:space="preserve">, including network resiliency and emergency services, addressed in the </w:t>
            </w:r>
            <w:r w:rsidRPr="008D250E">
              <w:rPr>
                <w:color w:val="000000"/>
              </w:rPr>
              <w:t>implementation of D.16</w:t>
            </w:r>
            <w:r w:rsidR="00747698">
              <w:rPr>
                <w:color w:val="000000"/>
              </w:rPr>
              <w:noBreakHyphen/>
            </w:r>
            <w:r w:rsidRPr="008D250E">
              <w:rPr>
                <w:color w:val="000000"/>
              </w:rPr>
              <w:t>12</w:t>
            </w:r>
            <w:r w:rsidR="00747698">
              <w:rPr>
                <w:color w:val="000000"/>
              </w:rPr>
              <w:noBreakHyphen/>
            </w:r>
            <w:r w:rsidRPr="008D250E">
              <w:rPr>
                <w:color w:val="000000"/>
              </w:rPr>
              <w:t>066 (I</w:t>
            </w:r>
            <w:r w:rsidR="00C13AA4">
              <w:rPr>
                <w:color w:val="000000"/>
              </w:rPr>
              <w:t>nvestigation (I.)</w:t>
            </w:r>
            <w:r w:rsidR="008D4F41">
              <w:rPr>
                <w:color w:val="000000"/>
              </w:rPr>
              <w:t> </w:t>
            </w:r>
            <w:r w:rsidRPr="008D250E">
              <w:rPr>
                <w:color w:val="000000"/>
              </w:rPr>
              <w:t>14</w:t>
            </w:r>
            <w:r w:rsidR="00747698">
              <w:rPr>
                <w:color w:val="000000"/>
              </w:rPr>
              <w:noBreakHyphen/>
            </w:r>
            <w:r w:rsidRPr="008D250E">
              <w:rPr>
                <w:color w:val="000000"/>
              </w:rPr>
              <w:t>05</w:t>
            </w:r>
            <w:r w:rsidR="00747698">
              <w:rPr>
                <w:color w:val="000000"/>
              </w:rPr>
              <w:noBreakHyphen/>
            </w:r>
            <w:r w:rsidRPr="008D250E">
              <w:rPr>
                <w:color w:val="000000"/>
              </w:rPr>
              <w:t xml:space="preserve">012).  </w:t>
            </w:r>
            <w:r w:rsidRPr="008D250E" w:rsidR="00E53BCE">
              <w:rPr>
                <w:b/>
                <w:color w:val="000000"/>
              </w:rPr>
              <w:t>D</w:t>
            </w:r>
            <w:r w:rsidR="00747698">
              <w:rPr>
                <w:b/>
                <w:color w:val="000000"/>
              </w:rPr>
              <w:t>ecision </w:t>
            </w:r>
            <w:r w:rsidRPr="008D250E" w:rsidR="00E53BCE">
              <w:rPr>
                <w:b/>
                <w:color w:val="000000"/>
              </w:rPr>
              <w:t>18</w:t>
            </w:r>
            <w:r w:rsidR="00747698">
              <w:rPr>
                <w:b/>
                <w:color w:val="000000"/>
              </w:rPr>
              <w:noBreakHyphen/>
            </w:r>
            <w:r w:rsidRPr="008D250E" w:rsidR="00E53BCE">
              <w:rPr>
                <w:b/>
                <w:color w:val="000000"/>
              </w:rPr>
              <w:t>07</w:t>
            </w:r>
            <w:r w:rsidR="00747698">
              <w:rPr>
                <w:b/>
                <w:color w:val="000000"/>
              </w:rPr>
              <w:noBreakHyphen/>
            </w:r>
            <w:r w:rsidRPr="008D250E" w:rsidR="00E53BCE">
              <w:rPr>
                <w:b/>
                <w:color w:val="000000"/>
              </w:rPr>
              <w:t>045</w:t>
            </w:r>
            <w:r w:rsidRPr="008D250E" w:rsidR="00590FEA">
              <w:rPr>
                <w:color w:val="000000"/>
              </w:rPr>
              <w:t xml:space="preserve"> modifies D.16</w:t>
            </w:r>
            <w:r w:rsidR="00747698">
              <w:rPr>
                <w:color w:val="000000"/>
              </w:rPr>
              <w:noBreakHyphen/>
            </w:r>
            <w:r w:rsidRPr="008D250E" w:rsidR="00590FEA">
              <w:rPr>
                <w:color w:val="000000"/>
              </w:rPr>
              <w:t>12</w:t>
            </w:r>
            <w:r w:rsidR="00747698">
              <w:rPr>
                <w:color w:val="000000"/>
              </w:rPr>
              <w:noBreakHyphen/>
            </w:r>
            <w:r w:rsidRPr="008D250E" w:rsidR="00590FEA">
              <w:rPr>
                <w:color w:val="000000"/>
              </w:rPr>
              <w:t>066</w:t>
            </w:r>
            <w:r w:rsidRPr="008D250E" w:rsidR="00270312">
              <w:rPr>
                <w:color w:val="000000"/>
              </w:rPr>
              <w:t xml:space="preserve">, the </w:t>
            </w:r>
            <w:r w:rsidR="00C35A4D">
              <w:rPr>
                <w:color w:val="000000"/>
              </w:rPr>
              <w:t>Phase 1</w:t>
            </w:r>
            <w:r w:rsidRPr="008D250E" w:rsidR="00270312">
              <w:rPr>
                <w:color w:val="000000"/>
              </w:rPr>
              <w:t xml:space="preserve"> Decision</w:t>
            </w:r>
            <w:r w:rsidR="00DF760C">
              <w:rPr>
                <w:color w:val="000000"/>
              </w:rPr>
              <w:t>, and rejects the carriers’ Application for R</w:t>
            </w:r>
            <w:r w:rsidRPr="008D250E" w:rsidR="00F506DF">
              <w:rPr>
                <w:color w:val="000000"/>
              </w:rPr>
              <w:t>ehearin</w:t>
            </w:r>
            <w:r w:rsidR="00DF760C">
              <w:rPr>
                <w:color w:val="000000"/>
              </w:rPr>
              <w:t>g and Motion to S</w:t>
            </w:r>
            <w:r w:rsidRPr="008D250E" w:rsidR="00F506DF">
              <w:rPr>
                <w:color w:val="000000"/>
              </w:rPr>
              <w:t>tay</w:t>
            </w:r>
            <w:r w:rsidRPr="008D250E" w:rsidR="00590FEA">
              <w:rPr>
                <w:color w:val="000000"/>
              </w:rPr>
              <w:t xml:space="preserve">. </w:t>
            </w:r>
            <w:r w:rsidRPr="008D250E" w:rsidR="00E53BCE">
              <w:rPr>
                <w:color w:val="000000"/>
              </w:rPr>
              <w:t xml:space="preserve"> </w:t>
            </w:r>
            <w:r w:rsidRPr="008D250E" w:rsidR="00747698">
              <w:rPr>
                <w:b/>
                <w:color w:val="000000"/>
              </w:rPr>
              <w:t>D</w:t>
            </w:r>
            <w:r w:rsidR="00747698">
              <w:rPr>
                <w:b/>
                <w:color w:val="000000"/>
              </w:rPr>
              <w:t>ecision </w:t>
            </w:r>
            <w:r w:rsidRPr="008D250E" w:rsidR="00E53BCE">
              <w:rPr>
                <w:b/>
                <w:color w:val="000000"/>
              </w:rPr>
              <w:t>19</w:t>
            </w:r>
            <w:r w:rsidR="00747698">
              <w:rPr>
                <w:b/>
                <w:color w:val="000000"/>
              </w:rPr>
              <w:noBreakHyphen/>
            </w:r>
            <w:r w:rsidRPr="008D250E" w:rsidR="00E53BCE">
              <w:rPr>
                <w:b/>
                <w:color w:val="000000"/>
              </w:rPr>
              <w:t>09</w:t>
            </w:r>
            <w:r w:rsidR="00747698">
              <w:rPr>
                <w:b/>
                <w:color w:val="000000"/>
              </w:rPr>
              <w:noBreakHyphen/>
            </w:r>
            <w:r w:rsidRPr="008D250E" w:rsidR="00E53BCE">
              <w:rPr>
                <w:b/>
                <w:color w:val="000000"/>
              </w:rPr>
              <w:t>042</w:t>
            </w:r>
            <w:r w:rsidRPr="008D250E" w:rsidR="00E53BCE">
              <w:rPr>
                <w:color w:val="000000"/>
              </w:rPr>
              <w:t xml:space="preserve"> determine</w:t>
            </w:r>
            <w:r w:rsidRPr="008D250E" w:rsidR="00590FEA">
              <w:rPr>
                <w:color w:val="000000"/>
              </w:rPr>
              <w:t>s communications providers’</w:t>
            </w:r>
            <w:r w:rsidRPr="008D250E" w:rsidR="00E53BCE">
              <w:rPr>
                <w:color w:val="000000"/>
              </w:rPr>
              <w:t xml:space="preserve"> compliance with D.16</w:t>
            </w:r>
            <w:r w:rsidR="00747698">
              <w:rPr>
                <w:color w:val="000000"/>
              </w:rPr>
              <w:noBreakHyphen/>
            </w:r>
            <w:r w:rsidRPr="008D250E" w:rsidR="00E53BCE">
              <w:rPr>
                <w:color w:val="000000"/>
              </w:rPr>
              <w:t>12</w:t>
            </w:r>
            <w:r w:rsidR="00747698">
              <w:rPr>
                <w:color w:val="000000"/>
              </w:rPr>
              <w:noBreakHyphen/>
            </w:r>
            <w:r w:rsidRPr="008D250E" w:rsidR="00E53BCE">
              <w:rPr>
                <w:color w:val="000000"/>
              </w:rPr>
              <w:t xml:space="preserve">066 </w:t>
            </w:r>
            <w:r w:rsidRPr="008D250E" w:rsidR="00270312">
              <w:rPr>
                <w:color w:val="000000"/>
              </w:rPr>
              <w:t xml:space="preserve">as part of </w:t>
            </w:r>
            <w:r w:rsidR="00C35A4D">
              <w:rPr>
                <w:color w:val="000000"/>
              </w:rPr>
              <w:t>Phase 2</w:t>
            </w:r>
            <w:r w:rsidRPr="008D250E" w:rsidR="00270312">
              <w:rPr>
                <w:color w:val="000000"/>
              </w:rPr>
              <w:t xml:space="preserve"> of this proceeding </w:t>
            </w:r>
            <w:r w:rsidRPr="008D250E" w:rsidR="00645688">
              <w:rPr>
                <w:color w:val="000000"/>
              </w:rPr>
              <w:t>and closes</w:t>
            </w:r>
            <w:r w:rsidRPr="008D250E" w:rsidR="00E53BCE">
              <w:rPr>
                <w:color w:val="000000"/>
              </w:rPr>
              <w:t xml:space="preserve"> the investigation.</w:t>
            </w:r>
          </w:p>
        </w:tc>
      </w:tr>
    </w:tbl>
    <w:p w:rsidRPr="008D250E" w:rsidR="00A92D0B" w:rsidP="001473FE" w:rsidRDefault="005A63D4" w14:paraId="2FBF046C" w14:textId="0F850738">
      <w:pPr>
        <w:keepNext/>
        <w:numPr>
          <w:ilvl w:val="0"/>
          <w:numId w:val="5"/>
        </w:numPr>
        <w:spacing w:before="240" w:after="120"/>
        <w:rPr>
          <w:b/>
          <w:color w:val="000000"/>
        </w:rPr>
      </w:pPr>
      <w:r w:rsidRPr="008D250E">
        <w:rPr>
          <w:b/>
          <w:color w:val="000000"/>
        </w:rPr>
        <w:lastRenderedPageBreak/>
        <w:t xml:space="preserve">Intervenor </w:t>
      </w:r>
      <w:r w:rsidRPr="008D250E" w:rsidR="00A92D0B">
        <w:rPr>
          <w:b/>
          <w:color w:val="000000"/>
        </w:rPr>
        <w:t xml:space="preserve">must satisfy intervenor compensation </w:t>
      </w:r>
      <w:r w:rsidRPr="008D250E" w:rsidR="00DE3A5D">
        <w:rPr>
          <w:b/>
          <w:color w:val="000000"/>
        </w:rPr>
        <w:t xml:space="preserve">requirements set forth in </w:t>
      </w:r>
      <w:r w:rsidR="0079054A">
        <w:rPr>
          <w:b/>
          <w:color w:val="000000"/>
        </w:rPr>
        <w:t>Pub. Util.</w:t>
      </w:r>
      <w:r w:rsidRPr="008D250E" w:rsidR="00A92D0B">
        <w:rPr>
          <w:b/>
          <w:color w:val="000000"/>
        </w:rPr>
        <w:t xml:space="preserve"> Code </w:t>
      </w:r>
      <w:r w:rsidR="00AD01CD">
        <w:rPr>
          <w:b/>
          <w:color w:val="000000"/>
        </w:rPr>
        <w:t>§</w:t>
      </w:r>
      <w:r w:rsidR="0095390B">
        <w:rPr>
          <w:b/>
          <w:color w:val="000000"/>
        </w:rPr>
        <w:t>§ </w:t>
      </w:r>
      <w:r w:rsidRPr="008D250E" w:rsidR="00A92D0B">
        <w:rPr>
          <w:b/>
          <w:color w:val="000000"/>
        </w:rPr>
        <w:t>1801</w:t>
      </w:r>
      <w:r w:rsidR="00747698">
        <w:rPr>
          <w:b/>
          <w:color w:val="000000"/>
        </w:rPr>
        <w:noBreakHyphen/>
      </w:r>
      <w:r w:rsidRPr="008D250E" w:rsidR="00A92D0B">
        <w:rPr>
          <w:b/>
          <w:color w:val="000000"/>
        </w:rPr>
        <w:t>1812</w:t>
      </w:r>
      <w:r w:rsidRPr="008D250E" w:rsidR="003B6A1B">
        <w:rPr>
          <w:rStyle w:val="FootnoteReference"/>
          <w:b/>
          <w:color w:val="000000"/>
        </w:rPr>
        <w:footnoteReference w:id="1"/>
      </w:r>
      <w:r w:rsidRPr="008D250E" w:rsidR="00A92D0B">
        <w:rPr>
          <w:b/>
          <w:color w:val="000000"/>
        </w:rPr>
        <w:t>:</w:t>
      </w: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5040"/>
        <w:gridCol w:w="2340"/>
        <w:gridCol w:w="2340"/>
      </w:tblGrid>
      <w:tr w:rsidRPr="008D250E" w:rsidR="00A92D0B" w:rsidTr="00CB2BBA" w14:paraId="640CF70A" w14:textId="77777777">
        <w:trPr>
          <w:tblHeader/>
        </w:trPr>
        <w:tc>
          <w:tcPr>
            <w:tcW w:w="5040" w:type="dxa"/>
            <w:tcBorders>
              <w:bottom w:val="single" w:color="auto" w:sz="4" w:space="0"/>
            </w:tcBorders>
            <w:shd w:val="clear" w:color="auto" w:fill="auto"/>
          </w:tcPr>
          <w:p w:rsidRPr="008D250E" w:rsidR="00A92D0B" w:rsidP="001473FE" w:rsidRDefault="00A92D0B" w14:paraId="409E4D92" w14:textId="77777777">
            <w:pPr>
              <w:keepNext/>
              <w:tabs>
                <w:tab w:val="left" w:pos="360"/>
              </w:tabs>
              <w:jc w:val="center"/>
              <w:rPr>
                <w:color w:val="000000"/>
              </w:rPr>
            </w:pPr>
          </w:p>
        </w:tc>
        <w:tc>
          <w:tcPr>
            <w:tcW w:w="2340" w:type="dxa"/>
            <w:tcBorders>
              <w:bottom w:val="single" w:color="auto" w:sz="4" w:space="0"/>
            </w:tcBorders>
            <w:shd w:val="clear" w:color="auto" w:fill="auto"/>
          </w:tcPr>
          <w:p w:rsidRPr="008D250E" w:rsidR="00A92D0B" w:rsidP="001473FE" w:rsidRDefault="005A63D4" w14:paraId="1412A3C6" w14:textId="77777777">
            <w:pPr>
              <w:keepNext/>
              <w:tabs>
                <w:tab w:val="left" w:pos="360"/>
              </w:tabs>
              <w:jc w:val="center"/>
              <w:rPr>
                <w:b/>
                <w:color w:val="000000"/>
              </w:rPr>
            </w:pPr>
            <w:r w:rsidRPr="008D250E">
              <w:rPr>
                <w:b/>
                <w:color w:val="000000"/>
              </w:rPr>
              <w:t>Intervenor</w:t>
            </w:r>
          </w:p>
        </w:tc>
        <w:tc>
          <w:tcPr>
            <w:tcW w:w="2340" w:type="dxa"/>
            <w:tcBorders>
              <w:bottom w:val="single" w:color="auto" w:sz="4" w:space="0"/>
            </w:tcBorders>
            <w:shd w:val="clear" w:color="auto" w:fill="auto"/>
          </w:tcPr>
          <w:p w:rsidRPr="008D250E" w:rsidR="00A92D0B" w:rsidP="001473FE" w:rsidRDefault="00A92D0B" w14:paraId="2A218C38" w14:textId="386C9A6A">
            <w:pPr>
              <w:keepNext/>
              <w:tabs>
                <w:tab w:val="left" w:pos="360"/>
              </w:tabs>
              <w:jc w:val="center"/>
              <w:rPr>
                <w:b/>
                <w:color w:val="000000"/>
              </w:rPr>
            </w:pPr>
            <w:r w:rsidRPr="008D250E">
              <w:rPr>
                <w:b/>
                <w:color w:val="000000"/>
              </w:rPr>
              <w:t xml:space="preserve">CPUC </w:t>
            </w:r>
            <w:r w:rsidRPr="008D250E" w:rsidR="0081626F">
              <w:rPr>
                <w:b/>
                <w:color w:val="000000"/>
              </w:rPr>
              <w:t>Verification</w:t>
            </w:r>
          </w:p>
        </w:tc>
      </w:tr>
      <w:tr w:rsidRPr="008D250E" w:rsidR="00A92D0B" w:rsidTr="00D769BE"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D250E" w:rsidR="00A92D0B" w:rsidP="001473FE" w:rsidRDefault="00A92D0B" w14:paraId="606E2B66" w14:textId="30EE8EB2">
            <w:pPr>
              <w:keepNext/>
              <w:tabs>
                <w:tab w:val="left" w:pos="360"/>
              </w:tabs>
              <w:jc w:val="center"/>
              <w:rPr>
                <w:b/>
              </w:rPr>
            </w:pPr>
            <w:r w:rsidRPr="008D250E">
              <w:rPr>
                <w:b/>
              </w:rPr>
              <w:t>Timely filing of notice of intent to claim compensation (NOI) (</w:t>
            </w:r>
            <w:r w:rsidR="0095390B">
              <w:rPr>
                <w:b/>
              </w:rPr>
              <w:t>§ </w:t>
            </w:r>
            <w:r w:rsidRPr="008D250E">
              <w:rPr>
                <w:b/>
              </w:rPr>
              <w:t>1804(a)):</w:t>
            </w:r>
          </w:p>
        </w:tc>
      </w:tr>
      <w:tr w:rsidRPr="008D250E" w:rsidR="00A92D0B" w:rsidTr="00D769BE" w14:paraId="160E284A" w14:textId="77777777">
        <w:tc>
          <w:tcPr>
            <w:tcW w:w="5040" w:type="dxa"/>
            <w:tcBorders>
              <w:top w:val="single" w:color="auto" w:sz="4" w:space="0"/>
            </w:tcBorders>
            <w:shd w:val="clear" w:color="auto" w:fill="auto"/>
          </w:tcPr>
          <w:p w:rsidRPr="008D250E" w:rsidR="00A92D0B" w:rsidP="00E55F23" w:rsidRDefault="00A92D0B" w14:paraId="44D1876C" w14:textId="3C4BF6FA">
            <w:pPr>
              <w:keepNext/>
              <w:tabs>
                <w:tab w:val="left" w:pos="360"/>
              </w:tabs>
              <w:rPr>
                <w:color w:val="000000"/>
              </w:rPr>
            </w:pPr>
            <w:r w:rsidRPr="008D250E">
              <w:rPr>
                <w:color w:val="000000"/>
              </w:rPr>
              <w:t>1.  Date of Prehearing Conference:</w:t>
            </w:r>
          </w:p>
        </w:tc>
        <w:tc>
          <w:tcPr>
            <w:tcW w:w="2340" w:type="dxa"/>
            <w:tcBorders>
              <w:top w:val="single" w:color="auto" w:sz="4" w:space="0"/>
            </w:tcBorders>
            <w:shd w:val="clear" w:color="auto" w:fill="auto"/>
          </w:tcPr>
          <w:p w:rsidRPr="008D250E" w:rsidR="00A92D0B" w:rsidP="00E55F23" w:rsidRDefault="00E53BCE" w14:paraId="35450816" w14:textId="5425CCA2">
            <w:pPr>
              <w:tabs>
                <w:tab w:val="left" w:pos="360"/>
              </w:tabs>
              <w:rPr>
                <w:color w:val="000000"/>
              </w:rPr>
            </w:pPr>
            <w:r w:rsidRPr="008D250E">
              <w:rPr>
                <w:color w:val="000000"/>
              </w:rPr>
              <w:t>N/A</w:t>
            </w:r>
          </w:p>
        </w:tc>
        <w:tc>
          <w:tcPr>
            <w:tcW w:w="2340" w:type="dxa"/>
            <w:tcBorders>
              <w:top w:val="single" w:color="auto" w:sz="4" w:space="0"/>
            </w:tcBorders>
            <w:shd w:val="clear" w:color="auto" w:fill="auto"/>
          </w:tcPr>
          <w:p w:rsidRPr="008D250E" w:rsidR="00A92D0B" w:rsidP="00E55F23" w:rsidRDefault="00D21A6A" w14:paraId="34540344" w14:textId="6349E80B">
            <w:pPr>
              <w:tabs>
                <w:tab w:val="left" w:pos="360"/>
              </w:tabs>
              <w:rPr>
                <w:color w:val="000000"/>
              </w:rPr>
            </w:pPr>
            <w:r>
              <w:rPr>
                <w:color w:val="000000"/>
              </w:rPr>
              <w:t>Verified</w:t>
            </w:r>
          </w:p>
        </w:tc>
      </w:tr>
      <w:tr w:rsidRPr="008D250E" w:rsidR="00A92D0B" w:rsidTr="00D769BE" w14:paraId="24C85564" w14:textId="77777777">
        <w:tc>
          <w:tcPr>
            <w:tcW w:w="5040" w:type="dxa"/>
            <w:shd w:val="clear" w:color="auto" w:fill="auto"/>
          </w:tcPr>
          <w:p w:rsidRPr="008D250E" w:rsidR="00A92D0B" w:rsidP="00E55F23" w:rsidRDefault="00A92D0B" w14:paraId="382C5788" w14:textId="50FA1116">
            <w:pPr>
              <w:tabs>
                <w:tab w:val="left" w:pos="360"/>
              </w:tabs>
              <w:rPr>
                <w:color w:val="000000"/>
              </w:rPr>
            </w:pPr>
            <w:r w:rsidRPr="008D250E">
              <w:rPr>
                <w:color w:val="000000"/>
              </w:rPr>
              <w:t xml:space="preserve">2.  Other </w:t>
            </w:r>
            <w:r w:rsidRPr="008D250E" w:rsidR="00A319DE">
              <w:rPr>
                <w:color w:val="000000"/>
              </w:rPr>
              <w:t>s</w:t>
            </w:r>
            <w:r w:rsidRPr="008D250E">
              <w:rPr>
                <w:color w:val="000000"/>
              </w:rPr>
              <w:t xml:space="preserve">pecified </w:t>
            </w:r>
            <w:r w:rsidRPr="008D250E" w:rsidR="00A319DE">
              <w:rPr>
                <w:color w:val="000000"/>
              </w:rPr>
              <w:t>d</w:t>
            </w:r>
            <w:r w:rsidRPr="008D250E">
              <w:rPr>
                <w:color w:val="000000"/>
              </w:rPr>
              <w:t>ate for NOI:</w:t>
            </w:r>
          </w:p>
        </w:tc>
        <w:tc>
          <w:tcPr>
            <w:tcW w:w="2340" w:type="dxa"/>
            <w:shd w:val="clear" w:color="auto" w:fill="auto"/>
          </w:tcPr>
          <w:p w:rsidRPr="008D250E" w:rsidR="00A92D0B" w:rsidP="00E55F23" w:rsidRDefault="00E53BCE" w14:paraId="1826BC2C" w14:textId="49283413">
            <w:pPr>
              <w:tabs>
                <w:tab w:val="left" w:pos="360"/>
              </w:tabs>
              <w:rPr>
                <w:color w:val="000000"/>
              </w:rPr>
            </w:pPr>
            <w:r w:rsidRPr="008D250E">
              <w:rPr>
                <w:color w:val="000000"/>
              </w:rPr>
              <w:t>August 19, 2014</w:t>
            </w:r>
          </w:p>
        </w:tc>
        <w:tc>
          <w:tcPr>
            <w:tcW w:w="2340" w:type="dxa"/>
            <w:shd w:val="clear" w:color="auto" w:fill="auto"/>
          </w:tcPr>
          <w:p w:rsidRPr="008D250E" w:rsidR="00A92D0B" w:rsidP="00E55F23" w:rsidRDefault="00C36379" w14:paraId="210DAD91" w14:textId="42B2CE8A">
            <w:pPr>
              <w:tabs>
                <w:tab w:val="left" w:pos="360"/>
              </w:tabs>
              <w:rPr>
                <w:color w:val="000000"/>
              </w:rPr>
            </w:pPr>
            <w:r>
              <w:rPr>
                <w:color w:val="000000"/>
              </w:rPr>
              <w:t>Verified</w:t>
            </w:r>
          </w:p>
        </w:tc>
      </w:tr>
      <w:tr w:rsidRPr="008D250E" w:rsidR="00A92D0B" w:rsidTr="00D769BE" w14:paraId="4836EEA6" w14:textId="77777777">
        <w:tc>
          <w:tcPr>
            <w:tcW w:w="5040" w:type="dxa"/>
            <w:shd w:val="clear" w:color="auto" w:fill="auto"/>
          </w:tcPr>
          <w:p w:rsidRPr="008D250E" w:rsidR="00A92D0B" w:rsidP="00E55F23" w:rsidRDefault="00A92D0B" w14:paraId="34809C45" w14:textId="246E6A70">
            <w:pPr>
              <w:tabs>
                <w:tab w:val="left" w:pos="360"/>
              </w:tabs>
              <w:rPr>
                <w:color w:val="000000"/>
              </w:rPr>
            </w:pPr>
            <w:r w:rsidRPr="008D250E">
              <w:rPr>
                <w:color w:val="000000"/>
              </w:rPr>
              <w:t xml:space="preserve">3.  Date NOI </w:t>
            </w:r>
            <w:r w:rsidRPr="008D250E" w:rsidR="00A319DE">
              <w:rPr>
                <w:color w:val="000000"/>
              </w:rPr>
              <w:t>f</w:t>
            </w:r>
            <w:r w:rsidRPr="008D250E">
              <w:rPr>
                <w:color w:val="000000"/>
              </w:rPr>
              <w:t>iled:</w:t>
            </w:r>
          </w:p>
        </w:tc>
        <w:tc>
          <w:tcPr>
            <w:tcW w:w="2340" w:type="dxa"/>
            <w:tcBorders>
              <w:bottom w:val="single" w:color="auto" w:sz="4" w:space="0"/>
            </w:tcBorders>
            <w:shd w:val="clear" w:color="auto" w:fill="auto"/>
          </w:tcPr>
          <w:p w:rsidRPr="008D250E" w:rsidR="00A92D0B" w:rsidP="00E55F23" w:rsidRDefault="00E53BCE" w14:paraId="44F7CCB9" w14:textId="266292D9">
            <w:pPr>
              <w:tabs>
                <w:tab w:val="left" w:pos="360"/>
              </w:tabs>
              <w:rPr>
                <w:color w:val="000000"/>
              </w:rPr>
            </w:pPr>
            <w:r w:rsidRPr="008D250E">
              <w:rPr>
                <w:color w:val="000000"/>
              </w:rPr>
              <w:t>June 12, 2015</w:t>
            </w:r>
          </w:p>
        </w:tc>
        <w:tc>
          <w:tcPr>
            <w:tcW w:w="2340" w:type="dxa"/>
            <w:tcBorders>
              <w:bottom w:val="single" w:color="auto" w:sz="4" w:space="0"/>
            </w:tcBorders>
            <w:shd w:val="clear" w:color="auto" w:fill="auto"/>
          </w:tcPr>
          <w:p w:rsidRPr="008D250E" w:rsidR="00A92D0B" w:rsidP="00E55F23" w:rsidRDefault="00C36379" w14:paraId="71759DE3" w14:textId="7B79CBAE">
            <w:pPr>
              <w:tabs>
                <w:tab w:val="left" w:pos="360"/>
              </w:tabs>
              <w:rPr>
                <w:color w:val="000000"/>
              </w:rPr>
            </w:pPr>
            <w:r>
              <w:rPr>
                <w:color w:val="000000"/>
              </w:rPr>
              <w:t>Verified</w:t>
            </w:r>
          </w:p>
        </w:tc>
      </w:tr>
      <w:tr w:rsidRPr="008D250E" w:rsidR="00A92D0B" w:rsidTr="00D769BE" w14:paraId="22BBCDE3" w14:textId="77777777">
        <w:tc>
          <w:tcPr>
            <w:tcW w:w="7380" w:type="dxa"/>
            <w:gridSpan w:val="2"/>
            <w:tcBorders>
              <w:bottom w:val="single" w:color="auto" w:sz="4" w:space="0"/>
            </w:tcBorders>
            <w:shd w:val="clear" w:color="auto" w:fill="auto"/>
          </w:tcPr>
          <w:p w:rsidRPr="008D250E" w:rsidR="00A92D0B" w:rsidP="00E55F23" w:rsidRDefault="00A92D0B" w14:paraId="7E6E2068" w14:textId="3AF5FE50">
            <w:pPr>
              <w:tabs>
                <w:tab w:val="left" w:pos="360"/>
              </w:tabs>
              <w:rPr>
                <w:color w:val="000000"/>
              </w:rPr>
            </w:pPr>
            <w:r w:rsidRPr="008D250E">
              <w:rPr>
                <w:color w:val="000000"/>
              </w:rPr>
              <w:t xml:space="preserve">4. </w:t>
            </w:r>
            <w:r w:rsidRPr="008D250E" w:rsidR="00FC72B7">
              <w:rPr>
                <w:color w:val="000000"/>
              </w:rPr>
              <w:t xml:space="preserve"> </w:t>
            </w:r>
            <w:r w:rsidRPr="008D250E">
              <w:rPr>
                <w:color w:val="000000"/>
              </w:rPr>
              <w:t>Was the NOI timely filed?</w:t>
            </w:r>
          </w:p>
        </w:tc>
        <w:tc>
          <w:tcPr>
            <w:tcW w:w="2340" w:type="dxa"/>
            <w:tcBorders>
              <w:bottom w:val="single" w:color="auto" w:sz="4" w:space="0"/>
            </w:tcBorders>
            <w:shd w:val="clear" w:color="auto" w:fill="auto"/>
          </w:tcPr>
          <w:p w:rsidRPr="008D250E" w:rsidR="00A92D0B" w:rsidP="00E55F23" w:rsidRDefault="00E66131" w14:paraId="61DE2845" w14:textId="1EADB086">
            <w:pPr>
              <w:tabs>
                <w:tab w:val="left" w:pos="360"/>
              </w:tabs>
              <w:rPr>
                <w:color w:val="000000"/>
              </w:rPr>
            </w:pPr>
            <w:r>
              <w:rPr>
                <w:color w:val="000000"/>
              </w:rPr>
              <w:t>Yes, pursuant to ALJ Ruling filed July 9, 2015</w:t>
            </w:r>
          </w:p>
        </w:tc>
      </w:tr>
      <w:tr w:rsidRPr="008D250E" w:rsidR="00A92D0B" w:rsidTr="0005445A"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vAlign w:val="bottom"/>
          </w:tcPr>
          <w:p w:rsidR="0005445A" w:rsidP="00E55F23" w:rsidRDefault="00A92D0B" w14:paraId="70FA5C4E" w14:textId="51F958BE">
            <w:pPr>
              <w:keepNext/>
              <w:keepLines/>
              <w:tabs>
                <w:tab w:val="left" w:pos="360"/>
              </w:tabs>
              <w:jc w:val="center"/>
              <w:rPr>
                <w:b/>
                <w:color w:val="000000"/>
              </w:rPr>
            </w:pPr>
            <w:r w:rsidRPr="008D250E">
              <w:rPr>
                <w:b/>
                <w:color w:val="000000"/>
              </w:rPr>
              <w:t xml:space="preserve">Showing of </w:t>
            </w:r>
            <w:r w:rsidRPr="008D250E" w:rsidR="00F63C29">
              <w:rPr>
                <w:b/>
                <w:color w:val="000000"/>
              </w:rPr>
              <w:t xml:space="preserve">eligible </w:t>
            </w:r>
            <w:r w:rsidRPr="008D250E">
              <w:rPr>
                <w:b/>
                <w:color w:val="000000"/>
              </w:rPr>
              <w:t xml:space="preserve">customer </w:t>
            </w:r>
            <w:r w:rsidRPr="008D250E" w:rsidR="00F63C29">
              <w:rPr>
                <w:b/>
                <w:color w:val="000000"/>
              </w:rPr>
              <w:t>status (</w:t>
            </w:r>
            <w:r w:rsidR="0095390B">
              <w:rPr>
                <w:b/>
                <w:color w:val="000000"/>
              </w:rPr>
              <w:t>§ </w:t>
            </w:r>
            <w:r w:rsidRPr="008D250E" w:rsidR="00F63C29">
              <w:rPr>
                <w:b/>
                <w:color w:val="000000"/>
              </w:rPr>
              <w:t xml:space="preserve">1802(b) or eligible local </w:t>
            </w:r>
          </w:p>
          <w:p w:rsidRPr="008D250E" w:rsidR="00A92D0B" w:rsidP="00E55F23" w:rsidRDefault="00F63C29" w14:paraId="19D649BF" w14:textId="36EF8863">
            <w:pPr>
              <w:keepNext/>
              <w:keepLines/>
              <w:tabs>
                <w:tab w:val="left" w:pos="360"/>
              </w:tabs>
              <w:jc w:val="center"/>
              <w:rPr>
                <w:b/>
                <w:color w:val="000000"/>
              </w:rPr>
            </w:pPr>
            <w:r w:rsidRPr="008D250E">
              <w:rPr>
                <w:b/>
                <w:color w:val="000000"/>
              </w:rPr>
              <w:t xml:space="preserve">government entity </w:t>
            </w:r>
            <w:r w:rsidRPr="008D250E" w:rsidR="00ED6B6B">
              <w:rPr>
                <w:b/>
                <w:color w:val="000000"/>
              </w:rPr>
              <w:t>status</w:t>
            </w:r>
            <w:r w:rsidR="0005445A">
              <w:rPr>
                <w:b/>
                <w:color w:val="000000"/>
              </w:rPr>
              <w:t xml:space="preserve"> </w:t>
            </w:r>
            <w:r w:rsidRPr="008D250E">
              <w:rPr>
                <w:b/>
                <w:color w:val="000000"/>
              </w:rPr>
              <w:t>(</w:t>
            </w:r>
            <w:r w:rsidR="00AD01CD">
              <w:rPr>
                <w:b/>
                <w:color w:val="000000"/>
              </w:rPr>
              <w:t>§</w:t>
            </w:r>
            <w:r w:rsidR="0095390B">
              <w:rPr>
                <w:b/>
                <w:color w:val="000000"/>
              </w:rPr>
              <w:t>§ </w:t>
            </w:r>
            <w:r w:rsidRPr="008D250E">
              <w:rPr>
                <w:b/>
                <w:color w:val="000000"/>
              </w:rPr>
              <w:t>1802(d), 1802.4)</w:t>
            </w:r>
            <w:r w:rsidRPr="008D250E" w:rsidR="00A92D0B">
              <w:rPr>
                <w:b/>
                <w:color w:val="000000"/>
              </w:rPr>
              <w:t>:</w:t>
            </w:r>
          </w:p>
        </w:tc>
      </w:tr>
      <w:tr w:rsidRPr="008D250E" w:rsidR="00A92D0B" w:rsidTr="00D769BE" w14:paraId="259EC227" w14:textId="77777777">
        <w:tc>
          <w:tcPr>
            <w:tcW w:w="5040" w:type="dxa"/>
            <w:tcBorders>
              <w:top w:val="single" w:color="auto" w:sz="4" w:space="0"/>
            </w:tcBorders>
            <w:shd w:val="clear" w:color="auto" w:fill="auto"/>
          </w:tcPr>
          <w:p w:rsidRPr="008D250E" w:rsidR="00A92D0B" w:rsidP="00B34DDB" w:rsidRDefault="00A92D0B" w14:paraId="0EFCD0E9" w14:textId="521C5124">
            <w:pPr>
              <w:tabs>
                <w:tab w:val="left" w:pos="360"/>
              </w:tabs>
              <w:ind w:left="288" w:hanging="288"/>
              <w:rPr>
                <w:color w:val="000000"/>
              </w:rPr>
            </w:pPr>
            <w:r w:rsidRPr="008D250E">
              <w:rPr>
                <w:color w:val="000000"/>
              </w:rPr>
              <w:t xml:space="preserve">5.  Based on ALJ ruling issued in proceeding </w:t>
            </w:r>
            <w:r w:rsidRPr="008D250E" w:rsidR="00E3786F">
              <w:rPr>
                <w:color w:val="000000"/>
              </w:rPr>
              <w:t xml:space="preserve">  </w:t>
            </w:r>
            <w:r w:rsidRPr="008D250E">
              <w:rPr>
                <w:color w:val="000000"/>
              </w:rPr>
              <w:t>number:</w:t>
            </w:r>
          </w:p>
        </w:tc>
        <w:tc>
          <w:tcPr>
            <w:tcW w:w="2340" w:type="dxa"/>
            <w:tcBorders>
              <w:top w:val="single" w:color="auto" w:sz="4" w:space="0"/>
            </w:tcBorders>
            <w:shd w:val="clear" w:color="auto" w:fill="auto"/>
          </w:tcPr>
          <w:p w:rsidRPr="008D250E" w:rsidR="00A92D0B" w:rsidP="00B34DDB" w:rsidRDefault="00E53BCE" w14:paraId="13E72B6D" w14:textId="25300EED">
            <w:pPr>
              <w:tabs>
                <w:tab w:val="left" w:pos="360"/>
              </w:tabs>
              <w:ind w:left="288" w:hanging="288"/>
              <w:rPr>
                <w:color w:val="000000"/>
              </w:rPr>
            </w:pPr>
            <w:r w:rsidRPr="008D250E">
              <w:rPr>
                <w:color w:val="000000"/>
              </w:rPr>
              <w:t>I.14</w:t>
            </w:r>
            <w:r w:rsidR="00747698">
              <w:rPr>
                <w:color w:val="000000"/>
              </w:rPr>
              <w:noBreakHyphen/>
            </w:r>
            <w:r w:rsidRPr="008D250E">
              <w:rPr>
                <w:color w:val="000000"/>
              </w:rPr>
              <w:t>05</w:t>
            </w:r>
            <w:r w:rsidR="00747698">
              <w:rPr>
                <w:color w:val="000000"/>
              </w:rPr>
              <w:noBreakHyphen/>
            </w:r>
            <w:r w:rsidRPr="008D250E">
              <w:rPr>
                <w:color w:val="000000"/>
              </w:rPr>
              <w:t>012</w:t>
            </w:r>
          </w:p>
        </w:tc>
        <w:tc>
          <w:tcPr>
            <w:tcW w:w="2340" w:type="dxa"/>
            <w:tcBorders>
              <w:top w:val="single" w:color="auto" w:sz="4" w:space="0"/>
            </w:tcBorders>
            <w:shd w:val="clear" w:color="auto" w:fill="auto"/>
          </w:tcPr>
          <w:p w:rsidRPr="008D250E" w:rsidR="00A92D0B" w:rsidP="00B34DDB" w:rsidRDefault="00E66131" w14:paraId="2679B197" w14:textId="6799F3F0">
            <w:pPr>
              <w:tabs>
                <w:tab w:val="left" w:pos="360"/>
              </w:tabs>
              <w:ind w:left="288" w:hanging="288"/>
              <w:rPr>
                <w:color w:val="000000"/>
              </w:rPr>
            </w:pPr>
            <w:r>
              <w:rPr>
                <w:color w:val="000000"/>
              </w:rPr>
              <w:t>Verified</w:t>
            </w:r>
          </w:p>
        </w:tc>
      </w:tr>
      <w:tr w:rsidRPr="008D250E" w:rsidR="00A92D0B" w:rsidTr="00D769BE" w14:paraId="4E0FB3B6" w14:textId="77777777">
        <w:tc>
          <w:tcPr>
            <w:tcW w:w="5040" w:type="dxa"/>
            <w:shd w:val="clear" w:color="auto" w:fill="auto"/>
          </w:tcPr>
          <w:p w:rsidRPr="008D250E" w:rsidR="00A92D0B" w:rsidP="00E55F23" w:rsidRDefault="00A92D0B" w14:paraId="568B12E8" w14:textId="17FE0F97">
            <w:pPr>
              <w:tabs>
                <w:tab w:val="left" w:pos="360"/>
              </w:tabs>
              <w:rPr>
                <w:color w:val="000000"/>
              </w:rPr>
            </w:pPr>
            <w:r w:rsidRPr="008D250E">
              <w:rPr>
                <w:color w:val="000000"/>
              </w:rPr>
              <w:t>6.  Date of ALJ ruling:</w:t>
            </w:r>
          </w:p>
        </w:tc>
        <w:tc>
          <w:tcPr>
            <w:tcW w:w="2340" w:type="dxa"/>
            <w:shd w:val="clear" w:color="auto" w:fill="auto"/>
          </w:tcPr>
          <w:p w:rsidRPr="008D250E" w:rsidR="00A92D0B" w:rsidP="00B34DDB" w:rsidRDefault="00E53BCE" w14:paraId="306125B9" w14:textId="09FBABBE">
            <w:pPr>
              <w:tabs>
                <w:tab w:val="left" w:pos="360"/>
              </w:tabs>
              <w:ind w:left="288" w:hanging="288"/>
              <w:rPr>
                <w:color w:val="000000"/>
              </w:rPr>
            </w:pPr>
            <w:r w:rsidRPr="008D250E">
              <w:rPr>
                <w:color w:val="000000"/>
              </w:rPr>
              <w:t>July 9, 2015</w:t>
            </w:r>
          </w:p>
        </w:tc>
        <w:tc>
          <w:tcPr>
            <w:tcW w:w="2340" w:type="dxa"/>
            <w:shd w:val="clear" w:color="auto" w:fill="auto"/>
          </w:tcPr>
          <w:p w:rsidRPr="008D250E" w:rsidR="00A92D0B" w:rsidP="00B34DDB" w:rsidRDefault="00E66131" w14:paraId="19F10313" w14:textId="03E178D5">
            <w:pPr>
              <w:tabs>
                <w:tab w:val="left" w:pos="360"/>
              </w:tabs>
              <w:ind w:left="288" w:hanging="288"/>
              <w:rPr>
                <w:color w:val="000000"/>
              </w:rPr>
            </w:pPr>
            <w:r>
              <w:rPr>
                <w:color w:val="000000"/>
              </w:rPr>
              <w:t>Verified</w:t>
            </w:r>
          </w:p>
        </w:tc>
      </w:tr>
      <w:tr w:rsidRPr="008D250E" w:rsidR="00A92D0B" w:rsidTr="00D769BE" w14:paraId="7F6C1E54" w14:textId="77777777">
        <w:tc>
          <w:tcPr>
            <w:tcW w:w="5040" w:type="dxa"/>
            <w:shd w:val="clear" w:color="auto" w:fill="auto"/>
          </w:tcPr>
          <w:p w:rsidRPr="008D250E" w:rsidR="00A92D0B" w:rsidP="00E55F23" w:rsidRDefault="00A92D0B" w14:paraId="4B6E35B7" w14:textId="08A8CAB5">
            <w:pPr>
              <w:tabs>
                <w:tab w:val="left" w:pos="360"/>
              </w:tabs>
              <w:ind w:left="288" w:hanging="288"/>
              <w:rPr>
                <w:color w:val="000000"/>
              </w:rPr>
            </w:pPr>
            <w:r w:rsidRPr="008D250E">
              <w:rPr>
                <w:color w:val="000000"/>
              </w:rPr>
              <w:t>7.  Based on another CPUC determination (specify):</w:t>
            </w:r>
          </w:p>
        </w:tc>
        <w:tc>
          <w:tcPr>
            <w:tcW w:w="2340" w:type="dxa"/>
            <w:tcBorders>
              <w:bottom w:val="single" w:color="auto" w:sz="4" w:space="0"/>
            </w:tcBorders>
            <w:shd w:val="clear" w:color="auto" w:fill="auto"/>
          </w:tcPr>
          <w:p w:rsidRPr="008D250E" w:rsidR="00A92D0B" w:rsidP="00B34DDB" w:rsidRDefault="00E53BCE" w14:paraId="5E0F9D32" w14:textId="16F852C5">
            <w:pPr>
              <w:tabs>
                <w:tab w:val="left" w:pos="360"/>
              </w:tabs>
              <w:ind w:left="288" w:hanging="288"/>
              <w:rPr>
                <w:color w:val="000000"/>
              </w:rPr>
            </w:pPr>
            <w:r w:rsidRPr="008D250E">
              <w:rPr>
                <w:color w:val="000000"/>
              </w:rPr>
              <w:t>N/A</w:t>
            </w:r>
          </w:p>
        </w:tc>
        <w:tc>
          <w:tcPr>
            <w:tcW w:w="2340" w:type="dxa"/>
            <w:tcBorders>
              <w:bottom w:val="single" w:color="auto" w:sz="4" w:space="0"/>
            </w:tcBorders>
            <w:shd w:val="clear" w:color="auto" w:fill="auto"/>
          </w:tcPr>
          <w:p w:rsidRPr="008D250E" w:rsidR="00A92D0B" w:rsidP="00B34DDB" w:rsidRDefault="00E66131" w14:paraId="180E80B3" w14:textId="6ACDAFAA">
            <w:pPr>
              <w:tabs>
                <w:tab w:val="left" w:pos="360"/>
              </w:tabs>
              <w:ind w:left="288" w:hanging="288"/>
              <w:rPr>
                <w:color w:val="000000"/>
              </w:rPr>
            </w:pPr>
            <w:r>
              <w:rPr>
                <w:color w:val="000000"/>
              </w:rPr>
              <w:t>N/A</w:t>
            </w:r>
          </w:p>
        </w:tc>
      </w:tr>
      <w:tr w:rsidRPr="008D250E" w:rsidR="00A92D0B" w:rsidTr="00D769BE" w14:paraId="397CC4AD" w14:textId="77777777">
        <w:tc>
          <w:tcPr>
            <w:tcW w:w="7380" w:type="dxa"/>
            <w:gridSpan w:val="2"/>
            <w:tcBorders>
              <w:bottom w:val="single" w:color="auto" w:sz="4" w:space="0"/>
            </w:tcBorders>
            <w:shd w:val="clear" w:color="auto" w:fill="auto"/>
          </w:tcPr>
          <w:p w:rsidRPr="008D250E" w:rsidR="00A92D0B" w:rsidP="00E55F23" w:rsidRDefault="00A92D0B" w14:paraId="71D46B68" w14:textId="4E7533BB">
            <w:pPr>
              <w:tabs>
                <w:tab w:val="left" w:pos="360"/>
              </w:tabs>
              <w:ind w:left="288" w:hanging="288"/>
              <w:rPr>
                <w:color w:val="000000"/>
              </w:rPr>
            </w:pPr>
            <w:r w:rsidRPr="008D250E">
              <w:rPr>
                <w:color w:val="000000"/>
              </w:rPr>
              <w:t xml:space="preserve">8. </w:t>
            </w:r>
            <w:r w:rsidRPr="008D250E" w:rsidR="00FC72B7">
              <w:rPr>
                <w:color w:val="000000"/>
              </w:rPr>
              <w:t xml:space="preserve"> </w:t>
            </w:r>
            <w:r w:rsidRPr="008D250E">
              <w:rPr>
                <w:color w:val="000000"/>
              </w:rPr>
              <w:t xml:space="preserve">Has the </w:t>
            </w:r>
            <w:r w:rsidRPr="008D250E" w:rsidR="005A63D4">
              <w:rPr>
                <w:color w:val="000000"/>
              </w:rPr>
              <w:t xml:space="preserve">Intervenor </w:t>
            </w:r>
            <w:r w:rsidRPr="008D250E">
              <w:rPr>
                <w:color w:val="000000"/>
              </w:rPr>
              <w:t xml:space="preserve">demonstrated </w:t>
            </w:r>
            <w:r w:rsidRPr="008D250E">
              <w:t>customer</w:t>
            </w:r>
            <w:r w:rsidRPr="008D250E">
              <w:rPr>
                <w:color w:val="000000"/>
              </w:rPr>
              <w:t xml:space="preserve"> </w:t>
            </w:r>
            <w:r w:rsidRPr="008D250E" w:rsidR="00ED6B6B">
              <w:rPr>
                <w:color w:val="000000"/>
              </w:rPr>
              <w:t>status or eligible government entity status</w:t>
            </w:r>
            <w:r w:rsidRPr="008D250E">
              <w:rPr>
                <w:color w:val="000000"/>
              </w:rPr>
              <w:t>?</w:t>
            </w:r>
          </w:p>
        </w:tc>
        <w:tc>
          <w:tcPr>
            <w:tcW w:w="2340" w:type="dxa"/>
            <w:tcBorders>
              <w:bottom w:val="single" w:color="auto" w:sz="4" w:space="0"/>
            </w:tcBorders>
            <w:shd w:val="clear" w:color="auto" w:fill="auto"/>
          </w:tcPr>
          <w:p w:rsidRPr="008D250E" w:rsidR="00E66131" w:rsidP="00B34DDB" w:rsidRDefault="00E66131" w14:paraId="7D296E63" w14:textId="35A31F8D">
            <w:pPr>
              <w:tabs>
                <w:tab w:val="left" w:pos="360"/>
              </w:tabs>
              <w:ind w:left="288" w:hanging="288"/>
              <w:rPr>
                <w:color w:val="000000"/>
              </w:rPr>
            </w:pPr>
            <w:r>
              <w:rPr>
                <w:color w:val="000000"/>
              </w:rPr>
              <w:t>Yes</w:t>
            </w:r>
          </w:p>
        </w:tc>
      </w:tr>
      <w:tr w:rsidRPr="008D250E" w:rsidR="00A92D0B" w:rsidTr="004C61CE"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vAlign w:val="bottom"/>
          </w:tcPr>
          <w:p w:rsidRPr="008D250E" w:rsidR="00A92D0B" w:rsidP="00E55F23" w:rsidRDefault="00A92D0B" w14:paraId="0291EC4E" w14:textId="0916E6AF">
            <w:pPr>
              <w:keepNext/>
              <w:tabs>
                <w:tab w:val="left" w:pos="360"/>
              </w:tabs>
              <w:jc w:val="center"/>
              <w:rPr>
                <w:color w:val="000000"/>
              </w:rPr>
            </w:pPr>
            <w:r w:rsidRPr="008D250E">
              <w:rPr>
                <w:b/>
                <w:color w:val="000000"/>
              </w:rPr>
              <w:t>Showing of “significant</w:t>
            </w:r>
            <w:r w:rsidRPr="008D250E" w:rsidR="00F63C29">
              <w:rPr>
                <w:b/>
                <w:color w:val="000000"/>
              </w:rPr>
              <w:t xml:space="preserve"> financial hardship” (</w:t>
            </w:r>
            <w:r w:rsidR="0095390B">
              <w:rPr>
                <w:b/>
                <w:color w:val="000000"/>
              </w:rPr>
              <w:t>§ </w:t>
            </w:r>
            <w:r w:rsidRPr="008D250E" w:rsidR="00F63C29">
              <w:rPr>
                <w:b/>
                <w:color w:val="000000"/>
              </w:rPr>
              <w:t>1802(</w:t>
            </w:r>
            <w:r w:rsidRPr="008D250E" w:rsidR="00175865">
              <w:rPr>
                <w:b/>
                <w:color w:val="000000"/>
              </w:rPr>
              <w:t>h</w:t>
            </w:r>
            <w:r w:rsidRPr="008D250E" w:rsidR="00F63C29">
              <w:rPr>
                <w:b/>
                <w:color w:val="000000"/>
              </w:rPr>
              <w:t xml:space="preserve">) or </w:t>
            </w:r>
            <w:r w:rsidR="0095390B">
              <w:rPr>
                <w:b/>
                <w:color w:val="000000"/>
              </w:rPr>
              <w:t>§ </w:t>
            </w:r>
            <w:r w:rsidRPr="008D250E" w:rsidR="00F63C29">
              <w:rPr>
                <w:b/>
                <w:color w:val="000000"/>
              </w:rPr>
              <w:t>1803.1(b))</w:t>
            </w:r>
            <w:r w:rsidRPr="008D250E" w:rsidR="00C02649">
              <w:rPr>
                <w:b/>
                <w:color w:val="000000"/>
              </w:rPr>
              <w:t>:</w:t>
            </w:r>
          </w:p>
        </w:tc>
      </w:tr>
      <w:tr w:rsidRPr="008D250E" w:rsidR="00A92D0B" w:rsidTr="00D769BE" w14:paraId="77F91856" w14:textId="77777777">
        <w:tc>
          <w:tcPr>
            <w:tcW w:w="5040" w:type="dxa"/>
            <w:tcBorders>
              <w:top w:val="single" w:color="auto" w:sz="4" w:space="0"/>
            </w:tcBorders>
            <w:shd w:val="clear" w:color="auto" w:fill="auto"/>
          </w:tcPr>
          <w:p w:rsidRPr="008D250E" w:rsidR="00A92D0B" w:rsidP="00E55F23" w:rsidRDefault="00A92D0B" w14:paraId="6506E60E" w14:textId="014E6CB2">
            <w:pPr>
              <w:tabs>
                <w:tab w:val="left" w:pos="360"/>
              </w:tabs>
              <w:ind w:left="288" w:hanging="288"/>
              <w:rPr>
                <w:color w:val="000000"/>
              </w:rPr>
            </w:pPr>
            <w:r w:rsidRPr="008D250E">
              <w:rPr>
                <w:color w:val="000000"/>
              </w:rPr>
              <w:t>9.  Based on ALJ ruling issued in proceeding number:</w:t>
            </w:r>
          </w:p>
        </w:tc>
        <w:tc>
          <w:tcPr>
            <w:tcW w:w="2340" w:type="dxa"/>
            <w:tcBorders>
              <w:top w:val="single" w:color="auto" w:sz="4" w:space="0"/>
            </w:tcBorders>
            <w:shd w:val="clear" w:color="auto" w:fill="auto"/>
          </w:tcPr>
          <w:p w:rsidRPr="008D250E" w:rsidR="00A92D0B" w:rsidP="00B34DDB" w:rsidRDefault="005845A2" w14:paraId="54B4911C" w14:textId="7E97C40F">
            <w:pPr>
              <w:tabs>
                <w:tab w:val="left" w:pos="360"/>
              </w:tabs>
              <w:ind w:left="288" w:hanging="288"/>
              <w:rPr>
                <w:color w:val="000000"/>
              </w:rPr>
            </w:pPr>
            <w:r w:rsidRPr="008D250E">
              <w:rPr>
                <w:color w:val="000000"/>
              </w:rPr>
              <w:t>R.14</w:t>
            </w:r>
            <w:r w:rsidR="00747698">
              <w:rPr>
                <w:color w:val="000000"/>
              </w:rPr>
              <w:noBreakHyphen/>
            </w:r>
            <w:r w:rsidRPr="008D250E">
              <w:rPr>
                <w:color w:val="000000"/>
              </w:rPr>
              <w:t>05</w:t>
            </w:r>
            <w:r w:rsidR="00747698">
              <w:rPr>
                <w:color w:val="000000"/>
              </w:rPr>
              <w:noBreakHyphen/>
            </w:r>
            <w:r w:rsidRPr="008D250E">
              <w:rPr>
                <w:color w:val="000000"/>
              </w:rPr>
              <w:t>001</w:t>
            </w:r>
          </w:p>
        </w:tc>
        <w:tc>
          <w:tcPr>
            <w:tcW w:w="2340" w:type="dxa"/>
            <w:tcBorders>
              <w:top w:val="single" w:color="auto" w:sz="4" w:space="0"/>
            </w:tcBorders>
            <w:shd w:val="clear" w:color="auto" w:fill="auto"/>
          </w:tcPr>
          <w:p w:rsidRPr="008D250E" w:rsidR="00A92D0B" w:rsidP="00B34DDB" w:rsidRDefault="00D05276" w14:paraId="2E2FB9D6" w14:textId="1EB80E76">
            <w:pPr>
              <w:tabs>
                <w:tab w:val="left" w:pos="360"/>
              </w:tabs>
              <w:ind w:left="288" w:hanging="288"/>
              <w:rPr>
                <w:color w:val="000000"/>
              </w:rPr>
            </w:pPr>
            <w:r>
              <w:rPr>
                <w:color w:val="000000"/>
              </w:rPr>
              <w:t>Verified</w:t>
            </w:r>
          </w:p>
        </w:tc>
      </w:tr>
      <w:tr w:rsidRPr="008D250E" w:rsidR="00A92D0B" w:rsidTr="00D769BE" w14:paraId="4AD750C1" w14:textId="77777777">
        <w:tc>
          <w:tcPr>
            <w:tcW w:w="5040" w:type="dxa"/>
            <w:shd w:val="clear" w:color="auto" w:fill="auto"/>
          </w:tcPr>
          <w:p w:rsidRPr="008D250E" w:rsidR="00A92D0B" w:rsidP="00E55F23" w:rsidRDefault="00A92D0B" w14:paraId="2A279407" w14:textId="21C2456E">
            <w:pPr>
              <w:tabs>
                <w:tab w:val="left" w:pos="360"/>
              </w:tabs>
              <w:ind w:left="288" w:hanging="288"/>
              <w:rPr>
                <w:color w:val="000000"/>
              </w:rPr>
            </w:pPr>
            <w:r w:rsidRPr="008D250E">
              <w:rPr>
                <w:color w:val="000000"/>
              </w:rPr>
              <w:t>10.</w:t>
            </w:r>
            <w:r w:rsidR="00B34DDB">
              <w:rPr>
                <w:color w:val="000000"/>
              </w:rPr>
              <w:t xml:space="preserve"> </w:t>
            </w:r>
            <w:r w:rsidRPr="008D250E" w:rsidR="00FC72B7">
              <w:rPr>
                <w:color w:val="000000"/>
              </w:rPr>
              <w:t xml:space="preserve"> </w:t>
            </w:r>
            <w:r w:rsidRPr="008D250E">
              <w:rPr>
                <w:color w:val="000000"/>
              </w:rPr>
              <w:t>Date of ALJ ruling:</w:t>
            </w:r>
          </w:p>
        </w:tc>
        <w:tc>
          <w:tcPr>
            <w:tcW w:w="2340" w:type="dxa"/>
            <w:shd w:val="clear" w:color="auto" w:fill="auto"/>
          </w:tcPr>
          <w:p w:rsidRPr="008D250E" w:rsidR="00A92D0B" w:rsidP="00B34DDB" w:rsidRDefault="005845A2" w14:paraId="4B66A2E4" w14:textId="41171220">
            <w:pPr>
              <w:tabs>
                <w:tab w:val="left" w:pos="360"/>
              </w:tabs>
              <w:ind w:left="288" w:hanging="288"/>
              <w:rPr>
                <w:color w:val="000000"/>
              </w:rPr>
            </w:pPr>
            <w:r w:rsidRPr="008D250E">
              <w:rPr>
                <w:color w:val="000000"/>
              </w:rPr>
              <w:t>September 5, 2014</w:t>
            </w:r>
          </w:p>
        </w:tc>
        <w:tc>
          <w:tcPr>
            <w:tcW w:w="2340" w:type="dxa"/>
            <w:shd w:val="clear" w:color="auto" w:fill="auto"/>
          </w:tcPr>
          <w:p w:rsidRPr="008D250E" w:rsidR="00A92D0B" w:rsidP="00B34DDB" w:rsidRDefault="00D05276" w14:paraId="3B83D035" w14:textId="27E90DD6">
            <w:pPr>
              <w:tabs>
                <w:tab w:val="left" w:pos="360"/>
              </w:tabs>
              <w:ind w:left="288" w:hanging="288"/>
              <w:rPr>
                <w:color w:val="000000"/>
              </w:rPr>
            </w:pPr>
            <w:r>
              <w:rPr>
                <w:color w:val="000000"/>
              </w:rPr>
              <w:t>Verified</w:t>
            </w:r>
          </w:p>
        </w:tc>
      </w:tr>
      <w:tr w:rsidRPr="008D250E" w:rsidR="00357F1A" w:rsidTr="00D769BE" w14:paraId="7C183C5E" w14:textId="77777777">
        <w:trPr>
          <w:trHeight w:val="710"/>
        </w:trPr>
        <w:tc>
          <w:tcPr>
            <w:tcW w:w="5040" w:type="dxa"/>
            <w:shd w:val="clear" w:color="auto" w:fill="auto"/>
          </w:tcPr>
          <w:p w:rsidRPr="008D250E" w:rsidR="00357F1A" w:rsidP="00B34DDB" w:rsidRDefault="00357F1A" w14:paraId="4141CB3D" w14:textId="34EE44DC">
            <w:pPr>
              <w:tabs>
                <w:tab w:val="left" w:pos="360"/>
              </w:tabs>
              <w:ind w:left="432" w:hanging="432"/>
              <w:rPr>
                <w:color w:val="000000"/>
              </w:rPr>
            </w:pPr>
            <w:r w:rsidRPr="008D250E">
              <w:rPr>
                <w:color w:val="000000"/>
              </w:rPr>
              <w:t xml:space="preserve">11. </w:t>
            </w:r>
            <w:r w:rsidR="00B34DDB">
              <w:rPr>
                <w:color w:val="000000"/>
              </w:rPr>
              <w:t xml:space="preserve"> </w:t>
            </w:r>
            <w:r w:rsidRPr="008D250E">
              <w:rPr>
                <w:color w:val="000000"/>
              </w:rPr>
              <w:t>Based on another CPUC determination (specify):</w:t>
            </w:r>
          </w:p>
        </w:tc>
        <w:tc>
          <w:tcPr>
            <w:tcW w:w="2340" w:type="dxa"/>
            <w:shd w:val="clear" w:color="auto" w:fill="auto"/>
          </w:tcPr>
          <w:p w:rsidRPr="008D250E" w:rsidR="00357F1A" w:rsidP="00B34DDB" w:rsidRDefault="005845A2" w14:paraId="141EB5CF" w14:textId="2D1F2FD7">
            <w:pPr>
              <w:tabs>
                <w:tab w:val="left" w:pos="360"/>
              </w:tabs>
              <w:ind w:left="288" w:hanging="288"/>
              <w:rPr>
                <w:color w:val="000000"/>
              </w:rPr>
            </w:pPr>
            <w:r w:rsidRPr="008D250E">
              <w:rPr>
                <w:color w:val="000000"/>
              </w:rPr>
              <w:t>N/A</w:t>
            </w:r>
          </w:p>
        </w:tc>
        <w:tc>
          <w:tcPr>
            <w:tcW w:w="2340" w:type="dxa"/>
            <w:shd w:val="clear" w:color="auto" w:fill="auto"/>
          </w:tcPr>
          <w:p w:rsidRPr="008D250E" w:rsidR="00357F1A" w:rsidP="00B34DDB" w:rsidRDefault="00D05276" w14:paraId="79318715" w14:textId="437DFA1B">
            <w:pPr>
              <w:tabs>
                <w:tab w:val="left" w:pos="360"/>
              </w:tabs>
              <w:ind w:left="288" w:hanging="288"/>
              <w:rPr>
                <w:color w:val="000000"/>
              </w:rPr>
            </w:pPr>
            <w:r>
              <w:rPr>
                <w:color w:val="000000"/>
              </w:rPr>
              <w:t>N/A</w:t>
            </w:r>
          </w:p>
        </w:tc>
      </w:tr>
      <w:tr w:rsidRPr="008D250E" w:rsidR="00A92D0B" w:rsidTr="00D769BE" w14:paraId="4E8D20BF" w14:textId="77777777">
        <w:tc>
          <w:tcPr>
            <w:tcW w:w="7380" w:type="dxa"/>
            <w:gridSpan w:val="2"/>
            <w:tcBorders>
              <w:bottom w:val="single" w:color="auto" w:sz="4" w:space="0"/>
            </w:tcBorders>
            <w:shd w:val="clear" w:color="auto" w:fill="auto"/>
          </w:tcPr>
          <w:p w:rsidRPr="008D250E" w:rsidR="00A92D0B" w:rsidP="00B34DDB" w:rsidRDefault="00A92D0B" w14:paraId="48D0D936" w14:textId="600CCA07">
            <w:pPr>
              <w:tabs>
                <w:tab w:val="left" w:pos="360"/>
              </w:tabs>
              <w:ind w:left="288" w:hanging="288"/>
              <w:rPr>
                <w:color w:val="000000"/>
              </w:rPr>
            </w:pPr>
            <w:r w:rsidRPr="008D250E">
              <w:rPr>
                <w:color w:val="000000"/>
              </w:rPr>
              <w:t xml:space="preserve">12. </w:t>
            </w:r>
            <w:r w:rsidRPr="008D250E" w:rsidR="00FC72B7">
              <w:rPr>
                <w:color w:val="000000"/>
              </w:rPr>
              <w:t xml:space="preserve"> </w:t>
            </w:r>
            <w:r w:rsidRPr="008D250E">
              <w:rPr>
                <w:color w:val="000000"/>
              </w:rPr>
              <w:t>Has the</w:t>
            </w:r>
            <w:r w:rsidRPr="008D250E" w:rsidR="00A319DE">
              <w:rPr>
                <w:color w:val="000000"/>
              </w:rPr>
              <w:t xml:space="preserve"> </w:t>
            </w:r>
            <w:r w:rsidRPr="008D250E" w:rsidR="005A63D4">
              <w:rPr>
                <w:color w:val="000000"/>
              </w:rPr>
              <w:t>Intervenor</w:t>
            </w:r>
            <w:r w:rsidRPr="008D250E">
              <w:rPr>
                <w:color w:val="000000"/>
              </w:rPr>
              <w:t xml:space="preserve"> demonstrated significant financial hardship?</w:t>
            </w:r>
          </w:p>
        </w:tc>
        <w:tc>
          <w:tcPr>
            <w:tcW w:w="2340" w:type="dxa"/>
            <w:tcBorders>
              <w:bottom w:val="single" w:color="auto" w:sz="4" w:space="0"/>
            </w:tcBorders>
            <w:shd w:val="clear" w:color="auto" w:fill="auto"/>
          </w:tcPr>
          <w:p w:rsidRPr="008D250E" w:rsidR="00A92D0B" w:rsidP="00B34DDB" w:rsidRDefault="00D05276" w14:paraId="0F29B839" w14:textId="323DBF6A">
            <w:pPr>
              <w:tabs>
                <w:tab w:val="left" w:pos="360"/>
              </w:tabs>
              <w:ind w:left="288" w:hanging="288"/>
              <w:rPr>
                <w:color w:val="000000"/>
              </w:rPr>
            </w:pPr>
            <w:r>
              <w:rPr>
                <w:color w:val="000000"/>
              </w:rPr>
              <w:t>Yes</w:t>
            </w:r>
          </w:p>
        </w:tc>
      </w:tr>
      <w:tr w:rsidRPr="008D250E" w:rsidR="00A92D0B" w:rsidTr="004C61CE"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vAlign w:val="bottom"/>
          </w:tcPr>
          <w:p w:rsidRPr="008D250E" w:rsidR="00A92D0B" w:rsidP="00E55F23" w:rsidRDefault="00A92D0B" w14:paraId="172E2884" w14:textId="6670F924">
            <w:pPr>
              <w:keepNext/>
              <w:tabs>
                <w:tab w:val="left" w:pos="360"/>
              </w:tabs>
              <w:jc w:val="center"/>
              <w:rPr>
                <w:color w:val="000000"/>
              </w:rPr>
            </w:pPr>
            <w:r w:rsidRPr="008D250E">
              <w:rPr>
                <w:b/>
                <w:color w:val="000000"/>
              </w:rPr>
              <w:t>Timely request for compensation (</w:t>
            </w:r>
            <w:r w:rsidR="0095390B">
              <w:rPr>
                <w:b/>
                <w:color w:val="000000"/>
              </w:rPr>
              <w:t>§ </w:t>
            </w:r>
            <w:r w:rsidRPr="008D250E">
              <w:rPr>
                <w:b/>
                <w:color w:val="000000"/>
              </w:rPr>
              <w:t>1804(c)):</w:t>
            </w:r>
          </w:p>
        </w:tc>
      </w:tr>
      <w:tr w:rsidRPr="008D250E" w:rsidR="00A92D0B" w:rsidTr="00D769BE" w14:paraId="3E7938B0" w14:textId="77777777">
        <w:tc>
          <w:tcPr>
            <w:tcW w:w="5040" w:type="dxa"/>
            <w:tcBorders>
              <w:top w:val="single" w:color="auto" w:sz="4" w:space="0"/>
            </w:tcBorders>
            <w:shd w:val="clear" w:color="auto" w:fill="auto"/>
          </w:tcPr>
          <w:p w:rsidRPr="008D250E" w:rsidR="00A92D0B" w:rsidP="00B34DDB" w:rsidRDefault="00A92D0B" w14:paraId="66088F1B" w14:textId="77777777">
            <w:pPr>
              <w:tabs>
                <w:tab w:val="left" w:pos="360"/>
              </w:tabs>
              <w:ind w:left="288" w:hanging="288"/>
              <w:rPr>
                <w:color w:val="000000"/>
              </w:rPr>
            </w:pPr>
            <w:r w:rsidRPr="008D250E">
              <w:rPr>
                <w:color w:val="000000"/>
              </w:rPr>
              <w:t>13.  Identify Final Decision:</w:t>
            </w:r>
          </w:p>
        </w:tc>
        <w:tc>
          <w:tcPr>
            <w:tcW w:w="2340" w:type="dxa"/>
            <w:tcBorders>
              <w:top w:val="single" w:color="auto" w:sz="4" w:space="0"/>
            </w:tcBorders>
            <w:shd w:val="clear" w:color="auto" w:fill="auto"/>
          </w:tcPr>
          <w:p w:rsidRPr="008D250E" w:rsidR="00A92D0B" w:rsidP="00B34DDB" w:rsidRDefault="005845A2" w14:paraId="7166F318" w14:textId="6F36259F">
            <w:pPr>
              <w:tabs>
                <w:tab w:val="left" w:pos="360"/>
              </w:tabs>
              <w:ind w:left="288" w:hanging="288"/>
              <w:rPr>
                <w:color w:val="000000"/>
              </w:rPr>
            </w:pPr>
            <w:r w:rsidRPr="008D250E">
              <w:rPr>
                <w:color w:val="000000"/>
              </w:rPr>
              <w:t>D.19</w:t>
            </w:r>
            <w:r w:rsidR="00747698">
              <w:rPr>
                <w:color w:val="000000"/>
              </w:rPr>
              <w:noBreakHyphen/>
            </w:r>
            <w:r w:rsidRPr="008D250E">
              <w:rPr>
                <w:color w:val="000000"/>
              </w:rPr>
              <w:t>09</w:t>
            </w:r>
            <w:r w:rsidR="00747698">
              <w:rPr>
                <w:color w:val="000000"/>
              </w:rPr>
              <w:noBreakHyphen/>
            </w:r>
            <w:r w:rsidRPr="008D250E">
              <w:rPr>
                <w:color w:val="000000"/>
              </w:rPr>
              <w:t>042</w:t>
            </w:r>
          </w:p>
        </w:tc>
        <w:tc>
          <w:tcPr>
            <w:tcW w:w="2340" w:type="dxa"/>
            <w:tcBorders>
              <w:top w:val="single" w:color="auto" w:sz="4" w:space="0"/>
            </w:tcBorders>
            <w:shd w:val="clear" w:color="auto" w:fill="auto"/>
          </w:tcPr>
          <w:p w:rsidRPr="008D250E" w:rsidR="00A92D0B" w:rsidP="00B34DDB" w:rsidRDefault="00F2703A" w14:paraId="1588DC54" w14:textId="7E2C82DF">
            <w:pPr>
              <w:tabs>
                <w:tab w:val="left" w:pos="360"/>
              </w:tabs>
              <w:ind w:left="288" w:hanging="288"/>
              <w:rPr>
                <w:color w:val="000000"/>
              </w:rPr>
            </w:pPr>
            <w:r>
              <w:rPr>
                <w:color w:val="000000"/>
              </w:rPr>
              <w:t>Verified</w:t>
            </w:r>
          </w:p>
        </w:tc>
      </w:tr>
      <w:tr w:rsidRPr="008D250E" w:rsidR="00A92D0B" w:rsidTr="00D769BE" w14:paraId="6360DE59" w14:textId="77777777">
        <w:tc>
          <w:tcPr>
            <w:tcW w:w="5040" w:type="dxa"/>
            <w:shd w:val="clear" w:color="auto" w:fill="auto"/>
          </w:tcPr>
          <w:p w:rsidRPr="008D250E" w:rsidR="00A92D0B" w:rsidP="00B34DDB" w:rsidRDefault="00A92D0B" w14:paraId="4B809E4A" w14:textId="42DDA55E">
            <w:pPr>
              <w:tabs>
                <w:tab w:val="left" w:pos="360"/>
              </w:tabs>
              <w:ind w:left="288" w:hanging="288"/>
              <w:rPr>
                <w:color w:val="000000"/>
              </w:rPr>
            </w:pPr>
            <w:r w:rsidRPr="008D250E">
              <w:rPr>
                <w:color w:val="000000"/>
              </w:rPr>
              <w:t xml:space="preserve">14. </w:t>
            </w:r>
            <w:r w:rsidRPr="008D250E" w:rsidR="00FC72B7">
              <w:rPr>
                <w:color w:val="000000"/>
              </w:rPr>
              <w:t xml:space="preserve"> </w:t>
            </w:r>
            <w:r w:rsidRPr="008D250E">
              <w:rPr>
                <w:color w:val="000000"/>
              </w:rPr>
              <w:t xml:space="preserve">Date of </w:t>
            </w:r>
            <w:r w:rsidRPr="008D250E" w:rsidR="00A319DE">
              <w:rPr>
                <w:color w:val="000000"/>
              </w:rPr>
              <w:t>i</w:t>
            </w:r>
            <w:r w:rsidRPr="008D250E">
              <w:rPr>
                <w:color w:val="000000"/>
              </w:rPr>
              <w:t>ssuance of Final Order or Decision:</w:t>
            </w:r>
          </w:p>
        </w:tc>
        <w:tc>
          <w:tcPr>
            <w:tcW w:w="2340" w:type="dxa"/>
            <w:shd w:val="clear" w:color="auto" w:fill="auto"/>
          </w:tcPr>
          <w:p w:rsidRPr="008D250E" w:rsidR="00A92D0B" w:rsidP="00B34DDB" w:rsidRDefault="00932A25" w14:paraId="20455B5F" w14:textId="6DBCE857">
            <w:pPr>
              <w:tabs>
                <w:tab w:val="left" w:pos="360"/>
              </w:tabs>
              <w:ind w:left="288" w:hanging="288"/>
              <w:rPr>
                <w:color w:val="000000"/>
              </w:rPr>
            </w:pPr>
            <w:r w:rsidRPr="008D250E">
              <w:rPr>
                <w:color w:val="000000"/>
              </w:rPr>
              <w:t>September 27, 2019</w:t>
            </w:r>
          </w:p>
        </w:tc>
        <w:tc>
          <w:tcPr>
            <w:tcW w:w="2340" w:type="dxa"/>
            <w:shd w:val="clear" w:color="auto" w:fill="auto"/>
          </w:tcPr>
          <w:p w:rsidRPr="008D250E" w:rsidR="00A92D0B" w:rsidP="00B34DDB" w:rsidRDefault="00F2703A" w14:paraId="1FCF00DD" w14:textId="61AF5489">
            <w:pPr>
              <w:tabs>
                <w:tab w:val="left" w:pos="360"/>
              </w:tabs>
              <w:ind w:left="288" w:hanging="288"/>
              <w:rPr>
                <w:color w:val="000000"/>
              </w:rPr>
            </w:pPr>
            <w:r>
              <w:rPr>
                <w:color w:val="000000"/>
              </w:rPr>
              <w:t>Verified</w:t>
            </w:r>
          </w:p>
        </w:tc>
      </w:tr>
      <w:tr w:rsidRPr="008D250E" w:rsidR="00A92D0B" w:rsidTr="00D769BE" w14:paraId="723259E3" w14:textId="77777777">
        <w:tc>
          <w:tcPr>
            <w:tcW w:w="5040" w:type="dxa"/>
            <w:shd w:val="clear" w:color="auto" w:fill="auto"/>
          </w:tcPr>
          <w:p w:rsidRPr="008D250E" w:rsidR="00A92D0B" w:rsidP="00B34DDB" w:rsidRDefault="00A92D0B" w14:paraId="163EE1CA" w14:textId="77777777">
            <w:pPr>
              <w:tabs>
                <w:tab w:val="left" w:pos="360"/>
              </w:tabs>
              <w:ind w:left="288" w:hanging="288"/>
              <w:rPr>
                <w:color w:val="000000"/>
              </w:rPr>
            </w:pPr>
            <w:r w:rsidRPr="008D250E">
              <w:rPr>
                <w:color w:val="000000"/>
              </w:rPr>
              <w:t xml:space="preserve">15. </w:t>
            </w:r>
            <w:r w:rsidRPr="008D250E" w:rsidR="00FC72B7">
              <w:rPr>
                <w:color w:val="000000"/>
              </w:rPr>
              <w:t xml:space="preserve"> </w:t>
            </w:r>
            <w:r w:rsidRPr="008D250E">
              <w:rPr>
                <w:color w:val="000000"/>
              </w:rPr>
              <w:t>File date of compensation request:</w:t>
            </w:r>
          </w:p>
        </w:tc>
        <w:tc>
          <w:tcPr>
            <w:tcW w:w="2340" w:type="dxa"/>
            <w:shd w:val="clear" w:color="auto" w:fill="auto"/>
          </w:tcPr>
          <w:p w:rsidRPr="008D250E" w:rsidR="00A92D0B" w:rsidP="00B34DDB" w:rsidRDefault="008D250E" w14:paraId="0568B39D" w14:textId="73B0CF60">
            <w:pPr>
              <w:tabs>
                <w:tab w:val="left" w:pos="360"/>
              </w:tabs>
              <w:ind w:left="288" w:hanging="288"/>
              <w:rPr>
                <w:color w:val="000000"/>
              </w:rPr>
            </w:pPr>
            <w:r w:rsidRPr="008D250E">
              <w:rPr>
                <w:color w:val="000000"/>
              </w:rPr>
              <w:t>November 25, 2019</w:t>
            </w:r>
          </w:p>
        </w:tc>
        <w:tc>
          <w:tcPr>
            <w:tcW w:w="2340" w:type="dxa"/>
            <w:shd w:val="clear" w:color="auto" w:fill="auto"/>
          </w:tcPr>
          <w:p w:rsidRPr="008D250E" w:rsidR="00A92D0B" w:rsidP="00B34DDB" w:rsidRDefault="00F2703A" w14:paraId="1CBF4E7A" w14:textId="292491AB">
            <w:pPr>
              <w:tabs>
                <w:tab w:val="left" w:pos="360"/>
              </w:tabs>
              <w:ind w:left="288" w:hanging="288"/>
              <w:rPr>
                <w:color w:val="000000"/>
              </w:rPr>
            </w:pPr>
            <w:r>
              <w:rPr>
                <w:color w:val="000000"/>
              </w:rPr>
              <w:t>Verified</w:t>
            </w:r>
          </w:p>
        </w:tc>
      </w:tr>
      <w:tr w:rsidRPr="008D250E" w:rsidR="00A92D0B" w:rsidTr="00D769BE" w14:paraId="406BCA3A" w14:textId="77777777">
        <w:tc>
          <w:tcPr>
            <w:tcW w:w="7380" w:type="dxa"/>
            <w:gridSpan w:val="2"/>
            <w:shd w:val="clear" w:color="auto" w:fill="auto"/>
          </w:tcPr>
          <w:p w:rsidRPr="008D250E" w:rsidR="00A92D0B" w:rsidP="00B34DDB" w:rsidRDefault="00A92D0B" w14:paraId="10AF42D1" w14:textId="77777777">
            <w:pPr>
              <w:tabs>
                <w:tab w:val="left" w:pos="360"/>
              </w:tabs>
              <w:ind w:left="288" w:hanging="288"/>
              <w:rPr>
                <w:color w:val="000000"/>
              </w:rPr>
            </w:pPr>
            <w:r w:rsidRPr="008D250E">
              <w:rPr>
                <w:color w:val="000000"/>
              </w:rPr>
              <w:t>16. Was the request for compensation timely?</w:t>
            </w:r>
          </w:p>
        </w:tc>
        <w:tc>
          <w:tcPr>
            <w:tcW w:w="2340" w:type="dxa"/>
            <w:shd w:val="clear" w:color="auto" w:fill="auto"/>
          </w:tcPr>
          <w:p w:rsidRPr="008D250E" w:rsidR="00A92D0B" w:rsidP="00B34DDB" w:rsidRDefault="00904D35" w14:paraId="2EA30E63" w14:textId="2FE65B57">
            <w:pPr>
              <w:tabs>
                <w:tab w:val="left" w:pos="360"/>
              </w:tabs>
              <w:ind w:left="288" w:hanging="288"/>
              <w:rPr>
                <w:color w:val="000000"/>
              </w:rPr>
            </w:pPr>
            <w:r>
              <w:rPr>
                <w:color w:val="000000"/>
              </w:rPr>
              <w:t>Yes</w:t>
            </w:r>
          </w:p>
        </w:tc>
      </w:tr>
    </w:tbl>
    <w:p w:rsidRPr="008D250E" w:rsidR="00A92D0B" w:rsidP="0074725A" w:rsidRDefault="00A92D0B" w14:paraId="0068592B" w14:textId="77777777">
      <w:pPr>
        <w:keepNext/>
        <w:numPr>
          <w:ilvl w:val="0"/>
          <w:numId w:val="5"/>
        </w:numPr>
        <w:spacing w:before="240" w:after="120"/>
        <w:rPr>
          <w:b/>
          <w:color w:val="000000"/>
        </w:rPr>
      </w:pPr>
      <w:r w:rsidRPr="008D250E">
        <w:rPr>
          <w:b/>
          <w:color w:val="000000"/>
        </w:rPr>
        <w:lastRenderedPageBreak/>
        <w:t>Additional Comments on Part I</w:t>
      </w:r>
      <w:r w:rsidRPr="008D250E" w:rsidR="00C02649">
        <w:rPr>
          <w:b/>
          <w:color w:val="000000"/>
        </w:rPr>
        <w:t>:</w:t>
      </w:r>
      <w:r w:rsidRPr="008D250E">
        <w:rPr>
          <w:b/>
          <w:color w:val="000000"/>
        </w:rPr>
        <w:t xml:space="preserve"> </w:t>
      </w:r>
      <w:r w:rsidRPr="008D250E">
        <w:rPr>
          <w:b/>
          <w:i/>
          <w:color w:val="000000"/>
          <w:u w:val="single"/>
        </w:rPr>
        <w:t>(use l</w:t>
      </w:r>
      <w:r w:rsidRPr="008D250E" w:rsidR="0022302F">
        <w:rPr>
          <w:b/>
          <w:i/>
          <w:color w:val="000000"/>
          <w:u w:val="single"/>
        </w:rPr>
        <w:t>ine reference # as appropriate)</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892"/>
        <w:gridCol w:w="5853"/>
        <w:gridCol w:w="2993"/>
      </w:tblGrid>
      <w:tr w:rsidRPr="008D250E" w:rsidR="005845A2" w:rsidTr="00EB0CD9" w14:paraId="046F77BA" w14:textId="77777777">
        <w:trPr>
          <w:tblHeader/>
        </w:trPr>
        <w:tc>
          <w:tcPr>
            <w:tcW w:w="892" w:type="dxa"/>
            <w:tcBorders>
              <w:bottom w:val="single" w:color="auto" w:sz="4" w:space="0"/>
            </w:tcBorders>
            <w:shd w:val="clear" w:color="auto" w:fill="D9D9D9" w:themeFill="background1" w:themeFillShade="D9"/>
          </w:tcPr>
          <w:p w:rsidRPr="008D250E" w:rsidR="003C608A" w:rsidP="00EB0CD9" w:rsidRDefault="003C608A" w14:paraId="0CB867A6" w14:textId="77777777">
            <w:pPr>
              <w:tabs>
                <w:tab w:val="left" w:pos="360"/>
              </w:tabs>
              <w:jc w:val="center"/>
              <w:rPr>
                <w:b/>
                <w:color w:val="000000"/>
              </w:rPr>
            </w:pPr>
            <w:r w:rsidRPr="008D250E">
              <w:rPr>
                <w:b/>
                <w:color w:val="000000"/>
              </w:rPr>
              <w:t>#</w:t>
            </w:r>
          </w:p>
        </w:tc>
        <w:tc>
          <w:tcPr>
            <w:tcW w:w="5853" w:type="dxa"/>
            <w:tcBorders>
              <w:bottom w:val="single" w:color="auto" w:sz="4" w:space="0"/>
            </w:tcBorders>
            <w:shd w:val="clear" w:color="auto" w:fill="D9D9D9" w:themeFill="background1" w:themeFillShade="D9"/>
          </w:tcPr>
          <w:p w:rsidRPr="008D250E" w:rsidR="003C608A" w:rsidP="00EB0CD9" w:rsidRDefault="003C608A" w14:paraId="196D09DF" w14:textId="77777777">
            <w:pPr>
              <w:tabs>
                <w:tab w:val="left" w:pos="360"/>
              </w:tabs>
              <w:jc w:val="center"/>
              <w:rPr>
                <w:b/>
                <w:color w:val="000000"/>
              </w:rPr>
            </w:pPr>
            <w:r w:rsidRPr="008D250E">
              <w:rPr>
                <w:b/>
                <w:color w:val="000000"/>
              </w:rPr>
              <w:t>Intervenor’s Comment(s)</w:t>
            </w:r>
          </w:p>
        </w:tc>
        <w:tc>
          <w:tcPr>
            <w:tcW w:w="2993" w:type="dxa"/>
            <w:shd w:val="clear" w:color="auto" w:fill="D9D9D9" w:themeFill="background1" w:themeFillShade="D9"/>
          </w:tcPr>
          <w:p w:rsidRPr="008D250E" w:rsidR="003C608A" w:rsidP="00EB0CD9" w:rsidRDefault="003C608A" w14:paraId="07207D31" w14:textId="77777777">
            <w:pPr>
              <w:tabs>
                <w:tab w:val="left" w:pos="360"/>
              </w:tabs>
              <w:jc w:val="center"/>
              <w:rPr>
                <w:b/>
                <w:color w:val="000000"/>
              </w:rPr>
            </w:pPr>
            <w:r w:rsidRPr="008D250E">
              <w:rPr>
                <w:b/>
                <w:color w:val="000000"/>
              </w:rPr>
              <w:t>CPUC Discussion</w:t>
            </w:r>
          </w:p>
        </w:tc>
      </w:tr>
      <w:tr w:rsidRPr="008D250E" w:rsidR="005845A2" w:rsidTr="00D769BE" w14:paraId="1C6180A4" w14:textId="77777777">
        <w:trPr>
          <w:trHeight w:val="67"/>
        </w:trPr>
        <w:tc>
          <w:tcPr>
            <w:tcW w:w="892" w:type="dxa"/>
            <w:shd w:val="clear" w:color="auto" w:fill="auto"/>
          </w:tcPr>
          <w:p w:rsidRPr="008D250E" w:rsidR="003C608A" w:rsidP="0074725A" w:rsidRDefault="005845A2" w14:paraId="4350D384" w14:textId="50491C7C">
            <w:pPr>
              <w:tabs>
                <w:tab w:val="left" w:pos="360"/>
              </w:tabs>
              <w:spacing w:after="240"/>
              <w:rPr>
                <w:color w:val="000000"/>
              </w:rPr>
            </w:pPr>
            <w:r w:rsidRPr="008D250E">
              <w:rPr>
                <w:color w:val="000000"/>
              </w:rPr>
              <w:t>B.1</w:t>
            </w:r>
            <w:r w:rsidR="00747698">
              <w:rPr>
                <w:color w:val="000000"/>
              </w:rPr>
              <w:noBreakHyphen/>
            </w:r>
            <w:r w:rsidRPr="008D250E">
              <w:rPr>
                <w:color w:val="000000"/>
              </w:rPr>
              <w:t>4</w:t>
            </w:r>
          </w:p>
        </w:tc>
        <w:tc>
          <w:tcPr>
            <w:tcW w:w="5853" w:type="dxa"/>
            <w:shd w:val="clear" w:color="auto" w:fill="auto"/>
          </w:tcPr>
          <w:p w:rsidRPr="008D250E" w:rsidR="003C608A" w:rsidP="0032774B" w:rsidRDefault="005845A2" w14:paraId="0ECF4A98" w14:textId="0C05AB64">
            <w:pPr>
              <w:tabs>
                <w:tab w:val="left" w:pos="360"/>
              </w:tabs>
              <w:rPr>
                <w:color w:val="000000"/>
              </w:rPr>
            </w:pPr>
            <w:r w:rsidRPr="008D250E">
              <w:rPr>
                <w:color w:val="000000"/>
              </w:rPr>
              <w:t>The OII specified that NOIs should be filed within 90 days of the issuance of the OII, which would have been August 19, 2014.  TURN was not an active party to the proceeding during the first round of comments.  Almost a year after parties filed initial comments on the OII, the Assigned Commissioner issued a Scoping Memo that included additional issues from the OII that were not addressed in the preliminary scoping memo.  TURN filed comments on the issues set forth in the Scoping Memo and filed its NOI contemporaneously with those comments.  On July 9, 2015, the Administrative Law Judge issued a ruling accepting TURN’s NOI and making “a preliminary finding that TURN is eligible to request intervenor compensation in this proceeding.”</w:t>
            </w:r>
            <w:r w:rsidRPr="008D250E" w:rsidR="00645688">
              <w:rPr>
                <w:color w:val="000000"/>
              </w:rPr>
              <w:t xml:space="preserve">  TURN has been awarded compensation for its work on </w:t>
            </w:r>
            <w:r w:rsidR="00C35A4D">
              <w:rPr>
                <w:color w:val="000000"/>
              </w:rPr>
              <w:t>Phase 1</w:t>
            </w:r>
            <w:r w:rsidRPr="008D250E" w:rsidR="00645688">
              <w:rPr>
                <w:color w:val="000000"/>
              </w:rPr>
              <w:t xml:space="preserve"> of this proceeding in D.17</w:t>
            </w:r>
            <w:r w:rsidR="00747698">
              <w:rPr>
                <w:color w:val="000000"/>
              </w:rPr>
              <w:noBreakHyphen/>
            </w:r>
            <w:r w:rsidRPr="008D250E" w:rsidR="00645688">
              <w:rPr>
                <w:color w:val="000000"/>
              </w:rPr>
              <w:t>05</w:t>
            </w:r>
            <w:r w:rsidR="00747698">
              <w:rPr>
                <w:color w:val="000000"/>
              </w:rPr>
              <w:noBreakHyphen/>
            </w:r>
            <w:r w:rsidRPr="008D250E" w:rsidR="00645688">
              <w:rPr>
                <w:color w:val="000000"/>
              </w:rPr>
              <w:t>012.</w:t>
            </w:r>
          </w:p>
        </w:tc>
        <w:tc>
          <w:tcPr>
            <w:tcW w:w="2993" w:type="dxa"/>
            <w:shd w:val="clear" w:color="auto" w:fill="auto"/>
          </w:tcPr>
          <w:p w:rsidRPr="008D250E" w:rsidR="003C608A" w:rsidP="00B45D22" w:rsidRDefault="00D05276" w14:paraId="416D6250" w14:textId="7B2BB6B3">
            <w:pPr>
              <w:tabs>
                <w:tab w:val="left" w:pos="360"/>
              </w:tabs>
              <w:spacing w:after="240"/>
              <w:jc w:val="center"/>
              <w:rPr>
                <w:color w:val="000000"/>
              </w:rPr>
            </w:pPr>
            <w:r>
              <w:rPr>
                <w:color w:val="000000"/>
              </w:rPr>
              <w:t>Verified</w:t>
            </w:r>
          </w:p>
        </w:tc>
      </w:tr>
    </w:tbl>
    <w:p w:rsidRPr="008D250E" w:rsidR="003B6A1B" w:rsidP="00912972" w:rsidRDefault="00A92D0B" w14:paraId="501B5F3D" w14:textId="77777777">
      <w:pPr>
        <w:keepNext/>
        <w:spacing w:before="240" w:after="120"/>
        <w:jc w:val="center"/>
        <w:rPr>
          <w:b/>
          <w:color w:val="000000"/>
        </w:rPr>
      </w:pPr>
      <w:r w:rsidRPr="008D250E">
        <w:rPr>
          <w:b/>
          <w:color w:val="000000"/>
        </w:rPr>
        <w:t>PART II:  SUBSTANTIAL CONTRIBUTION</w:t>
      </w:r>
    </w:p>
    <w:p w:rsidRPr="008D250E" w:rsidR="00A92D0B" w:rsidP="00C02649" w:rsidRDefault="00D075B1" w14:paraId="337CC332" w14:textId="67847A0C">
      <w:pPr>
        <w:numPr>
          <w:ilvl w:val="0"/>
          <w:numId w:val="1"/>
        </w:numPr>
        <w:tabs>
          <w:tab w:val="clear" w:pos="900"/>
          <w:tab w:val="num" w:pos="360"/>
        </w:tabs>
        <w:spacing w:after="120"/>
        <w:ind w:left="360"/>
        <w:rPr>
          <w:b/>
          <w:color w:val="000000"/>
        </w:rPr>
      </w:pPr>
      <w:r w:rsidRPr="008D250E">
        <w:rPr>
          <w:b/>
          <w:color w:val="000000"/>
        </w:rPr>
        <w:t xml:space="preserve">Did the </w:t>
      </w:r>
      <w:r w:rsidRPr="008D250E" w:rsidR="005A63D4">
        <w:rPr>
          <w:b/>
          <w:color w:val="000000"/>
        </w:rPr>
        <w:t>Intervenor</w:t>
      </w:r>
      <w:r w:rsidRPr="008D250E">
        <w:rPr>
          <w:b/>
          <w:color w:val="000000"/>
        </w:rPr>
        <w:t xml:space="preserve"> substantially contribute to the final decision</w:t>
      </w:r>
      <w:r w:rsidRPr="008D250E" w:rsidR="00A92D0B">
        <w:rPr>
          <w:b/>
          <w:color w:val="000000"/>
        </w:rPr>
        <w:t xml:space="preserve"> (</w:t>
      </w:r>
      <w:r w:rsidRPr="008D250E" w:rsidR="00A92D0B">
        <w:rPr>
          <w:b/>
          <w:i/>
          <w:color w:val="000000"/>
        </w:rPr>
        <w:t>see</w:t>
      </w:r>
      <w:r w:rsidRPr="008D250E" w:rsidR="00A92D0B">
        <w:rPr>
          <w:b/>
          <w:color w:val="000000"/>
        </w:rPr>
        <w:t xml:space="preserve"> </w:t>
      </w:r>
      <w:r w:rsidR="0095390B">
        <w:rPr>
          <w:b/>
          <w:color w:val="000000"/>
        </w:rPr>
        <w:t>§ </w:t>
      </w:r>
      <w:r w:rsidRPr="008D250E" w:rsidR="00A92D0B">
        <w:rPr>
          <w:b/>
          <w:color w:val="000000"/>
        </w:rPr>
        <w:t>1802(</w:t>
      </w:r>
      <w:r w:rsidRPr="008D250E" w:rsidR="00ED6B6B">
        <w:rPr>
          <w:b/>
          <w:color w:val="000000"/>
        </w:rPr>
        <w:t>j</w:t>
      </w:r>
      <w:r w:rsidRPr="008D250E" w:rsidR="00A92D0B">
        <w:rPr>
          <w:b/>
          <w:color w:val="000000"/>
        </w:rPr>
        <w:t xml:space="preserve">), </w:t>
      </w:r>
      <w:r w:rsidRPr="008D250E" w:rsidR="001E77CF">
        <w:rPr>
          <w:b/>
          <w:color w:val="000000"/>
        </w:rPr>
        <w:br/>
      </w:r>
      <w:r w:rsidR="0095390B">
        <w:rPr>
          <w:b/>
          <w:color w:val="000000"/>
        </w:rPr>
        <w:t>§ </w:t>
      </w:r>
      <w:r w:rsidRPr="008D250E" w:rsidR="00A92D0B">
        <w:rPr>
          <w:b/>
          <w:color w:val="000000"/>
        </w:rPr>
        <w:t>1803(a)</w:t>
      </w:r>
      <w:r w:rsidRPr="008D250E" w:rsidR="00F30DA8">
        <w:rPr>
          <w:b/>
          <w:color w:val="000000"/>
        </w:rPr>
        <w:t>,</w:t>
      </w:r>
      <w:r w:rsidRPr="008D250E" w:rsidR="00A92D0B">
        <w:rPr>
          <w:b/>
          <w:color w:val="000000"/>
        </w:rPr>
        <w:t xml:space="preserve"> </w:t>
      </w:r>
      <w:r w:rsidRPr="008D250E" w:rsidR="00ED6B6B">
        <w:rPr>
          <w:b/>
          <w:color w:val="000000"/>
        </w:rPr>
        <w:t xml:space="preserve">1803.1(a) </w:t>
      </w:r>
      <w:r w:rsidRPr="008D250E" w:rsidR="00F30DA8">
        <w:rPr>
          <w:b/>
          <w:color w:val="000000"/>
        </w:rPr>
        <w:t>and</w:t>
      </w:r>
      <w:r w:rsidRPr="008D250E" w:rsidR="00A92D0B">
        <w:rPr>
          <w:b/>
          <w:color w:val="000000"/>
        </w:rPr>
        <w:t xml:space="preserve"> D.98</w:t>
      </w:r>
      <w:r w:rsidR="00747698">
        <w:rPr>
          <w:b/>
          <w:color w:val="000000"/>
        </w:rPr>
        <w:noBreakHyphen/>
      </w:r>
      <w:r w:rsidRPr="008D250E" w:rsidR="00A92D0B">
        <w:rPr>
          <w:b/>
          <w:color w:val="000000"/>
        </w:rPr>
        <w:t>04</w:t>
      </w:r>
      <w:r w:rsidR="00747698">
        <w:rPr>
          <w:b/>
          <w:color w:val="000000"/>
        </w:rPr>
        <w:noBreakHyphen/>
      </w:r>
      <w:r w:rsidRPr="008D250E" w:rsidR="00A92D0B">
        <w:rPr>
          <w:b/>
          <w:color w:val="000000"/>
        </w:rPr>
        <w:t>059)</w:t>
      </w:r>
      <w:r w:rsidRPr="008D250E" w:rsidR="00C02649">
        <w:rPr>
          <w:b/>
          <w:color w:val="000000"/>
        </w:rPr>
        <w:t>:</w:t>
      </w:r>
      <w:r w:rsidRPr="008D250E" w:rsidR="00A92D0B">
        <w:rPr>
          <w:b/>
          <w:color w:val="000000"/>
        </w:rPr>
        <w:t xml:space="preserve">  </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5323"/>
        <w:gridCol w:w="2951"/>
        <w:gridCol w:w="1464"/>
      </w:tblGrid>
      <w:tr w:rsidRPr="008D250E" w:rsidR="00E95788" w:rsidTr="00555975" w14:paraId="67755362" w14:textId="77777777">
        <w:trPr>
          <w:tblHeader/>
        </w:trPr>
        <w:tc>
          <w:tcPr>
            <w:tcW w:w="5323" w:type="dxa"/>
            <w:tcBorders>
              <w:bottom w:val="single" w:color="auto" w:sz="4" w:space="0"/>
            </w:tcBorders>
            <w:shd w:val="pct12" w:color="auto" w:fill="auto"/>
            <w:vAlign w:val="bottom"/>
          </w:tcPr>
          <w:p w:rsidRPr="008D250E" w:rsidR="00A92D0B" w:rsidP="00555975" w:rsidRDefault="00D075B1" w14:paraId="7CE2E5BB" w14:textId="77777777">
            <w:pPr>
              <w:jc w:val="center"/>
              <w:rPr>
                <w:b/>
                <w:color w:val="000000"/>
              </w:rPr>
            </w:pPr>
            <w:r w:rsidRPr="008D250E">
              <w:rPr>
                <w:b/>
                <w:color w:val="000000"/>
              </w:rPr>
              <w:t>Intervenor’s Claimed Contribution(s)</w:t>
            </w:r>
          </w:p>
        </w:tc>
        <w:tc>
          <w:tcPr>
            <w:tcW w:w="2951" w:type="dxa"/>
            <w:tcBorders>
              <w:bottom w:val="single" w:color="auto" w:sz="4" w:space="0"/>
            </w:tcBorders>
            <w:shd w:val="pct12" w:color="auto" w:fill="auto"/>
            <w:vAlign w:val="bottom"/>
          </w:tcPr>
          <w:p w:rsidR="00555975" w:rsidP="00555975" w:rsidRDefault="00A92D0B" w14:paraId="60B1FB6E" w14:textId="77777777">
            <w:pPr>
              <w:jc w:val="center"/>
              <w:rPr>
                <w:b/>
                <w:color w:val="000000"/>
              </w:rPr>
            </w:pPr>
            <w:r w:rsidRPr="008D250E">
              <w:rPr>
                <w:b/>
                <w:color w:val="000000"/>
              </w:rPr>
              <w:t xml:space="preserve">Specific References </w:t>
            </w:r>
          </w:p>
          <w:p w:rsidR="00555975" w:rsidP="00555975" w:rsidRDefault="00A92D0B" w14:paraId="6B1EC8DC" w14:textId="77777777">
            <w:pPr>
              <w:jc w:val="center"/>
              <w:rPr>
                <w:b/>
                <w:color w:val="000000"/>
              </w:rPr>
            </w:pPr>
            <w:r w:rsidRPr="008D250E">
              <w:rPr>
                <w:b/>
                <w:color w:val="000000"/>
              </w:rPr>
              <w:t xml:space="preserve">to </w:t>
            </w:r>
            <w:r w:rsidRPr="008D250E" w:rsidR="00D075B1">
              <w:rPr>
                <w:b/>
                <w:color w:val="000000"/>
              </w:rPr>
              <w:t xml:space="preserve">Intervenor’s </w:t>
            </w:r>
          </w:p>
          <w:p w:rsidRPr="008D250E" w:rsidR="00A92D0B" w:rsidP="00555975" w:rsidRDefault="00D075B1" w14:paraId="2794272E" w14:textId="2707A3AC">
            <w:pPr>
              <w:jc w:val="center"/>
              <w:rPr>
                <w:b/>
                <w:color w:val="000000"/>
              </w:rPr>
            </w:pPr>
            <w:r w:rsidRPr="008D250E">
              <w:rPr>
                <w:b/>
                <w:color w:val="000000"/>
              </w:rPr>
              <w:t>Claimed Contribution(s)</w:t>
            </w:r>
          </w:p>
        </w:tc>
        <w:tc>
          <w:tcPr>
            <w:tcW w:w="1464" w:type="dxa"/>
            <w:shd w:val="pct12" w:color="auto" w:fill="auto"/>
            <w:vAlign w:val="bottom"/>
          </w:tcPr>
          <w:p w:rsidR="00F13BAD" w:rsidP="00226770" w:rsidRDefault="00D075B1" w14:paraId="14986EC9" w14:textId="6717F1D8">
            <w:pPr>
              <w:jc w:val="center"/>
              <w:rPr>
                <w:b/>
                <w:color w:val="000000"/>
              </w:rPr>
            </w:pPr>
            <w:r w:rsidRPr="008D250E">
              <w:rPr>
                <w:b/>
                <w:color w:val="000000"/>
              </w:rPr>
              <w:t>CPUC</w:t>
            </w:r>
          </w:p>
          <w:p w:rsidRPr="008D250E" w:rsidR="00A92D0B" w:rsidP="00226770" w:rsidRDefault="00D075B1" w14:paraId="79AFC714" w14:textId="1660A4A1">
            <w:pPr>
              <w:jc w:val="center"/>
              <w:rPr>
                <w:b/>
                <w:color w:val="000000"/>
              </w:rPr>
            </w:pPr>
            <w:r w:rsidRPr="008D250E">
              <w:rPr>
                <w:b/>
                <w:color w:val="000000"/>
              </w:rPr>
              <w:t>Discussion</w:t>
            </w:r>
          </w:p>
        </w:tc>
      </w:tr>
      <w:tr w:rsidRPr="008D250E" w:rsidR="00E95788" w:rsidTr="006F3085" w14:paraId="2E691FFC" w14:textId="77777777">
        <w:tc>
          <w:tcPr>
            <w:tcW w:w="5323" w:type="dxa"/>
            <w:shd w:val="clear" w:color="auto" w:fill="auto"/>
          </w:tcPr>
          <w:p w:rsidRPr="008D250E" w:rsidR="00A92D0B" w:rsidP="0032774B" w:rsidRDefault="00A92D0B" w14:paraId="54649358" w14:textId="58D266F3">
            <w:pPr>
              <w:rPr>
                <w:color w:val="000000"/>
                <w:u w:val="single"/>
              </w:rPr>
            </w:pPr>
            <w:r w:rsidRPr="008D250E">
              <w:rPr>
                <w:color w:val="000000"/>
              </w:rPr>
              <w:t>1.</w:t>
            </w:r>
            <w:r w:rsidRPr="008D250E" w:rsidR="00E25078">
              <w:rPr>
                <w:color w:val="000000"/>
              </w:rPr>
              <w:t xml:space="preserve"> </w:t>
            </w:r>
            <w:r w:rsidRPr="008D250E" w:rsidR="00BD06B9">
              <w:rPr>
                <w:color w:val="000000"/>
                <w:u w:val="single"/>
              </w:rPr>
              <w:t>Background</w:t>
            </w:r>
          </w:p>
          <w:p w:rsidRPr="008D250E" w:rsidR="00BD06B9" w:rsidP="0032774B" w:rsidRDefault="00BD06B9" w14:paraId="26DF0832" w14:textId="0F61B5AA">
            <w:pPr>
              <w:spacing w:after="240"/>
            </w:pPr>
            <w:r w:rsidRPr="008D250E">
              <w:t>Following call completion failures primarily in rural areas of the state, the Commission opened this proceeding to investigate the underlying cause of those failures and to remediate the failures’ effects on communication in general, including on public safety.  In 2016, the Commission issued Decision 16</w:t>
            </w:r>
            <w:r w:rsidR="00747698">
              <w:noBreakHyphen/>
            </w:r>
            <w:r w:rsidRPr="008D250E">
              <w:t>12</w:t>
            </w:r>
            <w:r w:rsidR="00747698">
              <w:noBreakHyphen/>
            </w:r>
            <w:r w:rsidRPr="008D250E">
              <w:t xml:space="preserve">066, which </w:t>
            </w:r>
            <w:r w:rsidRPr="008D250E" w:rsidR="00645688">
              <w:t xml:space="preserve">made findings regarding the causes of </w:t>
            </w:r>
            <w:r w:rsidRPr="008D250E">
              <w:t xml:space="preserve">call completion </w:t>
            </w:r>
            <w:r w:rsidRPr="008D250E" w:rsidR="00645688">
              <w:t xml:space="preserve">failures and other types of </w:t>
            </w:r>
            <w:r w:rsidRPr="008D250E">
              <w:t>outages, and required carriers and Staff to take action to prevent future call completion failures</w:t>
            </w:r>
            <w:r w:rsidRPr="008D250E" w:rsidR="007A5240">
              <w:t xml:space="preserve"> and to facilitate information exchange between carriers and emergency responder agencies</w:t>
            </w:r>
            <w:r w:rsidRPr="008D250E">
              <w:t xml:space="preserve">.  </w:t>
            </w:r>
            <w:r w:rsidRPr="008D250E" w:rsidR="00645688">
              <w:t xml:space="preserve">The </w:t>
            </w:r>
            <w:r w:rsidR="00C35A4D">
              <w:t>Phase 1</w:t>
            </w:r>
            <w:r w:rsidRPr="008D250E" w:rsidR="00645688">
              <w:t xml:space="preserve"> Decision adopted multiple action items and deliverables for the Commission Staff, emergency personnel agencies and communications providers to discuss, further refine, and implement the findings </w:t>
            </w:r>
            <w:r w:rsidRPr="008D250E" w:rsidR="00645688">
              <w:lastRenderedPageBreak/>
              <w:t xml:space="preserve">and orders within the Decision.  </w:t>
            </w:r>
            <w:r w:rsidRPr="008D250E">
              <w:t xml:space="preserve">TURN was an active party, engaging with consumers and encouraging public comment throughout the state, and the Commission found </w:t>
            </w:r>
            <w:r w:rsidRPr="008D250E" w:rsidR="00351CDD">
              <w:t xml:space="preserve">that </w:t>
            </w:r>
            <w:r w:rsidRPr="008D250E" w:rsidR="00B74DFD">
              <w:t>TURN</w:t>
            </w:r>
            <w:r w:rsidRPr="008D250E">
              <w:t xml:space="preserve"> contributed substantially to </w:t>
            </w:r>
            <w:r w:rsidRPr="008D250E" w:rsidR="00B74DFD">
              <w:t xml:space="preserve">the </w:t>
            </w:r>
            <w:r w:rsidR="00C35A4D">
              <w:t>Phase 1</w:t>
            </w:r>
            <w:r w:rsidRPr="008D250E" w:rsidR="00B74DFD">
              <w:t xml:space="preserve"> Decision</w:t>
            </w:r>
            <w:r w:rsidRPr="008D250E">
              <w:t xml:space="preserve"> </w:t>
            </w:r>
            <w:r w:rsidRPr="008D250E" w:rsidR="00B74DFD">
              <w:t>in this</w:t>
            </w:r>
            <w:r w:rsidRPr="008D250E">
              <w:t xml:space="preserve"> proceeding.  </w:t>
            </w:r>
          </w:p>
          <w:p w:rsidRPr="008D250E" w:rsidR="00645688" w:rsidP="0032774B" w:rsidRDefault="00BD06B9" w14:paraId="0C6939EA" w14:textId="17B2731F">
            <w:pPr>
              <w:spacing w:after="240"/>
            </w:pPr>
            <w:r w:rsidRPr="008D250E">
              <w:t>In</w:t>
            </w:r>
            <w:r w:rsidRPr="008D250E" w:rsidR="00B74DFD">
              <w:t xml:space="preserve"> </w:t>
            </w:r>
            <w:r w:rsidR="00C35A4D">
              <w:t>Phase 2</w:t>
            </w:r>
            <w:r w:rsidRPr="008D250E" w:rsidR="00B74DFD">
              <w:t xml:space="preserve"> of this</w:t>
            </w:r>
            <w:r w:rsidRPr="008D250E">
              <w:t xml:space="preserve"> proceeding,</w:t>
            </w:r>
            <w:r w:rsidRPr="008D250E" w:rsidR="00645688">
              <w:t xml:space="preserve"> in the face of </w:t>
            </w:r>
            <w:r w:rsidR="00DF760C">
              <w:t>a Motion</w:t>
            </w:r>
            <w:r w:rsidRPr="008D250E" w:rsidR="00645688">
              <w:t xml:space="preserve"> to Stay from the industry participants,</w:t>
            </w:r>
            <w:r w:rsidRPr="008D250E">
              <w:t xml:space="preserve"> TURN advocated that the Commission expedite its work in this proceeding, especially in light of </w:t>
            </w:r>
            <w:r w:rsidRPr="008D250E" w:rsidR="00B74DFD">
              <w:t xml:space="preserve">the </w:t>
            </w:r>
            <w:r w:rsidRPr="008D250E">
              <w:t>then</w:t>
            </w:r>
            <w:r w:rsidR="00747698">
              <w:noBreakHyphen/>
            </w:r>
            <w:r w:rsidRPr="008D250E">
              <w:t xml:space="preserve">recent wildfires and the need for reliable communication in rural areas of the state. </w:t>
            </w:r>
            <w:r w:rsidRPr="008D250E" w:rsidR="00645688">
              <w:t xml:space="preserve">The Commission Staff moved forward with </w:t>
            </w:r>
            <w:r w:rsidR="00C35A4D">
              <w:t>Phase 2</w:t>
            </w:r>
            <w:r w:rsidRPr="008D250E" w:rsidR="00645688">
              <w:t xml:space="preserve"> through a handful of workshops and comment cycles.  Although intervenors were not invited to participate in each </w:t>
            </w:r>
            <w:r w:rsidR="00C35A4D">
              <w:t>Phase 2</w:t>
            </w:r>
            <w:r w:rsidRPr="008D250E" w:rsidR="00645688">
              <w:t xml:space="preserve"> event, TURN, along with </w:t>
            </w:r>
            <w:proofErr w:type="spellStart"/>
            <w:r w:rsidRPr="008D250E" w:rsidR="00645688">
              <w:t>CforAT</w:t>
            </w:r>
            <w:proofErr w:type="spellEnd"/>
            <w:r w:rsidRPr="008D250E" w:rsidR="00645688">
              <w:t xml:space="preserve"> and Public Advocates, participated in workshops and each opportunity for comments and took its own affirmative steps to move the Commission’s process along to address pressing social issues regarding network resiliency and outages in rural areas.</w:t>
            </w:r>
          </w:p>
          <w:p w:rsidRPr="008D250E" w:rsidR="00BD06B9" w:rsidP="0032774B" w:rsidRDefault="00BD06B9" w14:paraId="18AC4466" w14:textId="57DD18F7">
            <w:pPr>
              <w:spacing w:after="240"/>
            </w:pPr>
            <w:r w:rsidRPr="008D250E">
              <w:t xml:space="preserve">In its </w:t>
            </w:r>
            <w:r w:rsidR="00C35A4D">
              <w:t>Phase 2</w:t>
            </w:r>
            <w:r w:rsidRPr="008D250E">
              <w:t xml:space="preserve"> Decision, the Commission </w:t>
            </w:r>
            <w:r w:rsidRPr="008D250E" w:rsidR="00645688">
              <w:t>find</w:t>
            </w:r>
            <w:r w:rsidRPr="008D250E" w:rsidR="003F48CD">
              <w:t>s</w:t>
            </w:r>
            <w:r w:rsidRPr="008D250E" w:rsidR="00645688">
              <w:t xml:space="preserve"> that Staff and other stakeholders have “completed their tasks” as set forth in the </w:t>
            </w:r>
            <w:r w:rsidR="00C35A4D">
              <w:t>Phase 1</w:t>
            </w:r>
            <w:r w:rsidRPr="008D250E" w:rsidR="00645688">
              <w:t xml:space="preserve"> Decision</w:t>
            </w:r>
            <w:r w:rsidRPr="008D250E" w:rsidR="003F48CD">
              <w:t>. Y</w:t>
            </w:r>
            <w:r w:rsidRPr="008D250E" w:rsidR="00645688">
              <w:t>et, the Commission also notes that some issues in this proceeding remain active</w:t>
            </w:r>
            <w:r w:rsidRPr="008D250E" w:rsidR="003F48CD">
              <w:t xml:space="preserve"> before the Commission</w:t>
            </w:r>
            <w:r w:rsidRPr="008D250E" w:rsidR="00645688">
              <w:t xml:space="preserve"> and </w:t>
            </w:r>
            <w:r w:rsidRPr="008D250E" w:rsidR="0035152C">
              <w:t>determines that it will</w:t>
            </w:r>
            <w:r w:rsidRPr="008D250E">
              <w:t xml:space="preserve"> further consider remaining call failures, public safety, and service quality issues in </w:t>
            </w:r>
            <w:r w:rsidRPr="008D250E" w:rsidR="00645688">
              <w:t xml:space="preserve">other </w:t>
            </w:r>
            <w:r w:rsidRPr="008D250E">
              <w:t>proceedings.</w:t>
            </w:r>
            <w:r w:rsidRPr="008D250E" w:rsidR="00662BD7">
              <w:t xml:space="preserve">  </w:t>
            </w:r>
            <w:r w:rsidRPr="008D250E">
              <w:t xml:space="preserve">The </w:t>
            </w:r>
            <w:r w:rsidR="00C35A4D">
              <w:t>Phase 2</w:t>
            </w:r>
            <w:r w:rsidRPr="008D250E">
              <w:t xml:space="preserve"> Decision includes clarification</w:t>
            </w:r>
            <w:r w:rsidRPr="008D250E" w:rsidR="00645688">
              <w:t>s requested by TURN, which</w:t>
            </w:r>
            <w:r w:rsidRPr="008D250E" w:rsidR="0035152C">
              <w:t xml:space="preserve"> not only support the record in this proceeding but will also</w:t>
            </w:r>
            <w:r w:rsidRPr="008D250E">
              <w:t xml:space="preserve"> assist the Commission’s work in other proceedings where the robust record of this pro</w:t>
            </w:r>
            <w:r w:rsidRPr="008D250E" w:rsidR="00645688">
              <w:t>ceeding will be</w:t>
            </w:r>
            <w:r w:rsidRPr="008D250E">
              <w:t xml:space="preserve"> available. </w:t>
            </w:r>
          </w:p>
          <w:p w:rsidRPr="008D250E" w:rsidR="00E25078" w:rsidP="0032774B" w:rsidRDefault="00BD06B9" w14:paraId="1B0CC007" w14:textId="21FB7028">
            <w:pPr>
              <w:spacing w:after="240"/>
            </w:pPr>
            <w:r w:rsidRPr="008D250E">
              <w:t xml:space="preserve">As such, TURN files its compensation request </w:t>
            </w:r>
            <w:r w:rsidRPr="008D250E" w:rsidR="00645688">
              <w:t xml:space="preserve">and requests that the Commission finds that it has made a substantial contribution to the record of this proceeding that has, in turn, allowed </w:t>
            </w:r>
            <w:r w:rsidRPr="008D250E">
              <w:t xml:space="preserve">the </w:t>
            </w:r>
            <w:r w:rsidRPr="008D250E">
              <w:lastRenderedPageBreak/>
              <w:t xml:space="preserve">Commission </w:t>
            </w:r>
            <w:r w:rsidRPr="008D250E" w:rsidR="00645688">
              <w:t>to complete</w:t>
            </w:r>
            <w:r w:rsidRPr="008D250E">
              <w:t xml:space="preserve"> its review of providers’ and Staff’s compliance with the </w:t>
            </w:r>
            <w:r w:rsidR="00C35A4D">
              <w:t>Phase 1</w:t>
            </w:r>
            <w:r w:rsidRPr="008D250E">
              <w:t xml:space="preserve"> Decision, </w:t>
            </w:r>
            <w:r w:rsidRPr="008D250E" w:rsidR="00645688">
              <w:t xml:space="preserve">and developed </w:t>
            </w:r>
            <w:r w:rsidRPr="008D250E">
              <w:t xml:space="preserve">the record of this proceeding </w:t>
            </w:r>
            <w:r w:rsidRPr="008D250E" w:rsidR="00645688">
              <w:t xml:space="preserve">which will be </w:t>
            </w:r>
            <w:r w:rsidRPr="008D250E">
              <w:t>available in other proceeding</w:t>
            </w:r>
            <w:r w:rsidRPr="008D250E" w:rsidR="009242C3">
              <w:t>s</w:t>
            </w:r>
            <w:r w:rsidRPr="008D250E">
              <w:t xml:space="preserve"> for further evaluation and analysis.</w:t>
            </w:r>
          </w:p>
        </w:tc>
        <w:tc>
          <w:tcPr>
            <w:tcW w:w="2951" w:type="dxa"/>
            <w:shd w:val="clear" w:color="auto" w:fill="auto"/>
          </w:tcPr>
          <w:p w:rsidRPr="008D250E" w:rsidR="0044470D" w:rsidP="00FE5776" w:rsidRDefault="0044470D" w14:paraId="10C13117" w14:textId="77777777"/>
          <w:p w:rsidR="00FE5776" w:rsidP="00FE5776" w:rsidRDefault="00BD06B9" w14:paraId="31E0E6E3" w14:textId="3AFA94F9">
            <w:r w:rsidRPr="008D250E">
              <w:t>OIR at</w:t>
            </w:r>
            <w:r w:rsidR="00C35A4D">
              <w:t xml:space="preserve"> p. </w:t>
            </w:r>
            <w:r w:rsidRPr="008D250E">
              <w:t>1</w:t>
            </w:r>
            <w:r w:rsidRPr="008D250E" w:rsidR="002C3980">
              <w:t>;</w:t>
            </w:r>
            <w:r w:rsidR="00FE5776">
              <w:t xml:space="preserve"> </w:t>
            </w:r>
          </w:p>
          <w:p w:rsidR="00FE5776" w:rsidP="00FE5776" w:rsidRDefault="00FE5776" w14:paraId="3B539695" w14:textId="77777777"/>
          <w:p w:rsidRPr="008D250E" w:rsidR="002C3980" w:rsidP="00FE5776" w:rsidRDefault="002C3980" w14:paraId="44FD10D4" w14:textId="1AABDDE1">
            <w:r w:rsidRPr="008D250E">
              <w:t>see generally, D.16</w:t>
            </w:r>
            <w:r w:rsidR="00747698">
              <w:noBreakHyphen/>
            </w:r>
            <w:r w:rsidRPr="008D250E">
              <w:t>12</w:t>
            </w:r>
            <w:r w:rsidR="00747698">
              <w:noBreakHyphen/>
            </w:r>
            <w:r w:rsidRPr="008D250E">
              <w:t>066 (</w:t>
            </w:r>
            <w:r w:rsidR="00C35A4D">
              <w:t>Phase 1</w:t>
            </w:r>
            <w:r w:rsidRPr="008D250E">
              <w:t xml:space="preserve"> Decision);</w:t>
            </w:r>
          </w:p>
          <w:p w:rsidR="00FE5776" w:rsidP="00FE5776" w:rsidRDefault="00FE5776" w14:paraId="6090C299" w14:textId="77777777"/>
          <w:p w:rsidRPr="008D250E" w:rsidR="00A92D0B" w:rsidP="00FE5776" w:rsidRDefault="002C3980" w14:paraId="1B3FC2DF" w14:textId="10C494E5">
            <w:r w:rsidRPr="008D250E">
              <w:t>see generally, D.17</w:t>
            </w:r>
            <w:r w:rsidR="00747698">
              <w:noBreakHyphen/>
            </w:r>
            <w:r w:rsidRPr="008D250E">
              <w:t>05</w:t>
            </w:r>
            <w:r w:rsidR="00747698">
              <w:noBreakHyphen/>
            </w:r>
            <w:r w:rsidRPr="008D250E">
              <w:t>012 (granting TURN intervenor compensation for its substantial contribution to D.16</w:t>
            </w:r>
            <w:r w:rsidR="00747698">
              <w:noBreakHyphen/>
            </w:r>
            <w:r w:rsidRPr="008D250E">
              <w:t>12</w:t>
            </w:r>
            <w:r w:rsidR="00747698">
              <w:noBreakHyphen/>
            </w:r>
            <w:r w:rsidRPr="008D250E">
              <w:t>066</w:t>
            </w:r>
            <w:r w:rsidRPr="008D250E" w:rsidR="00F55200">
              <w:t>)</w:t>
            </w:r>
            <w:r w:rsidRPr="008D250E">
              <w:t>.</w:t>
            </w:r>
          </w:p>
          <w:p w:rsidRPr="008D250E" w:rsidR="002C3980" w:rsidP="00FE5776" w:rsidRDefault="002C3980" w14:paraId="1B4894BE" w14:textId="77777777"/>
          <w:p w:rsidRPr="008D250E" w:rsidR="002C3980" w:rsidP="00FE5776" w:rsidRDefault="007F26EE" w14:paraId="13AA8F33" w14:textId="1892CEED">
            <w:r w:rsidRPr="008D250E">
              <w:t xml:space="preserve">See generally, </w:t>
            </w:r>
            <w:r w:rsidRPr="008D250E" w:rsidR="002C3980">
              <w:t xml:space="preserve">TURN and </w:t>
            </w:r>
            <w:proofErr w:type="spellStart"/>
            <w:r w:rsidRPr="008D250E" w:rsidR="002C3980">
              <w:t>CforAT</w:t>
            </w:r>
            <w:proofErr w:type="spellEnd"/>
            <w:r w:rsidRPr="008D250E" w:rsidR="002C3980">
              <w:t xml:space="preserve"> </w:t>
            </w:r>
            <w:r w:rsidRPr="008D250E" w:rsidR="00BD06B9">
              <w:t>Motion for Procedural Schedule</w:t>
            </w:r>
            <w:r w:rsidRPr="008D250E" w:rsidR="001574E7">
              <w:t xml:space="preserve"> </w:t>
            </w:r>
            <w:r w:rsidRPr="008D250E" w:rsidR="002C3980">
              <w:t xml:space="preserve">(dated </w:t>
            </w:r>
            <w:r w:rsidRPr="008D250E" w:rsidR="00AF1730">
              <w:t>December 21, 2017</w:t>
            </w:r>
            <w:r w:rsidRPr="008D250E" w:rsidR="002C3980">
              <w:t xml:space="preserve">); </w:t>
            </w:r>
          </w:p>
          <w:p w:rsidRPr="008D250E" w:rsidR="008B7435" w:rsidP="002370B3" w:rsidRDefault="002C3980" w14:paraId="72CC4B98" w14:textId="17742985">
            <w:r w:rsidRPr="008D250E">
              <w:lastRenderedPageBreak/>
              <w:t>s</w:t>
            </w:r>
            <w:r w:rsidRPr="008D250E" w:rsidR="00BD06B9">
              <w:t>ee</w:t>
            </w:r>
            <w:r w:rsidRPr="008D250E">
              <w:t>,</w:t>
            </w:r>
            <w:r w:rsidRPr="008D250E" w:rsidR="00BD06B9">
              <w:t xml:space="preserve"> e.g.</w:t>
            </w:r>
            <w:r w:rsidRPr="008D250E">
              <w:t>,</w:t>
            </w:r>
            <w:r w:rsidRPr="008D250E" w:rsidR="001F253E">
              <w:t xml:space="preserve"> D.19</w:t>
            </w:r>
            <w:r w:rsidR="00747698">
              <w:noBreakHyphen/>
            </w:r>
            <w:r w:rsidRPr="008D250E" w:rsidR="001F253E">
              <w:t>09</w:t>
            </w:r>
            <w:r w:rsidR="00747698">
              <w:noBreakHyphen/>
            </w:r>
            <w:r w:rsidRPr="008D250E" w:rsidR="001F253E">
              <w:t>042 at</w:t>
            </w:r>
            <w:r w:rsidR="00C35A4D">
              <w:t xml:space="preserve"> pp. </w:t>
            </w:r>
            <w:r w:rsidRPr="008D250E" w:rsidR="008B7435">
              <w:t>8 (workshops), 91 (motion for procedural schedule), 10</w:t>
            </w:r>
            <w:r w:rsidR="00747698">
              <w:noBreakHyphen/>
            </w:r>
            <w:r w:rsidRPr="008D250E" w:rsidR="008B7435">
              <w:t>11 (comment cycles).</w:t>
            </w:r>
          </w:p>
          <w:p w:rsidR="008B7435" w:rsidP="002370B3" w:rsidRDefault="008B7435" w14:paraId="311BB29A" w14:textId="2511D134"/>
          <w:p w:rsidR="0001112A" w:rsidP="002370B3" w:rsidRDefault="0001112A" w14:paraId="379383E8" w14:textId="31382C78"/>
          <w:p w:rsidRPr="008D250E" w:rsidR="0001112A" w:rsidP="002370B3" w:rsidRDefault="0001112A" w14:paraId="530EB6D5" w14:textId="77777777"/>
          <w:p w:rsidRPr="008D250E" w:rsidR="008B7435" w:rsidP="002370B3" w:rsidRDefault="008B7435" w14:paraId="0E9F9E9B" w14:textId="26340671">
            <w:r w:rsidRPr="008D250E">
              <w:t>D.19</w:t>
            </w:r>
            <w:r w:rsidR="00747698">
              <w:noBreakHyphen/>
            </w:r>
            <w:r w:rsidRPr="008D250E">
              <w:t>09</w:t>
            </w:r>
            <w:r w:rsidR="00747698">
              <w:noBreakHyphen/>
            </w:r>
            <w:r w:rsidRPr="008D250E">
              <w:t>042 at</w:t>
            </w:r>
            <w:r w:rsidR="00C35A4D">
              <w:t xml:space="preserve"> p. </w:t>
            </w:r>
            <w:r w:rsidRPr="008D250E">
              <w:t>2 (“completed their tasks”);</w:t>
            </w:r>
          </w:p>
          <w:p w:rsidR="008972C0" w:rsidP="008972C0" w:rsidRDefault="008972C0" w14:paraId="224FFC52" w14:textId="77777777"/>
          <w:p w:rsidRPr="008D250E" w:rsidR="002C3980" w:rsidP="008972C0" w:rsidRDefault="008B7435" w14:paraId="0CFB9DF5" w14:textId="3F5C7881">
            <w:r w:rsidRPr="008D250E">
              <w:t>D.19</w:t>
            </w:r>
            <w:r w:rsidR="00747698">
              <w:noBreakHyphen/>
            </w:r>
            <w:r w:rsidRPr="008D250E">
              <w:t>09</w:t>
            </w:r>
            <w:r w:rsidR="00747698">
              <w:noBreakHyphen/>
            </w:r>
            <w:r w:rsidRPr="008D250E">
              <w:t>042 at</w:t>
            </w:r>
            <w:r w:rsidR="00C35A4D">
              <w:t xml:space="preserve"> p. </w:t>
            </w:r>
            <w:r w:rsidRPr="008D250E" w:rsidR="00662BD7">
              <w:t>54, 64</w:t>
            </w:r>
            <w:r w:rsidRPr="008D250E">
              <w:t xml:space="preserve"> COL 3 (related concerns can be raised in other proceedings)</w:t>
            </w:r>
            <w:r w:rsidRPr="008D250E" w:rsidR="00782A14">
              <w:t>;</w:t>
            </w:r>
          </w:p>
          <w:p w:rsidR="008972C0" w:rsidP="008972C0" w:rsidRDefault="008972C0" w14:paraId="2D3548FC" w14:textId="77777777"/>
          <w:p w:rsidRPr="008D250E" w:rsidR="00BD06B9" w:rsidP="008972C0" w:rsidRDefault="00BD06B9" w14:paraId="1C945FED" w14:textId="485A7F03">
            <w:r w:rsidRPr="008D250E">
              <w:t xml:space="preserve">ALJ Ruling </w:t>
            </w:r>
            <w:r w:rsidRPr="008D250E" w:rsidR="00A0416D">
              <w:t>(dated September 13, 2019) at</w:t>
            </w:r>
            <w:r w:rsidR="00C35A4D">
              <w:t xml:space="preserve"> p. </w:t>
            </w:r>
            <w:r w:rsidRPr="008D250E" w:rsidR="00A0416D">
              <w:t>1.</w:t>
            </w:r>
          </w:p>
          <w:p w:rsidRPr="008D250E" w:rsidR="008B7435" w:rsidP="008972C0" w:rsidRDefault="008B7435" w14:paraId="532F95D2" w14:textId="681B14CE">
            <w:pPr>
              <w:rPr>
                <w:color w:val="000000"/>
              </w:rPr>
            </w:pPr>
          </w:p>
        </w:tc>
        <w:tc>
          <w:tcPr>
            <w:tcW w:w="1464" w:type="dxa"/>
            <w:shd w:val="clear" w:color="auto" w:fill="auto"/>
          </w:tcPr>
          <w:p w:rsidRPr="008D250E" w:rsidR="00A92D0B" w:rsidP="00226770" w:rsidRDefault="00E67715" w14:paraId="63938BDA" w14:textId="3BA90717">
            <w:pPr>
              <w:jc w:val="center"/>
              <w:rPr>
                <w:color w:val="000000"/>
              </w:rPr>
            </w:pPr>
            <w:r>
              <w:rPr>
                <w:color w:val="000000"/>
              </w:rPr>
              <w:lastRenderedPageBreak/>
              <w:t>Verified</w:t>
            </w:r>
          </w:p>
        </w:tc>
      </w:tr>
      <w:tr w:rsidRPr="008D250E" w:rsidR="00E95788" w:rsidTr="006F3085" w14:paraId="4AAA05AE" w14:textId="77777777">
        <w:tc>
          <w:tcPr>
            <w:tcW w:w="5323" w:type="dxa"/>
            <w:shd w:val="clear" w:color="auto" w:fill="auto"/>
          </w:tcPr>
          <w:p w:rsidRPr="008D250E" w:rsidR="00A92D0B" w:rsidP="0032774B" w:rsidRDefault="00A92D0B" w14:paraId="31756DBD" w14:textId="48BDA6C6">
            <w:pPr>
              <w:spacing w:after="240"/>
              <w:ind w:left="288" w:hanging="288"/>
              <w:rPr>
                <w:color w:val="000000"/>
              </w:rPr>
            </w:pPr>
            <w:r w:rsidRPr="008D250E">
              <w:rPr>
                <w:color w:val="000000"/>
              </w:rPr>
              <w:lastRenderedPageBreak/>
              <w:t>2.</w:t>
            </w:r>
            <w:r w:rsidRPr="008D250E" w:rsidR="00E25078">
              <w:rPr>
                <w:color w:val="000000"/>
              </w:rPr>
              <w:t xml:space="preserve"> </w:t>
            </w:r>
            <w:r w:rsidR="0032774B">
              <w:rPr>
                <w:color w:val="000000"/>
              </w:rPr>
              <w:t xml:space="preserve"> </w:t>
            </w:r>
            <w:r w:rsidRPr="008D250E" w:rsidR="00BD06B9">
              <w:rPr>
                <w:color w:val="000000"/>
                <w:u w:val="single"/>
              </w:rPr>
              <w:t xml:space="preserve">Carriers’ </w:t>
            </w:r>
            <w:r w:rsidRPr="008D250E" w:rsidR="00006831">
              <w:rPr>
                <w:color w:val="000000"/>
                <w:u w:val="single"/>
              </w:rPr>
              <w:t xml:space="preserve">Motion to Stay and </w:t>
            </w:r>
            <w:r w:rsidRPr="008D250E" w:rsidR="00BD06B9">
              <w:rPr>
                <w:color w:val="000000"/>
                <w:u w:val="single"/>
              </w:rPr>
              <w:t>Application for Rehearing</w:t>
            </w:r>
          </w:p>
          <w:p w:rsidRPr="008D250E" w:rsidR="00BD06B9" w:rsidP="0032774B" w:rsidRDefault="00BD06B9" w14:paraId="7AAF55A1" w14:textId="1973DF89">
            <w:pPr>
              <w:spacing w:after="240"/>
            </w:pPr>
            <w:r w:rsidRPr="008D250E">
              <w:t>Following Decision 16</w:t>
            </w:r>
            <w:r w:rsidR="00747698">
              <w:noBreakHyphen/>
            </w:r>
            <w:r w:rsidRPr="008D250E">
              <w:t>12</w:t>
            </w:r>
            <w:r w:rsidR="00747698">
              <w:noBreakHyphen/>
            </w:r>
            <w:r w:rsidRPr="008D250E">
              <w:t>066, the carriers filed</w:t>
            </w:r>
            <w:r w:rsidRPr="008D250E" w:rsidR="007F5BEB">
              <w:t xml:space="preserve"> an</w:t>
            </w:r>
            <w:r w:rsidR="00DF760C">
              <w:t xml:space="preserve"> Application for R</w:t>
            </w:r>
            <w:r w:rsidRPr="008D250E">
              <w:t xml:space="preserve">ehearing challenging the </w:t>
            </w:r>
            <w:r w:rsidR="00C35A4D">
              <w:t>Phase 1</w:t>
            </w:r>
            <w:r w:rsidRPr="008D250E" w:rsidR="00645688">
              <w:t xml:space="preserve"> </w:t>
            </w:r>
            <w:r w:rsidRPr="008D250E" w:rsidR="007F5BEB">
              <w:t>D</w:t>
            </w:r>
            <w:r w:rsidRPr="008D250E">
              <w:t xml:space="preserve">ecision on </w:t>
            </w:r>
            <w:r w:rsidRPr="008D250E" w:rsidR="00A64A22">
              <w:t>several</w:t>
            </w:r>
            <w:r w:rsidRPr="008D250E">
              <w:t xml:space="preserve"> procedural and due process grounds, arguing “that the Commission must nullify the Decision in its entirety,” and motioned to stay the Deci</w:t>
            </w:r>
            <w:r w:rsidR="00DF760C">
              <w:t>sion in light of their pending Application for R</w:t>
            </w:r>
            <w:r w:rsidRPr="008D250E">
              <w:t xml:space="preserve">ehearing. </w:t>
            </w:r>
          </w:p>
          <w:p w:rsidRPr="008D250E" w:rsidR="00BD06B9" w:rsidP="00383F72" w:rsidRDefault="00BD06B9" w14:paraId="28DD6B7F" w14:textId="5189FA63">
            <w:pPr>
              <w:spacing w:after="240"/>
            </w:pPr>
            <w:r w:rsidRPr="008D250E">
              <w:t>TURN, together with the Center for Accessible Technology and the County o</w:t>
            </w:r>
            <w:r w:rsidR="00DF760C">
              <w:t>f Mendocino, opposed carriers’ Application for Rehearing and Motion to S</w:t>
            </w:r>
            <w:r w:rsidRPr="008D250E">
              <w:t>tay. In opposition to the carriers’</w:t>
            </w:r>
            <w:r w:rsidR="00DF760C">
              <w:t xml:space="preserve"> Motion to S</w:t>
            </w:r>
            <w:r w:rsidRPr="008D250E">
              <w:t>tay on t</w:t>
            </w:r>
            <w:r w:rsidR="00DF760C">
              <w:t>he ground that it had filed an Application for R</w:t>
            </w:r>
            <w:r w:rsidRPr="008D250E">
              <w:t xml:space="preserve">ehearing, TURN provided the correct legal standard for such a motion, noting “The Public Utilities Code and the Commission’s Rules of Practice and Procedure clearly and explicitly state that a party may not avoid compliance with a Commission order by filing an application for rehearing.” TURN, as part of the Joint Parties, </w:t>
            </w:r>
            <w:r w:rsidRPr="008D250E" w:rsidR="004C2988">
              <w:t xml:space="preserve">also </w:t>
            </w:r>
            <w:r w:rsidRPr="008D250E" w:rsidR="00CD39E1">
              <w:t>argued that a categorization designation of “investigation” does not</w:t>
            </w:r>
            <w:r w:rsidRPr="008D250E" w:rsidR="004C2988">
              <w:t xml:space="preserve"> prohibit the Commission from imposing </w:t>
            </w:r>
            <w:r w:rsidRPr="008D250E">
              <w:t xml:space="preserve">requirements on the carriers, and that the revisions to the proposed decision that </w:t>
            </w:r>
            <w:r w:rsidRPr="008D250E" w:rsidR="004C2988">
              <w:t>preceded</w:t>
            </w:r>
            <w:r w:rsidRPr="008D250E">
              <w:t xml:space="preserve"> Decision 16</w:t>
            </w:r>
            <w:r w:rsidR="00747698">
              <w:noBreakHyphen/>
            </w:r>
            <w:r w:rsidRPr="008D250E">
              <w:t>12</w:t>
            </w:r>
            <w:r w:rsidR="00747698">
              <w:noBreakHyphen/>
            </w:r>
            <w:r w:rsidRPr="008D250E">
              <w:t xml:space="preserve">066 were in response to parties’ comments, and were properly considered and adopted.  </w:t>
            </w:r>
            <w:r w:rsidRPr="008D250E" w:rsidR="004C2988">
              <w:t xml:space="preserve">Further TURN argued that the scope of the </w:t>
            </w:r>
            <w:r w:rsidR="00C35A4D">
              <w:t>Phase 1</w:t>
            </w:r>
            <w:r w:rsidRPr="008D250E" w:rsidR="004C2988">
              <w:t xml:space="preserve"> Decision properly included emergency calling issues and network outages more broadly than the FCC’s definition of “rural call completion.”</w:t>
            </w:r>
            <w:r w:rsidRPr="008D250E" w:rsidR="00A64A22">
              <w:t xml:space="preserve">  </w:t>
            </w:r>
          </w:p>
          <w:p w:rsidRPr="008D250E" w:rsidR="00E25078" w:rsidP="00383F72" w:rsidRDefault="00BD06B9" w14:paraId="11FCCEB5" w14:textId="199026EE">
            <w:pPr>
              <w:spacing w:after="240"/>
            </w:pPr>
            <w:r w:rsidRPr="008D250E">
              <w:t>The Commission a</w:t>
            </w:r>
            <w:r w:rsidRPr="008D250E" w:rsidR="00883B63">
              <w:t>greed with TURN’s arguments,</w:t>
            </w:r>
            <w:r w:rsidR="00DF760C">
              <w:t xml:space="preserve"> denied the carriers’ Application for Rehearing, and </w:t>
            </w:r>
            <w:r w:rsidR="00DF760C">
              <w:lastRenderedPageBreak/>
              <w:t>deemed their Motion to S</w:t>
            </w:r>
            <w:r w:rsidRPr="008D250E" w:rsidR="00EC5926">
              <w:t>t</w:t>
            </w:r>
            <w:r w:rsidRPr="008D250E">
              <w:t>ay as moot.  Specifically, the Commission agreed that revisions to the proposed decision were in response to parties’ comments, and were properly considered, adopted, and supported by the record</w:t>
            </w:r>
            <w:r w:rsidRPr="008D250E" w:rsidR="004C2988">
              <w:t xml:space="preserve"> and agreed that it followed proper procedures to ensure that the scope of the </w:t>
            </w:r>
            <w:r w:rsidR="00C35A4D">
              <w:t>Phase 1</w:t>
            </w:r>
            <w:r w:rsidRPr="008D250E" w:rsidR="004C2988">
              <w:t xml:space="preserve"> Decision </w:t>
            </w:r>
            <w:r w:rsidRPr="008D250E" w:rsidR="00531D14">
              <w:t>w</w:t>
            </w:r>
            <w:r w:rsidRPr="008D250E" w:rsidR="004C2988">
              <w:t xml:space="preserve">as not overly broad and that parties had adequate notice and opportunity to comment on each of the issues addressed by the </w:t>
            </w:r>
            <w:r w:rsidR="00C35A4D">
              <w:t>Phase 1</w:t>
            </w:r>
            <w:r w:rsidRPr="008D250E" w:rsidR="004C2988">
              <w:t xml:space="preserve"> Decision.</w:t>
            </w:r>
          </w:p>
        </w:tc>
        <w:tc>
          <w:tcPr>
            <w:tcW w:w="2951" w:type="dxa"/>
            <w:shd w:val="clear" w:color="auto" w:fill="auto"/>
          </w:tcPr>
          <w:p w:rsidRPr="008D250E" w:rsidR="00006831" w:rsidP="00936717" w:rsidRDefault="00006831" w14:paraId="466DF739" w14:textId="77777777"/>
          <w:p w:rsidR="00006831" w:rsidP="00936717" w:rsidRDefault="00006831" w14:paraId="03B22C23" w14:textId="36AEEE92"/>
          <w:p w:rsidRPr="008D250E" w:rsidR="00936717" w:rsidP="00936717" w:rsidRDefault="00936717" w14:paraId="70032FE7" w14:textId="77777777"/>
          <w:p w:rsidRPr="008D250E" w:rsidR="00E95788" w:rsidP="00936717" w:rsidRDefault="00BD06B9" w14:paraId="4D673D95" w14:textId="13227760">
            <w:r w:rsidRPr="008D250E">
              <w:t>D.18</w:t>
            </w:r>
            <w:r w:rsidR="00747698">
              <w:noBreakHyphen/>
            </w:r>
            <w:r w:rsidRPr="008D250E">
              <w:t>07</w:t>
            </w:r>
            <w:r w:rsidR="00747698">
              <w:noBreakHyphen/>
            </w:r>
            <w:r w:rsidRPr="008D250E">
              <w:t>045 at</w:t>
            </w:r>
            <w:r w:rsidR="00C35A4D">
              <w:t xml:space="preserve"> pp. </w:t>
            </w:r>
            <w:r w:rsidRPr="008D250E">
              <w:t>7</w:t>
            </w:r>
            <w:r w:rsidR="00747698">
              <w:noBreakHyphen/>
            </w:r>
            <w:r w:rsidRPr="008D250E">
              <w:t>8, 18</w:t>
            </w:r>
            <w:r w:rsidRPr="008D250E" w:rsidR="00E95788">
              <w:t>.</w:t>
            </w:r>
          </w:p>
          <w:p w:rsidRPr="008D250E" w:rsidR="00A92D0B" w:rsidP="00936717" w:rsidRDefault="00A92D0B" w14:paraId="25F8890D" w14:textId="66B7AA07"/>
          <w:p w:rsidRPr="008D250E" w:rsidR="00E95788" w:rsidP="00936717" w:rsidRDefault="00BD06B9" w14:paraId="23052E37" w14:textId="77777777">
            <w:r w:rsidRPr="008D250E">
              <w:t xml:space="preserve">See generally, TURN and </w:t>
            </w:r>
            <w:proofErr w:type="spellStart"/>
            <w:r w:rsidRPr="008D250E">
              <w:t>CforAT</w:t>
            </w:r>
            <w:proofErr w:type="spellEnd"/>
            <w:r w:rsidRPr="008D250E">
              <w:t xml:space="preserve"> Opposition to Carriers’ Motion to Stay (dated February 17, 2017) and Joint Parties Applications for Rehearing (dated February 21, 2017)</w:t>
            </w:r>
            <w:r w:rsidRPr="008D250E" w:rsidR="00E95788">
              <w:t>;</w:t>
            </w:r>
          </w:p>
          <w:p w:rsidR="00936717" w:rsidP="00936717" w:rsidRDefault="00936717" w14:paraId="7EF58FC2" w14:textId="77777777"/>
          <w:p w:rsidRPr="008D250E" w:rsidR="00E95788" w:rsidP="00936717" w:rsidRDefault="00BD06B9" w14:paraId="40D42E62" w14:textId="47B653CA">
            <w:r w:rsidRPr="008D250E">
              <w:t xml:space="preserve">TURN and </w:t>
            </w:r>
            <w:proofErr w:type="spellStart"/>
            <w:r w:rsidRPr="008D250E">
              <w:t>CforAT</w:t>
            </w:r>
            <w:proofErr w:type="spellEnd"/>
            <w:r w:rsidRPr="008D250E">
              <w:t xml:space="preserve"> Opposition to Carriers’ Motion to Stay (dated February 17, 2017) at</w:t>
            </w:r>
            <w:r w:rsidR="00C35A4D">
              <w:t xml:space="preserve"> p. </w:t>
            </w:r>
            <w:r w:rsidRPr="008D250E">
              <w:t>1</w:t>
            </w:r>
            <w:r w:rsidRPr="008D250E" w:rsidR="00E95788">
              <w:t>;</w:t>
            </w:r>
          </w:p>
          <w:p w:rsidR="00936717" w:rsidP="00936717" w:rsidRDefault="00936717" w14:paraId="64981DA4" w14:textId="77777777"/>
          <w:p w:rsidRPr="008D250E" w:rsidR="00BD06B9" w:rsidP="00936717" w:rsidRDefault="00BD06B9" w14:paraId="39B24D73" w14:textId="3C1104FF">
            <w:r w:rsidRPr="008D250E">
              <w:t>Joint Parties Opposition to Carriers’ Applications for Rehearing (dated February 21, 2017) at</w:t>
            </w:r>
            <w:r w:rsidR="00C35A4D">
              <w:t xml:space="preserve"> pp. </w:t>
            </w:r>
            <w:r w:rsidRPr="008D250E" w:rsidR="00E95788">
              <w:t>5</w:t>
            </w:r>
            <w:r w:rsidR="00747698">
              <w:noBreakHyphen/>
            </w:r>
            <w:r w:rsidRPr="008D250E" w:rsidR="00E95788">
              <w:t>6, 11</w:t>
            </w:r>
            <w:r w:rsidR="00747698">
              <w:noBreakHyphen/>
            </w:r>
            <w:r w:rsidRPr="008D250E" w:rsidR="00E95788">
              <w:t>12.</w:t>
            </w:r>
          </w:p>
          <w:p w:rsidRPr="008D250E" w:rsidR="00E95788" w:rsidP="00936717" w:rsidRDefault="00E95788" w14:paraId="48A3D8B5" w14:textId="77777777"/>
          <w:p w:rsidRPr="008D250E" w:rsidR="00E95788" w:rsidP="00936717" w:rsidRDefault="00F93149" w14:paraId="49638FC1" w14:textId="35F313F3">
            <w:r w:rsidRPr="008D250E">
              <w:t>D.18</w:t>
            </w:r>
            <w:r w:rsidR="00747698">
              <w:noBreakHyphen/>
            </w:r>
            <w:r w:rsidRPr="008D250E">
              <w:t>07</w:t>
            </w:r>
            <w:r w:rsidR="00747698">
              <w:noBreakHyphen/>
            </w:r>
            <w:r w:rsidRPr="008D250E">
              <w:t>045 at</w:t>
            </w:r>
            <w:r w:rsidR="00C35A4D">
              <w:t xml:space="preserve"> p. </w:t>
            </w:r>
            <w:r w:rsidRPr="008D250E">
              <w:t>36</w:t>
            </w:r>
            <w:r w:rsidRPr="008D250E" w:rsidR="00BD06B9">
              <w:t xml:space="preserve"> (denying </w:t>
            </w:r>
            <w:r w:rsidR="00DF760C">
              <w:t>carriers’ Application</w:t>
            </w:r>
            <w:r w:rsidRPr="008D250E" w:rsidR="00BD06B9">
              <w:t xml:space="preserve"> and finding </w:t>
            </w:r>
            <w:r w:rsidR="00DF760C">
              <w:t>carriers’ M</w:t>
            </w:r>
            <w:r w:rsidRPr="008D250E" w:rsidR="00BD06B9">
              <w:t>otion moot)</w:t>
            </w:r>
            <w:r w:rsidRPr="008D250E" w:rsidR="00E95788">
              <w:t>;</w:t>
            </w:r>
          </w:p>
          <w:p w:rsidR="00936717" w:rsidP="00936717" w:rsidRDefault="00936717" w14:paraId="77559802" w14:textId="77777777"/>
          <w:p w:rsidRPr="008D250E" w:rsidR="00BD06B9" w:rsidP="00936717" w:rsidRDefault="00BD06B9" w14:paraId="2A92A629" w14:textId="42EF5570">
            <w:pPr>
              <w:rPr>
                <w:color w:val="000000"/>
              </w:rPr>
            </w:pPr>
            <w:r w:rsidRPr="008D250E">
              <w:t>D.18</w:t>
            </w:r>
            <w:r w:rsidR="00747698">
              <w:noBreakHyphen/>
            </w:r>
            <w:r w:rsidRPr="008D250E">
              <w:t>07</w:t>
            </w:r>
            <w:r w:rsidR="00747698">
              <w:noBreakHyphen/>
            </w:r>
            <w:r w:rsidRPr="008D250E">
              <w:t>045 at</w:t>
            </w:r>
            <w:r w:rsidR="00C35A4D">
              <w:t xml:space="preserve"> pp. </w:t>
            </w:r>
            <w:r w:rsidRPr="008D250E" w:rsidR="007F2203">
              <w:t xml:space="preserve">9 (parties had sufficient notice and opportunity), </w:t>
            </w:r>
            <w:r w:rsidRPr="008D250E" w:rsidR="0060590C">
              <w:t xml:space="preserve">18 (modifications to the proposed decision were lawful), </w:t>
            </w:r>
            <w:r w:rsidRPr="008D250E" w:rsidR="00850196">
              <w:t>19</w:t>
            </w:r>
            <w:r w:rsidR="00747698">
              <w:noBreakHyphen/>
            </w:r>
            <w:r w:rsidRPr="008D250E" w:rsidR="00850196">
              <w:t>24</w:t>
            </w:r>
            <w:r w:rsidRPr="008D250E">
              <w:t xml:space="preserve"> (noting revisions to the proposed </w:t>
            </w:r>
            <w:r w:rsidRPr="008D250E">
              <w:lastRenderedPageBreak/>
              <w:t>decision were in response to parties’ comments and supported by the record).</w:t>
            </w:r>
          </w:p>
        </w:tc>
        <w:tc>
          <w:tcPr>
            <w:tcW w:w="1464" w:type="dxa"/>
            <w:shd w:val="clear" w:color="auto" w:fill="auto"/>
          </w:tcPr>
          <w:p w:rsidRPr="008D250E" w:rsidR="00A92D0B" w:rsidP="00226770" w:rsidRDefault="006265F5" w14:paraId="56FD3368" w14:textId="5D5BDCFD">
            <w:pPr>
              <w:jc w:val="center"/>
              <w:rPr>
                <w:color w:val="000000"/>
              </w:rPr>
            </w:pPr>
            <w:r>
              <w:rPr>
                <w:color w:val="000000"/>
              </w:rPr>
              <w:lastRenderedPageBreak/>
              <w:t>Verified</w:t>
            </w:r>
          </w:p>
        </w:tc>
      </w:tr>
      <w:tr w:rsidRPr="008D250E" w:rsidR="00992B91" w:rsidTr="006F3085" w14:paraId="674C3CD2" w14:textId="77777777">
        <w:tc>
          <w:tcPr>
            <w:tcW w:w="5323" w:type="dxa"/>
            <w:shd w:val="clear" w:color="auto" w:fill="auto"/>
          </w:tcPr>
          <w:p w:rsidRPr="008D250E" w:rsidR="00992B91" w:rsidP="00383F72" w:rsidRDefault="00992B91" w14:paraId="55687918" w14:textId="3FDA362A">
            <w:pPr>
              <w:rPr>
                <w:color w:val="000000"/>
              </w:rPr>
            </w:pPr>
            <w:r w:rsidRPr="008D250E">
              <w:rPr>
                <w:color w:val="000000"/>
              </w:rPr>
              <w:t xml:space="preserve">3. </w:t>
            </w:r>
            <w:r w:rsidRPr="008D250E">
              <w:rPr>
                <w:color w:val="000000"/>
                <w:u w:val="single"/>
              </w:rPr>
              <w:t>Scoping Memo</w:t>
            </w:r>
          </w:p>
          <w:p w:rsidRPr="008D250E" w:rsidR="005D1DA7" w:rsidP="00383F72" w:rsidRDefault="005D1DA7" w14:paraId="10A1DE43" w14:textId="01891D49">
            <w:pPr>
              <w:spacing w:after="240"/>
              <w:rPr>
                <w:color w:val="000000"/>
              </w:rPr>
            </w:pPr>
            <w:r w:rsidRPr="008D250E">
              <w:rPr>
                <w:color w:val="000000"/>
              </w:rPr>
              <w:t xml:space="preserve">Within a </w:t>
            </w:r>
            <w:r w:rsidRPr="00383F72">
              <w:t>few</w:t>
            </w:r>
            <w:r w:rsidRPr="008D250E">
              <w:rPr>
                <w:color w:val="000000"/>
              </w:rPr>
              <w:t xml:space="preserve"> months of the </w:t>
            </w:r>
            <w:r w:rsidR="00C35A4D">
              <w:rPr>
                <w:color w:val="000000"/>
              </w:rPr>
              <w:t>Phase 1</w:t>
            </w:r>
            <w:r w:rsidRPr="008D250E">
              <w:rPr>
                <w:color w:val="000000"/>
              </w:rPr>
              <w:t xml:space="preserve"> Decision, the Commission issued a scoping memo on </w:t>
            </w:r>
            <w:r w:rsidR="00C35A4D">
              <w:rPr>
                <w:color w:val="000000"/>
              </w:rPr>
              <w:t>Phase 2</w:t>
            </w:r>
            <w:r w:rsidRPr="008D250E">
              <w:rPr>
                <w:color w:val="000000"/>
              </w:rPr>
              <w:t xml:space="preserve"> issues.  Amongst other things, the Scoping Memo “invite[d] the parties to submit comments regarding certain aspects of the Phase II scope to help the Commission determine if issues have been suitably framed and refined so that resources are properly utilized in order to provide the most useful information to the Commission for an eventual Phase II decision.”</w:t>
            </w:r>
          </w:p>
          <w:p w:rsidRPr="008D250E" w:rsidR="006348E1" w:rsidP="004C40AF" w:rsidRDefault="00531D14" w14:paraId="380431B3" w14:textId="75C1CD40">
            <w:pPr>
              <w:spacing w:after="240"/>
              <w:rPr>
                <w:color w:val="000000"/>
              </w:rPr>
            </w:pPr>
            <w:r w:rsidRPr="008D250E">
              <w:rPr>
                <w:color w:val="000000"/>
              </w:rPr>
              <w:t xml:space="preserve">Prior to the draft Scoping Memo, </w:t>
            </w:r>
            <w:r w:rsidRPr="008D250E" w:rsidR="005D1DA7">
              <w:rPr>
                <w:color w:val="000000"/>
              </w:rPr>
              <w:t xml:space="preserve">TURN analyzed the OIR and the </w:t>
            </w:r>
            <w:r w:rsidR="00C35A4D">
              <w:rPr>
                <w:color w:val="000000"/>
              </w:rPr>
              <w:t>Phase 1</w:t>
            </w:r>
            <w:r w:rsidRPr="008D250E" w:rsidR="005D1DA7">
              <w:rPr>
                <w:color w:val="000000"/>
              </w:rPr>
              <w:t xml:space="preserve"> Decision to determine what, if any, outstanding issues remained for </w:t>
            </w:r>
            <w:r w:rsidR="00C35A4D">
              <w:rPr>
                <w:color w:val="000000"/>
              </w:rPr>
              <w:t>Phase 2</w:t>
            </w:r>
            <w:r w:rsidRPr="008D250E">
              <w:rPr>
                <w:color w:val="000000"/>
              </w:rPr>
              <w:t xml:space="preserve"> and met with the Assigned Commissioner to provide TURN’s input into the scope of </w:t>
            </w:r>
            <w:r w:rsidR="00C35A4D">
              <w:rPr>
                <w:color w:val="000000"/>
              </w:rPr>
              <w:t>Phase 2</w:t>
            </w:r>
            <w:r w:rsidRPr="008D250E">
              <w:rPr>
                <w:color w:val="000000"/>
              </w:rPr>
              <w:t>.</w:t>
            </w:r>
            <w:r w:rsidRPr="008D250E" w:rsidR="005D1DA7">
              <w:rPr>
                <w:color w:val="000000"/>
              </w:rPr>
              <w:t xml:space="preserve"> </w:t>
            </w:r>
            <w:r w:rsidRPr="008D250E">
              <w:rPr>
                <w:color w:val="000000"/>
              </w:rPr>
              <w:t>Once the draft Scoping Memo was issued, TURN further reviewed to determine if any critical issues</w:t>
            </w:r>
            <w:r w:rsidRPr="008D250E" w:rsidR="005D1DA7">
              <w:rPr>
                <w:color w:val="000000"/>
              </w:rPr>
              <w:t xml:space="preserve"> were not set forth in the scoping memo.  In opening comments on the scoping memo, TURN, with GLI and </w:t>
            </w:r>
            <w:proofErr w:type="spellStart"/>
            <w:r w:rsidRPr="008D250E" w:rsidR="005D1DA7">
              <w:rPr>
                <w:color w:val="000000"/>
              </w:rPr>
              <w:t>CforAT</w:t>
            </w:r>
            <w:proofErr w:type="spellEnd"/>
            <w:r w:rsidRPr="008D250E" w:rsidR="005D1DA7">
              <w:rPr>
                <w:color w:val="000000"/>
              </w:rPr>
              <w:t xml:space="preserve">, set forth </w:t>
            </w:r>
            <w:r w:rsidRPr="008D250E" w:rsidR="00B963DB">
              <w:rPr>
                <w:color w:val="000000"/>
              </w:rPr>
              <w:t xml:space="preserve">their </w:t>
            </w:r>
            <w:r w:rsidRPr="008D250E" w:rsidR="006348E1">
              <w:rPr>
                <w:color w:val="000000"/>
              </w:rPr>
              <w:t xml:space="preserve">analysis, including additional issues that should be within the scope of </w:t>
            </w:r>
            <w:r w:rsidR="00C35A4D">
              <w:rPr>
                <w:color w:val="000000"/>
              </w:rPr>
              <w:t>Phase 2</w:t>
            </w:r>
            <w:r w:rsidRPr="008D250E" w:rsidR="006348E1">
              <w:rPr>
                <w:color w:val="000000"/>
              </w:rPr>
              <w:t xml:space="preserve">.  </w:t>
            </w:r>
            <w:r w:rsidRPr="008D250E">
              <w:rPr>
                <w:color w:val="000000"/>
              </w:rPr>
              <w:t xml:space="preserve">The carriers filed comments on the Scoping Memo urging a significant reduction </w:t>
            </w:r>
            <w:r w:rsidRPr="008D250E" w:rsidR="00090A0E">
              <w:rPr>
                <w:color w:val="000000"/>
              </w:rPr>
              <w:t xml:space="preserve">in the </w:t>
            </w:r>
            <w:r w:rsidRPr="008D250E" w:rsidR="00B963DB">
              <w:rPr>
                <w:color w:val="000000"/>
              </w:rPr>
              <w:t>s</w:t>
            </w:r>
            <w:r w:rsidRPr="008D250E" w:rsidR="00090A0E">
              <w:rPr>
                <w:color w:val="000000"/>
              </w:rPr>
              <w:t xml:space="preserve">cope.  </w:t>
            </w:r>
            <w:r w:rsidRPr="008D250E" w:rsidR="006348E1">
              <w:rPr>
                <w:color w:val="000000"/>
              </w:rPr>
              <w:t xml:space="preserve">In reply comments, TURN, GLI, and </w:t>
            </w:r>
            <w:proofErr w:type="spellStart"/>
            <w:r w:rsidRPr="008D250E" w:rsidR="006348E1">
              <w:rPr>
                <w:color w:val="000000"/>
              </w:rPr>
              <w:t>CforAT</w:t>
            </w:r>
            <w:proofErr w:type="spellEnd"/>
            <w:r w:rsidRPr="008D250E" w:rsidR="006348E1">
              <w:rPr>
                <w:color w:val="000000"/>
              </w:rPr>
              <w:t xml:space="preserve"> opposed carriers’ request to continue to delay implementation of the </w:t>
            </w:r>
            <w:r w:rsidR="00C35A4D">
              <w:rPr>
                <w:color w:val="000000"/>
              </w:rPr>
              <w:t>Phase 1</w:t>
            </w:r>
            <w:r w:rsidRPr="008D250E" w:rsidR="006348E1">
              <w:rPr>
                <w:color w:val="000000"/>
              </w:rPr>
              <w:t xml:space="preserve"> requirements </w:t>
            </w:r>
            <w:r w:rsidRPr="008D250E" w:rsidR="006348E1">
              <w:rPr>
                <w:color w:val="000000"/>
              </w:rPr>
              <w:lastRenderedPageBreak/>
              <w:t xml:space="preserve">and to exclude implementation of some of those requirements as part of </w:t>
            </w:r>
            <w:r w:rsidR="00C35A4D">
              <w:rPr>
                <w:color w:val="000000"/>
              </w:rPr>
              <w:t>Phase 2</w:t>
            </w:r>
            <w:r w:rsidRPr="008D250E" w:rsidR="006348E1">
              <w:rPr>
                <w:color w:val="000000"/>
              </w:rPr>
              <w:t xml:space="preserve">.  </w:t>
            </w:r>
          </w:p>
          <w:p w:rsidRPr="008D250E" w:rsidR="006348E1" w:rsidP="004C40AF" w:rsidRDefault="00090A0E" w14:paraId="03DA8623" w14:textId="478837C0">
            <w:pPr>
              <w:spacing w:after="240"/>
              <w:rPr>
                <w:color w:val="000000"/>
              </w:rPr>
            </w:pPr>
            <w:r w:rsidRPr="008D250E">
              <w:rPr>
                <w:color w:val="000000"/>
              </w:rPr>
              <w:t xml:space="preserve">While the Commission did not expand the Scoping Memo to include the issues TURN </w:t>
            </w:r>
            <w:r w:rsidRPr="004C40AF">
              <w:t>requested</w:t>
            </w:r>
            <w:r w:rsidRPr="008D250E">
              <w:rPr>
                <w:color w:val="000000"/>
              </w:rPr>
              <w:t xml:space="preserve">, it </w:t>
            </w:r>
            <w:r w:rsidRPr="008D250E" w:rsidR="006348E1">
              <w:rPr>
                <w:color w:val="000000"/>
              </w:rPr>
              <w:t>agreed</w:t>
            </w:r>
            <w:r w:rsidRPr="008D250E">
              <w:rPr>
                <w:color w:val="000000"/>
              </w:rPr>
              <w:t xml:space="preserve"> with TURN and </w:t>
            </w:r>
            <w:r w:rsidRPr="008D250E" w:rsidR="00B963DB">
              <w:rPr>
                <w:color w:val="000000"/>
              </w:rPr>
              <w:t xml:space="preserve">Joint Consumers </w:t>
            </w:r>
            <w:r w:rsidR="008251D6">
              <w:rPr>
                <w:color w:val="000000"/>
              </w:rPr>
              <w:t>to</w:t>
            </w:r>
            <w:r w:rsidRPr="008D250E" w:rsidR="00B963DB">
              <w:rPr>
                <w:color w:val="000000"/>
              </w:rPr>
              <w:t xml:space="preserve"> </w:t>
            </w:r>
            <w:r w:rsidRPr="008D250E" w:rsidR="00604162">
              <w:rPr>
                <w:color w:val="000000"/>
              </w:rPr>
              <w:t xml:space="preserve">reject the carriers’ requests to narrow </w:t>
            </w:r>
            <w:r w:rsidRPr="008D250E" w:rsidR="00B963DB">
              <w:rPr>
                <w:color w:val="000000"/>
              </w:rPr>
              <w:t xml:space="preserve">the </w:t>
            </w:r>
            <w:r w:rsidRPr="008D250E" w:rsidR="00604162">
              <w:rPr>
                <w:color w:val="000000"/>
              </w:rPr>
              <w:t xml:space="preserve">scope and </w:t>
            </w:r>
            <w:r w:rsidRPr="008D250E" w:rsidR="00B963DB">
              <w:rPr>
                <w:color w:val="000000"/>
              </w:rPr>
              <w:t xml:space="preserve">the Commission </w:t>
            </w:r>
            <w:r w:rsidRPr="008D250E" w:rsidR="00604162">
              <w:rPr>
                <w:color w:val="000000"/>
              </w:rPr>
              <w:t>agreed</w:t>
            </w:r>
            <w:r w:rsidRPr="008D250E">
              <w:rPr>
                <w:color w:val="000000"/>
              </w:rPr>
              <w:t xml:space="preserve"> that it should</w:t>
            </w:r>
            <w:r w:rsidRPr="008D250E" w:rsidR="006348E1">
              <w:rPr>
                <w:color w:val="000000"/>
              </w:rPr>
              <w:t xml:space="preserve"> consider compliance with each of the</w:t>
            </w:r>
            <w:r w:rsidRPr="008D250E" w:rsidR="00B963DB">
              <w:rPr>
                <w:color w:val="000000"/>
              </w:rPr>
              <w:t xml:space="preserve"> ordering paragraphs in the</w:t>
            </w:r>
            <w:r w:rsidRPr="008D250E" w:rsidR="006348E1">
              <w:rPr>
                <w:color w:val="000000"/>
              </w:rPr>
              <w:t xml:space="preserve"> </w:t>
            </w:r>
            <w:r w:rsidR="00C35A4D">
              <w:rPr>
                <w:color w:val="000000"/>
              </w:rPr>
              <w:t>Phase 1</w:t>
            </w:r>
            <w:r w:rsidRPr="008D250E" w:rsidR="006348E1">
              <w:rPr>
                <w:color w:val="000000"/>
              </w:rPr>
              <w:t xml:space="preserve"> Decision within the scope of the </w:t>
            </w:r>
            <w:r w:rsidR="00C35A4D">
              <w:rPr>
                <w:color w:val="000000"/>
              </w:rPr>
              <w:t>Phase 2</w:t>
            </w:r>
            <w:r w:rsidRPr="008D250E" w:rsidR="006348E1">
              <w:rPr>
                <w:color w:val="000000"/>
              </w:rPr>
              <w:t>.</w:t>
            </w:r>
          </w:p>
        </w:tc>
        <w:tc>
          <w:tcPr>
            <w:tcW w:w="2951" w:type="dxa"/>
            <w:shd w:val="clear" w:color="auto" w:fill="auto"/>
          </w:tcPr>
          <w:p w:rsidRPr="008D250E" w:rsidR="005D1DA7" w:rsidP="00930811" w:rsidRDefault="005D1DA7" w14:paraId="7DA05DCE" w14:textId="4993F3B5">
            <w:r w:rsidRPr="008D250E">
              <w:lastRenderedPageBreak/>
              <w:t xml:space="preserve">Scoping Memo </w:t>
            </w:r>
            <w:r w:rsidRPr="008D250E" w:rsidR="00E0472B">
              <w:t xml:space="preserve">(dated March 6, 2017) </w:t>
            </w:r>
            <w:r w:rsidRPr="008D250E" w:rsidR="00E85EDA">
              <w:t>at</w:t>
            </w:r>
            <w:r w:rsidR="00C35A4D">
              <w:t xml:space="preserve"> p. </w:t>
            </w:r>
            <w:r w:rsidRPr="008D250E">
              <w:t>4.</w:t>
            </w:r>
          </w:p>
          <w:p w:rsidRPr="008D250E" w:rsidR="006348E1" w:rsidP="003A1736" w:rsidRDefault="006348E1" w14:paraId="0C3BA977" w14:textId="77777777"/>
          <w:p w:rsidR="000B21EA" w:rsidP="003A1736" w:rsidRDefault="000B21EA" w14:paraId="09C4BE9D" w14:textId="6931129F">
            <w:r w:rsidRPr="008D250E">
              <w:t xml:space="preserve">See generally, Joint Consumers Opening Comments on the </w:t>
            </w:r>
            <w:r w:rsidR="00C35A4D">
              <w:t>Phase 2</w:t>
            </w:r>
            <w:r w:rsidRPr="008D250E">
              <w:t xml:space="preserve"> Scoping Memo (dated April 3, 2017);</w:t>
            </w:r>
          </w:p>
          <w:p w:rsidRPr="008D250E" w:rsidR="008F3270" w:rsidP="003A1736" w:rsidRDefault="008F3270" w14:paraId="0A244B12" w14:textId="77777777"/>
          <w:p w:rsidR="006348E1" w:rsidP="008F3270" w:rsidRDefault="006348E1" w14:paraId="18CAE11C" w14:textId="04317404">
            <w:r w:rsidRPr="008D250E">
              <w:t xml:space="preserve">Joint Consumers Opening Comments on the </w:t>
            </w:r>
            <w:r w:rsidR="00C35A4D">
              <w:t>Phase 2</w:t>
            </w:r>
            <w:r w:rsidRPr="008D250E">
              <w:t xml:space="preserve"> Scoping Memo (dated </w:t>
            </w:r>
            <w:r w:rsidRPr="008D250E" w:rsidR="000B21EA">
              <w:t>April 3, 2017</w:t>
            </w:r>
            <w:r w:rsidRPr="008D250E">
              <w:t>) at</w:t>
            </w:r>
            <w:r w:rsidR="00C35A4D">
              <w:t xml:space="preserve"> pp. </w:t>
            </w:r>
            <w:r w:rsidRPr="008D250E" w:rsidR="000B21EA">
              <w:t>9</w:t>
            </w:r>
            <w:r w:rsidR="00747698">
              <w:noBreakHyphen/>
            </w:r>
            <w:r w:rsidRPr="008D250E" w:rsidR="000B21EA">
              <w:t>10 (additional issues)</w:t>
            </w:r>
            <w:r w:rsidRPr="008D250E">
              <w:t>;</w:t>
            </w:r>
          </w:p>
          <w:p w:rsidRPr="008D250E" w:rsidR="008F3270" w:rsidP="008F3270" w:rsidRDefault="008F3270" w14:paraId="6FAFFBBC" w14:textId="77777777"/>
          <w:p w:rsidRPr="008D250E" w:rsidR="006348E1" w:rsidP="008F3270" w:rsidRDefault="006348E1" w14:paraId="7B8EEE3C" w14:textId="3F07CBB0">
            <w:r w:rsidRPr="008D250E">
              <w:t xml:space="preserve">Joint Consumers Reply Comments on </w:t>
            </w:r>
            <w:r w:rsidRPr="008D250E" w:rsidR="00C109F4">
              <w:t xml:space="preserve">the </w:t>
            </w:r>
            <w:r w:rsidR="00C35A4D">
              <w:t>Phase 2</w:t>
            </w:r>
            <w:r w:rsidRPr="008D250E" w:rsidR="00C109F4">
              <w:t xml:space="preserve"> Scoping Memo (dated April 12, 2017</w:t>
            </w:r>
            <w:r w:rsidRPr="008D250E" w:rsidR="00175ACD">
              <w:t>) at</w:t>
            </w:r>
            <w:r w:rsidR="00C35A4D">
              <w:t xml:space="preserve"> pp. </w:t>
            </w:r>
            <w:r w:rsidRPr="008D250E" w:rsidR="00175ACD">
              <w:t>2</w:t>
            </w:r>
            <w:r w:rsidR="00747698">
              <w:noBreakHyphen/>
            </w:r>
            <w:r w:rsidRPr="008D250E" w:rsidR="00175ACD">
              <w:t>9.</w:t>
            </w:r>
          </w:p>
          <w:p w:rsidRPr="008D250E" w:rsidR="006348E1" w:rsidP="008F3270" w:rsidRDefault="006348E1" w14:paraId="355673B3" w14:textId="77777777"/>
          <w:p w:rsidR="006348E1" w:rsidP="008F3270" w:rsidRDefault="00432BB3" w14:paraId="2C1FF13A" w14:textId="7075A30E">
            <w:r w:rsidRPr="008D250E">
              <w:t>D.19</w:t>
            </w:r>
            <w:r w:rsidR="00747698">
              <w:noBreakHyphen/>
            </w:r>
            <w:r w:rsidRPr="008D250E">
              <w:t>09</w:t>
            </w:r>
            <w:r w:rsidR="00747698">
              <w:noBreakHyphen/>
            </w:r>
            <w:r w:rsidRPr="008D250E">
              <w:t>042 at fn. 9 (“No changes were made to the scope of Phase II”);</w:t>
            </w:r>
          </w:p>
          <w:p w:rsidRPr="008D250E" w:rsidR="00780B16" w:rsidP="008F3270" w:rsidRDefault="00780B16" w14:paraId="6BFD4293" w14:textId="77777777"/>
          <w:p w:rsidRPr="008D250E" w:rsidR="00432BB3" w:rsidP="00780B16" w:rsidRDefault="00432BB3" w14:paraId="7158AAD4" w14:textId="7F08AE83">
            <w:r w:rsidRPr="008D250E">
              <w:t>see generally, D.19</w:t>
            </w:r>
            <w:r w:rsidR="00747698">
              <w:noBreakHyphen/>
            </w:r>
            <w:r w:rsidRPr="008D250E">
              <w:t>09</w:t>
            </w:r>
            <w:r w:rsidR="00747698">
              <w:noBreakHyphen/>
            </w:r>
            <w:r w:rsidRPr="008D250E">
              <w:t>042 at</w:t>
            </w:r>
            <w:r w:rsidR="00C35A4D">
              <w:t xml:space="preserve"> pp. </w:t>
            </w:r>
            <w:r w:rsidRPr="008D250E">
              <w:t>11</w:t>
            </w:r>
            <w:r w:rsidR="00747698">
              <w:noBreakHyphen/>
            </w:r>
            <w:r w:rsidRPr="008D250E">
              <w:t xml:space="preserve">70 (discussing compliance with each of the </w:t>
            </w:r>
            <w:r w:rsidR="00C35A4D">
              <w:t>Phase 1</w:t>
            </w:r>
            <w:r w:rsidRPr="008D250E">
              <w:t xml:space="preserve"> Decision ordering paragraphs).</w:t>
            </w:r>
          </w:p>
        </w:tc>
        <w:tc>
          <w:tcPr>
            <w:tcW w:w="1464" w:type="dxa"/>
            <w:shd w:val="clear" w:color="auto" w:fill="auto"/>
          </w:tcPr>
          <w:p w:rsidRPr="008D250E" w:rsidR="00992B91" w:rsidP="0058318B" w:rsidRDefault="006265F5" w14:paraId="719E771B" w14:textId="5EEF921C">
            <w:pPr>
              <w:rPr>
                <w:color w:val="000000"/>
              </w:rPr>
            </w:pPr>
            <w:r w:rsidRPr="00930811">
              <w:t>Verified, except that reference to D.19</w:t>
            </w:r>
            <w:r w:rsidRPr="00930811" w:rsidR="00747698">
              <w:noBreakHyphen/>
            </w:r>
            <w:r w:rsidRPr="00930811">
              <w:t>09</w:t>
            </w:r>
            <w:r w:rsidRPr="00930811" w:rsidR="00747698">
              <w:noBreakHyphen/>
            </w:r>
            <w:r w:rsidRPr="00930811">
              <w:t>042 at fn. 9 should be to fn. 32.</w:t>
            </w:r>
          </w:p>
        </w:tc>
      </w:tr>
      <w:tr w:rsidRPr="008D250E" w:rsidR="00992B91" w:rsidTr="006F3085" w14:paraId="64AC6E76" w14:textId="77777777">
        <w:tc>
          <w:tcPr>
            <w:tcW w:w="5323" w:type="dxa"/>
            <w:shd w:val="clear" w:color="auto" w:fill="auto"/>
          </w:tcPr>
          <w:p w:rsidRPr="008D250E" w:rsidR="00992B91" w:rsidP="004C40AF" w:rsidRDefault="00992B91" w14:paraId="461696E8" w14:textId="1FCF8010">
            <w:pPr>
              <w:rPr>
                <w:color w:val="000000"/>
              </w:rPr>
            </w:pPr>
            <w:r w:rsidRPr="008D250E">
              <w:rPr>
                <w:color w:val="000000"/>
              </w:rPr>
              <w:t>4.</w:t>
            </w:r>
            <w:r w:rsidR="004C40AF">
              <w:rPr>
                <w:color w:val="000000"/>
              </w:rPr>
              <w:t xml:space="preserve"> </w:t>
            </w:r>
            <w:r w:rsidRPr="008D250E">
              <w:rPr>
                <w:color w:val="000000"/>
              </w:rPr>
              <w:t xml:space="preserve"> </w:t>
            </w:r>
            <w:r w:rsidRPr="008D250E">
              <w:rPr>
                <w:color w:val="000000"/>
                <w:u w:val="single"/>
              </w:rPr>
              <w:t>Motion for Procedural Schedule</w:t>
            </w:r>
            <w:r w:rsidRPr="008D250E">
              <w:rPr>
                <w:color w:val="000000"/>
              </w:rPr>
              <w:t xml:space="preserve"> </w:t>
            </w:r>
          </w:p>
          <w:p w:rsidRPr="008D250E" w:rsidR="00992B91" w:rsidP="004C40AF" w:rsidRDefault="009F794A" w14:paraId="2B450030" w14:textId="7B7FD42C">
            <w:pPr>
              <w:spacing w:after="240"/>
              <w:rPr>
                <w:color w:val="000000"/>
              </w:rPr>
            </w:pPr>
            <w:r w:rsidRPr="008D250E">
              <w:rPr>
                <w:color w:val="000000"/>
              </w:rPr>
              <w:t xml:space="preserve">After the </w:t>
            </w:r>
            <w:r w:rsidRPr="008D250E" w:rsidR="00666455">
              <w:rPr>
                <w:color w:val="000000"/>
              </w:rPr>
              <w:t xml:space="preserve">Commission granted the </w:t>
            </w:r>
            <w:r w:rsidRPr="004C40AF" w:rsidR="00666455">
              <w:t>carriers’</w:t>
            </w:r>
            <w:r w:rsidRPr="008D250E" w:rsidR="00666455">
              <w:rPr>
                <w:color w:val="000000"/>
              </w:rPr>
              <w:t xml:space="preserve"> request to eliminate a scheduled comment period</w:t>
            </w:r>
            <w:r w:rsidRPr="008D250E" w:rsidR="00B963DB">
              <w:rPr>
                <w:color w:val="000000"/>
              </w:rPr>
              <w:t xml:space="preserve"> on </w:t>
            </w:r>
            <w:r w:rsidR="00C35A4D">
              <w:rPr>
                <w:color w:val="000000"/>
              </w:rPr>
              <w:t>Phase 2</w:t>
            </w:r>
            <w:r w:rsidRPr="008D250E" w:rsidR="00B963DB">
              <w:rPr>
                <w:color w:val="000000"/>
              </w:rPr>
              <w:t xml:space="preserve"> issues</w:t>
            </w:r>
            <w:r w:rsidRPr="008D250E" w:rsidR="00666455">
              <w:rPr>
                <w:color w:val="000000"/>
              </w:rPr>
              <w:t xml:space="preserve">, </w:t>
            </w:r>
            <w:r w:rsidRPr="008D250E" w:rsidR="00BA35A7">
              <w:rPr>
                <w:color w:val="000000"/>
              </w:rPr>
              <w:t xml:space="preserve">the </w:t>
            </w:r>
            <w:r w:rsidRPr="008D250E" w:rsidR="0051052A">
              <w:rPr>
                <w:color w:val="000000"/>
              </w:rPr>
              <w:t xml:space="preserve">parties to the proceeding had no information regarding </w:t>
            </w:r>
            <w:r w:rsidRPr="008D250E" w:rsidR="00666455">
              <w:rPr>
                <w:color w:val="000000"/>
              </w:rPr>
              <w:t>what, if any, compliance activ</w:t>
            </w:r>
            <w:r w:rsidRPr="008D250E" w:rsidR="00BA35A7">
              <w:rPr>
                <w:color w:val="000000"/>
              </w:rPr>
              <w:t>ity</w:t>
            </w:r>
            <w:r w:rsidRPr="008D250E" w:rsidR="00666455">
              <w:rPr>
                <w:color w:val="000000"/>
              </w:rPr>
              <w:t xml:space="preserve"> was taking place.  </w:t>
            </w:r>
            <w:r w:rsidRPr="008D250E" w:rsidR="0051052A">
              <w:rPr>
                <w:color w:val="000000"/>
              </w:rPr>
              <w:t xml:space="preserve">At about this time, </w:t>
            </w:r>
            <w:r w:rsidRPr="008D250E" w:rsidR="00C42519">
              <w:rPr>
                <w:color w:val="000000"/>
              </w:rPr>
              <w:t>the</w:t>
            </w:r>
            <w:r w:rsidRPr="008D250E" w:rsidR="0051052A">
              <w:rPr>
                <w:color w:val="000000"/>
              </w:rPr>
              <w:t xml:space="preserve"> state experienced the</w:t>
            </w:r>
            <w:r w:rsidRPr="008D250E" w:rsidR="00C42519">
              <w:rPr>
                <w:color w:val="000000"/>
              </w:rPr>
              <w:t xml:space="preserve"> Wine County fires of 2017</w:t>
            </w:r>
            <w:r w:rsidRPr="008D250E" w:rsidR="0051052A">
              <w:rPr>
                <w:color w:val="000000"/>
              </w:rPr>
              <w:t>,</w:t>
            </w:r>
            <w:r w:rsidRPr="008D250E" w:rsidR="00C42519">
              <w:rPr>
                <w:color w:val="000000"/>
              </w:rPr>
              <w:t xml:space="preserve"> one of the deadliest and most destructive fires at that time.</w:t>
            </w:r>
          </w:p>
          <w:p w:rsidRPr="008D250E" w:rsidR="005E6E53" w:rsidP="00504041" w:rsidRDefault="00666455" w14:paraId="0992EC16" w14:textId="3A800F85">
            <w:pPr>
              <w:spacing w:after="240"/>
              <w:rPr>
                <w:color w:val="000000"/>
              </w:rPr>
            </w:pPr>
            <w:r w:rsidRPr="008D250E">
              <w:rPr>
                <w:color w:val="000000"/>
              </w:rPr>
              <w:t>TURN worked closely with the County of Mendocino</w:t>
            </w:r>
            <w:r w:rsidRPr="008D250E" w:rsidR="00C42519">
              <w:rPr>
                <w:color w:val="000000"/>
              </w:rPr>
              <w:t xml:space="preserve"> and the North Bay North Coast Broadband Consortia to </w:t>
            </w:r>
            <w:r w:rsidRPr="00504041" w:rsidR="00C42519">
              <w:t>analyze</w:t>
            </w:r>
            <w:r w:rsidRPr="008D250E" w:rsidR="00C42519">
              <w:rPr>
                <w:color w:val="000000"/>
              </w:rPr>
              <w:t xml:space="preserve"> these rural residents’ ability to access communication services during the wildfire, and relatedly their ability to receive reverse 911 evacuation notices and contact emergency services.  </w:t>
            </w:r>
            <w:r w:rsidRPr="008D250E" w:rsidR="0064312A">
              <w:rPr>
                <w:color w:val="000000"/>
              </w:rPr>
              <w:t xml:space="preserve">TURN and </w:t>
            </w:r>
            <w:proofErr w:type="spellStart"/>
            <w:r w:rsidRPr="008D250E" w:rsidR="0064312A">
              <w:rPr>
                <w:color w:val="000000"/>
              </w:rPr>
              <w:t>CforAT</w:t>
            </w:r>
            <w:proofErr w:type="spellEnd"/>
            <w:r w:rsidRPr="008D250E" w:rsidR="00C42519">
              <w:rPr>
                <w:color w:val="000000"/>
              </w:rPr>
              <w:t xml:space="preserve"> analyzed the Consortia’s informal survey of its residents.  The results were alarming: </w:t>
            </w:r>
            <w:r w:rsidRPr="008D250E" w:rsidR="005E6E53">
              <w:rPr>
                <w:color w:val="000000"/>
              </w:rPr>
              <w:t xml:space="preserve">residents experienced services outages that could have prevented them from receiving evacuation </w:t>
            </w:r>
            <w:r w:rsidRPr="008D250E" w:rsidR="0064312A">
              <w:rPr>
                <w:color w:val="000000"/>
              </w:rPr>
              <w:t xml:space="preserve">notices.  TURN and </w:t>
            </w:r>
            <w:proofErr w:type="spellStart"/>
            <w:r w:rsidRPr="008D250E" w:rsidR="0064312A">
              <w:rPr>
                <w:color w:val="000000"/>
              </w:rPr>
              <w:t>CforAT</w:t>
            </w:r>
            <w:proofErr w:type="spellEnd"/>
            <w:r w:rsidRPr="008D250E" w:rsidR="005E6E53">
              <w:rPr>
                <w:color w:val="000000"/>
              </w:rPr>
              <w:t xml:space="preserve"> move</w:t>
            </w:r>
            <w:r w:rsidRPr="008D250E" w:rsidR="0064312A">
              <w:rPr>
                <w:color w:val="000000"/>
              </w:rPr>
              <w:t>d</w:t>
            </w:r>
            <w:r w:rsidRPr="008D250E" w:rsidR="005E6E53">
              <w:rPr>
                <w:color w:val="000000"/>
              </w:rPr>
              <w:t xml:space="preserve"> for procedural schedule to expedite the work in </w:t>
            </w:r>
            <w:r w:rsidR="00C35A4D">
              <w:rPr>
                <w:color w:val="000000"/>
              </w:rPr>
              <w:t>Phase 2</w:t>
            </w:r>
            <w:r w:rsidRPr="008D250E" w:rsidR="005E6E53">
              <w:rPr>
                <w:color w:val="000000"/>
              </w:rPr>
              <w:t xml:space="preserve">, including compliance with the </w:t>
            </w:r>
            <w:r w:rsidR="00C35A4D">
              <w:rPr>
                <w:color w:val="000000"/>
              </w:rPr>
              <w:t>Phase 1</w:t>
            </w:r>
            <w:r w:rsidRPr="008D250E" w:rsidR="005E6E53">
              <w:rPr>
                <w:color w:val="000000"/>
              </w:rPr>
              <w:t xml:space="preserve"> Decision.</w:t>
            </w:r>
          </w:p>
          <w:p w:rsidRPr="008D250E" w:rsidR="005E6E53" w:rsidP="00504041" w:rsidRDefault="005E6E53" w14:paraId="708035D7" w14:textId="2D22CA90">
            <w:pPr>
              <w:spacing w:after="240"/>
              <w:rPr>
                <w:color w:val="000000"/>
              </w:rPr>
            </w:pPr>
            <w:r w:rsidRPr="008D250E">
              <w:rPr>
                <w:color w:val="000000"/>
              </w:rPr>
              <w:t xml:space="preserve">Ultimately, the Commission issued an amended scoping memo </w:t>
            </w:r>
            <w:r w:rsidRPr="00504041">
              <w:t>which</w:t>
            </w:r>
            <w:r w:rsidRPr="008D250E">
              <w:rPr>
                <w:color w:val="000000"/>
              </w:rPr>
              <w:t xml:space="preserve"> acknowledged that it took longer than expected for Staff and the carriers to comply with the </w:t>
            </w:r>
            <w:r w:rsidR="00C35A4D">
              <w:rPr>
                <w:color w:val="000000"/>
              </w:rPr>
              <w:t>Phase 1</w:t>
            </w:r>
            <w:r w:rsidRPr="008D250E">
              <w:rPr>
                <w:color w:val="000000"/>
              </w:rPr>
              <w:t xml:space="preserve"> Decision.  </w:t>
            </w:r>
            <w:r w:rsidRPr="008D250E" w:rsidR="00E30298">
              <w:rPr>
                <w:color w:val="000000"/>
              </w:rPr>
              <w:t>While the amended</w:t>
            </w:r>
            <w:r w:rsidRPr="008D250E" w:rsidR="0064312A">
              <w:rPr>
                <w:color w:val="000000"/>
              </w:rPr>
              <w:t xml:space="preserve"> </w:t>
            </w:r>
            <w:r w:rsidR="008251D6">
              <w:rPr>
                <w:color w:val="000000"/>
              </w:rPr>
              <w:t>scoping memo did not adopt the M</w:t>
            </w:r>
            <w:r w:rsidRPr="008D250E" w:rsidR="0064312A">
              <w:rPr>
                <w:color w:val="000000"/>
              </w:rPr>
              <w:t xml:space="preserve">otion’s </w:t>
            </w:r>
            <w:r w:rsidRPr="008D250E" w:rsidR="0064312A">
              <w:rPr>
                <w:color w:val="000000"/>
              </w:rPr>
              <w:lastRenderedPageBreak/>
              <w:t>recommendations</w:t>
            </w:r>
            <w:r w:rsidRPr="008D250E" w:rsidR="004A587B">
              <w:rPr>
                <w:color w:val="000000"/>
              </w:rPr>
              <w:t xml:space="preserve"> to address the rural communication services outages in this proceeding</w:t>
            </w:r>
            <w:r w:rsidRPr="008D250E" w:rsidR="0051052A">
              <w:rPr>
                <w:color w:val="000000"/>
              </w:rPr>
              <w:t xml:space="preserve"> beyond </w:t>
            </w:r>
            <w:r w:rsidRPr="008D250E" w:rsidR="00ED4D56">
              <w:rPr>
                <w:color w:val="000000"/>
              </w:rPr>
              <w:t xml:space="preserve">what was set out in </w:t>
            </w:r>
            <w:r w:rsidRPr="008D250E" w:rsidR="0051052A">
              <w:rPr>
                <w:color w:val="000000"/>
              </w:rPr>
              <w:t xml:space="preserve">the </w:t>
            </w:r>
            <w:r w:rsidR="00C35A4D">
              <w:rPr>
                <w:color w:val="000000"/>
              </w:rPr>
              <w:t>Phase 1</w:t>
            </w:r>
            <w:r w:rsidRPr="008D250E" w:rsidR="0051052A">
              <w:rPr>
                <w:color w:val="000000"/>
              </w:rPr>
              <w:t xml:space="preserve"> ordering paragraphs</w:t>
            </w:r>
            <w:r w:rsidRPr="008D250E" w:rsidR="004A587B">
              <w:rPr>
                <w:color w:val="000000"/>
              </w:rPr>
              <w:t xml:space="preserve">, </w:t>
            </w:r>
            <w:r w:rsidRPr="008D250E" w:rsidR="00B963DB">
              <w:rPr>
                <w:color w:val="000000"/>
              </w:rPr>
              <w:t xml:space="preserve">in the related October 2018 ALJ Ruling, </w:t>
            </w:r>
            <w:r w:rsidRPr="008D250E" w:rsidR="004A587B">
              <w:rPr>
                <w:color w:val="000000"/>
              </w:rPr>
              <w:t xml:space="preserve">the Commission </w:t>
            </w:r>
            <w:r w:rsidRPr="008D250E" w:rsidR="0051052A">
              <w:rPr>
                <w:color w:val="000000"/>
              </w:rPr>
              <w:t>provide</w:t>
            </w:r>
            <w:r w:rsidR="008251D6">
              <w:rPr>
                <w:color w:val="000000"/>
              </w:rPr>
              <w:t>d</w:t>
            </w:r>
            <w:r w:rsidRPr="008D250E" w:rsidR="0051052A">
              <w:rPr>
                <w:color w:val="000000"/>
              </w:rPr>
              <w:t xml:space="preserve"> a road map to what it believed was the current status of </w:t>
            </w:r>
            <w:r w:rsidRPr="008D250E" w:rsidR="00B963DB">
              <w:rPr>
                <w:color w:val="000000"/>
              </w:rPr>
              <w:t>compliance</w:t>
            </w:r>
            <w:r w:rsidRPr="008D250E" w:rsidR="0051052A">
              <w:rPr>
                <w:color w:val="000000"/>
              </w:rPr>
              <w:t xml:space="preserve"> with th</w:t>
            </w:r>
            <w:r w:rsidRPr="008D250E" w:rsidR="00B963DB">
              <w:rPr>
                <w:color w:val="000000"/>
              </w:rPr>
              <w:t>e</w:t>
            </w:r>
            <w:r w:rsidRPr="008D250E" w:rsidR="0051052A">
              <w:rPr>
                <w:color w:val="000000"/>
              </w:rPr>
              <w:t xml:space="preserve"> </w:t>
            </w:r>
            <w:r w:rsidR="00C35A4D">
              <w:rPr>
                <w:color w:val="000000"/>
              </w:rPr>
              <w:t>Phase 1</w:t>
            </w:r>
            <w:r w:rsidRPr="008D250E" w:rsidR="00B963DB">
              <w:rPr>
                <w:color w:val="000000"/>
              </w:rPr>
              <w:t xml:space="preserve"> Decision </w:t>
            </w:r>
            <w:r w:rsidRPr="008D250E" w:rsidR="0051052A">
              <w:rPr>
                <w:color w:val="000000"/>
              </w:rPr>
              <w:t>ordering paragraphs and</w:t>
            </w:r>
            <w:r w:rsidRPr="008D250E" w:rsidR="004A587B">
              <w:rPr>
                <w:color w:val="000000"/>
              </w:rPr>
              <w:t xml:space="preserve"> set forth a path for </w:t>
            </w:r>
            <w:r w:rsidRPr="008D250E" w:rsidR="00B963DB">
              <w:rPr>
                <w:color w:val="000000"/>
              </w:rPr>
              <w:t xml:space="preserve">some </w:t>
            </w:r>
            <w:r w:rsidRPr="008D250E" w:rsidR="004A587B">
              <w:rPr>
                <w:color w:val="000000"/>
              </w:rPr>
              <w:t>issues to be addressed in other proceedings.</w:t>
            </w:r>
            <w:r w:rsidRPr="008D250E" w:rsidR="00CE0A14">
              <w:rPr>
                <w:color w:val="000000"/>
              </w:rPr>
              <w:t xml:space="preserve"> </w:t>
            </w:r>
          </w:p>
        </w:tc>
        <w:tc>
          <w:tcPr>
            <w:tcW w:w="2951" w:type="dxa"/>
            <w:shd w:val="clear" w:color="auto" w:fill="auto"/>
          </w:tcPr>
          <w:p w:rsidR="00992B91" w:rsidP="00780B16" w:rsidRDefault="003306E8" w14:paraId="2386A109" w14:textId="5A6D68BC">
            <w:r w:rsidRPr="008D250E">
              <w:lastRenderedPageBreak/>
              <w:t xml:space="preserve">ALJ </w:t>
            </w:r>
            <w:r w:rsidRPr="008D250E" w:rsidR="00666455">
              <w:t>Ruling</w:t>
            </w:r>
            <w:r w:rsidRPr="008D250E">
              <w:t xml:space="preserve"> (dated July 13, 2017) at</w:t>
            </w:r>
            <w:r w:rsidR="00C35A4D">
              <w:t xml:space="preserve"> p. </w:t>
            </w:r>
            <w:r w:rsidRPr="008D250E">
              <w:t>2</w:t>
            </w:r>
            <w:r w:rsidRPr="008D250E" w:rsidR="00666455">
              <w:t xml:space="preserve"> (removing comment period).</w:t>
            </w:r>
          </w:p>
          <w:p w:rsidRPr="008D250E" w:rsidR="00780B16" w:rsidP="00780B16" w:rsidRDefault="00780B16" w14:paraId="28DF8710" w14:textId="77777777"/>
          <w:p w:rsidR="00C42519" w:rsidP="00780B16" w:rsidRDefault="00C42519" w14:paraId="5230FA4E" w14:textId="36A27CB3">
            <w:r w:rsidRPr="008D250E">
              <w:t>Motion for Procedural Schedule (d</w:t>
            </w:r>
            <w:r w:rsidRPr="008D250E" w:rsidR="00AD12A7">
              <w:t>ated December 21, 2017) at</w:t>
            </w:r>
            <w:r w:rsidR="00C35A4D">
              <w:t xml:space="preserve"> pp. </w:t>
            </w:r>
            <w:r w:rsidRPr="008D250E" w:rsidR="00AD12A7">
              <w:t>6</w:t>
            </w:r>
            <w:r w:rsidR="00747698">
              <w:noBreakHyphen/>
            </w:r>
            <w:r w:rsidRPr="008D250E" w:rsidR="00AD12A7">
              <w:t>19</w:t>
            </w:r>
            <w:r w:rsidRPr="008D250E" w:rsidR="007A09F3">
              <w:t>;</w:t>
            </w:r>
          </w:p>
          <w:p w:rsidRPr="008D250E" w:rsidR="00780B16" w:rsidP="00780B16" w:rsidRDefault="00780B16" w14:paraId="04FFF65A" w14:textId="77777777"/>
          <w:p w:rsidR="00AD12A7" w:rsidP="00780B16" w:rsidRDefault="00AD12A7" w14:paraId="465B3521" w14:textId="7DCBC4E4">
            <w:r w:rsidRPr="008D250E">
              <w:t xml:space="preserve">see generally, Motion for Procedural Schedule, Declaration of Trish Steel in Support of Motion for Procedural Schedule in </w:t>
            </w:r>
            <w:r w:rsidR="00C35A4D">
              <w:t>Phase 2</w:t>
            </w:r>
            <w:r w:rsidRPr="008D250E">
              <w:t xml:space="preserve"> (dated December 20, 2017);</w:t>
            </w:r>
          </w:p>
          <w:p w:rsidRPr="008D250E" w:rsidR="00780B16" w:rsidP="00780B16" w:rsidRDefault="00780B16" w14:paraId="4555CAC7" w14:textId="77777777"/>
          <w:p w:rsidR="00AD12A7" w:rsidP="00780B16" w:rsidRDefault="00AD12A7" w14:paraId="447DFCE9" w14:textId="38C68AC6">
            <w:r w:rsidRPr="008D250E">
              <w:t>Motion for Procedural Schedule (dated December 21, 2017) at</w:t>
            </w:r>
            <w:r w:rsidR="00C35A4D">
              <w:t xml:space="preserve"> pp. </w:t>
            </w:r>
            <w:r w:rsidRPr="008D250E">
              <w:t>19</w:t>
            </w:r>
            <w:r w:rsidR="00747698">
              <w:noBreakHyphen/>
            </w:r>
            <w:r w:rsidRPr="008D250E">
              <w:t xml:space="preserve">29; </w:t>
            </w:r>
          </w:p>
          <w:p w:rsidRPr="008D250E" w:rsidR="00780B16" w:rsidP="00780B16" w:rsidRDefault="00780B16" w14:paraId="4CE57105" w14:textId="77777777"/>
          <w:p w:rsidRPr="008D250E" w:rsidR="007A09F3" w:rsidP="00780B16" w:rsidRDefault="007A09F3" w14:paraId="6151FEE7" w14:textId="64F15B53">
            <w:r w:rsidRPr="008D250E">
              <w:t>D.19</w:t>
            </w:r>
            <w:r w:rsidR="00747698">
              <w:noBreakHyphen/>
            </w:r>
            <w:r w:rsidRPr="008D250E">
              <w:t>09</w:t>
            </w:r>
            <w:r w:rsidR="00747698">
              <w:noBreakHyphen/>
            </w:r>
            <w:r w:rsidRPr="008D250E">
              <w:t>042 at</w:t>
            </w:r>
            <w:r w:rsidR="00C35A4D">
              <w:t xml:space="preserve"> pp. </w:t>
            </w:r>
            <w:r w:rsidRPr="008D250E">
              <w:t>9</w:t>
            </w:r>
            <w:r w:rsidR="00747698">
              <w:noBreakHyphen/>
            </w:r>
            <w:r w:rsidRPr="008D250E">
              <w:t>10.</w:t>
            </w:r>
          </w:p>
          <w:p w:rsidRPr="008D250E" w:rsidR="005E6E53" w:rsidP="00780B16" w:rsidRDefault="005E6E53" w14:paraId="60823AB6" w14:textId="77777777"/>
          <w:p w:rsidR="005E6E53" w:rsidP="00780B16" w:rsidRDefault="00AD12A7" w14:paraId="7F134CC7" w14:textId="0FAAA31D">
            <w:r w:rsidRPr="008D250E">
              <w:t>Amended Scoping Memo (dated September 4, 2018</w:t>
            </w:r>
            <w:r w:rsidRPr="008D250E" w:rsidR="00FE2042">
              <w:t>) at</w:t>
            </w:r>
            <w:r w:rsidR="00C35A4D">
              <w:t xml:space="preserve"> pp. </w:t>
            </w:r>
            <w:r w:rsidRPr="008D250E" w:rsidR="00FE2042">
              <w:t>2</w:t>
            </w:r>
            <w:r w:rsidR="00747698">
              <w:noBreakHyphen/>
            </w:r>
            <w:r w:rsidRPr="008D250E" w:rsidR="00FE2042">
              <w:t>3 (acknowledging delay);</w:t>
            </w:r>
          </w:p>
          <w:p w:rsidRPr="008D250E" w:rsidR="00780B16" w:rsidP="00780B16" w:rsidRDefault="00780B16" w14:paraId="0A6769CA" w14:textId="77777777"/>
          <w:p w:rsidRPr="008D250E" w:rsidR="00FE2042" w:rsidP="00780B16" w:rsidRDefault="00FE2042" w14:paraId="1B6AAFAB" w14:textId="7082C43E">
            <w:r w:rsidRPr="008D250E">
              <w:t>ALJ Ruling (dated October 29, 2018) at</w:t>
            </w:r>
            <w:r w:rsidR="00C35A4D">
              <w:t xml:space="preserve"> p. </w:t>
            </w:r>
            <w:r w:rsidRPr="008D250E">
              <w:t>1;</w:t>
            </w:r>
          </w:p>
          <w:p w:rsidRPr="008D250E" w:rsidR="00666455" w:rsidP="00780B16" w:rsidRDefault="004A587B" w14:paraId="019E7F02" w14:textId="5C7B4FE3">
            <w:r w:rsidRPr="008D250E">
              <w:lastRenderedPageBreak/>
              <w:t>D.19</w:t>
            </w:r>
            <w:r w:rsidR="00747698">
              <w:noBreakHyphen/>
            </w:r>
            <w:r w:rsidRPr="008D250E">
              <w:t>09</w:t>
            </w:r>
            <w:r w:rsidR="00747698">
              <w:noBreakHyphen/>
            </w:r>
            <w:r w:rsidRPr="008D250E">
              <w:t>042 at</w:t>
            </w:r>
            <w:r w:rsidR="00C35A4D">
              <w:t xml:space="preserve"> p. </w:t>
            </w:r>
            <w:r w:rsidRPr="008D250E" w:rsidR="00224CD9">
              <w:t>64</w:t>
            </w:r>
            <w:r w:rsidRPr="008D250E">
              <w:t>,</w:t>
            </w:r>
            <w:r w:rsidRPr="008D250E" w:rsidR="00FE059B">
              <w:t xml:space="preserve"> 78</w:t>
            </w:r>
            <w:r w:rsidR="00747698">
              <w:noBreakHyphen/>
            </w:r>
            <w:r w:rsidRPr="008D250E" w:rsidR="00FE059B">
              <w:t>81</w:t>
            </w:r>
            <w:r w:rsidRPr="008D250E">
              <w:t xml:space="preserve"> COL 2.</w:t>
            </w:r>
          </w:p>
        </w:tc>
        <w:tc>
          <w:tcPr>
            <w:tcW w:w="1464" w:type="dxa"/>
            <w:shd w:val="clear" w:color="auto" w:fill="auto"/>
          </w:tcPr>
          <w:p w:rsidRPr="008D250E" w:rsidR="00992B91" w:rsidP="00226770" w:rsidRDefault="006265F5" w14:paraId="387B139E" w14:textId="563166E7">
            <w:pPr>
              <w:jc w:val="center"/>
              <w:rPr>
                <w:color w:val="000000"/>
              </w:rPr>
            </w:pPr>
            <w:r>
              <w:rPr>
                <w:color w:val="000000"/>
              </w:rPr>
              <w:lastRenderedPageBreak/>
              <w:t>Verified</w:t>
            </w:r>
          </w:p>
        </w:tc>
      </w:tr>
      <w:tr w:rsidRPr="008D250E" w:rsidR="00E95788" w:rsidTr="006F3085" w14:paraId="36FF786B" w14:textId="77777777">
        <w:tc>
          <w:tcPr>
            <w:tcW w:w="5323" w:type="dxa"/>
            <w:shd w:val="clear" w:color="auto" w:fill="auto"/>
          </w:tcPr>
          <w:p w:rsidRPr="008D250E" w:rsidR="00691528" w:rsidP="00504041" w:rsidRDefault="00992B91" w14:paraId="00FFAC2D" w14:textId="47B68298">
            <w:pPr>
              <w:spacing w:after="240"/>
              <w:ind w:left="288" w:hanging="288"/>
              <w:rPr>
                <w:color w:val="000000"/>
              </w:rPr>
            </w:pPr>
            <w:r w:rsidRPr="008D250E">
              <w:rPr>
                <w:color w:val="000000"/>
              </w:rPr>
              <w:t>5</w:t>
            </w:r>
            <w:r w:rsidRPr="008D250E" w:rsidR="00691528">
              <w:rPr>
                <w:color w:val="000000"/>
              </w:rPr>
              <w:t>.</w:t>
            </w:r>
            <w:r w:rsidR="00504041">
              <w:rPr>
                <w:color w:val="000000"/>
              </w:rPr>
              <w:t xml:space="preserve"> </w:t>
            </w:r>
            <w:r w:rsidRPr="008D250E" w:rsidR="00E25078">
              <w:rPr>
                <w:color w:val="000000"/>
              </w:rPr>
              <w:t xml:space="preserve"> </w:t>
            </w:r>
            <w:r w:rsidRPr="008D250E" w:rsidR="00FF27C6">
              <w:rPr>
                <w:color w:val="000000"/>
                <w:u w:val="single"/>
              </w:rPr>
              <w:t xml:space="preserve">Outage Reporting and </w:t>
            </w:r>
            <w:r w:rsidRPr="008D250E" w:rsidR="00BD06B9">
              <w:rPr>
                <w:color w:val="000000"/>
                <w:u w:val="single"/>
              </w:rPr>
              <w:t xml:space="preserve">Implications </w:t>
            </w:r>
            <w:r w:rsidRPr="008D250E" w:rsidR="00FF27C6">
              <w:rPr>
                <w:color w:val="000000"/>
                <w:u w:val="single"/>
              </w:rPr>
              <w:t>for</w:t>
            </w:r>
            <w:r w:rsidRPr="008D250E" w:rsidR="00BD06B9">
              <w:rPr>
                <w:color w:val="000000"/>
                <w:u w:val="single"/>
              </w:rPr>
              <w:t xml:space="preserve"> Emergencies</w:t>
            </w:r>
          </w:p>
          <w:p w:rsidRPr="008D250E" w:rsidR="00FF27C6" w:rsidP="00B46F05" w:rsidRDefault="00FF27C6" w14:paraId="7924FEB1" w14:textId="250A1C19">
            <w:pPr>
              <w:spacing w:after="240"/>
            </w:pPr>
            <w:r w:rsidRPr="008D250E">
              <w:t>Decision 16</w:t>
            </w:r>
            <w:r w:rsidR="00747698">
              <w:noBreakHyphen/>
            </w:r>
            <w:r w:rsidRPr="008D250E">
              <w:t>12</w:t>
            </w:r>
            <w:r w:rsidR="00747698">
              <w:noBreakHyphen/>
            </w:r>
            <w:r w:rsidRPr="008D250E">
              <w:t>066 kept the proc</w:t>
            </w:r>
            <w:r w:rsidRPr="008D250E" w:rsidR="004C2988">
              <w:t>eeding open to consider, among</w:t>
            </w:r>
            <w:r w:rsidRPr="008D250E">
              <w:t xml:space="preserve"> other things, “whether outage reporting should be made to the OES official contacts, what level of outages should be reported, and which types of carriers, if any, should be required to provide such outage reporting.”</w:t>
            </w:r>
          </w:p>
          <w:p w:rsidRPr="008D250E" w:rsidR="00570D52" w:rsidP="00B46F05" w:rsidRDefault="007761D2" w14:paraId="5CC6C4F0" w14:textId="68A036BC">
            <w:pPr>
              <w:spacing w:after="240"/>
            </w:pPr>
            <w:r w:rsidRPr="008D250E">
              <w:t xml:space="preserve">As discussed above, TURN, </w:t>
            </w:r>
            <w:proofErr w:type="spellStart"/>
            <w:r w:rsidRPr="008D250E">
              <w:t>CforAT</w:t>
            </w:r>
            <w:proofErr w:type="spellEnd"/>
            <w:r w:rsidRPr="008D250E">
              <w:t xml:space="preserve"> and the County of Mendocino submitted a detailed Motion describing the impacts of wildfire disasters on residential communications and requesting a specific detailed schedule for consideration of the related issues from the </w:t>
            </w:r>
            <w:r w:rsidR="00C35A4D">
              <w:t>Phase 1</w:t>
            </w:r>
            <w:r w:rsidRPr="008D250E">
              <w:t xml:space="preserve"> Decision</w:t>
            </w:r>
            <w:r w:rsidRPr="008D250E" w:rsidR="00B963DB">
              <w:t xml:space="preserve"> and additional issues to support robust emergency communi</w:t>
            </w:r>
            <w:r w:rsidRPr="008D250E" w:rsidR="00016DD5">
              <w:t>c</w:t>
            </w:r>
            <w:r w:rsidRPr="008D250E" w:rsidR="00B963DB">
              <w:t>ations in rural areas</w:t>
            </w:r>
            <w:r w:rsidRPr="008D250E">
              <w:t xml:space="preserve">. </w:t>
            </w:r>
            <w:r w:rsidRPr="008D250E" w:rsidR="004515FB">
              <w:t xml:space="preserve"> T</w:t>
            </w:r>
            <w:r w:rsidRPr="008D250E" w:rsidR="004C2988">
              <w:t xml:space="preserve">he October </w:t>
            </w:r>
            <w:r w:rsidRPr="008D250E" w:rsidR="000D2980">
              <w:t>2018</w:t>
            </w:r>
            <w:r w:rsidRPr="008D250E" w:rsidR="004515FB">
              <w:t xml:space="preserve"> </w:t>
            </w:r>
            <w:r w:rsidRPr="008D250E" w:rsidR="004C2988">
              <w:t>Ruling acknowledged that the Commission opened additional proceedings that</w:t>
            </w:r>
            <w:r w:rsidRPr="008D250E" w:rsidR="00BD06B9">
              <w:t xml:space="preserve"> address</w:t>
            </w:r>
            <w:r w:rsidRPr="008D250E" w:rsidR="004C2988">
              <w:t xml:space="preserve"> some of the </w:t>
            </w:r>
            <w:r w:rsidRPr="008D250E" w:rsidR="004515FB">
              <w:t>outages</w:t>
            </w:r>
            <w:r w:rsidRPr="008D250E" w:rsidR="004C2988">
              <w:t xml:space="preserve"> and concerns detailed in the Joint Parties’ Motion, including</w:t>
            </w:r>
            <w:r w:rsidRPr="008D250E" w:rsidR="00BD06B9">
              <w:t xml:space="preserve"> the reliability of communications services for first responders and consumers </w:t>
            </w:r>
            <w:r w:rsidRPr="008D250E" w:rsidR="00570D52">
              <w:t xml:space="preserve">before, </w:t>
            </w:r>
            <w:r w:rsidRPr="008D250E" w:rsidR="00BD06B9">
              <w:t>during</w:t>
            </w:r>
            <w:r w:rsidRPr="008D250E" w:rsidR="00570D52">
              <w:t>,</w:t>
            </w:r>
            <w:r w:rsidRPr="008D250E" w:rsidR="00BD06B9">
              <w:t xml:space="preserve"> and after emergencies (R.18</w:t>
            </w:r>
            <w:r w:rsidR="00747698">
              <w:noBreakHyphen/>
            </w:r>
            <w:r w:rsidRPr="008D250E" w:rsidR="00BD06B9">
              <w:t>03</w:t>
            </w:r>
            <w:r w:rsidR="00747698">
              <w:noBreakHyphen/>
            </w:r>
            <w:r w:rsidRPr="008D250E" w:rsidR="00BD06B9">
              <w:t>011, issued</w:t>
            </w:r>
            <w:r w:rsidRPr="008D250E" w:rsidR="00B516A0">
              <w:t xml:space="preserve"> April 2, 2018</w:t>
            </w:r>
            <w:r w:rsidRPr="008D250E" w:rsidR="00BD06B9">
              <w:t>), and during planned power shut</w:t>
            </w:r>
            <w:r w:rsidR="00747698">
              <w:noBreakHyphen/>
            </w:r>
            <w:r w:rsidRPr="008D250E" w:rsidR="00BD06B9">
              <w:t>offs (R.18</w:t>
            </w:r>
            <w:r w:rsidR="00747698">
              <w:noBreakHyphen/>
            </w:r>
            <w:r w:rsidRPr="008D250E" w:rsidR="00BD06B9">
              <w:t>12</w:t>
            </w:r>
            <w:r w:rsidR="00747698">
              <w:noBreakHyphen/>
            </w:r>
            <w:r w:rsidRPr="008D250E" w:rsidR="00BD06B9">
              <w:t>005, issued</w:t>
            </w:r>
            <w:r w:rsidRPr="008D250E" w:rsidR="00791143">
              <w:t xml:space="preserve"> December 19, 2018</w:t>
            </w:r>
            <w:r w:rsidRPr="008D250E" w:rsidR="00BD06B9">
              <w:t xml:space="preserve">).  </w:t>
            </w:r>
          </w:p>
          <w:p w:rsidRPr="008D250E" w:rsidR="007251C6" w:rsidP="00B46F05" w:rsidRDefault="007251C6" w14:paraId="590E0333" w14:textId="3CE3D3D9">
            <w:pPr>
              <w:spacing w:after="240"/>
            </w:pPr>
            <w:r w:rsidRPr="008D250E">
              <w:t>In various forums before the Commission, including in comments in response to the September 2019 ALJ Ruling</w:t>
            </w:r>
            <w:r w:rsidRPr="008D250E" w:rsidR="00C8602A">
              <w:t xml:space="preserve"> and comments on the proposed decision,</w:t>
            </w:r>
            <w:r w:rsidRPr="008D250E">
              <w:t xml:space="preserve"> </w:t>
            </w:r>
            <w:r w:rsidRPr="008D250E" w:rsidR="00BD06B9">
              <w:t xml:space="preserve">TURN recommended the extensive record of this proceeding, including public comments from </w:t>
            </w:r>
            <w:r w:rsidRPr="008D250E" w:rsidR="00BD06B9">
              <w:lastRenderedPageBreak/>
              <w:t>consumers and first responders throughout the state regarding the effects of call completion failures and related outages</w:t>
            </w:r>
            <w:r w:rsidRPr="008D250E">
              <w:t xml:space="preserve"> such as those detailed in the attachments to the Joint Motion</w:t>
            </w:r>
            <w:r w:rsidRPr="008D250E" w:rsidR="00BD06B9">
              <w:t xml:space="preserve">, be made available in the other proceedings. </w:t>
            </w:r>
            <w:r w:rsidRPr="008D250E" w:rsidR="00BF5C14">
              <w:t xml:space="preserve"> </w:t>
            </w:r>
          </w:p>
          <w:p w:rsidRPr="008D250E" w:rsidR="00E25078" w:rsidP="00B46F05" w:rsidRDefault="00D81938" w14:paraId="77A8C970" w14:textId="330D2642">
            <w:pPr>
              <w:spacing w:after="240"/>
            </w:pPr>
            <w:r w:rsidRPr="008D250E">
              <w:t>In the Final Decision, t</w:t>
            </w:r>
            <w:r w:rsidRPr="008D250E" w:rsidR="00BD06B9">
              <w:t>he Commission agreed</w:t>
            </w:r>
            <w:r w:rsidRPr="008D250E" w:rsidR="007251C6">
              <w:t xml:space="preserve"> that the record here has value in those other proceedings and, while it did not take the opportunity to explicitly defer specific issues to those other proceedings, Decision 19</w:t>
            </w:r>
            <w:r w:rsidR="00747698">
              <w:noBreakHyphen/>
            </w:r>
            <w:r w:rsidRPr="008D250E" w:rsidR="007251C6">
              <w:t>09</w:t>
            </w:r>
            <w:r w:rsidR="00747698">
              <w:noBreakHyphen/>
            </w:r>
            <w:r w:rsidRPr="008D250E" w:rsidR="00373E7E">
              <w:t>042</w:t>
            </w:r>
            <w:r w:rsidRPr="008D250E" w:rsidR="00AD339A">
              <w:t xml:space="preserve"> stresses that pending issues here can be taken up in </w:t>
            </w:r>
            <w:r w:rsidRPr="008D250E" w:rsidR="00C8602A">
              <w:t>other proceeding</w:t>
            </w:r>
            <w:r w:rsidRPr="008D250E" w:rsidR="001111F7">
              <w:t>s</w:t>
            </w:r>
            <w:r w:rsidRPr="008D250E" w:rsidR="00BD06B9">
              <w:t xml:space="preserve">, and </w:t>
            </w:r>
            <w:r w:rsidRPr="008D250E" w:rsidR="00AD339A">
              <w:t xml:space="preserve">the Decision </w:t>
            </w:r>
            <w:r w:rsidRPr="008D250E" w:rsidR="00FE059B">
              <w:t>states, “with its R.18</w:t>
            </w:r>
            <w:r w:rsidR="00747698">
              <w:noBreakHyphen/>
            </w:r>
            <w:r w:rsidRPr="008D250E" w:rsidR="00FE059B">
              <w:t>03</w:t>
            </w:r>
            <w:r w:rsidR="00747698">
              <w:noBreakHyphen/>
            </w:r>
            <w:r w:rsidRPr="008D250E" w:rsidR="00FE059B">
              <w:t>011 and R.18</w:t>
            </w:r>
            <w:r w:rsidR="00747698">
              <w:noBreakHyphen/>
            </w:r>
            <w:r w:rsidRPr="008D250E" w:rsidR="00FE059B">
              <w:t>12</w:t>
            </w:r>
            <w:r w:rsidR="00747698">
              <w:noBreakHyphen/>
            </w:r>
            <w:r w:rsidRPr="008D250E" w:rsidR="00FE059B">
              <w:t>005 open proceedings</w:t>
            </w:r>
            <w:r w:rsidR="000E5C35">
              <w:t> . .</w:t>
            </w:r>
            <w:r w:rsidR="00EC1CA4">
              <w:t> </w:t>
            </w:r>
            <w:r w:rsidRPr="008D250E" w:rsidR="00FE059B">
              <w:t>. the Commission remains engaged in the issue of service quality and how outages impact public safety, and continues to solicit public comment and participation in the proceedings.”</w:t>
            </w:r>
            <w:r w:rsidRPr="008D250E" w:rsidR="00BD06B9">
              <w:t xml:space="preserve">  </w:t>
            </w:r>
          </w:p>
        </w:tc>
        <w:tc>
          <w:tcPr>
            <w:tcW w:w="2951" w:type="dxa"/>
            <w:shd w:val="clear" w:color="auto" w:fill="auto"/>
          </w:tcPr>
          <w:p w:rsidRPr="008D250E" w:rsidR="00E95788" w:rsidP="00773163" w:rsidRDefault="00FF27C6" w14:paraId="7D547A91" w14:textId="0A8CE89A">
            <w:r w:rsidRPr="008D250E">
              <w:lastRenderedPageBreak/>
              <w:t>D.16</w:t>
            </w:r>
            <w:r w:rsidR="00747698">
              <w:noBreakHyphen/>
            </w:r>
            <w:r w:rsidRPr="008D250E">
              <w:t>12</w:t>
            </w:r>
            <w:r w:rsidR="00747698">
              <w:noBreakHyphen/>
            </w:r>
            <w:r w:rsidRPr="008D250E">
              <w:t>006 at</w:t>
            </w:r>
            <w:r w:rsidR="00C35A4D">
              <w:t xml:space="preserve"> p. </w:t>
            </w:r>
            <w:r w:rsidRPr="008D250E">
              <w:t>20 (“whether outage reporting should.</w:t>
            </w:r>
            <w:r w:rsidR="000E5C35">
              <w:t> . .</w:t>
            </w:r>
            <w:r w:rsidR="00EC1CA4">
              <w:t> </w:t>
            </w:r>
            <w:r w:rsidRPr="008D250E">
              <w:t>.”</w:t>
            </w:r>
            <w:r w:rsidRPr="008D250E" w:rsidR="00B410BB">
              <w:t xml:space="preserve">); </w:t>
            </w:r>
          </w:p>
          <w:p w:rsidRPr="008D250E" w:rsidR="00FF27C6" w:rsidP="00773163" w:rsidRDefault="00B410BB" w14:paraId="6264DD3C" w14:textId="5EE13E88">
            <w:r w:rsidRPr="008D250E">
              <w:t xml:space="preserve">Scoping Memo </w:t>
            </w:r>
            <w:r w:rsidRPr="008D250E" w:rsidR="00883B63">
              <w:t xml:space="preserve">(issued March 6, 2017) </w:t>
            </w:r>
            <w:r w:rsidRPr="008D250E">
              <w:t>at</w:t>
            </w:r>
            <w:r w:rsidR="00C35A4D">
              <w:t xml:space="preserve"> pp. </w:t>
            </w:r>
            <w:r w:rsidRPr="008D250E">
              <w:t>3</w:t>
            </w:r>
            <w:r w:rsidR="00747698">
              <w:noBreakHyphen/>
            </w:r>
            <w:r w:rsidRPr="008D250E">
              <w:t>4.</w:t>
            </w:r>
          </w:p>
          <w:p w:rsidRPr="008D250E" w:rsidR="00FF27C6" w:rsidP="00773163" w:rsidRDefault="00FF27C6" w14:paraId="528830D2" w14:textId="77777777"/>
          <w:p w:rsidRPr="008D250E" w:rsidR="00E95788" w:rsidP="00773163" w:rsidRDefault="00E95788" w14:paraId="5488C416" w14:textId="2F0C2557">
            <w:r w:rsidRPr="008D250E">
              <w:t xml:space="preserve">TURN and </w:t>
            </w:r>
            <w:proofErr w:type="spellStart"/>
            <w:r w:rsidRPr="008D250E">
              <w:t>CforAT</w:t>
            </w:r>
            <w:proofErr w:type="spellEnd"/>
            <w:r w:rsidRPr="008D250E">
              <w:t xml:space="preserve"> Motion for Procedural Schedule (dated </w:t>
            </w:r>
            <w:r w:rsidRPr="008D250E" w:rsidR="00AF1730">
              <w:t>December 21, 2017</w:t>
            </w:r>
            <w:r w:rsidRPr="008D250E">
              <w:t>) at</w:t>
            </w:r>
            <w:r w:rsidR="00C35A4D">
              <w:t xml:space="preserve"> p. </w:t>
            </w:r>
            <w:r w:rsidRPr="008D250E">
              <w:t>1</w:t>
            </w:r>
            <w:r w:rsidRPr="008D250E" w:rsidR="00A4402C">
              <w:t>, 6</w:t>
            </w:r>
            <w:r w:rsidR="00747698">
              <w:noBreakHyphen/>
            </w:r>
            <w:r w:rsidRPr="008D250E" w:rsidR="00A4402C">
              <w:t>16, 20</w:t>
            </w:r>
            <w:r w:rsidR="00747698">
              <w:noBreakHyphen/>
            </w:r>
            <w:r w:rsidRPr="008D250E" w:rsidR="00A4402C">
              <w:t>24;</w:t>
            </w:r>
          </w:p>
          <w:p w:rsidR="00773163" w:rsidP="00773163" w:rsidRDefault="00773163" w14:paraId="4CAA2840" w14:textId="77777777"/>
          <w:p w:rsidRPr="008D250E" w:rsidR="008F6211" w:rsidP="00773163" w:rsidRDefault="008F6211" w14:paraId="563F26D9" w14:textId="6A9FDA88">
            <w:r w:rsidRPr="008D250E">
              <w:t xml:space="preserve">TURN and </w:t>
            </w:r>
            <w:proofErr w:type="spellStart"/>
            <w:r w:rsidRPr="008D250E">
              <w:t>CforAT</w:t>
            </w:r>
            <w:proofErr w:type="spellEnd"/>
            <w:r w:rsidRPr="008D250E">
              <w:t xml:space="preserve"> Motion for Procedural Schedule, Declaration of Trish Steel in Support of Motion for Procedural Schedule in </w:t>
            </w:r>
            <w:r w:rsidR="00C35A4D">
              <w:t>Phase 2</w:t>
            </w:r>
            <w:r w:rsidRPr="008D250E">
              <w:t xml:space="preserve"> (dated December 20, 2017);</w:t>
            </w:r>
          </w:p>
          <w:p w:rsidR="00773163" w:rsidP="00773163" w:rsidRDefault="00773163" w14:paraId="722CC15C" w14:textId="77777777"/>
          <w:p w:rsidRPr="008D250E" w:rsidR="00475742" w:rsidP="00773163" w:rsidRDefault="00475742" w14:paraId="568CD384" w14:textId="74A0B07B">
            <w:r w:rsidRPr="008D250E">
              <w:t xml:space="preserve">ALJ Ruling (dated October </w:t>
            </w:r>
            <w:r w:rsidRPr="008D250E" w:rsidR="00861565">
              <w:t>29, 2018) at</w:t>
            </w:r>
            <w:r w:rsidR="00C35A4D">
              <w:t xml:space="preserve"> pp. </w:t>
            </w:r>
            <w:r w:rsidRPr="008D250E" w:rsidR="00F7636C">
              <w:t>27</w:t>
            </w:r>
            <w:r w:rsidR="00747698">
              <w:noBreakHyphen/>
            </w:r>
            <w:r w:rsidRPr="008D250E" w:rsidR="007A2F65">
              <w:t>28.</w:t>
            </w:r>
          </w:p>
          <w:p w:rsidRPr="008D250E" w:rsidR="00F322B6" w:rsidP="00773163" w:rsidRDefault="00F322B6" w14:paraId="37AE7869" w14:textId="77777777"/>
          <w:p w:rsidRPr="008D250E" w:rsidR="00BF5C14" w:rsidP="00773163" w:rsidRDefault="001111F7" w14:paraId="24947361" w14:textId="4C8A7CAC">
            <w:r w:rsidRPr="008D250E">
              <w:t xml:space="preserve">TURN, </w:t>
            </w:r>
            <w:proofErr w:type="spellStart"/>
            <w:r w:rsidRPr="008D250E">
              <w:t>CforAT</w:t>
            </w:r>
            <w:proofErr w:type="spellEnd"/>
            <w:r w:rsidRPr="008D250E">
              <w:t>, and County of Mendocino</w:t>
            </w:r>
            <w:r w:rsidRPr="008D250E" w:rsidR="00E2190D">
              <w:t xml:space="preserve"> Opening Comment on the ALJ Ruling (dated November 28, 2018) at</w:t>
            </w:r>
            <w:r w:rsidR="00C35A4D">
              <w:t xml:space="preserve"> p. </w:t>
            </w:r>
            <w:r w:rsidRPr="008D250E" w:rsidR="00E2190D">
              <w:t>1, fn.</w:t>
            </w:r>
            <w:r w:rsidRPr="008D250E" w:rsidR="00F328F9">
              <w:t xml:space="preserve"> </w:t>
            </w:r>
            <w:r w:rsidRPr="008D250E" w:rsidR="00E2190D">
              <w:t>2</w:t>
            </w:r>
            <w:r w:rsidRPr="008D250E" w:rsidR="00F328F9">
              <w:t>;</w:t>
            </w:r>
          </w:p>
          <w:p w:rsidR="00773163" w:rsidP="00773163" w:rsidRDefault="00773163" w14:paraId="187C6629" w14:textId="77777777"/>
          <w:p w:rsidRPr="008D250E" w:rsidR="00790652" w:rsidP="00773163" w:rsidRDefault="00790652" w14:paraId="3BA0F5F3" w14:textId="3A02CCED">
            <w:r w:rsidRPr="008D250E">
              <w:t xml:space="preserve">see generally, </w:t>
            </w:r>
            <w:r w:rsidRPr="008D250E" w:rsidR="001111F7">
              <w:t xml:space="preserve">TURN, </w:t>
            </w:r>
            <w:proofErr w:type="spellStart"/>
            <w:r w:rsidRPr="008D250E" w:rsidR="001111F7">
              <w:t>CforAT</w:t>
            </w:r>
            <w:proofErr w:type="spellEnd"/>
            <w:r w:rsidRPr="008D250E" w:rsidR="001111F7">
              <w:t xml:space="preserve">, and the National </w:t>
            </w:r>
            <w:r w:rsidRPr="008D250E" w:rsidR="001111F7">
              <w:lastRenderedPageBreak/>
              <w:t>Consumer Law Center</w:t>
            </w:r>
            <w:r w:rsidRPr="008D250E">
              <w:t xml:space="preserve"> Opening Comments on the ALJ Ru</w:t>
            </w:r>
            <w:r w:rsidRPr="008D250E" w:rsidR="001111F7">
              <w:t>ling (dated September 18, 2019);</w:t>
            </w:r>
          </w:p>
          <w:p w:rsidR="00773163" w:rsidP="00773163" w:rsidRDefault="00773163" w14:paraId="6709472D" w14:textId="77777777"/>
          <w:p w:rsidRPr="008D250E" w:rsidR="001111F7" w:rsidP="00773163" w:rsidRDefault="001111F7" w14:paraId="61458A4A" w14:textId="7767E000">
            <w:r w:rsidRPr="008D250E">
              <w:t xml:space="preserve">see generally, TURN, </w:t>
            </w:r>
            <w:proofErr w:type="spellStart"/>
            <w:r w:rsidRPr="008D250E">
              <w:t>CforAT</w:t>
            </w:r>
            <w:proofErr w:type="spellEnd"/>
            <w:r w:rsidRPr="008D250E">
              <w:t>, and Public Advocates Opening Comments on the Proposed Decision (dated August 26, 2019).</w:t>
            </w:r>
          </w:p>
          <w:p w:rsidRPr="008D250E" w:rsidR="00287694" w:rsidP="00773163" w:rsidRDefault="00287694" w14:paraId="635A1045" w14:textId="69FC67D4"/>
          <w:p w:rsidRPr="008D250E" w:rsidR="00BD06B9" w:rsidP="00773163" w:rsidRDefault="00BF5C14" w14:paraId="2144B6BD" w14:textId="23615AA5">
            <w:pPr>
              <w:rPr>
                <w:color w:val="000000"/>
              </w:rPr>
            </w:pPr>
            <w:r w:rsidRPr="008D250E">
              <w:t>D.19</w:t>
            </w:r>
            <w:r w:rsidR="00747698">
              <w:noBreakHyphen/>
            </w:r>
            <w:r w:rsidRPr="008D250E">
              <w:t>09</w:t>
            </w:r>
            <w:r w:rsidR="00747698">
              <w:noBreakHyphen/>
            </w:r>
            <w:r w:rsidRPr="008D250E">
              <w:t>042 at</w:t>
            </w:r>
            <w:r w:rsidR="00C35A4D">
              <w:t xml:space="preserve"> pp. </w:t>
            </w:r>
            <w:r w:rsidRPr="008D250E">
              <w:t>2</w:t>
            </w:r>
            <w:r w:rsidRPr="008D250E" w:rsidR="001111F7">
              <w:t xml:space="preserve">, </w:t>
            </w:r>
            <w:r w:rsidRPr="008D250E" w:rsidR="00FE059B">
              <w:t>64 (“with its R.18</w:t>
            </w:r>
            <w:r w:rsidR="00747698">
              <w:noBreakHyphen/>
            </w:r>
            <w:r w:rsidRPr="008D250E" w:rsidR="00FE059B">
              <w:t>03</w:t>
            </w:r>
            <w:r w:rsidR="00747698">
              <w:noBreakHyphen/>
            </w:r>
            <w:r w:rsidRPr="008D250E" w:rsidR="00FE059B">
              <w:t>011.</w:t>
            </w:r>
            <w:r w:rsidR="000E5C35">
              <w:t> . .</w:t>
            </w:r>
            <w:r w:rsidR="00EC1CA4">
              <w:t> </w:t>
            </w:r>
            <w:r w:rsidR="00FB5D2D">
              <w:t>.”</w:t>
            </w:r>
            <w:r w:rsidRPr="008D250E" w:rsidR="00FE059B">
              <w:t xml:space="preserve">), </w:t>
            </w:r>
            <w:r w:rsidRPr="008D250E" w:rsidR="001111F7">
              <w:t>78</w:t>
            </w:r>
            <w:r w:rsidR="00747698">
              <w:noBreakHyphen/>
            </w:r>
            <w:r w:rsidRPr="008D250E" w:rsidR="001111F7">
              <w:t>81</w:t>
            </w:r>
            <w:r w:rsidRPr="008D250E" w:rsidR="00287694">
              <w:t>.</w:t>
            </w:r>
          </w:p>
        </w:tc>
        <w:tc>
          <w:tcPr>
            <w:tcW w:w="1464" w:type="dxa"/>
            <w:shd w:val="clear" w:color="auto" w:fill="auto"/>
          </w:tcPr>
          <w:p w:rsidRPr="008D250E" w:rsidR="00691528" w:rsidP="00226770" w:rsidRDefault="006265F5" w14:paraId="64233D9C" w14:textId="1458BEC9">
            <w:pPr>
              <w:jc w:val="center"/>
              <w:rPr>
                <w:color w:val="000000"/>
              </w:rPr>
            </w:pPr>
            <w:r>
              <w:rPr>
                <w:color w:val="000000"/>
              </w:rPr>
              <w:lastRenderedPageBreak/>
              <w:t>Verified</w:t>
            </w:r>
          </w:p>
        </w:tc>
      </w:tr>
      <w:tr w:rsidRPr="008D250E" w:rsidR="00E95788" w:rsidTr="006F3085" w14:paraId="228829D9" w14:textId="77777777">
        <w:tc>
          <w:tcPr>
            <w:tcW w:w="5323" w:type="dxa"/>
            <w:shd w:val="clear" w:color="auto" w:fill="auto"/>
          </w:tcPr>
          <w:p w:rsidRPr="008D250E" w:rsidR="00BD06B9" w:rsidP="00FF610E" w:rsidRDefault="00992B91" w14:paraId="6BC773C0" w14:textId="5D674508">
            <w:pPr>
              <w:rPr>
                <w:color w:val="000000"/>
              </w:rPr>
            </w:pPr>
            <w:r w:rsidRPr="008D250E">
              <w:rPr>
                <w:color w:val="000000"/>
              </w:rPr>
              <w:t>6</w:t>
            </w:r>
            <w:r w:rsidRPr="008D250E" w:rsidR="00BD06B9">
              <w:rPr>
                <w:color w:val="000000"/>
              </w:rPr>
              <w:t>.</w:t>
            </w:r>
            <w:r w:rsidR="00B46F05">
              <w:rPr>
                <w:color w:val="000000"/>
              </w:rPr>
              <w:t xml:space="preserve"> </w:t>
            </w:r>
            <w:r w:rsidRPr="008D250E" w:rsidR="00BD06B9">
              <w:rPr>
                <w:color w:val="000000"/>
              </w:rPr>
              <w:t xml:space="preserve"> </w:t>
            </w:r>
            <w:r w:rsidRPr="008D250E" w:rsidR="00BD06B9">
              <w:rPr>
                <w:color w:val="000000"/>
                <w:u w:val="single"/>
              </w:rPr>
              <w:t>Collaboration with Other Agencies</w:t>
            </w:r>
          </w:p>
          <w:p w:rsidRPr="008D250E" w:rsidR="00BD06B9" w:rsidP="00B46F05" w:rsidRDefault="00BD06B9" w14:paraId="02D6C71E" w14:textId="4B47030B">
            <w:pPr>
              <w:spacing w:after="240"/>
            </w:pPr>
            <w:r w:rsidRPr="008D250E">
              <w:t xml:space="preserve">Throughout </w:t>
            </w:r>
            <w:r w:rsidR="00C35A4D">
              <w:t>Phase 1</w:t>
            </w:r>
            <w:r w:rsidRPr="008D250E">
              <w:t xml:space="preserve"> of the proceeding and in public comment throughout the state, the Commission heard from community members and first responders regarding the carriers’ lack of communication regard the existence and anticipated duration of communication service outages.  In response, Decision 16</w:t>
            </w:r>
            <w:r w:rsidR="00747698">
              <w:noBreakHyphen/>
            </w:r>
            <w:r w:rsidRPr="008D250E">
              <w:t>12</w:t>
            </w:r>
            <w:r w:rsidR="00747698">
              <w:noBreakHyphen/>
            </w:r>
            <w:r w:rsidRPr="008D250E">
              <w:t>06</w:t>
            </w:r>
            <w:r w:rsidRPr="008D250E" w:rsidR="006B0FD3">
              <w:t>6 required</w:t>
            </w:r>
            <w:r w:rsidRPr="008D250E">
              <w:t xml:space="preserve"> carriers and Staff to collaborate with Cal OES, and local and tribal offices of emergency services, to communicate outages and other information pertinent to public safety and emergency responses.  </w:t>
            </w:r>
            <w:r w:rsidRPr="008D250E" w:rsidR="00FF27C6">
              <w:t xml:space="preserve">Specifically, the Commission ordered, “This Decision directs that </w:t>
            </w:r>
            <w:r w:rsidR="00C35A4D">
              <w:t>Phase 2</w:t>
            </w:r>
            <w:r w:rsidRPr="008D250E" w:rsidR="00346456">
              <w:t xml:space="preserve"> of this Proceeding will examine whether the Commission should require respondents to report outages to public safety officials at the local, county, and state level, in addition to the outage reporting to the Commission we order herein.”</w:t>
            </w:r>
          </w:p>
          <w:p w:rsidRPr="008D250E" w:rsidR="00BD06B9" w:rsidP="00FF610E" w:rsidRDefault="00BD06B9" w14:paraId="43F46ACC" w14:textId="64FD14C8">
            <w:pPr>
              <w:spacing w:after="240"/>
            </w:pPr>
            <w:r w:rsidRPr="008D250E">
              <w:t xml:space="preserve">TURN and </w:t>
            </w:r>
            <w:proofErr w:type="spellStart"/>
            <w:r w:rsidRPr="008D250E">
              <w:t>CforAT</w:t>
            </w:r>
            <w:proofErr w:type="spellEnd"/>
            <w:r w:rsidRPr="008D250E">
              <w:t xml:space="preserve"> moved for a procedural schedule</w:t>
            </w:r>
            <w:r w:rsidRPr="008D250E" w:rsidR="00163B6D">
              <w:t>,</w:t>
            </w:r>
            <w:r w:rsidRPr="008D250E">
              <w:t xml:space="preserve"> </w:t>
            </w:r>
            <w:r w:rsidRPr="008D250E" w:rsidR="00163B6D">
              <w:t xml:space="preserve">in part, </w:t>
            </w:r>
            <w:r w:rsidRPr="008D250E">
              <w:t>to</w:t>
            </w:r>
            <w:r w:rsidRPr="008D250E" w:rsidR="00163B6D">
              <w:t xml:space="preserve"> expedite and follow up on carriers’ efforts</w:t>
            </w:r>
            <w:r w:rsidRPr="008D250E">
              <w:t xml:space="preserve"> </w:t>
            </w:r>
            <w:r w:rsidRPr="008D250E" w:rsidR="00163B6D">
              <w:t xml:space="preserve">to </w:t>
            </w:r>
            <w:r w:rsidRPr="008D250E">
              <w:t xml:space="preserve">collaborate with offices of </w:t>
            </w:r>
            <w:r w:rsidRPr="008D250E">
              <w:lastRenderedPageBreak/>
              <w:t>emergency services and the adequacy of the few efforts to</w:t>
            </w:r>
            <w:r w:rsidR="00747698">
              <w:noBreakHyphen/>
            </w:r>
            <w:r w:rsidRPr="008D250E">
              <w:t>date to satisfy the letter and spirit of Decision 16</w:t>
            </w:r>
            <w:r w:rsidR="00747698">
              <w:noBreakHyphen/>
            </w:r>
            <w:r w:rsidRPr="008D250E">
              <w:t>12</w:t>
            </w:r>
            <w:r w:rsidR="00747698">
              <w:noBreakHyphen/>
            </w:r>
            <w:r w:rsidRPr="008D250E">
              <w:t>006. Similarly, in comments on the</w:t>
            </w:r>
            <w:r w:rsidRPr="008D250E" w:rsidR="00C7167E">
              <w:t xml:space="preserve"> October 2018 ALJ Ruling and</w:t>
            </w:r>
            <w:r w:rsidRPr="008D250E">
              <w:t xml:space="preserve"> proposed decision, TURN</w:t>
            </w:r>
            <w:r w:rsidRPr="008D250E" w:rsidR="00C7167E">
              <w:t>, with other</w:t>
            </w:r>
            <w:r w:rsidRPr="008D250E" w:rsidR="00DB1F3A">
              <w:t xml:space="preserve"> consumer</w:t>
            </w:r>
            <w:r w:rsidRPr="008D250E" w:rsidR="00C7167E">
              <w:t xml:space="preserve"> advocates,</w:t>
            </w:r>
            <w:r w:rsidRPr="008D250E">
              <w:t xml:space="preserve"> recommended the Commission provide additional information regarding any collaborative efforts with Cal OES and other offices of emergency services, and with the 211, 711, and 811 coalitions.  </w:t>
            </w:r>
          </w:p>
          <w:p w:rsidRPr="008D250E" w:rsidR="00BD06B9" w:rsidP="00FF610E" w:rsidRDefault="00BD06B9" w14:paraId="1A46F304" w14:textId="6FDF9DB2">
            <w:pPr>
              <w:spacing w:after="240"/>
            </w:pPr>
            <w:r w:rsidRPr="008D250E">
              <w:t>In response to the requests by TURN and</w:t>
            </w:r>
            <w:r w:rsidRPr="008D250E" w:rsidR="00570D52">
              <w:t xml:space="preserve"> </w:t>
            </w:r>
            <w:proofErr w:type="spellStart"/>
            <w:r w:rsidRPr="008D250E" w:rsidR="00570D52">
              <w:t>CforAT</w:t>
            </w:r>
            <w:proofErr w:type="spellEnd"/>
            <w:r w:rsidRPr="008D250E" w:rsidR="00570D52">
              <w:t xml:space="preserve">, </w:t>
            </w:r>
            <w:r w:rsidR="008251D6">
              <w:t xml:space="preserve">in its Final Decision, </w:t>
            </w:r>
            <w:r w:rsidRPr="008D250E" w:rsidR="00570D52">
              <w:t>the Commission provided</w:t>
            </w:r>
            <w:r w:rsidRPr="008D250E">
              <w:t xml:space="preserve"> additional information regarding the providers’ and the Commission’s efforts to collaborate with Cal OES and other offices of emergency services, noting “ongoing collaboration between SED, Cal OES, Cal Fire and other emergency responders to improve communications during emergencies, including wildfires.” The Commission also noted that the “Communications Division has been and will continue to be in contact with Cal OES regarding outages.</w:t>
            </w:r>
            <w:r w:rsidR="000E5C35">
              <w:t> . .</w:t>
            </w:r>
            <w:r w:rsidR="00EC1CA4">
              <w:t> </w:t>
            </w:r>
            <w:r w:rsidRPr="008D250E">
              <w:t xml:space="preserve">.” Furthermore, the Commission included additional information in the </w:t>
            </w:r>
            <w:r w:rsidR="00FC0772">
              <w:t>Final D</w:t>
            </w:r>
            <w:r w:rsidRPr="008D250E">
              <w:t xml:space="preserve">ecision regarding its ongoing work with the 211, 711, and 811 coalitions.  </w:t>
            </w:r>
          </w:p>
        </w:tc>
        <w:tc>
          <w:tcPr>
            <w:tcW w:w="2951" w:type="dxa"/>
            <w:shd w:val="clear" w:color="auto" w:fill="auto"/>
          </w:tcPr>
          <w:p w:rsidR="00287694" w:rsidP="00EC1CA4" w:rsidRDefault="00BF5C14" w14:paraId="76323248" w14:textId="1198641E">
            <w:r w:rsidRPr="008D250E">
              <w:lastRenderedPageBreak/>
              <w:t>D.16</w:t>
            </w:r>
            <w:r w:rsidR="00747698">
              <w:noBreakHyphen/>
            </w:r>
            <w:r w:rsidRPr="008D250E">
              <w:t>12</w:t>
            </w:r>
            <w:r w:rsidR="00747698">
              <w:noBreakHyphen/>
            </w:r>
            <w:r w:rsidRPr="008D250E">
              <w:t>066 at</w:t>
            </w:r>
            <w:r w:rsidR="00C35A4D">
              <w:t xml:space="preserve"> p. </w:t>
            </w:r>
            <w:r w:rsidRPr="008D250E" w:rsidR="00EC08E4">
              <w:t>5, 151 (“This Decision directs.</w:t>
            </w:r>
            <w:r w:rsidR="000E5C35">
              <w:t> . .</w:t>
            </w:r>
            <w:r w:rsidR="00EC1CA4">
              <w:t> </w:t>
            </w:r>
            <w:r w:rsidRPr="008D250E" w:rsidR="00EC08E4">
              <w:t xml:space="preserve">.”), </w:t>
            </w:r>
            <w:r w:rsidRPr="008D250E">
              <w:t>OPs 16</w:t>
            </w:r>
            <w:r w:rsidR="00747698">
              <w:noBreakHyphen/>
            </w:r>
            <w:r w:rsidRPr="008D250E">
              <w:t>18, 22</w:t>
            </w:r>
            <w:r w:rsidRPr="008D250E" w:rsidR="00EC08E4">
              <w:t>;</w:t>
            </w:r>
          </w:p>
          <w:p w:rsidRPr="008D250E" w:rsidR="009312B4" w:rsidP="00EC1CA4" w:rsidRDefault="009312B4" w14:paraId="5C426DAE" w14:textId="77777777"/>
          <w:p w:rsidRPr="008D250E" w:rsidR="0002590E" w:rsidP="009312B4" w:rsidRDefault="00EC08E4" w14:paraId="10F1A0FE" w14:textId="52AB3EB5">
            <w:r w:rsidRPr="008D250E">
              <w:t>Scoping Memo (issued March 6, 2017) at</w:t>
            </w:r>
            <w:r w:rsidR="00C35A4D">
              <w:t xml:space="preserve"> pp. </w:t>
            </w:r>
            <w:r w:rsidRPr="008D250E">
              <w:t>3</w:t>
            </w:r>
            <w:r w:rsidR="00747698">
              <w:noBreakHyphen/>
            </w:r>
            <w:r w:rsidRPr="008D250E">
              <w:t>4.</w:t>
            </w:r>
          </w:p>
          <w:p w:rsidRPr="008D250E" w:rsidR="0002590E" w:rsidP="009312B4" w:rsidRDefault="0002590E" w14:paraId="1A11E401" w14:textId="77777777"/>
          <w:p w:rsidR="00287694" w:rsidP="009312B4" w:rsidRDefault="00287694" w14:paraId="42DF9721" w14:textId="7E969EDD">
            <w:r w:rsidRPr="008D250E">
              <w:t xml:space="preserve">TURN and </w:t>
            </w:r>
            <w:proofErr w:type="spellStart"/>
            <w:r w:rsidRPr="008D250E">
              <w:t>CforAT</w:t>
            </w:r>
            <w:proofErr w:type="spellEnd"/>
            <w:r w:rsidRPr="008D250E">
              <w:t xml:space="preserve"> Motion for Procedural Schedule (dated </w:t>
            </w:r>
            <w:r w:rsidRPr="008D250E" w:rsidR="00AF1730">
              <w:t>December 21, 2017</w:t>
            </w:r>
            <w:r w:rsidRPr="008D250E">
              <w:t>)</w:t>
            </w:r>
            <w:r w:rsidRPr="008D250E" w:rsidR="00BF5C14">
              <w:t xml:space="preserve"> a</w:t>
            </w:r>
            <w:r w:rsidRPr="008D250E">
              <w:t>t</w:t>
            </w:r>
            <w:r w:rsidR="00C35A4D">
              <w:t xml:space="preserve"> pp. </w:t>
            </w:r>
            <w:r w:rsidRPr="008D250E">
              <w:t>20</w:t>
            </w:r>
            <w:r w:rsidR="00747698">
              <w:noBreakHyphen/>
            </w:r>
            <w:r w:rsidRPr="008D250E">
              <w:t>27;</w:t>
            </w:r>
          </w:p>
          <w:p w:rsidRPr="008D250E" w:rsidR="009312B4" w:rsidP="009312B4" w:rsidRDefault="009312B4" w14:paraId="104E8C60" w14:textId="77777777"/>
          <w:p w:rsidR="00C7167E" w:rsidP="009312B4" w:rsidRDefault="00C7167E" w14:paraId="09AA5E94" w14:textId="4920450E">
            <w:r w:rsidRPr="008D250E">
              <w:t xml:space="preserve">TURN, </w:t>
            </w:r>
            <w:proofErr w:type="spellStart"/>
            <w:r w:rsidRPr="008D250E">
              <w:t>CforAT</w:t>
            </w:r>
            <w:proofErr w:type="spellEnd"/>
            <w:r w:rsidRPr="008D250E">
              <w:t xml:space="preserve">, and the County of Mendocino Opening Comments on the ALJ Ruling </w:t>
            </w:r>
            <w:r w:rsidRPr="008D250E" w:rsidR="005A7658">
              <w:t>(dated November 28, 2018) at</w:t>
            </w:r>
            <w:r w:rsidR="00C35A4D">
              <w:t xml:space="preserve"> pp. </w:t>
            </w:r>
            <w:r w:rsidRPr="008D250E" w:rsidR="005A7658">
              <w:t>25</w:t>
            </w:r>
            <w:r w:rsidR="00747698">
              <w:noBreakHyphen/>
            </w:r>
            <w:r w:rsidRPr="008D250E" w:rsidR="005A7658">
              <w:t>26, 27</w:t>
            </w:r>
            <w:r w:rsidR="00747698">
              <w:noBreakHyphen/>
            </w:r>
            <w:r w:rsidRPr="008D250E" w:rsidR="00C35C73">
              <w:t>31;</w:t>
            </w:r>
          </w:p>
          <w:p w:rsidRPr="008D250E" w:rsidR="000E5C35" w:rsidP="009312B4" w:rsidRDefault="000E5C35" w14:paraId="445A6455" w14:textId="77777777"/>
          <w:p w:rsidR="00C35C73" w:rsidP="000E5C35" w:rsidRDefault="00DB1F3A" w14:paraId="7B6EF896" w14:textId="60726587">
            <w:r w:rsidRPr="008D250E">
              <w:t xml:space="preserve">TURN, </w:t>
            </w:r>
            <w:proofErr w:type="spellStart"/>
            <w:r w:rsidRPr="008D250E">
              <w:t>CforAT</w:t>
            </w:r>
            <w:proofErr w:type="spellEnd"/>
            <w:r w:rsidRPr="008D250E">
              <w:t xml:space="preserve">, and the County of Mendocino </w:t>
            </w:r>
            <w:r w:rsidRPr="008D250E">
              <w:lastRenderedPageBreak/>
              <w:t>Reply Comments on the ALJ Ruling (dated December 13, 2018) at</w:t>
            </w:r>
            <w:r w:rsidR="00C35A4D">
              <w:t xml:space="preserve"> pp. </w:t>
            </w:r>
            <w:r w:rsidRPr="008D250E">
              <w:t>2</w:t>
            </w:r>
            <w:r w:rsidR="00747698">
              <w:noBreakHyphen/>
            </w:r>
            <w:r w:rsidRPr="008D250E">
              <w:t>4, 6</w:t>
            </w:r>
            <w:r w:rsidR="00747698">
              <w:noBreakHyphen/>
            </w:r>
            <w:r w:rsidRPr="008D250E">
              <w:t>7;</w:t>
            </w:r>
          </w:p>
          <w:p w:rsidRPr="008D250E" w:rsidR="000E5C35" w:rsidP="000E5C35" w:rsidRDefault="000E5C35" w14:paraId="40879D68" w14:textId="77777777"/>
          <w:p w:rsidRPr="008D250E" w:rsidR="00DB1F3A" w:rsidP="000E5C35" w:rsidRDefault="00DB1F3A" w14:paraId="63BAC2B6" w14:textId="686AC253">
            <w:r w:rsidRPr="008D250E">
              <w:t xml:space="preserve">TURN, </w:t>
            </w:r>
            <w:proofErr w:type="spellStart"/>
            <w:r w:rsidRPr="008D250E">
              <w:t>CforAT</w:t>
            </w:r>
            <w:proofErr w:type="spellEnd"/>
            <w:r w:rsidRPr="008D250E">
              <w:t>, and Public Advocates Opening Comments on the Proposed Decisio</w:t>
            </w:r>
            <w:r w:rsidRPr="008D250E" w:rsidR="00C75E8B">
              <w:t>n (dated August 26, 2019) at</w:t>
            </w:r>
            <w:r w:rsidR="00C35A4D">
              <w:t xml:space="preserve"> pp. </w:t>
            </w:r>
            <w:r w:rsidRPr="008D250E" w:rsidR="00C75E8B">
              <w:t>1</w:t>
            </w:r>
            <w:r w:rsidR="00747698">
              <w:noBreakHyphen/>
            </w:r>
            <w:r w:rsidRPr="008D250E" w:rsidR="00EC08E4">
              <w:t>5.</w:t>
            </w:r>
          </w:p>
          <w:p w:rsidRPr="008D250E" w:rsidR="00EC08E4" w:rsidP="000E5C35" w:rsidRDefault="00EC08E4" w14:paraId="3D2965D7" w14:textId="77777777"/>
          <w:p w:rsidRPr="008D250E" w:rsidR="00EC08E4" w:rsidP="000E5C35" w:rsidRDefault="00C82897" w14:paraId="6CDF9CF2" w14:textId="6AA8B4E9">
            <w:r w:rsidRPr="008D250E">
              <w:t>D.19</w:t>
            </w:r>
            <w:r w:rsidR="00747698">
              <w:noBreakHyphen/>
            </w:r>
            <w:r w:rsidRPr="008D250E">
              <w:t>09</w:t>
            </w:r>
            <w:r w:rsidR="00747698">
              <w:noBreakHyphen/>
            </w:r>
            <w:r w:rsidRPr="008D250E">
              <w:t>042 at</w:t>
            </w:r>
            <w:r w:rsidR="00C35A4D">
              <w:t xml:space="preserve"> p. </w:t>
            </w:r>
            <w:r w:rsidRPr="008D250E">
              <w:t>46 (“ongoing collaboration.</w:t>
            </w:r>
            <w:r w:rsidR="000E5C35">
              <w:t> . .</w:t>
            </w:r>
            <w:r w:rsidRPr="008D250E">
              <w:t>”), 47</w:t>
            </w:r>
            <w:r w:rsidR="00747698">
              <w:noBreakHyphen/>
            </w:r>
            <w:r w:rsidRPr="008D250E">
              <w:t>49 (additional information regarding ongoing collaborations);</w:t>
            </w:r>
          </w:p>
          <w:p w:rsidR="000E70C6" w:rsidP="000E70C6" w:rsidRDefault="000E70C6" w14:paraId="0148CC6A" w14:textId="77777777"/>
          <w:p w:rsidRPr="008D250E" w:rsidR="00C82897" w:rsidP="000E70C6" w:rsidRDefault="00C82897" w14:paraId="5B4E92DB" w14:textId="2B4F5EAF">
            <w:r w:rsidRPr="008D250E">
              <w:t>D.19</w:t>
            </w:r>
            <w:r w:rsidR="00747698">
              <w:noBreakHyphen/>
            </w:r>
            <w:r w:rsidRPr="008D250E">
              <w:t>09</w:t>
            </w:r>
            <w:r w:rsidR="00747698">
              <w:noBreakHyphen/>
            </w:r>
            <w:r w:rsidRPr="008D250E">
              <w:t>024 at</w:t>
            </w:r>
            <w:r w:rsidR="00C35A4D">
              <w:t xml:space="preserve"> p. </w:t>
            </w:r>
            <w:r w:rsidRPr="008D250E">
              <w:t>57 (“Communications Division.</w:t>
            </w:r>
            <w:r w:rsidR="000E5C35">
              <w:t> . .</w:t>
            </w:r>
            <w:r w:rsidR="00EC1CA4">
              <w:t> </w:t>
            </w:r>
            <w:r w:rsidRPr="008D250E">
              <w:t>“);</w:t>
            </w:r>
          </w:p>
          <w:p w:rsidR="000E70C6" w:rsidP="000E70C6" w:rsidRDefault="000E70C6" w14:paraId="27AA9FE5" w14:textId="77777777"/>
          <w:p w:rsidRPr="008D250E" w:rsidR="00BF5C14" w:rsidP="000E70C6" w:rsidRDefault="00C82897" w14:paraId="2EE5A65D" w14:textId="40DCE695">
            <w:pPr>
              <w:rPr>
                <w:color w:val="000000"/>
              </w:rPr>
            </w:pPr>
            <w:r w:rsidRPr="008D250E">
              <w:t>D.19</w:t>
            </w:r>
            <w:r w:rsidR="00747698">
              <w:noBreakHyphen/>
            </w:r>
            <w:r w:rsidRPr="008D250E">
              <w:t>09</w:t>
            </w:r>
            <w:r w:rsidR="00747698">
              <w:noBreakHyphen/>
            </w:r>
            <w:r w:rsidRPr="008D250E">
              <w:t>024 at</w:t>
            </w:r>
            <w:r w:rsidR="00C35A4D">
              <w:t xml:space="preserve"> pp. </w:t>
            </w:r>
            <w:r w:rsidRPr="008D250E" w:rsidR="005C38B3">
              <w:t>23</w:t>
            </w:r>
            <w:r w:rsidR="00747698">
              <w:noBreakHyphen/>
            </w:r>
            <w:r w:rsidRPr="008D250E" w:rsidR="00EA5F9F">
              <w:t>29</w:t>
            </w:r>
            <w:r w:rsidRPr="008D250E">
              <w:t xml:space="preserve"> (</w:t>
            </w:r>
            <w:r w:rsidRPr="008D250E" w:rsidR="00EA5F9F">
              <w:t>describing work with 211 and 911 coalitions).</w:t>
            </w:r>
          </w:p>
        </w:tc>
        <w:tc>
          <w:tcPr>
            <w:tcW w:w="1464" w:type="dxa"/>
            <w:shd w:val="clear" w:color="auto" w:fill="auto"/>
          </w:tcPr>
          <w:p w:rsidRPr="008D250E" w:rsidR="00BD06B9" w:rsidP="00226770" w:rsidRDefault="008071DF" w14:paraId="3B2C0352" w14:textId="090B3613">
            <w:pPr>
              <w:jc w:val="center"/>
              <w:rPr>
                <w:color w:val="000000"/>
              </w:rPr>
            </w:pPr>
            <w:r>
              <w:rPr>
                <w:color w:val="000000"/>
              </w:rPr>
              <w:lastRenderedPageBreak/>
              <w:t>Verified</w:t>
            </w:r>
          </w:p>
        </w:tc>
      </w:tr>
      <w:tr w:rsidRPr="008D250E" w:rsidR="00E95788" w:rsidTr="006F3085" w14:paraId="1343C6BB" w14:textId="77777777">
        <w:tc>
          <w:tcPr>
            <w:tcW w:w="5323" w:type="dxa"/>
            <w:shd w:val="clear" w:color="auto" w:fill="auto"/>
          </w:tcPr>
          <w:p w:rsidRPr="008D250E" w:rsidR="00BD06B9" w:rsidP="00FF610E" w:rsidRDefault="00992B91" w14:paraId="2BDA2B48" w14:textId="21E318A5">
            <w:pPr>
              <w:rPr>
                <w:color w:val="000000"/>
              </w:rPr>
            </w:pPr>
            <w:r w:rsidRPr="008D250E">
              <w:rPr>
                <w:color w:val="000000"/>
              </w:rPr>
              <w:t>7</w:t>
            </w:r>
            <w:r w:rsidRPr="008D250E" w:rsidR="00BD06B9">
              <w:rPr>
                <w:color w:val="000000"/>
              </w:rPr>
              <w:t xml:space="preserve">. </w:t>
            </w:r>
            <w:r w:rsidR="00FF610E">
              <w:rPr>
                <w:color w:val="000000"/>
              </w:rPr>
              <w:t xml:space="preserve"> </w:t>
            </w:r>
            <w:r w:rsidRPr="008D250E" w:rsidR="00BD06B9">
              <w:rPr>
                <w:color w:val="000000"/>
                <w:u w:val="single"/>
              </w:rPr>
              <w:t>Compliance with D.16</w:t>
            </w:r>
            <w:r w:rsidR="00747698">
              <w:rPr>
                <w:color w:val="000000"/>
                <w:u w:val="single"/>
              </w:rPr>
              <w:noBreakHyphen/>
            </w:r>
            <w:r w:rsidRPr="008D250E" w:rsidR="00BD06B9">
              <w:rPr>
                <w:color w:val="000000"/>
                <w:u w:val="single"/>
              </w:rPr>
              <w:t>12</w:t>
            </w:r>
            <w:r w:rsidR="00747698">
              <w:rPr>
                <w:color w:val="000000"/>
                <w:u w:val="single"/>
              </w:rPr>
              <w:noBreakHyphen/>
            </w:r>
            <w:r w:rsidRPr="008D250E" w:rsidR="00BD06B9">
              <w:rPr>
                <w:color w:val="000000"/>
                <w:u w:val="single"/>
              </w:rPr>
              <w:t>006</w:t>
            </w:r>
          </w:p>
          <w:p w:rsidRPr="008D250E" w:rsidR="00BF5C14" w:rsidP="00FF610E" w:rsidRDefault="00225A7B" w14:paraId="0C67D5AB" w14:textId="5B857E70">
            <w:pPr>
              <w:spacing w:after="240"/>
            </w:pPr>
            <w:r w:rsidRPr="008D250E">
              <w:t xml:space="preserve">The </w:t>
            </w:r>
            <w:r w:rsidRPr="008D250E" w:rsidR="003D683A">
              <w:t xml:space="preserve">Commission included in the </w:t>
            </w:r>
            <w:r w:rsidR="00C35A4D">
              <w:t>Phase 2</w:t>
            </w:r>
            <w:r w:rsidRPr="008D250E" w:rsidR="00570D52">
              <w:t xml:space="preserve"> Scoping Memo </w:t>
            </w:r>
            <w:r w:rsidRPr="008D250E">
              <w:t xml:space="preserve">that </w:t>
            </w:r>
            <w:r w:rsidRPr="008D250E" w:rsidR="003D683A">
              <w:t>it</w:t>
            </w:r>
            <w:r w:rsidRPr="008D250E">
              <w:t xml:space="preserve"> would “evaluate the completeness of the telephone carriers’ responses to OPs 1, 2, 5, 6, 7, 11, and 16, and determine if any clarifying or follow up</w:t>
            </w:r>
            <w:r w:rsidRPr="008D250E" w:rsidR="003D683A">
              <w:t xml:space="preserve"> information should be required</w:t>
            </w:r>
            <w:r w:rsidRPr="008D250E">
              <w:t>”</w:t>
            </w:r>
            <w:r w:rsidRPr="008D250E" w:rsidR="00BF5C14">
              <w:t xml:space="preserve"> </w:t>
            </w:r>
            <w:r w:rsidRPr="008D250E" w:rsidR="003D683A">
              <w:t>and invited comments on the directives set forth in Decision 16</w:t>
            </w:r>
            <w:r w:rsidR="00747698">
              <w:noBreakHyphen/>
            </w:r>
            <w:r w:rsidRPr="008D250E" w:rsidR="003D683A">
              <w:t>12</w:t>
            </w:r>
            <w:r w:rsidR="00747698">
              <w:noBreakHyphen/>
            </w:r>
            <w:r w:rsidRPr="008D250E" w:rsidR="003D683A">
              <w:t>066 at OPs 21</w:t>
            </w:r>
            <w:r w:rsidR="00747698">
              <w:noBreakHyphen/>
            </w:r>
            <w:r w:rsidRPr="008D250E" w:rsidR="003D683A">
              <w:t>22.</w:t>
            </w:r>
          </w:p>
          <w:p w:rsidRPr="008D250E" w:rsidR="00BD06B9" w:rsidP="00FF610E" w:rsidRDefault="00BD06B9" w14:paraId="3772E4FB" w14:textId="65C43355">
            <w:pPr>
              <w:spacing w:after="240"/>
            </w:pPr>
            <w:r w:rsidRPr="008D250E">
              <w:t xml:space="preserve">As active parties to the proceeding, TURN and </w:t>
            </w:r>
            <w:proofErr w:type="spellStart"/>
            <w:r w:rsidRPr="008D250E">
              <w:t>CforAT</w:t>
            </w:r>
            <w:proofErr w:type="spellEnd"/>
            <w:r w:rsidRPr="008D250E">
              <w:t xml:space="preserve"> followed the implementation of Decision 16</w:t>
            </w:r>
            <w:r w:rsidR="00747698">
              <w:noBreakHyphen/>
            </w:r>
            <w:r w:rsidRPr="008D250E">
              <w:t>12</w:t>
            </w:r>
            <w:r w:rsidR="00747698">
              <w:noBreakHyphen/>
            </w:r>
            <w:r w:rsidRPr="008D250E">
              <w:t xml:space="preserve">066. </w:t>
            </w:r>
            <w:r w:rsidRPr="008D250E" w:rsidR="00163B6D">
              <w:t xml:space="preserve"> </w:t>
            </w:r>
            <w:r w:rsidR="008251D6">
              <w:t xml:space="preserve">As discussed above, </w:t>
            </w:r>
            <w:r w:rsidRPr="008D250E">
              <w:t xml:space="preserve">TURN and </w:t>
            </w:r>
            <w:proofErr w:type="spellStart"/>
            <w:r w:rsidRPr="008D250E">
              <w:t>CforAT</w:t>
            </w:r>
            <w:proofErr w:type="spellEnd"/>
            <w:r w:rsidRPr="008D250E">
              <w:t xml:space="preserve"> motioned for a procedural schedule</w:t>
            </w:r>
            <w:r w:rsidRPr="008D250E" w:rsidR="00163B6D">
              <w:t>, in part,</w:t>
            </w:r>
            <w:r w:rsidRPr="008D250E">
              <w:t xml:space="preserve"> to provide clarity and transparency on</w:t>
            </w:r>
            <w:r w:rsidRPr="008D250E" w:rsidR="00163B6D">
              <w:t xml:space="preserve"> the </w:t>
            </w:r>
            <w:r w:rsidRPr="008D250E" w:rsidR="00163B6D">
              <w:lastRenderedPageBreak/>
              <w:t>implementation of</w:t>
            </w:r>
            <w:r w:rsidRPr="008D250E">
              <w:t xml:space="preserve"> </w:t>
            </w:r>
            <w:r w:rsidRPr="008D250E" w:rsidR="00163B6D">
              <w:t xml:space="preserve">the </w:t>
            </w:r>
            <w:r w:rsidRPr="008D250E">
              <w:t xml:space="preserve">Decision </w:t>
            </w:r>
            <w:r w:rsidRPr="008D250E" w:rsidR="00163B6D">
              <w:t>16</w:t>
            </w:r>
            <w:r w:rsidR="00747698">
              <w:noBreakHyphen/>
            </w:r>
            <w:r w:rsidRPr="008D250E" w:rsidR="00163B6D">
              <w:t>12</w:t>
            </w:r>
            <w:r w:rsidR="00747698">
              <w:noBreakHyphen/>
            </w:r>
            <w:r w:rsidRPr="008D250E" w:rsidR="00163B6D">
              <w:t xml:space="preserve">066 </w:t>
            </w:r>
            <w:r w:rsidRPr="008D250E">
              <w:t xml:space="preserve">requirements. </w:t>
            </w:r>
          </w:p>
          <w:p w:rsidRPr="008D250E" w:rsidR="00BD06B9" w:rsidP="00FF610E" w:rsidRDefault="00BD06B9" w14:paraId="7156B9B2" w14:textId="5397EB18">
            <w:pPr>
              <w:spacing w:after="240"/>
            </w:pPr>
            <w:r w:rsidRPr="008D250E">
              <w:t xml:space="preserve">The </w:t>
            </w:r>
            <w:r w:rsidRPr="008D250E" w:rsidR="00DD1607">
              <w:t xml:space="preserve">ALJ issued a Ruling in October 2018, and the </w:t>
            </w:r>
            <w:r w:rsidRPr="008D250E">
              <w:t>Commission issued a proposed decision</w:t>
            </w:r>
            <w:r w:rsidRPr="008D250E" w:rsidR="00DD1607">
              <w:t>,</w:t>
            </w:r>
            <w:r w:rsidRPr="008D250E">
              <w:t xml:space="preserve"> with compliance summaries for each of the ordering paragraphs in Decision 16</w:t>
            </w:r>
            <w:r w:rsidR="00747698">
              <w:noBreakHyphen/>
            </w:r>
            <w:r w:rsidRPr="008D250E">
              <w:t>12</w:t>
            </w:r>
            <w:r w:rsidR="00747698">
              <w:noBreakHyphen/>
            </w:r>
            <w:r w:rsidRPr="008D250E">
              <w:t>066.  In comments on the</w:t>
            </w:r>
            <w:r w:rsidRPr="008D250E" w:rsidR="00DD1607">
              <w:t xml:space="preserve"> Ruling and the</w:t>
            </w:r>
            <w:r w:rsidRPr="008D250E">
              <w:t xml:space="preserve"> Proposed Decision, TURN sought clarity regarding the adequacy and completeness of the reported compliance.  For example, TURN requested additional information about carriers’ consumer education to their MLTS customers (OPs 5</w:t>
            </w:r>
            <w:r w:rsidR="00747698">
              <w:noBreakHyphen/>
            </w:r>
            <w:r w:rsidRPr="008D250E">
              <w:t>6), carriers’ report of their practices of attaching communications equipment to trees (OPs 11</w:t>
            </w:r>
            <w:r w:rsidR="00747698">
              <w:noBreakHyphen/>
            </w:r>
            <w:r w:rsidRPr="008D250E">
              <w:t>12), and outage reporting (OP 20</w:t>
            </w:r>
            <w:r w:rsidR="00747698">
              <w:noBreakHyphen/>
            </w:r>
            <w:r w:rsidRPr="008D250E" w:rsidR="003D683A">
              <w:t>22</w:t>
            </w:r>
            <w:r w:rsidRPr="008D250E">
              <w:t xml:space="preserve">).  </w:t>
            </w:r>
          </w:p>
          <w:p w:rsidRPr="008D250E" w:rsidR="00BD06B9" w:rsidP="00FF610E" w:rsidRDefault="00BD06B9" w14:paraId="1106807D" w14:textId="7C3EE995">
            <w:pPr>
              <w:spacing w:after="240"/>
            </w:pPr>
            <w:r w:rsidRPr="008D250E">
              <w:t xml:space="preserve">The Commission </w:t>
            </w:r>
            <w:r w:rsidRPr="008D250E" w:rsidR="00427236">
              <w:t>provided the requested</w:t>
            </w:r>
            <w:r w:rsidR="008251D6">
              <w:t xml:space="preserve"> information in its Final D</w:t>
            </w:r>
            <w:r w:rsidRPr="008D250E" w:rsidR="007B6699">
              <w:t>ecision</w:t>
            </w:r>
            <w:r w:rsidRPr="008D250E">
              <w:t xml:space="preserve">.  For example, the Commission modified the proposed decision to include a more thorough discussion and analysis to support its compliance summaries with regards to consumer education for MLTS customers, carriers’ practices of attaching communications equipment to trees, and outage reporting.  </w:t>
            </w:r>
          </w:p>
        </w:tc>
        <w:tc>
          <w:tcPr>
            <w:tcW w:w="2951" w:type="dxa"/>
            <w:shd w:val="clear" w:color="auto" w:fill="auto"/>
          </w:tcPr>
          <w:p w:rsidRPr="008D250E" w:rsidR="00225A7B" w:rsidP="009C2C9E" w:rsidRDefault="00225A7B" w14:paraId="50639DFB" w14:textId="4B5EFC5B">
            <w:r w:rsidRPr="008D250E">
              <w:lastRenderedPageBreak/>
              <w:t xml:space="preserve">Scoping Memo (issued </w:t>
            </w:r>
            <w:r w:rsidRPr="008D250E" w:rsidR="00AF1730">
              <w:t>March 6, 2017</w:t>
            </w:r>
            <w:r w:rsidRPr="008D250E">
              <w:t>)</w:t>
            </w:r>
            <w:r w:rsidRPr="008D250E" w:rsidR="00DD1607">
              <w:t xml:space="preserve"> at</w:t>
            </w:r>
            <w:r w:rsidR="00C35A4D">
              <w:t xml:space="preserve"> pp. </w:t>
            </w:r>
            <w:r w:rsidRPr="008D250E" w:rsidR="00DD1607">
              <w:t>4</w:t>
            </w:r>
            <w:r w:rsidR="00747698">
              <w:noBreakHyphen/>
            </w:r>
            <w:r w:rsidRPr="008D250E" w:rsidR="00DD1607">
              <w:t>5 (“evaluate the completeness.</w:t>
            </w:r>
            <w:r w:rsidR="000E5C35">
              <w:t> . .</w:t>
            </w:r>
            <w:r w:rsidRPr="008D250E" w:rsidR="00DD1607">
              <w:t>”)</w:t>
            </w:r>
            <w:r w:rsidRPr="008D250E">
              <w:t>.</w:t>
            </w:r>
          </w:p>
          <w:p w:rsidRPr="008D250E" w:rsidR="00225A7B" w:rsidP="009C2C9E" w:rsidRDefault="00225A7B" w14:paraId="18B090BC" w14:textId="77777777"/>
          <w:p w:rsidRPr="008D250E" w:rsidR="00BF5C14" w:rsidP="009C2C9E" w:rsidRDefault="00BF5C14" w14:paraId="37288C88" w14:textId="2B6D9CB2">
            <w:r w:rsidRPr="008D250E">
              <w:t xml:space="preserve">See generally, </w:t>
            </w:r>
            <w:r w:rsidRPr="008D250E" w:rsidR="00287694">
              <w:t xml:space="preserve">TURN and </w:t>
            </w:r>
            <w:proofErr w:type="spellStart"/>
            <w:r w:rsidRPr="008D250E" w:rsidR="00287694">
              <w:t>CforAT</w:t>
            </w:r>
            <w:proofErr w:type="spellEnd"/>
            <w:r w:rsidRPr="008D250E" w:rsidR="00287694">
              <w:t xml:space="preserve"> Motion for Procedural Schedule (dated </w:t>
            </w:r>
            <w:r w:rsidRPr="008D250E" w:rsidR="00AF1730">
              <w:t>December 21, 2017)</w:t>
            </w:r>
            <w:r w:rsidRPr="008D250E" w:rsidR="00287694">
              <w:t>.</w:t>
            </w:r>
          </w:p>
          <w:p w:rsidRPr="008D250E" w:rsidR="00BF5C14" w:rsidP="009C2C9E" w:rsidRDefault="00BF5C14" w14:paraId="11C0BF4F" w14:textId="77777777"/>
          <w:p w:rsidRPr="008D250E" w:rsidR="008D14D0" w:rsidP="009C2C9E" w:rsidRDefault="008D14D0" w14:paraId="27211D3A" w14:textId="318BCB9C">
            <w:r w:rsidRPr="008D250E">
              <w:t xml:space="preserve">TURN, </w:t>
            </w:r>
            <w:proofErr w:type="spellStart"/>
            <w:r w:rsidRPr="008D250E">
              <w:t>CforAT</w:t>
            </w:r>
            <w:proofErr w:type="spellEnd"/>
            <w:r w:rsidRPr="008D250E">
              <w:t>, and the County of Mendocino Opening Comments on the ALJ Ruling (dated November 28, 2018) at</w:t>
            </w:r>
            <w:r w:rsidR="00C35A4D">
              <w:t xml:space="preserve"> </w:t>
            </w:r>
            <w:r w:rsidR="00C35A4D">
              <w:lastRenderedPageBreak/>
              <w:t>pp. </w:t>
            </w:r>
            <w:r w:rsidRPr="008D250E">
              <w:t>17</w:t>
            </w:r>
            <w:r w:rsidR="00747698">
              <w:noBreakHyphen/>
            </w:r>
            <w:r w:rsidRPr="008D250E">
              <w:t>19 (OPs 5</w:t>
            </w:r>
            <w:r w:rsidR="00747698">
              <w:noBreakHyphen/>
            </w:r>
            <w:r w:rsidRPr="008D250E">
              <w:t>6), 20</w:t>
            </w:r>
            <w:r w:rsidR="00747698">
              <w:noBreakHyphen/>
            </w:r>
            <w:r w:rsidRPr="008D250E">
              <w:t>2</w:t>
            </w:r>
            <w:r w:rsidRPr="008D250E" w:rsidR="0083286B">
              <w:t>2 (OPs 11</w:t>
            </w:r>
            <w:r w:rsidR="00747698">
              <w:noBreakHyphen/>
            </w:r>
            <w:r w:rsidRPr="008D250E" w:rsidR="0083286B">
              <w:t>12), 26</w:t>
            </w:r>
            <w:r w:rsidR="00747698">
              <w:noBreakHyphen/>
            </w:r>
            <w:r w:rsidRPr="008D250E" w:rsidR="0083286B">
              <w:t>31 (OP 20</w:t>
            </w:r>
            <w:r w:rsidR="00747698">
              <w:noBreakHyphen/>
            </w:r>
            <w:r w:rsidRPr="008D250E" w:rsidR="0083286B">
              <w:t>22);</w:t>
            </w:r>
          </w:p>
          <w:p w:rsidR="009C2C9E" w:rsidP="009C2C9E" w:rsidRDefault="009C2C9E" w14:paraId="224E849C" w14:textId="77777777"/>
          <w:p w:rsidRPr="008D250E" w:rsidR="0083286B" w:rsidP="009C2C9E" w:rsidRDefault="0083286B" w14:paraId="0E7492D2" w14:textId="67F72EBA">
            <w:r w:rsidRPr="008D250E">
              <w:t xml:space="preserve">TURN, </w:t>
            </w:r>
            <w:proofErr w:type="spellStart"/>
            <w:r w:rsidRPr="008D250E">
              <w:t>CforAT</w:t>
            </w:r>
            <w:proofErr w:type="spellEnd"/>
            <w:r w:rsidRPr="008D250E">
              <w:t>, and the County of Mendocino Reply Comments on the ALJ Ruling (dated December 13, 2018) at</w:t>
            </w:r>
            <w:r w:rsidR="00C35A4D">
              <w:t xml:space="preserve"> pp. </w:t>
            </w:r>
            <w:r w:rsidRPr="008D250E">
              <w:t>6</w:t>
            </w:r>
            <w:r w:rsidR="00747698">
              <w:noBreakHyphen/>
            </w:r>
            <w:r w:rsidRPr="008D250E">
              <w:t>7 (OPs 20</w:t>
            </w:r>
            <w:r w:rsidR="00747698">
              <w:noBreakHyphen/>
            </w:r>
            <w:r w:rsidRPr="008D250E">
              <w:t>22);</w:t>
            </w:r>
          </w:p>
          <w:p w:rsidR="009C2C9E" w:rsidP="009C2C9E" w:rsidRDefault="009C2C9E" w14:paraId="39C8B73B" w14:textId="77777777"/>
          <w:p w:rsidRPr="008D250E" w:rsidR="0083286B" w:rsidP="009C2C9E" w:rsidRDefault="000C2031" w14:paraId="23FE8140" w14:textId="7677C904">
            <w:r w:rsidRPr="008D250E">
              <w:t xml:space="preserve">TURN, </w:t>
            </w:r>
            <w:proofErr w:type="spellStart"/>
            <w:r w:rsidRPr="008D250E">
              <w:t>CforAT</w:t>
            </w:r>
            <w:proofErr w:type="spellEnd"/>
            <w:r w:rsidRPr="008D250E">
              <w:t>, and Public Advocates Opening Comments on the Proposed Decision (dated August 26, 2019) at</w:t>
            </w:r>
            <w:r w:rsidR="00C35A4D">
              <w:t xml:space="preserve"> pp. </w:t>
            </w:r>
            <w:r w:rsidRPr="008D250E" w:rsidR="00177FF0">
              <w:t>1</w:t>
            </w:r>
            <w:r w:rsidR="00747698">
              <w:noBreakHyphen/>
            </w:r>
            <w:r w:rsidRPr="008D250E" w:rsidR="00177FF0">
              <w:t xml:space="preserve">2, </w:t>
            </w:r>
            <w:r w:rsidRPr="008D250E" w:rsidR="006C60DF">
              <w:t>8 (OP 11)</w:t>
            </w:r>
            <w:r w:rsidRPr="008D250E" w:rsidR="00177FF0">
              <w:t>.</w:t>
            </w:r>
          </w:p>
          <w:p w:rsidR="008D14D0" w:rsidP="009C2C9E" w:rsidRDefault="008D14D0" w14:paraId="3C6AF544" w14:textId="642A1C89"/>
          <w:p w:rsidRPr="008D250E" w:rsidR="00BF5C14" w:rsidP="009C2C9E" w:rsidRDefault="00BF5C14" w14:paraId="417BED16" w14:textId="5F861609">
            <w:pPr>
              <w:rPr>
                <w:color w:val="000000"/>
              </w:rPr>
            </w:pPr>
            <w:r w:rsidRPr="008D250E">
              <w:t>D.19</w:t>
            </w:r>
            <w:r w:rsidR="00747698">
              <w:noBreakHyphen/>
            </w:r>
            <w:r w:rsidRPr="008D250E">
              <w:t>09</w:t>
            </w:r>
            <w:r w:rsidR="00747698">
              <w:noBreakHyphen/>
            </w:r>
            <w:r w:rsidRPr="008D250E">
              <w:t>042 at</w:t>
            </w:r>
            <w:r w:rsidR="00C35A4D">
              <w:t xml:space="preserve"> pp. </w:t>
            </w:r>
            <w:r w:rsidRPr="008D250E" w:rsidR="00177FF0">
              <w:t>23</w:t>
            </w:r>
            <w:r w:rsidR="00747698">
              <w:noBreakHyphen/>
            </w:r>
            <w:r w:rsidRPr="008D250E" w:rsidR="006E6AC9">
              <w:t>26 (OP</w:t>
            </w:r>
            <w:r w:rsidRPr="008D250E" w:rsidR="00177FF0">
              <w:t xml:space="preserve"> 6)</w:t>
            </w:r>
            <w:r w:rsidRPr="008D250E" w:rsidR="00CB1001">
              <w:t>, 33</w:t>
            </w:r>
            <w:r w:rsidR="00747698">
              <w:noBreakHyphen/>
            </w:r>
            <w:r w:rsidRPr="008D250E">
              <w:t>37</w:t>
            </w:r>
            <w:r w:rsidRPr="008D250E" w:rsidR="00177FF0">
              <w:t xml:space="preserve"> (OPs 11</w:t>
            </w:r>
            <w:r w:rsidR="00747698">
              <w:noBreakHyphen/>
            </w:r>
            <w:r w:rsidRPr="008D250E" w:rsidR="00177FF0">
              <w:t>12)</w:t>
            </w:r>
            <w:r w:rsidRPr="008D250E">
              <w:t>, 52</w:t>
            </w:r>
            <w:r w:rsidR="00747698">
              <w:noBreakHyphen/>
            </w:r>
            <w:r w:rsidRPr="008D250E">
              <w:t>55</w:t>
            </w:r>
            <w:r w:rsidRPr="008D250E" w:rsidR="006E6AC9">
              <w:t xml:space="preserve"> (OP 20</w:t>
            </w:r>
            <w:r w:rsidRPr="008D250E" w:rsidR="00177FF0">
              <w:t>)</w:t>
            </w:r>
            <w:r w:rsidRPr="008D250E">
              <w:t>.</w:t>
            </w:r>
          </w:p>
        </w:tc>
        <w:tc>
          <w:tcPr>
            <w:tcW w:w="1464" w:type="dxa"/>
            <w:shd w:val="clear" w:color="auto" w:fill="auto"/>
          </w:tcPr>
          <w:p w:rsidRPr="008D250E" w:rsidR="00BD06B9" w:rsidP="00226770" w:rsidRDefault="00111C50" w14:paraId="4A434F3D" w14:textId="2D42F9DF">
            <w:pPr>
              <w:jc w:val="center"/>
              <w:rPr>
                <w:color w:val="000000"/>
              </w:rPr>
            </w:pPr>
            <w:r>
              <w:rPr>
                <w:color w:val="000000"/>
              </w:rPr>
              <w:lastRenderedPageBreak/>
              <w:t>Verified</w:t>
            </w:r>
          </w:p>
        </w:tc>
      </w:tr>
      <w:tr w:rsidRPr="008D250E" w:rsidR="00E95788" w:rsidTr="006F3085" w14:paraId="59DE961B" w14:textId="77777777">
        <w:tc>
          <w:tcPr>
            <w:tcW w:w="5323" w:type="dxa"/>
            <w:shd w:val="clear" w:color="auto" w:fill="auto"/>
          </w:tcPr>
          <w:p w:rsidRPr="008D250E" w:rsidR="00BD06B9" w:rsidP="00FF610E" w:rsidRDefault="00992B91" w14:paraId="47B829F5" w14:textId="79730E2C">
            <w:pPr>
              <w:rPr>
                <w:color w:val="000000"/>
              </w:rPr>
            </w:pPr>
            <w:r w:rsidRPr="008D250E">
              <w:rPr>
                <w:color w:val="000000"/>
              </w:rPr>
              <w:t>8</w:t>
            </w:r>
            <w:r w:rsidRPr="008D250E" w:rsidR="00BD06B9">
              <w:rPr>
                <w:color w:val="000000"/>
              </w:rPr>
              <w:t>.</w:t>
            </w:r>
            <w:r w:rsidR="00FF610E">
              <w:rPr>
                <w:color w:val="000000"/>
              </w:rPr>
              <w:t xml:space="preserve"> </w:t>
            </w:r>
            <w:r w:rsidRPr="008D250E" w:rsidR="00BD06B9">
              <w:rPr>
                <w:color w:val="000000"/>
              </w:rPr>
              <w:t xml:space="preserve"> </w:t>
            </w:r>
            <w:r w:rsidRPr="008D250E" w:rsidR="00BD06B9">
              <w:rPr>
                <w:color w:val="000000"/>
                <w:u w:val="single"/>
              </w:rPr>
              <w:t>Relation to Other Proceedings</w:t>
            </w:r>
          </w:p>
          <w:p w:rsidRPr="008D250E" w:rsidR="00BD06B9" w:rsidP="00FF610E" w:rsidRDefault="00BD06B9" w14:paraId="3F1A4650" w14:textId="607BB17D">
            <w:pPr>
              <w:spacing w:after="240"/>
            </w:pPr>
            <w:r w:rsidRPr="008D250E">
              <w:t xml:space="preserve">Recognizing the extensive record in </w:t>
            </w:r>
            <w:r w:rsidRPr="008D250E" w:rsidR="00F76D64">
              <w:t>this proceeding that documents</w:t>
            </w:r>
            <w:r w:rsidRPr="008D250E">
              <w:t xml:space="preserve"> rural call completion and other related communication outages and service quality issues, the Administrative Law Judge requested comments on whether the record of this proceeding should be made available in a related proceeding, Rulemaking 18</w:t>
            </w:r>
            <w:r w:rsidR="00747698">
              <w:noBreakHyphen/>
            </w:r>
            <w:r w:rsidRPr="008D250E">
              <w:t>03</w:t>
            </w:r>
            <w:r w:rsidR="00747698">
              <w:noBreakHyphen/>
            </w:r>
            <w:r w:rsidRPr="008D250E">
              <w:t xml:space="preserve">011.  </w:t>
            </w:r>
          </w:p>
          <w:p w:rsidRPr="008D250E" w:rsidR="00D81726" w:rsidP="00FF610E" w:rsidRDefault="00BD06B9" w14:paraId="6E741876" w14:textId="68F9142C">
            <w:pPr>
              <w:spacing w:after="240"/>
            </w:pPr>
            <w:r w:rsidRPr="008D250E">
              <w:t>TURN, the Center for Accessible Technology, and the National Consumer Law Center, filed comments in support of the inclusion of the complete record of I.14</w:t>
            </w:r>
            <w:r w:rsidR="00747698">
              <w:noBreakHyphen/>
            </w:r>
            <w:r w:rsidRPr="008D250E">
              <w:t>05</w:t>
            </w:r>
            <w:r w:rsidR="00747698">
              <w:noBreakHyphen/>
            </w:r>
            <w:r w:rsidRPr="008D250E">
              <w:t>012 regarding Rural Call Completion into the Disaster Relief proceeding, R.18</w:t>
            </w:r>
            <w:r w:rsidR="00747698">
              <w:noBreakHyphen/>
            </w:r>
            <w:r w:rsidRPr="008D250E">
              <w:t>03</w:t>
            </w:r>
            <w:r w:rsidR="00747698">
              <w:noBreakHyphen/>
            </w:r>
            <w:r w:rsidRPr="008D250E">
              <w:t xml:space="preserve">011. </w:t>
            </w:r>
            <w:r w:rsidRPr="008D250E" w:rsidR="00D81726">
              <w:t xml:space="preserve"> In this proceeding, TURN’s Joint Motion and comments have contributed to a robust record in </w:t>
            </w:r>
            <w:r w:rsidR="00C35A4D">
              <w:t>Phase 2</w:t>
            </w:r>
            <w:r w:rsidRPr="008D250E" w:rsidR="00D81726">
              <w:t xml:space="preserve"> that, when combined with the work in </w:t>
            </w:r>
            <w:r w:rsidR="00C35A4D">
              <w:t>Phase 1</w:t>
            </w:r>
            <w:r w:rsidRPr="008D250E" w:rsidR="00D81726">
              <w:t xml:space="preserve">, allows the </w:t>
            </w:r>
            <w:r w:rsidRPr="008D250E" w:rsidR="00D81726">
              <w:lastRenderedPageBreak/>
              <w:t xml:space="preserve">Commission to rely on this record to inform its work in other proceedings that are addressing vital public safety and service quality issues.  </w:t>
            </w:r>
            <w:r w:rsidRPr="008D250E">
              <w:t xml:space="preserve">Specifically, Joint Consumers stated, “In the Disaster Relief proceeding, Joint Consumers have repeatedly noted the relevance of matters also addressed in the Rural Call Completion docket, including issues about the importance of ensuring continuous access to 911 and emergency services” and “the [then] pending </w:t>
            </w:r>
            <w:r w:rsidR="00C35A4D">
              <w:t>Phase 2</w:t>
            </w:r>
            <w:r w:rsidRPr="008D250E">
              <w:t xml:space="preserve"> PD in the Rural Call Completion Docket specifically refers to the Disaster Relief docket as an appropriate forum for ongoing review of these matters.” </w:t>
            </w:r>
          </w:p>
          <w:p w:rsidRPr="008D250E" w:rsidR="00F76D64" w:rsidP="00FF610E" w:rsidRDefault="00D81726" w14:paraId="1A02A15F" w14:textId="2E67DF0F">
            <w:pPr>
              <w:spacing w:after="240"/>
            </w:pPr>
            <w:r w:rsidRPr="008D250E">
              <w:t xml:space="preserve">While </w:t>
            </w:r>
            <w:r w:rsidRPr="008D250E" w:rsidR="00F76D64">
              <w:t>CCTA and AT&amp;T each filed comments opposing the Commission’s decision to transfer the record in this proceeding claiming that the issues addressed in this docket were not relevant to the scope of issues in R.18</w:t>
            </w:r>
            <w:r w:rsidR="00747698">
              <w:noBreakHyphen/>
            </w:r>
            <w:r w:rsidRPr="008D250E" w:rsidR="00F76D64">
              <w:t>03</w:t>
            </w:r>
            <w:r w:rsidR="00747698">
              <w:noBreakHyphen/>
            </w:r>
            <w:r w:rsidRPr="008D250E" w:rsidR="00F76D64">
              <w:t>013</w:t>
            </w:r>
            <w:r w:rsidR="008251D6">
              <w:t>, the Commission rejected the carriers’ argument in favor of TURN’s position to include the record</w:t>
            </w:r>
            <w:r w:rsidRPr="008D250E">
              <w:t>.  The September 2019 ALJ Ruling entering the record acknowledges that the work of the parties in this proceeding created a record that, “will support the Commission’s efforts to build and sustain a more resilient approach in providing disaster preparedness and relief to California in times of crisis.”</w:t>
            </w:r>
          </w:p>
          <w:p w:rsidRPr="008D250E" w:rsidR="00BD06B9" w:rsidP="00FF610E" w:rsidRDefault="00BD06B9" w14:paraId="3902C8B5" w14:textId="35DE5E7F">
            <w:pPr>
              <w:spacing w:after="240"/>
            </w:pPr>
            <w:r w:rsidRPr="008D250E">
              <w:t>While Decision 19</w:t>
            </w:r>
            <w:r w:rsidR="00747698">
              <w:noBreakHyphen/>
            </w:r>
            <w:r w:rsidRPr="008D250E">
              <w:t>09</w:t>
            </w:r>
            <w:r w:rsidR="00747698">
              <w:noBreakHyphen/>
            </w:r>
            <w:r w:rsidRPr="008D250E">
              <w:t>042 closes the Investigation 14</w:t>
            </w:r>
            <w:r w:rsidR="00747698">
              <w:noBreakHyphen/>
            </w:r>
            <w:r w:rsidRPr="008D250E">
              <w:t>05</w:t>
            </w:r>
            <w:r w:rsidR="00747698">
              <w:noBreakHyphen/>
            </w:r>
            <w:r w:rsidRPr="008D250E">
              <w:t>012, TURN, as part of Joint Consumers, intends to continue to advocate for safe, reliable, and affordable communications services, including in rural areas and during emergencies, and to rely on the record in this Investigation to inform TURN’s future work in Rulemaking 18</w:t>
            </w:r>
            <w:r w:rsidR="00747698">
              <w:noBreakHyphen/>
            </w:r>
            <w:r w:rsidRPr="008D250E">
              <w:t>03</w:t>
            </w:r>
            <w:r w:rsidR="00747698">
              <w:noBreakHyphen/>
            </w:r>
            <w:r w:rsidRPr="008D250E">
              <w:t>011.</w:t>
            </w:r>
          </w:p>
        </w:tc>
        <w:tc>
          <w:tcPr>
            <w:tcW w:w="2951" w:type="dxa"/>
            <w:shd w:val="clear" w:color="auto" w:fill="auto"/>
          </w:tcPr>
          <w:p w:rsidRPr="008D250E" w:rsidR="00BF5C14" w:rsidP="009C2C9E" w:rsidRDefault="00BF5C14" w14:paraId="142A3419" w14:textId="77777777"/>
          <w:p w:rsidRPr="008D250E" w:rsidR="00245649" w:rsidP="009C2C9E" w:rsidRDefault="00245649" w14:paraId="67256F27" w14:textId="7EEEBF29">
            <w:r w:rsidRPr="008D250E">
              <w:t>ALJ Ruling (issued September 13, 2019) at</w:t>
            </w:r>
            <w:r w:rsidR="00C35A4D">
              <w:t xml:space="preserve"> p. </w:t>
            </w:r>
            <w:r w:rsidRPr="008D250E">
              <w:t>1.</w:t>
            </w:r>
          </w:p>
          <w:p w:rsidRPr="008D250E" w:rsidR="00245649" w:rsidP="009C2C9E" w:rsidRDefault="00245649" w14:paraId="2ACE2A8B" w14:textId="77777777"/>
          <w:p w:rsidRPr="008D250E" w:rsidR="00245649" w:rsidP="009C2C9E" w:rsidRDefault="00245649" w14:paraId="19702E6E" w14:textId="77777777"/>
          <w:p w:rsidR="00245649" w:rsidP="009C2C9E" w:rsidRDefault="00245649" w14:paraId="22261A5D" w14:textId="0E1820CD"/>
          <w:p w:rsidR="009C2C9E" w:rsidP="009C2C9E" w:rsidRDefault="009C2C9E" w14:paraId="4EAEFE63" w14:textId="2A61F25C"/>
          <w:p w:rsidR="009C2C9E" w:rsidP="009C2C9E" w:rsidRDefault="009C2C9E" w14:paraId="0A9B7776" w14:textId="09429AA6"/>
          <w:p w:rsidRPr="008D250E" w:rsidR="009C2C9E" w:rsidP="009C2C9E" w:rsidRDefault="009C2C9E" w14:paraId="5B338F4C" w14:textId="77777777"/>
          <w:p w:rsidR="00287694" w:rsidP="009C2C9E" w:rsidRDefault="00245649" w14:paraId="60ECE41D" w14:textId="72E395C1">
            <w:r w:rsidRPr="008D250E">
              <w:t xml:space="preserve">TURN, </w:t>
            </w:r>
            <w:proofErr w:type="spellStart"/>
            <w:r w:rsidRPr="008D250E">
              <w:t>CforAT</w:t>
            </w:r>
            <w:proofErr w:type="spellEnd"/>
            <w:r w:rsidRPr="008D250E">
              <w:t>, and the National Consumer Law Center</w:t>
            </w:r>
            <w:r w:rsidRPr="008D250E" w:rsidR="00287694">
              <w:t xml:space="preserve"> </w:t>
            </w:r>
            <w:r w:rsidRPr="008D250E">
              <w:t xml:space="preserve">Opening Comments on the ALJ Ruling (dated September 18, 2019) </w:t>
            </w:r>
            <w:r w:rsidRPr="008D250E" w:rsidR="00287694">
              <w:t>at</w:t>
            </w:r>
            <w:r w:rsidR="00C35A4D">
              <w:t xml:space="preserve"> pp. </w:t>
            </w:r>
            <w:r w:rsidRPr="008D250E" w:rsidR="00287694">
              <w:t>1</w:t>
            </w:r>
            <w:r w:rsidR="00747698">
              <w:noBreakHyphen/>
            </w:r>
            <w:r w:rsidRPr="008D250E">
              <w:t>2</w:t>
            </w:r>
            <w:r w:rsidRPr="008D250E" w:rsidR="00287694">
              <w:t>;</w:t>
            </w:r>
          </w:p>
          <w:p w:rsidRPr="008D250E" w:rsidR="00756361" w:rsidP="009C2C9E" w:rsidRDefault="00756361" w14:paraId="6884DDCF" w14:textId="77777777"/>
          <w:p w:rsidRPr="008D250E" w:rsidR="00245649" w:rsidP="00C43148" w:rsidRDefault="00245649" w14:paraId="2E14D905" w14:textId="5970502A">
            <w:r w:rsidRPr="008D250E">
              <w:lastRenderedPageBreak/>
              <w:t>see generally, Motion for Procedural Schedule (dated December 21, 2017);</w:t>
            </w:r>
          </w:p>
          <w:p w:rsidR="00C43148" w:rsidP="00C43148" w:rsidRDefault="00C43148" w14:paraId="1D71A69E" w14:textId="77777777"/>
          <w:p w:rsidRPr="008D250E" w:rsidR="00245649" w:rsidP="00C43148" w:rsidRDefault="00245649" w14:paraId="75879858" w14:textId="1093631A">
            <w:r w:rsidRPr="008D250E">
              <w:t xml:space="preserve">see generally, Motion for Procedural Schedule, Declaration of Trish Steel in Support of Motion for Procedural Schedule in </w:t>
            </w:r>
            <w:r w:rsidR="00C35A4D">
              <w:t>Phase 2</w:t>
            </w:r>
            <w:r w:rsidRPr="008D250E">
              <w:t xml:space="preserve"> (dated December 20, 2017);</w:t>
            </w:r>
          </w:p>
          <w:p w:rsidR="00C43148" w:rsidP="00C43148" w:rsidRDefault="00C43148" w14:paraId="3ED02924" w14:textId="77777777"/>
          <w:p w:rsidRPr="008D250E" w:rsidR="00245649" w:rsidP="00C43148" w:rsidRDefault="00245649" w14:paraId="238041A8" w14:textId="3769E847">
            <w:r w:rsidRPr="008D250E">
              <w:t xml:space="preserve">TURN, </w:t>
            </w:r>
            <w:proofErr w:type="spellStart"/>
            <w:r w:rsidRPr="008D250E">
              <w:t>CforAT</w:t>
            </w:r>
            <w:proofErr w:type="spellEnd"/>
            <w:r w:rsidRPr="008D250E">
              <w:t>, and the National Consumer Law Center Opening Comments on the ALJ Ruling (dated September 18, 2019) at</w:t>
            </w:r>
            <w:r w:rsidR="00C35A4D">
              <w:t xml:space="preserve"> p. </w:t>
            </w:r>
            <w:r w:rsidRPr="008D250E">
              <w:t>1 (“In the Disaster Relief proceeding.</w:t>
            </w:r>
            <w:r w:rsidR="000E5C35">
              <w:t> . .</w:t>
            </w:r>
            <w:r w:rsidRPr="008D250E">
              <w:t xml:space="preserve">” and “the pending </w:t>
            </w:r>
            <w:r w:rsidR="00C35A4D">
              <w:t>Phase 2</w:t>
            </w:r>
            <w:r w:rsidRPr="008D250E">
              <w:t xml:space="preserve"> PD</w:t>
            </w:r>
            <w:r w:rsidR="000E5C35">
              <w:t> . .</w:t>
            </w:r>
            <w:r w:rsidR="00EC1CA4">
              <w:t> </w:t>
            </w:r>
            <w:r w:rsidRPr="008D250E">
              <w:t>.”).</w:t>
            </w:r>
          </w:p>
          <w:p w:rsidRPr="008D250E" w:rsidR="006826B0" w:rsidP="00C43148" w:rsidRDefault="006826B0" w14:paraId="3A2A6D2D" w14:textId="77777777"/>
          <w:p w:rsidRPr="008D250E" w:rsidR="006826B0" w:rsidP="00C43148" w:rsidRDefault="006826B0" w14:paraId="08AB1A1D" w14:textId="3654EFEF">
            <w:r w:rsidRPr="008D250E">
              <w:t>ALJ Ruling (issued September 13, 2019) at</w:t>
            </w:r>
            <w:r w:rsidR="00C35A4D">
              <w:t xml:space="preserve"> p. </w:t>
            </w:r>
            <w:r w:rsidRPr="008D250E">
              <w:t>1 (“will support the Commission’s efforts.</w:t>
            </w:r>
            <w:r w:rsidR="000E5C35">
              <w:t> . .</w:t>
            </w:r>
            <w:r w:rsidRPr="008D250E">
              <w:t>”).</w:t>
            </w:r>
          </w:p>
          <w:p w:rsidRPr="008D250E" w:rsidR="00245649" w:rsidP="00C43148" w:rsidRDefault="00245649" w14:paraId="17120938" w14:textId="77777777"/>
          <w:p w:rsidRPr="00C43148" w:rsidR="00BF5C14" w:rsidP="00C43148" w:rsidRDefault="00553C11" w14:paraId="3ADA9CE0" w14:textId="62977B69">
            <w:r w:rsidRPr="008D250E">
              <w:t>D.19</w:t>
            </w:r>
            <w:r w:rsidR="00747698">
              <w:noBreakHyphen/>
            </w:r>
            <w:r w:rsidRPr="008D250E">
              <w:t>09</w:t>
            </w:r>
            <w:r w:rsidR="00747698">
              <w:noBreakHyphen/>
            </w:r>
            <w:r w:rsidRPr="008D250E">
              <w:t>042 at</w:t>
            </w:r>
            <w:r w:rsidR="00C35A4D">
              <w:t xml:space="preserve"> p. </w:t>
            </w:r>
            <w:r w:rsidRPr="008D250E">
              <w:t>80, OP 1.</w:t>
            </w:r>
          </w:p>
        </w:tc>
        <w:tc>
          <w:tcPr>
            <w:tcW w:w="1464" w:type="dxa"/>
            <w:shd w:val="clear" w:color="auto" w:fill="auto"/>
          </w:tcPr>
          <w:p w:rsidRPr="008D250E" w:rsidR="00BD06B9" w:rsidP="00226770" w:rsidRDefault="00111C50" w14:paraId="6FC0FE09" w14:textId="49421D19">
            <w:pPr>
              <w:jc w:val="center"/>
              <w:rPr>
                <w:color w:val="000000"/>
              </w:rPr>
            </w:pPr>
            <w:r>
              <w:rPr>
                <w:color w:val="000000"/>
              </w:rPr>
              <w:lastRenderedPageBreak/>
              <w:t>Verified</w:t>
            </w:r>
          </w:p>
        </w:tc>
      </w:tr>
    </w:tbl>
    <w:p w:rsidRPr="008D250E" w:rsidR="00A92D0B" w:rsidP="006F3085" w:rsidRDefault="00A92D0B" w14:paraId="0D4BCD3A" w14:textId="61304688">
      <w:pPr>
        <w:keepNext/>
        <w:keepLines/>
        <w:numPr>
          <w:ilvl w:val="0"/>
          <w:numId w:val="1"/>
        </w:numPr>
        <w:tabs>
          <w:tab w:val="clear" w:pos="900"/>
          <w:tab w:val="num" w:pos="360"/>
        </w:tabs>
        <w:spacing w:before="240" w:after="120"/>
        <w:ind w:left="360"/>
        <w:rPr>
          <w:b/>
          <w:color w:val="000000"/>
        </w:rPr>
      </w:pPr>
      <w:r w:rsidRPr="008D250E">
        <w:rPr>
          <w:b/>
          <w:color w:val="000000"/>
        </w:rPr>
        <w:lastRenderedPageBreak/>
        <w:t>Duplication of Effort (</w:t>
      </w:r>
      <w:r w:rsidR="0095390B">
        <w:rPr>
          <w:b/>
          <w:color w:val="000000"/>
        </w:rPr>
        <w:t>§ </w:t>
      </w:r>
      <w:r w:rsidRPr="008D250E">
        <w:rPr>
          <w:b/>
          <w:color w:val="000000"/>
        </w:rPr>
        <w:t xml:space="preserve">1801.3(f) </w:t>
      </w:r>
      <w:r w:rsidRPr="008D250E" w:rsidR="00F30DA8">
        <w:rPr>
          <w:b/>
          <w:color w:val="000000"/>
        </w:rPr>
        <w:t xml:space="preserve">and </w:t>
      </w:r>
      <w:r w:rsidR="0095390B">
        <w:rPr>
          <w:b/>
          <w:color w:val="000000"/>
        </w:rPr>
        <w:t>§ </w:t>
      </w:r>
      <w:r w:rsidRPr="008D250E" w:rsidR="0022302F">
        <w:rPr>
          <w:b/>
          <w:color w:val="000000"/>
        </w:rPr>
        <w:t>1802.5)</w:t>
      </w:r>
      <w:r w:rsidRPr="008D250E"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1E0" w:firstRow="1" w:lastRow="1" w:firstColumn="1" w:lastColumn="1" w:noHBand="0" w:noVBand="0"/>
      </w:tblPr>
      <w:tblGrid>
        <w:gridCol w:w="6048"/>
        <w:gridCol w:w="1710"/>
        <w:gridCol w:w="1980"/>
      </w:tblGrid>
      <w:tr w:rsidRPr="008D250E" w:rsidR="00A92D0B" w:rsidTr="00927A29" w14:paraId="76F3266C" w14:textId="77777777">
        <w:trPr>
          <w:tblHeader/>
        </w:trPr>
        <w:tc>
          <w:tcPr>
            <w:tcW w:w="6048" w:type="dxa"/>
            <w:shd w:val="clear" w:color="auto" w:fill="D9D9D9" w:themeFill="background1" w:themeFillShade="D9"/>
            <w:vAlign w:val="bottom"/>
          </w:tcPr>
          <w:p w:rsidRPr="008D250E" w:rsidR="00A92D0B" w:rsidP="00344A2D" w:rsidRDefault="00A92D0B" w14:paraId="300CEDBC" w14:textId="77777777">
            <w:pPr>
              <w:keepNext/>
              <w:keepLines/>
              <w:jc w:val="center"/>
              <w:rPr>
                <w:color w:val="000000"/>
              </w:rPr>
            </w:pPr>
          </w:p>
        </w:tc>
        <w:tc>
          <w:tcPr>
            <w:tcW w:w="1710" w:type="dxa"/>
            <w:tcBorders>
              <w:bottom w:val="single" w:color="auto" w:sz="4" w:space="0"/>
            </w:tcBorders>
            <w:shd w:val="clear" w:color="auto" w:fill="D9D9D9" w:themeFill="background1" w:themeFillShade="D9"/>
            <w:vAlign w:val="bottom"/>
          </w:tcPr>
          <w:p w:rsidR="00E871BB" w:rsidP="00344A2D" w:rsidRDefault="005A63D4" w14:paraId="7B5C9E66" w14:textId="2FB03295">
            <w:pPr>
              <w:keepNext/>
              <w:keepLines/>
              <w:jc w:val="center"/>
              <w:rPr>
                <w:b/>
                <w:color w:val="000000"/>
              </w:rPr>
            </w:pPr>
            <w:r w:rsidRPr="008D250E">
              <w:rPr>
                <w:b/>
                <w:color w:val="000000"/>
              </w:rPr>
              <w:t>Interveno</w:t>
            </w:r>
            <w:r w:rsidRPr="008D250E" w:rsidR="00204E3A">
              <w:rPr>
                <w:b/>
                <w:color w:val="000000"/>
              </w:rPr>
              <w:t>r</w:t>
            </w:r>
            <w:r w:rsidRPr="008D250E">
              <w:rPr>
                <w:b/>
                <w:color w:val="000000"/>
              </w:rPr>
              <w:t>’s</w:t>
            </w:r>
          </w:p>
          <w:p w:rsidRPr="008D250E" w:rsidR="00A92D0B" w:rsidP="00344A2D" w:rsidRDefault="00D075B1" w14:paraId="7B091096" w14:textId="29C811B9">
            <w:pPr>
              <w:keepNext/>
              <w:keepLines/>
              <w:jc w:val="center"/>
              <w:rPr>
                <w:b/>
                <w:color w:val="000000"/>
              </w:rPr>
            </w:pPr>
            <w:r w:rsidRPr="008D250E">
              <w:rPr>
                <w:b/>
                <w:color w:val="000000"/>
              </w:rPr>
              <w:t>Assertion</w:t>
            </w:r>
          </w:p>
        </w:tc>
        <w:tc>
          <w:tcPr>
            <w:tcW w:w="1980" w:type="dxa"/>
            <w:shd w:val="clear" w:color="auto" w:fill="D9D9D9" w:themeFill="background1" w:themeFillShade="D9"/>
            <w:vAlign w:val="bottom"/>
          </w:tcPr>
          <w:p w:rsidR="00E871BB" w:rsidP="00344A2D" w:rsidRDefault="00A92D0B" w14:paraId="46E47976" w14:textId="15914BD5">
            <w:pPr>
              <w:keepNext/>
              <w:keepLines/>
              <w:jc w:val="center"/>
              <w:rPr>
                <w:b/>
                <w:color w:val="000000"/>
              </w:rPr>
            </w:pPr>
            <w:r w:rsidRPr="008D250E">
              <w:rPr>
                <w:b/>
                <w:color w:val="000000"/>
              </w:rPr>
              <w:t>CPUC</w:t>
            </w:r>
          </w:p>
          <w:p w:rsidRPr="008D250E" w:rsidR="00A92D0B" w:rsidP="00344A2D" w:rsidRDefault="00D075B1" w14:paraId="25CE5081" w14:textId="2B35B81A">
            <w:pPr>
              <w:keepNext/>
              <w:keepLines/>
              <w:jc w:val="center"/>
              <w:rPr>
                <w:b/>
                <w:color w:val="000000"/>
              </w:rPr>
            </w:pPr>
            <w:r w:rsidRPr="008D250E">
              <w:rPr>
                <w:b/>
                <w:color w:val="000000"/>
              </w:rPr>
              <w:t>Discussion</w:t>
            </w:r>
          </w:p>
        </w:tc>
      </w:tr>
      <w:tr w:rsidRPr="008D250E" w:rsidR="00A92D0B" w:rsidTr="00D769BE" w14:paraId="24A12BE1" w14:textId="77777777">
        <w:tc>
          <w:tcPr>
            <w:tcW w:w="6048" w:type="dxa"/>
            <w:shd w:val="clear" w:color="auto" w:fill="auto"/>
          </w:tcPr>
          <w:p w:rsidRPr="008D250E" w:rsidR="00A92D0B" w:rsidP="00344A2D" w:rsidRDefault="00A92D0B" w14:paraId="6915FAF6" w14:textId="55102672">
            <w:pPr>
              <w:keepNext/>
              <w:keepLines/>
              <w:spacing w:after="240"/>
              <w:ind w:left="360" w:hanging="360"/>
              <w:rPr>
                <w:b/>
                <w:color w:val="000000"/>
              </w:rPr>
            </w:pPr>
            <w:r w:rsidRPr="008D250E">
              <w:rPr>
                <w:b/>
                <w:color w:val="000000"/>
              </w:rPr>
              <w:t>a.</w:t>
            </w:r>
            <w:r w:rsidRPr="008D250E">
              <w:rPr>
                <w:b/>
                <w:color w:val="000000"/>
              </w:rPr>
              <w:tab/>
            </w:r>
            <w:r w:rsidRPr="008D250E">
              <w:rPr>
                <w:b/>
              </w:rPr>
              <w:t xml:space="preserve">Was the </w:t>
            </w:r>
            <w:r w:rsidRPr="008D250E" w:rsidR="009E48E4">
              <w:rPr>
                <w:b/>
                <w:color w:val="000000"/>
                <w:sz w:val="22"/>
                <w:szCs w:val="22"/>
              </w:rPr>
              <w:t>Public Advocate</w:t>
            </w:r>
            <w:r w:rsidRPr="008D250E" w:rsidR="00621A7C">
              <w:rPr>
                <w:b/>
                <w:color w:val="000000"/>
                <w:sz w:val="22"/>
                <w:szCs w:val="22"/>
              </w:rPr>
              <w:t>’</w:t>
            </w:r>
            <w:r w:rsidRPr="008D250E" w:rsidR="009E48E4">
              <w:rPr>
                <w:b/>
                <w:color w:val="000000"/>
                <w:sz w:val="22"/>
                <w:szCs w:val="22"/>
              </w:rPr>
              <w:t>s Office of the Public Utilities Commission</w:t>
            </w:r>
            <w:r w:rsidRPr="008D250E" w:rsidR="009E48E4">
              <w:rPr>
                <w:b/>
              </w:rPr>
              <w:t xml:space="preserve"> </w:t>
            </w:r>
            <w:r w:rsidRPr="008D250E">
              <w:rPr>
                <w:b/>
                <w:color w:val="000000"/>
                <w:sz w:val="22"/>
                <w:szCs w:val="22"/>
              </w:rPr>
              <w:t>(</w:t>
            </w:r>
            <w:r w:rsidRPr="008D250E" w:rsidR="00B55D78">
              <w:rPr>
                <w:b/>
                <w:color w:val="000000"/>
                <w:sz w:val="22"/>
                <w:szCs w:val="22"/>
              </w:rPr>
              <w:t>Cal Advocates</w:t>
            </w:r>
            <w:r w:rsidRPr="008D250E">
              <w:rPr>
                <w:b/>
              </w:rPr>
              <w:t>) a party to the proceeding</w:t>
            </w:r>
            <w:r w:rsidRPr="008D250E">
              <w:rPr>
                <w:b/>
                <w:color w:val="000000"/>
              </w:rPr>
              <w:t>?</w:t>
            </w:r>
            <w:r w:rsidRPr="008D250E" w:rsidR="009E48E4">
              <w:rPr>
                <w:rStyle w:val="FootnoteReference"/>
                <w:b/>
                <w:color w:val="000000"/>
              </w:rPr>
              <w:footnoteReference w:id="2"/>
            </w:r>
          </w:p>
        </w:tc>
        <w:tc>
          <w:tcPr>
            <w:tcW w:w="1710" w:type="dxa"/>
            <w:shd w:val="clear" w:color="auto" w:fill="auto"/>
          </w:tcPr>
          <w:p w:rsidRPr="008D250E" w:rsidR="00A92D0B" w:rsidP="00344A2D" w:rsidRDefault="0083467B" w14:paraId="0B49A7C8" w14:textId="32F0B996">
            <w:pPr>
              <w:keepNext/>
              <w:keepLines/>
              <w:jc w:val="center"/>
              <w:rPr>
                <w:color w:val="000000"/>
              </w:rPr>
            </w:pPr>
            <w:r w:rsidRPr="008D250E">
              <w:rPr>
                <w:color w:val="000000"/>
              </w:rPr>
              <w:t>Yes</w:t>
            </w:r>
          </w:p>
        </w:tc>
        <w:tc>
          <w:tcPr>
            <w:tcW w:w="1980" w:type="dxa"/>
            <w:shd w:val="clear" w:color="auto" w:fill="auto"/>
          </w:tcPr>
          <w:p w:rsidRPr="008D250E" w:rsidR="00A92D0B" w:rsidP="00344A2D" w:rsidRDefault="00111C50" w14:paraId="23B6532A" w14:textId="6B24365C">
            <w:pPr>
              <w:keepNext/>
              <w:keepLines/>
              <w:jc w:val="center"/>
              <w:rPr>
                <w:color w:val="000000"/>
              </w:rPr>
            </w:pPr>
            <w:r>
              <w:rPr>
                <w:color w:val="000000"/>
              </w:rPr>
              <w:t>Verified</w:t>
            </w:r>
          </w:p>
        </w:tc>
      </w:tr>
      <w:tr w:rsidRPr="008D250E" w:rsidR="00A92D0B" w:rsidTr="00D769BE" w14:paraId="3317BD71" w14:textId="77777777">
        <w:tc>
          <w:tcPr>
            <w:tcW w:w="6048" w:type="dxa"/>
            <w:shd w:val="clear" w:color="auto" w:fill="auto"/>
          </w:tcPr>
          <w:p w:rsidRPr="008D250E" w:rsidR="00A92D0B" w:rsidP="00344A2D" w:rsidRDefault="00A92D0B" w14:paraId="561D245D" w14:textId="77777777">
            <w:pPr>
              <w:tabs>
                <w:tab w:val="left" w:pos="360"/>
              </w:tabs>
              <w:spacing w:after="240"/>
              <w:ind w:left="360" w:hanging="360"/>
              <w:rPr>
                <w:b/>
                <w:color w:val="000000"/>
              </w:rPr>
            </w:pPr>
            <w:r w:rsidRPr="008D250E">
              <w:rPr>
                <w:b/>
                <w:color w:val="000000"/>
              </w:rPr>
              <w:t>b.</w:t>
            </w:r>
            <w:r w:rsidRPr="008D250E">
              <w:rPr>
                <w:b/>
                <w:color w:val="000000"/>
              </w:rPr>
              <w:tab/>
              <w:t xml:space="preserve">Were there other parties to the proceeding with positions similar to yours? </w:t>
            </w:r>
          </w:p>
        </w:tc>
        <w:tc>
          <w:tcPr>
            <w:tcW w:w="1710" w:type="dxa"/>
            <w:shd w:val="clear" w:color="auto" w:fill="auto"/>
          </w:tcPr>
          <w:p w:rsidRPr="008D250E" w:rsidR="00A92D0B" w:rsidP="00344A2D" w:rsidRDefault="0083467B" w14:paraId="3708E485" w14:textId="580C8D3A">
            <w:pPr>
              <w:jc w:val="center"/>
              <w:rPr>
                <w:color w:val="000000"/>
              </w:rPr>
            </w:pPr>
            <w:r w:rsidRPr="008D250E">
              <w:rPr>
                <w:color w:val="000000"/>
              </w:rPr>
              <w:t>Yes</w:t>
            </w:r>
          </w:p>
        </w:tc>
        <w:tc>
          <w:tcPr>
            <w:tcW w:w="1980" w:type="dxa"/>
            <w:shd w:val="clear" w:color="auto" w:fill="auto"/>
          </w:tcPr>
          <w:p w:rsidRPr="008D250E" w:rsidR="00A92D0B" w:rsidP="00344A2D" w:rsidRDefault="00111C50" w14:paraId="6B3388E6" w14:textId="51BAECC2">
            <w:pPr>
              <w:jc w:val="center"/>
              <w:rPr>
                <w:color w:val="000000"/>
              </w:rPr>
            </w:pPr>
            <w:r>
              <w:rPr>
                <w:color w:val="000000"/>
              </w:rPr>
              <w:t>Verified</w:t>
            </w:r>
          </w:p>
        </w:tc>
      </w:tr>
      <w:tr w:rsidRPr="008D250E" w:rsidR="00A92D0B" w:rsidTr="00D769BE" w14:paraId="0A51B7D4" w14:textId="77777777">
        <w:tc>
          <w:tcPr>
            <w:tcW w:w="7758" w:type="dxa"/>
            <w:gridSpan w:val="2"/>
            <w:shd w:val="clear" w:color="auto" w:fill="auto"/>
          </w:tcPr>
          <w:p w:rsidRPr="008D250E" w:rsidR="00A92D0B" w:rsidP="00344A2D" w:rsidRDefault="00A92D0B" w14:paraId="30CB6275" w14:textId="7D63B4F2">
            <w:pPr>
              <w:tabs>
                <w:tab w:val="left" w:pos="360"/>
              </w:tabs>
              <w:spacing w:after="240"/>
              <w:ind w:left="360" w:hanging="360"/>
              <w:rPr>
                <w:color w:val="000000"/>
              </w:rPr>
            </w:pPr>
            <w:r w:rsidRPr="008D250E">
              <w:rPr>
                <w:b/>
                <w:color w:val="000000"/>
              </w:rPr>
              <w:t>c.</w:t>
            </w:r>
            <w:r w:rsidRPr="008D250E">
              <w:rPr>
                <w:b/>
                <w:color w:val="000000"/>
              </w:rPr>
              <w:tab/>
              <w:t>If so, provide name of other parties:</w:t>
            </w:r>
            <w:r w:rsidRPr="008D250E" w:rsidR="00E25078">
              <w:rPr>
                <w:color w:val="000000"/>
              </w:rPr>
              <w:t xml:space="preserve"> </w:t>
            </w:r>
          </w:p>
          <w:p w:rsidRPr="008D250E" w:rsidR="00A92D0B" w:rsidP="00344A2D" w:rsidRDefault="0083467B" w14:paraId="0919176B" w14:textId="0D6BB6A7">
            <w:pPr>
              <w:spacing w:after="240"/>
              <w:ind w:left="360"/>
              <w:rPr>
                <w:color w:val="000000"/>
              </w:rPr>
            </w:pPr>
            <w:r w:rsidRPr="008D250E">
              <w:rPr>
                <w:color w:val="000000"/>
              </w:rPr>
              <w:t xml:space="preserve">The Center for Accessible Technology, </w:t>
            </w:r>
            <w:r w:rsidRPr="008D250E" w:rsidR="0098392A">
              <w:rPr>
                <w:color w:val="000000"/>
              </w:rPr>
              <w:t>County of Mendocino</w:t>
            </w:r>
            <w:r w:rsidRPr="008D250E" w:rsidR="00AD09CA">
              <w:rPr>
                <w:color w:val="000000"/>
              </w:rPr>
              <w:t>, Greenlining Institute</w:t>
            </w:r>
          </w:p>
        </w:tc>
        <w:tc>
          <w:tcPr>
            <w:tcW w:w="1980" w:type="dxa"/>
            <w:shd w:val="clear" w:color="auto" w:fill="auto"/>
          </w:tcPr>
          <w:p w:rsidRPr="008D250E" w:rsidR="00A92D0B" w:rsidP="00344A2D" w:rsidRDefault="00FA42F9" w14:paraId="22A40B49" w14:textId="2488D3F9">
            <w:pPr>
              <w:jc w:val="center"/>
              <w:rPr>
                <w:color w:val="000000"/>
              </w:rPr>
            </w:pPr>
            <w:r>
              <w:rPr>
                <w:color w:val="000000"/>
              </w:rPr>
              <w:t>Verified</w:t>
            </w:r>
          </w:p>
        </w:tc>
      </w:tr>
      <w:tr w:rsidRPr="008D250E" w:rsidR="00A92D0B" w:rsidTr="00D769BE" w14:paraId="744830F5" w14:textId="77777777">
        <w:tc>
          <w:tcPr>
            <w:tcW w:w="7758" w:type="dxa"/>
            <w:gridSpan w:val="2"/>
            <w:shd w:val="clear" w:color="auto" w:fill="auto"/>
          </w:tcPr>
          <w:p w:rsidRPr="008D250E" w:rsidR="00A92D0B" w:rsidP="00344A2D" w:rsidRDefault="00A92D0B" w14:paraId="7C05FE5A" w14:textId="42DBC7F8">
            <w:pPr>
              <w:tabs>
                <w:tab w:val="left" w:pos="360"/>
              </w:tabs>
              <w:spacing w:after="240"/>
              <w:ind w:left="360" w:hanging="360"/>
              <w:rPr>
                <w:color w:val="000000"/>
              </w:rPr>
            </w:pPr>
            <w:r w:rsidRPr="008D250E">
              <w:rPr>
                <w:b/>
                <w:color w:val="000000"/>
              </w:rPr>
              <w:t>d.</w:t>
            </w:r>
            <w:r w:rsidRPr="008D250E">
              <w:rPr>
                <w:b/>
                <w:color w:val="000000"/>
              </w:rPr>
              <w:tab/>
            </w:r>
            <w:r w:rsidRPr="008D250E" w:rsidR="00D075B1">
              <w:rPr>
                <w:b/>
                <w:color w:val="000000"/>
              </w:rPr>
              <w:t xml:space="preserve">Intervenor’s </w:t>
            </w:r>
            <w:r w:rsidRPr="008D250E" w:rsidR="00A319DE">
              <w:rPr>
                <w:b/>
                <w:color w:val="000000"/>
              </w:rPr>
              <w:t>c</w:t>
            </w:r>
            <w:r w:rsidRPr="008D250E" w:rsidR="00D075B1">
              <w:rPr>
                <w:b/>
                <w:color w:val="000000"/>
              </w:rPr>
              <w:t xml:space="preserve">laim of </w:t>
            </w:r>
            <w:r w:rsidRPr="008D250E" w:rsidR="00A319DE">
              <w:rPr>
                <w:b/>
                <w:color w:val="000000"/>
              </w:rPr>
              <w:t>n</w:t>
            </w:r>
            <w:r w:rsidRPr="008D250E" w:rsidR="00D075B1">
              <w:rPr>
                <w:b/>
                <w:color w:val="000000"/>
              </w:rPr>
              <w:t>on</w:t>
            </w:r>
            <w:r w:rsidR="00747698">
              <w:rPr>
                <w:b/>
                <w:color w:val="000000"/>
              </w:rPr>
              <w:noBreakHyphen/>
            </w:r>
            <w:r w:rsidRPr="008D250E" w:rsidR="00A319DE">
              <w:rPr>
                <w:b/>
                <w:color w:val="000000"/>
              </w:rPr>
              <w:t>d</w:t>
            </w:r>
            <w:r w:rsidRPr="008D250E" w:rsidR="00D075B1">
              <w:rPr>
                <w:b/>
                <w:color w:val="000000"/>
              </w:rPr>
              <w:t>uplication:</w:t>
            </w:r>
            <w:r w:rsidRPr="008D250E" w:rsidR="00E25078">
              <w:rPr>
                <w:color w:val="000000"/>
              </w:rPr>
              <w:t xml:space="preserve"> </w:t>
            </w:r>
          </w:p>
          <w:p w:rsidRPr="008D250E" w:rsidR="00691528" w:rsidP="00344A2D" w:rsidRDefault="00B6044E" w14:paraId="0CFBC7B2" w14:textId="30B3C436">
            <w:pPr>
              <w:spacing w:after="240"/>
              <w:ind w:left="360"/>
              <w:rPr>
                <w:color w:val="000000"/>
              </w:rPr>
            </w:pPr>
            <w:r w:rsidRPr="008D250E">
              <w:rPr>
                <w:color w:val="000000"/>
              </w:rPr>
              <w:t xml:space="preserve">This compensation request covers two years of work, several filings, and a workshop.  The work implicates numerous policies and practices that have significant impacts on Californians and their ability to utilize communications services, including during emergency situations.  TURN’s participation with </w:t>
            </w:r>
            <w:proofErr w:type="spellStart"/>
            <w:r w:rsidRPr="008D250E">
              <w:rPr>
                <w:color w:val="000000"/>
              </w:rPr>
              <w:t>CforAT</w:t>
            </w:r>
            <w:proofErr w:type="spellEnd"/>
            <w:r w:rsidRPr="008D250E">
              <w:rPr>
                <w:color w:val="000000"/>
              </w:rPr>
              <w:t>, the Greenlining Institute, and the County of Mendocino, allowed TURN to efficiently participate and conserve resources while at the same time, maximize its substantial contribution in the proceeding and avoid duplication of effort.</w:t>
            </w:r>
          </w:p>
          <w:p w:rsidRPr="008D250E" w:rsidR="00B6044E" w:rsidP="00344A2D" w:rsidRDefault="00B6044E" w14:paraId="03FCEAB9" w14:textId="6444BB50">
            <w:pPr>
              <w:spacing w:after="240"/>
              <w:ind w:left="360"/>
              <w:rPr>
                <w:color w:val="000000"/>
              </w:rPr>
            </w:pPr>
            <w:r w:rsidRPr="008D250E">
              <w:rPr>
                <w:color w:val="000000"/>
              </w:rPr>
              <w:t xml:space="preserve">TURN often took the lead to coordinate and assign work tasks between the intervenors, file and serve pleadings, coordinate ex parte meetings, and attend workshops.  Each of the coalition members brought their own expertise </w:t>
            </w:r>
            <w:r w:rsidRPr="008D250E" w:rsidR="00AC23F9">
              <w:rPr>
                <w:color w:val="000000"/>
              </w:rPr>
              <w:t xml:space="preserve">to the work including expertise </w:t>
            </w:r>
            <w:r w:rsidRPr="008D250E" w:rsidR="00F877AE">
              <w:rPr>
                <w:color w:val="000000"/>
              </w:rPr>
              <w:t xml:space="preserve">in county emergency capabilities, special needs communities, network service quality, and federal and state outage and rural call completion requirements, resulting in an overall understanding of the </w:t>
            </w:r>
            <w:r w:rsidRPr="008D250E">
              <w:rPr>
                <w:color w:val="000000"/>
              </w:rPr>
              <w:t>lessons learned and consumer needs for reliable communications services during and absent emergency situations.  TURN found the expertise and experiences of these groups were also directly applicable to the broader issues in this proceeding and the combination of organizations made our participation more effective and efficient than if done individually.</w:t>
            </w:r>
          </w:p>
          <w:p w:rsidRPr="008D250E" w:rsidR="00B6044E" w:rsidP="00344A2D" w:rsidRDefault="00B6044E" w14:paraId="68BB46AD" w14:textId="2C8BA6ED">
            <w:pPr>
              <w:spacing w:after="240"/>
              <w:ind w:left="360"/>
              <w:rPr>
                <w:color w:val="000000"/>
              </w:rPr>
            </w:pPr>
            <w:r w:rsidRPr="008D250E">
              <w:rPr>
                <w:color w:val="000000"/>
              </w:rPr>
              <w:lastRenderedPageBreak/>
              <w:t xml:space="preserve">While, at times, TURN coordinated its efforts and research with Public Advocates, TURN did </w:t>
            </w:r>
            <w:r w:rsidRPr="008D250E" w:rsidR="00427236">
              <w:rPr>
                <w:color w:val="000000"/>
              </w:rPr>
              <w:t>address issues independent of</w:t>
            </w:r>
            <w:r w:rsidRPr="008D250E">
              <w:rPr>
                <w:color w:val="000000"/>
              </w:rPr>
              <w:t xml:space="preserve"> Public Advocates in this proceeding.  For example, </w:t>
            </w:r>
            <w:r w:rsidRPr="008D250E" w:rsidR="00AC23F9">
              <w:rPr>
                <w:color w:val="000000"/>
              </w:rPr>
              <w:t xml:space="preserve">independent of work done by Public Advocates, </w:t>
            </w:r>
            <w:r w:rsidRPr="008D250E">
              <w:rPr>
                <w:color w:val="000000"/>
              </w:rPr>
              <w:t xml:space="preserve">TURN worked closely with and developed a relationship with the County of Mendocino, and </w:t>
            </w:r>
            <w:r w:rsidRPr="008D250E" w:rsidR="00AC23F9">
              <w:rPr>
                <w:color w:val="000000"/>
              </w:rPr>
              <w:t xml:space="preserve">used information from Broadband Consortium in that County to call </w:t>
            </w:r>
            <w:r w:rsidRPr="008D250E" w:rsidR="00A43279">
              <w:rPr>
                <w:color w:val="000000"/>
              </w:rPr>
              <w:t>for Commission action following the communication services failures residents experienced in th</w:t>
            </w:r>
            <w:r w:rsidRPr="008D250E" w:rsidR="00AC23F9">
              <w:rPr>
                <w:color w:val="000000"/>
              </w:rPr>
              <w:t>at</w:t>
            </w:r>
            <w:r w:rsidRPr="008D250E" w:rsidR="00A43279">
              <w:rPr>
                <w:color w:val="000000"/>
              </w:rPr>
              <w:t xml:space="preserve"> county during a wildfire.  </w:t>
            </w:r>
            <w:r w:rsidR="008251D6">
              <w:rPr>
                <w:color w:val="000000"/>
              </w:rPr>
              <w:t>Public Advocates’ participation</w:t>
            </w:r>
            <w:r w:rsidRPr="008D250E" w:rsidR="00AC23F9">
              <w:rPr>
                <w:color w:val="000000"/>
              </w:rPr>
              <w:t xml:space="preserve"> in the docket did not cover these specific types of details.  Moreover, Public Advocates did not file a response to the carriers’ Applications for Rehearing or Motion to Stay.</w:t>
            </w:r>
            <w:r w:rsidRPr="008D250E" w:rsidR="00F4797C">
              <w:rPr>
                <w:color w:val="000000"/>
              </w:rPr>
              <w:t xml:space="preserve"> </w:t>
            </w:r>
          </w:p>
          <w:p w:rsidRPr="008D250E" w:rsidR="00A92D0B" w:rsidP="00344A2D" w:rsidRDefault="00A43279" w14:paraId="3228BB07" w14:textId="6A83A8DF">
            <w:pPr>
              <w:spacing w:after="240"/>
              <w:ind w:left="360"/>
              <w:rPr>
                <w:color w:val="000000"/>
              </w:rPr>
            </w:pPr>
            <w:r w:rsidRPr="008D250E">
              <w:rPr>
                <w:color w:val="000000"/>
              </w:rPr>
              <w:t>The Commission should find that TURN’s participation was efficiently coordinated with other intervenors and Public Advocates where possible, so as to avoid undue duplication and to ensure any duplication served to supplement, complement, or contribute to TURN’s showing and the showing of other intervenors.</w:t>
            </w:r>
          </w:p>
        </w:tc>
        <w:tc>
          <w:tcPr>
            <w:tcW w:w="1980" w:type="dxa"/>
            <w:shd w:val="clear" w:color="auto" w:fill="auto"/>
          </w:tcPr>
          <w:p w:rsidRPr="008D250E" w:rsidR="00A92D0B" w:rsidP="00344A2D" w:rsidRDefault="00FA42F9" w14:paraId="5F9BBA55" w14:textId="4292A67B">
            <w:pPr>
              <w:tabs>
                <w:tab w:val="left" w:pos="360"/>
              </w:tabs>
              <w:ind w:left="360" w:hanging="360"/>
              <w:jc w:val="center"/>
              <w:rPr>
                <w:color w:val="000000"/>
              </w:rPr>
            </w:pPr>
            <w:r>
              <w:rPr>
                <w:color w:val="000000"/>
              </w:rPr>
              <w:lastRenderedPageBreak/>
              <w:t>Verified</w:t>
            </w:r>
          </w:p>
        </w:tc>
      </w:tr>
    </w:tbl>
    <w:p w:rsidRPr="008D250E" w:rsidR="00A92D0B" w:rsidP="00C87E25" w:rsidRDefault="00A92D0B" w14:paraId="4415DD51" w14:textId="77777777">
      <w:pPr>
        <w:keepNext/>
        <w:numPr>
          <w:ilvl w:val="0"/>
          <w:numId w:val="1"/>
        </w:numPr>
        <w:tabs>
          <w:tab w:val="clear" w:pos="900"/>
          <w:tab w:val="num" w:pos="360"/>
        </w:tabs>
        <w:spacing w:before="240" w:after="120"/>
        <w:ind w:left="360"/>
        <w:rPr>
          <w:b/>
          <w:i/>
          <w:color w:val="000000"/>
          <w:u w:val="single"/>
        </w:rPr>
      </w:pPr>
      <w:r w:rsidRPr="008D250E">
        <w:rPr>
          <w:b/>
          <w:color w:val="000000"/>
        </w:rPr>
        <w:t>Additional Comments on Part II</w:t>
      </w:r>
      <w:r w:rsidRPr="008D250E" w:rsidR="00C02649">
        <w:rPr>
          <w:b/>
          <w:color w:val="000000"/>
        </w:rPr>
        <w:t>:</w:t>
      </w:r>
      <w:r w:rsidRPr="008D250E">
        <w:rPr>
          <w:b/>
          <w:color w:val="000000"/>
        </w:rPr>
        <w:t xml:space="preserve"> </w:t>
      </w:r>
      <w:r w:rsidRPr="008D250E">
        <w:rPr>
          <w:b/>
          <w:i/>
          <w:color w:val="000000"/>
          <w:u w:val="single"/>
        </w:rPr>
        <w:t>(use line refere</w:t>
      </w:r>
      <w:r w:rsidRPr="008D250E" w:rsidR="0022302F">
        <w:rPr>
          <w:b/>
          <w:i/>
          <w:color w:val="000000"/>
          <w:u w:val="single"/>
        </w:rPr>
        <w:t>nce # or letter as appropriate)</w:t>
      </w:r>
    </w:p>
    <w:tbl>
      <w:tblPr>
        <w:tblW w:w="9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999"/>
        <w:gridCol w:w="3519"/>
        <w:gridCol w:w="5276"/>
      </w:tblGrid>
      <w:tr w:rsidRPr="008D250E" w:rsidR="00963EEF" w:rsidTr="00534750" w14:paraId="52771334" w14:textId="77777777">
        <w:trPr>
          <w:tblHeader/>
        </w:trPr>
        <w:tc>
          <w:tcPr>
            <w:tcW w:w="999" w:type="dxa"/>
            <w:tcBorders>
              <w:bottom w:val="single" w:color="auto" w:sz="4" w:space="0"/>
            </w:tcBorders>
            <w:shd w:val="clear" w:color="auto" w:fill="D9D9D9" w:themeFill="background1" w:themeFillShade="D9"/>
            <w:vAlign w:val="bottom"/>
          </w:tcPr>
          <w:p w:rsidRPr="008D250E" w:rsidR="00963EEF" w:rsidP="00534750" w:rsidRDefault="00963EEF" w14:paraId="15D83D80" w14:textId="77777777">
            <w:pPr>
              <w:tabs>
                <w:tab w:val="left" w:pos="360"/>
              </w:tabs>
              <w:jc w:val="center"/>
              <w:rPr>
                <w:b/>
                <w:color w:val="000000"/>
              </w:rPr>
            </w:pPr>
            <w:r w:rsidRPr="008D250E">
              <w:rPr>
                <w:b/>
                <w:color w:val="000000"/>
              </w:rPr>
              <w:t>#</w:t>
            </w:r>
          </w:p>
        </w:tc>
        <w:tc>
          <w:tcPr>
            <w:tcW w:w="3519" w:type="dxa"/>
            <w:tcBorders>
              <w:bottom w:val="single" w:color="auto" w:sz="4" w:space="0"/>
            </w:tcBorders>
            <w:shd w:val="clear" w:color="auto" w:fill="D9D9D9" w:themeFill="background1" w:themeFillShade="D9"/>
            <w:vAlign w:val="bottom"/>
          </w:tcPr>
          <w:p w:rsidRPr="008D250E" w:rsidR="00963EEF" w:rsidP="00534750" w:rsidRDefault="00963EEF" w14:paraId="23BC1F82" w14:textId="77777777">
            <w:pPr>
              <w:tabs>
                <w:tab w:val="left" w:pos="360"/>
              </w:tabs>
              <w:jc w:val="center"/>
              <w:rPr>
                <w:b/>
                <w:color w:val="000000"/>
              </w:rPr>
            </w:pPr>
            <w:r w:rsidRPr="008D250E">
              <w:rPr>
                <w:b/>
                <w:color w:val="000000"/>
              </w:rPr>
              <w:t>Intervenor’s Comment</w:t>
            </w:r>
          </w:p>
        </w:tc>
        <w:tc>
          <w:tcPr>
            <w:tcW w:w="5276" w:type="dxa"/>
            <w:shd w:val="clear" w:color="auto" w:fill="D9D9D9" w:themeFill="background1" w:themeFillShade="D9"/>
            <w:vAlign w:val="bottom"/>
          </w:tcPr>
          <w:p w:rsidRPr="008D250E" w:rsidR="00963EEF" w:rsidP="00534750" w:rsidRDefault="00963EEF" w14:paraId="03118710" w14:textId="77777777">
            <w:pPr>
              <w:tabs>
                <w:tab w:val="left" w:pos="360"/>
              </w:tabs>
              <w:jc w:val="center"/>
              <w:rPr>
                <w:b/>
                <w:color w:val="000000"/>
              </w:rPr>
            </w:pPr>
            <w:r w:rsidRPr="008D250E">
              <w:rPr>
                <w:b/>
                <w:color w:val="000000"/>
              </w:rPr>
              <w:t>CPUC Discussion</w:t>
            </w:r>
          </w:p>
        </w:tc>
      </w:tr>
      <w:tr w:rsidRPr="008D250E" w:rsidR="00963EEF" w:rsidTr="00D769BE" w14:paraId="58A3E16A" w14:textId="77777777">
        <w:trPr>
          <w:trHeight w:val="447"/>
        </w:trPr>
        <w:tc>
          <w:tcPr>
            <w:tcW w:w="999" w:type="dxa"/>
            <w:shd w:val="clear" w:color="auto" w:fill="auto"/>
          </w:tcPr>
          <w:p w:rsidRPr="008D250E" w:rsidR="00963EEF" w:rsidP="00D04F04" w:rsidRDefault="00FB5D2D" w14:paraId="3D289A0B" w14:textId="6E870EDE">
            <w:pPr>
              <w:tabs>
                <w:tab w:val="left" w:pos="360"/>
              </w:tabs>
              <w:jc w:val="center"/>
              <w:rPr>
                <w:color w:val="000000"/>
              </w:rPr>
            </w:pPr>
            <w:r>
              <w:rPr>
                <w:color w:val="000000"/>
              </w:rPr>
              <w:t>B(c)</w:t>
            </w:r>
          </w:p>
        </w:tc>
        <w:tc>
          <w:tcPr>
            <w:tcW w:w="3519" w:type="dxa"/>
            <w:shd w:val="clear" w:color="auto" w:fill="auto"/>
          </w:tcPr>
          <w:p w:rsidRPr="008D250E" w:rsidR="00963EEF" w:rsidP="00D04F04" w:rsidRDefault="00FB5D2D" w14:paraId="59AA74E8" w14:textId="5246872C">
            <w:pPr>
              <w:tabs>
                <w:tab w:val="left" w:pos="360"/>
              </w:tabs>
              <w:rPr>
                <w:color w:val="000000"/>
              </w:rPr>
            </w:pPr>
            <w:r>
              <w:rPr>
                <w:color w:val="000000"/>
              </w:rPr>
              <w:t>TURN filed jointly with the National Consumer Law Center on a Joint ALJ Ruling in this proceeding and in R.18</w:t>
            </w:r>
            <w:r w:rsidR="00747698">
              <w:rPr>
                <w:color w:val="000000"/>
              </w:rPr>
              <w:noBreakHyphen/>
            </w:r>
            <w:r>
              <w:rPr>
                <w:color w:val="000000"/>
              </w:rPr>
              <w:t>03</w:t>
            </w:r>
            <w:r w:rsidR="00747698">
              <w:rPr>
                <w:color w:val="000000"/>
              </w:rPr>
              <w:noBreakHyphen/>
            </w:r>
            <w:r>
              <w:rPr>
                <w:color w:val="000000"/>
              </w:rPr>
              <w:t>011, not consolidated.  National Consumer Law Center is not a party to this proceeding.</w:t>
            </w:r>
          </w:p>
        </w:tc>
        <w:tc>
          <w:tcPr>
            <w:tcW w:w="5276" w:type="dxa"/>
            <w:shd w:val="clear" w:color="auto" w:fill="auto"/>
          </w:tcPr>
          <w:p w:rsidRPr="008D250E" w:rsidR="00963EEF" w:rsidP="00D04F04" w:rsidRDefault="00D50D99" w14:paraId="7B53CB1C" w14:textId="2A05DA2D">
            <w:pPr>
              <w:tabs>
                <w:tab w:val="left" w:pos="360"/>
              </w:tabs>
              <w:jc w:val="center"/>
              <w:rPr>
                <w:color w:val="000000"/>
              </w:rPr>
            </w:pPr>
            <w:r>
              <w:rPr>
                <w:color w:val="000000"/>
              </w:rPr>
              <w:t>Verified</w:t>
            </w:r>
          </w:p>
        </w:tc>
      </w:tr>
    </w:tbl>
    <w:p w:rsidRPr="008D250E" w:rsidR="00B312DA" w:rsidP="00912972" w:rsidRDefault="00A92D0B" w14:paraId="175C3F89" w14:textId="738B807E">
      <w:pPr>
        <w:keepNext/>
        <w:spacing w:before="240" w:after="120"/>
        <w:jc w:val="center"/>
        <w:rPr>
          <w:b/>
          <w:color w:val="000000"/>
        </w:rPr>
      </w:pPr>
      <w:r w:rsidRPr="008D250E">
        <w:rPr>
          <w:b/>
          <w:color w:val="000000"/>
        </w:rPr>
        <w:t>PART III:</w:t>
      </w:r>
      <w:r w:rsidR="00912972">
        <w:rPr>
          <w:b/>
          <w:color w:val="000000"/>
        </w:rPr>
        <w:t xml:space="preserve"> </w:t>
      </w:r>
      <w:r w:rsidR="003574C1">
        <w:rPr>
          <w:b/>
          <w:color w:val="000000"/>
        </w:rPr>
        <w:t xml:space="preserve"> </w:t>
      </w:r>
      <w:r w:rsidRPr="008D250E">
        <w:rPr>
          <w:b/>
          <w:color w:val="000000"/>
        </w:rPr>
        <w:t>REASONABLENESS OF REQUESTED COMPENSATION</w:t>
      </w:r>
    </w:p>
    <w:p w:rsidRPr="008D250E" w:rsidR="00A92D0B" w:rsidP="00C87E25" w:rsidRDefault="00A92D0B" w14:paraId="6F74DAE2" w14:textId="052E5FD3">
      <w:pPr>
        <w:keepNext/>
        <w:numPr>
          <w:ilvl w:val="0"/>
          <w:numId w:val="2"/>
        </w:numPr>
        <w:tabs>
          <w:tab w:val="clear" w:pos="900"/>
          <w:tab w:val="num" w:pos="360"/>
        </w:tabs>
        <w:spacing w:after="120"/>
        <w:ind w:left="360"/>
        <w:rPr>
          <w:b/>
          <w:color w:val="000000"/>
        </w:rPr>
      </w:pPr>
      <w:r w:rsidRPr="008D250E">
        <w:rPr>
          <w:b/>
          <w:color w:val="000000"/>
        </w:rPr>
        <w:t xml:space="preserve">General Claim of Reasonableness </w:t>
      </w:r>
      <w:r w:rsidRPr="008D250E" w:rsidR="00F30DA8">
        <w:rPr>
          <w:b/>
          <w:color w:val="000000"/>
        </w:rPr>
        <w:t>(</w:t>
      </w:r>
      <w:r w:rsidR="0095390B">
        <w:rPr>
          <w:b/>
          <w:color w:val="000000"/>
        </w:rPr>
        <w:t>§ </w:t>
      </w:r>
      <w:r w:rsidRPr="008D250E">
        <w:rPr>
          <w:b/>
          <w:color w:val="000000"/>
        </w:rPr>
        <w:t xml:space="preserve">1801 </w:t>
      </w:r>
      <w:r w:rsidRPr="008D250E" w:rsidR="00F30DA8">
        <w:rPr>
          <w:b/>
          <w:color w:val="000000"/>
        </w:rPr>
        <w:t xml:space="preserve">and </w:t>
      </w:r>
      <w:r w:rsidR="0095390B">
        <w:rPr>
          <w:b/>
          <w:color w:val="000000"/>
        </w:rPr>
        <w:t>§ </w:t>
      </w:r>
      <w:r w:rsidRPr="008D250E" w:rsidR="0022302F">
        <w:rPr>
          <w:b/>
          <w:color w:val="000000"/>
        </w:rPr>
        <w:t>1806)</w:t>
      </w:r>
      <w:r w:rsidRPr="008D250E"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1E0" w:firstRow="1" w:lastRow="1" w:firstColumn="1" w:lastColumn="1" w:noHBand="0" w:noVBand="0"/>
      </w:tblPr>
      <w:tblGrid>
        <w:gridCol w:w="7469"/>
        <w:gridCol w:w="2269"/>
      </w:tblGrid>
      <w:tr w:rsidRPr="008D250E" w:rsidR="00FE3BAE" w:rsidTr="00756CA5" w14:paraId="4078AC87" w14:textId="77777777">
        <w:trPr>
          <w:tblHeader/>
        </w:trPr>
        <w:tc>
          <w:tcPr>
            <w:tcW w:w="7469" w:type="dxa"/>
            <w:tcBorders>
              <w:bottom w:val="single" w:color="auto" w:sz="4" w:space="0"/>
            </w:tcBorders>
            <w:shd w:val="clear" w:color="auto" w:fill="D9D9D9" w:themeFill="background1" w:themeFillShade="D9"/>
            <w:vAlign w:val="bottom"/>
          </w:tcPr>
          <w:p w:rsidRPr="008D250E" w:rsidR="00FE3BAE" w:rsidP="00756CA5" w:rsidRDefault="00FE3BAE" w14:paraId="70FDF5DA" w14:textId="77777777">
            <w:pPr>
              <w:jc w:val="center"/>
              <w:rPr>
                <w:b/>
                <w:color w:val="000000"/>
              </w:rPr>
            </w:pPr>
          </w:p>
        </w:tc>
        <w:tc>
          <w:tcPr>
            <w:tcW w:w="2269" w:type="dxa"/>
            <w:shd w:val="clear" w:color="auto" w:fill="D9D9D9" w:themeFill="background1" w:themeFillShade="D9"/>
            <w:vAlign w:val="bottom"/>
          </w:tcPr>
          <w:p w:rsidRPr="008D250E" w:rsidR="00FE3BAE" w:rsidP="00756CA5" w:rsidRDefault="00FE3BAE" w14:paraId="59CD9FCF" w14:textId="77777777">
            <w:pPr>
              <w:jc w:val="center"/>
              <w:rPr>
                <w:color w:val="000000"/>
              </w:rPr>
            </w:pPr>
            <w:r w:rsidRPr="008D250E">
              <w:rPr>
                <w:b/>
                <w:color w:val="000000"/>
              </w:rPr>
              <w:t>CPUC Discussion</w:t>
            </w:r>
          </w:p>
        </w:tc>
      </w:tr>
      <w:tr w:rsidRPr="008D250E" w:rsidR="00FE3BAE" w:rsidTr="00D769BE" w14:paraId="5708510E" w14:textId="77777777">
        <w:tc>
          <w:tcPr>
            <w:tcW w:w="7469" w:type="dxa"/>
            <w:tcBorders>
              <w:bottom w:val="single" w:color="auto" w:sz="4" w:space="0"/>
            </w:tcBorders>
            <w:shd w:val="clear" w:color="auto" w:fill="auto"/>
          </w:tcPr>
          <w:p w:rsidRPr="008D250E" w:rsidR="00FE3BAE" w:rsidP="00C0309B" w:rsidRDefault="00FE3BAE" w14:paraId="707F9932" w14:textId="1263A17A">
            <w:pPr>
              <w:spacing w:after="240"/>
              <w:rPr>
                <w:color w:val="000000"/>
              </w:rPr>
            </w:pPr>
            <w:r w:rsidRPr="008D250E">
              <w:rPr>
                <w:b/>
                <w:color w:val="000000"/>
              </w:rPr>
              <w:t>a. Intervenor’s claim of cost reasonableness:</w:t>
            </w:r>
            <w:r w:rsidRPr="008D250E" w:rsidR="00E25078">
              <w:rPr>
                <w:color w:val="000000"/>
              </w:rPr>
              <w:t xml:space="preserve"> </w:t>
            </w:r>
          </w:p>
          <w:p w:rsidRPr="008D250E" w:rsidR="00F55200" w:rsidP="00C0309B" w:rsidRDefault="00F55200" w14:paraId="369045C6" w14:textId="5B428EF5">
            <w:pPr>
              <w:spacing w:after="240"/>
              <w:rPr>
                <w:color w:val="000000"/>
              </w:rPr>
            </w:pPr>
            <w:r w:rsidRPr="008D250E">
              <w:rPr>
                <w:color w:val="000000"/>
              </w:rPr>
              <w:t>TURN’s request for intervenor compensation seeks approximately $</w:t>
            </w:r>
            <w:r w:rsidRPr="008D250E" w:rsidR="00753E97">
              <w:rPr>
                <w:color w:val="000000"/>
              </w:rPr>
              <w:t>88,054.00</w:t>
            </w:r>
            <w:r w:rsidRPr="008D250E">
              <w:rPr>
                <w:color w:val="000000"/>
              </w:rPr>
              <w:t xml:space="preserve"> as the reasonable cost of our participation in this proceeding.  TURN submits that these costs are reasonable in light of the importance of the issues TURN addressed and the benefits to California customers</w:t>
            </w:r>
            <w:r w:rsidRPr="008D250E" w:rsidR="00766AA6">
              <w:rPr>
                <w:color w:val="000000"/>
              </w:rPr>
              <w:t xml:space="preserve"> from TURN’s work to ensure that consumer voices are represented on matters </w:t>
            </w:r>
            <w:r w:rsidRPr="008D250E" w:rsidR="00766AA6">
              <w:rPr>
                <w:color w:val="000000"/>
              </w:rPr>
              <w:lastRenderedPageBreak/>
              <w:t>related to reliable communications, emergency services coordination and rural service quality issues</w:t>
            </w:r>
            <w:r w:rsidRPr="008D250E">
              <w:rPr>
                <w:color w:val="000000"/>
              </w:rPr>
              <w:t>.</w:t>
            </w:r>
          </w:p>
          <w:p w:rsidRPr="008D250E" w:rsidR="00F55200" w:rsidP="00C0309B" w:rsidRDefault="00766AA6" w14:paraId="55F964AF" w14:textId="4C80A51B">
            <w:pPr>
              <w:spacing w:after="240"/>
            </w:pPr>
            <w:r w:rsidRPr="008D250E">
              <w:rPr>
                <w:color w:val="000000"/>
              </w:rPr>
              <w:t>T</w:t>
            </w:r>
            <w:r w:rsidRPr="008D250E" w:rsidR="00F55200">
              <w:rPr>
                <w:color w:val="000000"/>
              </w:rPr>
              <w:t xml:space="preserve">he policies and the implementation </w:t>
            </w:r>
            <w:r w:rsidRPr="008D250E">
              <w:rPr>
                <w:color w:val="000000"/>
              </w:rPr>
              <w:t xml:space="preserve">process adopted in this proceeding </w:t>
            </w:r>
            <w:r w:rsidRPr="008D250E" w:rsidR="00F55200">
              <w:rPr>
                <w:color w:val="000000"/>
              </w:rPr>
              <w:t>directly impact</w:t>
            </w:r>
            <w:r w:rsidRPr="008D250E">
              <w:rPr>
                <w:color w:val="000000"/>
              </w:rPr>
              <w:t>s</w:t>
            </w:r>
            <w:r w:rsidRPr="008D250E" w:rsidR="00F55200">
              <w:rPr>
                <w:color w:val="000000"/>
              </w:rPr>
              <w:t xml:space="preserve"> consumers’ abilities to make and receive reliable communications, especially during an emergency.  </w:t>
            </w:r>
            <w:r w:rsidRPr="008D250E">
              <w:rPr>
                <w:color w:val="000000"/>
              </w:rPr>
              <w:t xml:space="preserve">TURN’s work in this proceeding also supported the development of a robust record and strong policies regarding the importance of reliable communications that is now being used in other, related, Commission proceedings to also benefit consumers.  </w:t>
            </w:r>
            <w:r w:rsidRPr="008D250E" w:rsidR="00F55200">
              <w:rPr>
                <w:color w:val="000000"/>
              </w:rPr>
              <w:t>The Commission has previously recognized the value</w:t>
            </w:r>
            <w:r w:rsidRPr="008D250E">
              <w:rPr>
                <w:color w:val="000000"/>
              </w:rPr>
              <w:t xml:space="preserve"> of these policies and rules when </w:t>
            </w:r>
            <w:r w:rsidRPr="008D250E" w:rsidR="00F55200">
              <w:rPr>
                <w:color w:val="000000"/>
              </w:rPr>
              <w:t xml:space="preserve">awarding intervenor compensation.  </w:t>
            </w:r>
            <w:r w:rsidRPr="008D250E" w:rsidR="00F55200">
              <w:rPr>
                <w:i/>
                <w:color w:val="000000"/>
              </w:rPr>
              <w:t>See,</w:t>
            </w:r>
            <w:r w:rsidRPr="008D250E">
              <w:rPr>
                <w:i/>
                <w:color w:val="000000"/>
              </w:rPr>
              <w:t xml:space="preserve"> for example,</w:t>
            </w:r>
            <w:r w:rsidRPr="008D250E" w:rsidR="00F55200">
              <w:rPr>
                <w:color w:val="000000"/>
              </w:rPr>
              <w:t xml:space="preserve"> </w:t>
            </w:r>
            <w:r w:rsidRPr="008D250E" w:rsidR="00F55200">
              <w:t>D.17</w:t>
            </w:r>
            <w:r w:rsidR="00747698">
              <w:noBreakHyphen/>
            </w:r>
            <w:r w:rsidRPr="008D250E" w:rsidR="00F55200">
              <w:t>05</w:t>
            </w:r>
            <w:r w:rsidR="00747698">
              <w:noBreakHyphen/>
            </w:r>
            <w:r w:rsidRPr="008D250E" w:rsidR="00F55200">
              <w:t>012 (granting TURN intervenor compensation for its substantial contribution to D.16</w:t>
            </w:r>
            <w:r w:rsidR="00747698">
              <w:noBreakHyphen/>
            </w:r>
            <w:r w:rsidRPr="008D250E" w:rsidR="00F55200">
              <w:t>12</w:t>
            </w:r>
            <w:r w:rsidR="00747698">
              <w:noBreakHyphen/>
            </w:r>
            <w:r w:rsidRPr="008D250E" w:rsidR="00F55200">
              <w:t>066 in this proceeding)</w:t>
            </w:r>
            <w:r w:rsidRPr="008D250E">
              <w:t>, and D.15</w:t>
            </w:r>
            <w:r w:rsidR="00747698">
              <w:noBreakHyphen/>
            </w:r>
            <w:r w:rsidRPr="008D250E">
              <w:t>11</w:t>
            </w:r>
            <w:r w:rsidR="00747698">
              <w:noBreakHyphen/>
            </w:r>
            <w:r w:rsidRPr="008D250E">
              <w:t>015 (granting TURN compensation for work on rural broadband deployment issues in Small LEC territory).</w:t>
            </w:r>
          </w:p>
          <w:p w:rsidRPr="008D250E" w:rsidR="00F55200" w:rsidP="00C0309B" w:rsidRDefault="00F55200" w14:paraId="5BE9A212" w14:textId="36AFBDFE">
            <w:pPr>
              <w:spacing w:after="240"/>
            </w:pPr>
            <w:r w:rsidRPr="008D250E">
              <w:t>TURN</w:t>
            </w:r>
            <w:r w:rsidRPr="008D250E" w:rsidR="00766AA6">
              <w:t>’s work in this proceeding also</w:t>
            </w:r>
            <w:r w:rsidRPr="008D250E">
              <w:t xml:space="preserve"> supported</w:t>
            </w:r>
            <w:r w:rsidRPr="008D250E" w:rsidR="00766AA6">
              <w:t xml:space="preserve"> transparency in the Commission’s work to develop critical processes that facilitate communications and coordination among the communications providers, emergency service providers (local and state) and the Commission.  TURN’s work also resulted in specific</w:t>
            </w:r>
            <w:r w:rsidRPr="008D250E">
              <w:t xml:space="preserve"> compliance reporting</w:t>
            </w:r>
            <w:r w:rsidRPr="008D250E" w:rsidR="00766AA6">
              <w:t xml:space="preserve"> requirements</w:t>
            </w:r>
            <w:r w:rsidRPr="008D250E">
              <w:t xml:space="preserve">, </w:t>
            </w:r>
            <w:r w:rsidRPr="008D250E" w:rsidR="008C604A">
              <w:t>and the inclusion of the record of this proceeding in other proceedings</w:t>
            </w:r>
            <w:r w:rsidRPr="008D250E" w:rsidR="00766AA6">
              <w:t xml:space="preserve">.  Ultimately, California ratepayers benefited from more transparent and efficient processes and </w:t>
            </w:r>
            <w:r w:rsidRPr="00C0309B" w:rsidR="00766AA6">
              <w:rPr>
                <w:color w:val="000000"/>
              </w:rPr>
              <w:t>conservation</w:t>
            </w:r>
            <w:r w:rsidRPr="008D250E" w:rsidR="00766AA6">
              <w:t xml:space="preserve"> of </w:t>
            </w:r>
            <w:r w:rsidRPr="008D250E" w:rsidR="008C604A">
              <w:t>Commission resources.</w:t>
            </w:r>
          </w:p>
          <w:p w:rsidRPr="008D250E" w:rsidR="00766AA6" w:rsidP="00C0309B" w:rsidRDefault="00766AA6" w14:paraId="3EEFD8F9" w14:textId="05D40DC2">
            <w:pPr>
              <w:spacing w:after="240"/>
            </w:pPr>
            <w:r w:rsidRPr="008D250E">
              <w:t>TURN’s advocacy reflected in D.18</w:t>
            </w:r>
            <w:r w:rsidR="00747698">
              <w:noBreakHyphen/>
            </w:r>
            <w:r w:rsidRPr="008D250E">
              <w:t>07</w:t>
            </w:r>
            <w:r w:rsidR="00747698">
              <w:noBreakHyphen/>
            </w:r>
            <w:r w:rsidRPr="008D250E">
              <w:t>045 and D.19</w:t>
            </w:r>
            <w:r w:rsidR="00747698">
              <w:noBreakHyphen/>
            </w:r>
            <w:r w:rsidRPr="008D250E">
              <w:t>09</w:t>
            </w:r>
            <w:r w:rsidR="00747698">
              <w:noBreakHyphen/>
            </w:r>
            <w:r w:rsidRPr="008D250E">
              <w:t>042 address policy matters, rather than specific rates or disputes over particular dollar amounts.  As such, TURN cannot easily identify precise monetary benefits to ratepayers from our work in this proceeding.</w:t>
            </w:r>
          </w:p>
          <w:p w:rsidRPr="008D250E" w:rsidR="00FE3BAE" w:rsidP="00C0309B" w:rsidRDefault="00766AA6" w14:paraId="2B1A1242" w14:textId="3C2CD21C">
            <w:pPr>
              <w:spacing w:after="240"/>
            </w:pPr>
            <w:r w:rsidRPr="008D250E">
              <w:t>However, w</w:t>
            </w:r>
            <w:r w:rsidRPr="008D250E" w:rsidR="008C604A">
              <w:t xml:space="preserve">hile it is difficult to </w:t>
            </w:r>
            <w:r w:rsidRPr="00C0309B" w:rsidR="008C604A">
              <w:rPr>
                <w:color w:val="000000"/>
              </w:rPr>
              <w:t>attach</w:t>
            </w:r>
            <w:r w:rsidRPr="008D250E" w:rsidR="008C604A">
              <w:t xml:space="preserve"> a dollar value to these policies</w:t>
            </w:r>
            <w:r w:rsidRPr="008D250E">
              <w:t xml:space="preserve"> and </w:t>
            </w:r>
            <w:r w:rsidRPr="008D250E" w:rsidR="00BF3F04">
              <w:t xml:space="preserve">the requirements for improved </w:t>
            </w:r>
            <w:r w:rsidRPr="008D250E">
              <w:t>emergency communication practices</w:t>
            </w:r>
            <w:r w:rsidRPr="008D250E" w:rsidR="008C604A">
              <w:t>, TURN submits that the Commission should find that TURN’s costs of participation are reasonable in light of the significant consumer benefits from these policies and rules.</w:t>
            </w:r>
          </w:p>
        </w:tc>
        <w:tc>
          <w:tcPr>
            <w:tcW w:w="2269" w:type="dxa"/>
            <w:shd w:val="clear" w:color="auto" w:fill="auto"/>
          </w:tcPr>
          <w:p w:rsidRPr="008D250E" w:rsidR="00FE3BAE" w:rsidP="009364D0" w:rsidRDefault="00D50D99" w14:paraId="223B4665" w14:textId="5CD24D1A">
            <w:pPr>
              <w:jc w:val="center"/>
              <w:rPr>
                <w:color w:val="000000"/>
              </w:rPr>
            </w:pPr>
            <w:r>
              <w:rPr>
                <w:color w:val="000000"/>
              </w:rPr>
              <w:lastRenderedPageBreak/>
              <w:t>Verified</w:t>
            </w:r>
          </w:p>
        </w:tc>
      </w:tr>
      <w:tr w:rsidRPr="008D250E" w:rsidR="00FE3BAE" w:rsidTr="00D769BE" w14:paraId="5548029C" w14:textId="77777777">
        <w:tc>
          <w:tcPr>
            <w:tcW w:w="7469" w:type="dxa"/>
            <w:shd w:val="clear" w:color="auto" w:fill="auto"/>
          </w:tcPr>
          <w:p w:rsidRPr="008D250E" w:rsidR="00FE3BAE" w:rsidP="00C0309B" w:rsidRDefault="00FE3BAE" w14:paraId="751A610C" w14:textId="6B4B2FB0">
            <w:pPr>
              <w:spacing w:after="240"/>
              <w:rPr>
                <w:color w:val="000000"/>
              </w:rPr>
            </w:pPr>
            <w:r w:rsidRPr="008D250E">
              <w:rPr>
                <w:b/>
                <w:color w:val="000000"/>
              </w:rPr>
              <w:t>b. Reasonableness of hours claimed:</w:t>
            </w:r>
            <w:r w:rsidRPr="008D250E" w:rsidR="00E25078">
              <w:rPr>
                <w:color w:val="000000"/>
              </w:rPr>
              <w:t xml:space="preserve"> </w:t>
            </w:r>
          </w:p>
          <w:p w:rsidRPr="008D250E" w:rsidR="00B075EE" w:rsidP="00C0309B" w:rsidRDefault="00533183" w14:paraId="0DB6D0DE" w14:textId="3A954EF1">
            <w:pPr>
              <w:spacing w:after="240"/>
              <w:rPr>
                <w:color w:val="000000"/>
              </w:rPr>
            </w:pPr>
            <w:r>
              <w:rPr>
                <w:color w:val="000000"/>
              </w:rPr>
              <w:t>Ms. </w:t>
            </w:r>
            <w:r w:rsidRPr="008D250E" w:rsidR="0064207D">
              <w:rPr>
                <w:color w:val="000000"/>
              </w:rPr>
              <w:t>Costa was TURN’s lead advocate on this case.  She developed TURN strategy and positions, represented TURN at proceeding events and worked with other intervenors and members of the public to prepare for filings and participation in the proceeding.</w:t>
            </w:r>
          </w:p>
          <w:p w:rsidRPr="008D250E" w:rsidR="0064207D" w:rsidP="00C0309B" w:rsidRDefault="00533183" w14:paraId="5F9BE3AB" w14:textId="2B26B505">
            <w:pPr>
              <w:spacing w:after="240"/>
              <w:rPr>
                <w:color w:val="000000"/>
              </w:rPr>
            </w:pPr>
            <w:r>
              <w:rPr>
                <w:color w:val="000000"/>
              </w:rPr>
              <w:lastRenderedPageBreak/>
              <w:t>Ms. </w:t>
            </w:r>
            <w:r w:rsidRPr="008D250E" w:rsidR="0064207D">
              <w:rPr>
                <w:color w:val="000000"/>
              </w:rPr>
              <w:t xml:space="preserve">Mailloux and </w:t>
            </w:r>
            <w:r>
              <w:rPr>
                <w:color w:val="000000"/>
              </w:rPr>
              <w:t>Ms. </w:t>
            </w:r>
            <w:r w:rsidRPr="008D250E" w:rsidR="0064207D">
              <w:rPr>
                <w:color w:val="000000"/>
              </w:rPr>
              <w:t xml:space="preserve">Salas played critical roles in TURN’s contributions to this proceeding by working closely as a team with </w:t>
            </w:r>
            <w:r>
              <w:rPr>
                <w:color w:val="000000"/>
              </w:rPr>
              <w:t>Ms. </w:t>
            </w:r>
            <w:r w:rsidRPr="008D250E" w:rsidR="0064207D">
              <w:rPr>
                <w:color w:val="000000"/>
              </w:rPr>
              <w:t xml:space="preserve">Costa to split up the work to analyze the </w:t>
            </w:r>
            <w:r w:rsidR="00C35A4D">
              <w:rPr>
                <w:color w:val="000000"/>
              </w:rPr>
              <w:t>Phase 1</w:t>
            </w:r>
            <w:r w:rsidRPr="008D250E" w:rsidR="0064207D">
              <w:rPr>
                <w:color w:val="000000"/>
              </w:rPr>
              <w:t xml:space="preserve"> Decision, draft pleadings, consult on strategy, and atte</w:t>
            </w:r>
            <w:r w:rsidRPr="008D250E" w:rsidR="002C7912">
              <w:rPr>
                <w:color w:val="000000"/>
              </w:rPr>
              <w:t>nd proce</w:t>
            </w:r>
            <w:r w:rsidRPr="008D250E" w:rsidR="0064207D">
              <w:rPr>
                <w:color w:val="000000"/>
              </w:rPr>
              <w:t>eding</w:t>
            </w:r>
            <w:r w:rsidR="00747698">
              <w:rPr>
                <w:color w:val="000000"/>
              </w:rPr>
              <w:noBreakHyphen/>
            </w:r>
            <w:r w:rsidRPr="008D250E" w:rsidR="0064207D">
              <w:rPr>
                <w:color w:val="000000"/>
              </w:rPr>
              <w:t xml:space="preserve">related events.  </w:t>
            </w:r>
            <w:r w:rsidRPr="008D250E" w:rsidR="00BF3F04">
              <w:rPr>
                <w:color w:val="000000"/>
              </w:rPr>
              <w:t>T</w:t>
            </w:r>
            <w:r w:rsidRPr="008D250E" w:rsidR="0064207D">
              <w:rPr>
                <w:color w:val="000000"/>
              </w:rPr>
              <w:t>he timesheets reflect coordination of effort on several issues in the case</w:t>
            </w:r>
            <w:r w:rsidRPr="008D250E" w:rsidR="00BF3F04">
              <w:rPr>
                <w:color w:val="000000"/>
              </w:rPr>
              <w:t>.</w:t>
            </w:r>
            <w:r w:rsidRPr="008D250E" w:rsidR="0064207D">
              <w:rPr>
                <w:color w:val="000000"/>
              </w:rPr>
              <w:t xml:space="preserve">  </w:t>
            </w:r>
            <w:r w:rsidRPr="008D250E" w:rsidR="002C7912">
              <w:rPr>
                <w:color w:val="000000"/>
              </w:rPr>
              <w:t xml:space="preserve">As the proceeding became focused on compliance with the </w:t>
            </w:r>
            <w:r w:rsidR="00C35A4D">
              <w:rPr>
                <w:color w:val="000000"/>
              </w:rPr>
              <w:t>Phase 1</w:t>
            </w:r>
            <w:r w:rsidRPr="008D250E" w:rsidR="002C7912">
              <w:rPr>
                <w:color w:val="000000"/>
              </w:rPr>
              <w:t xml:space="preserve"> Decision</w:t>
            </w:r>
            <w:r w:rsidRPr="008D250E" w:rsidR="0020271E">
              <w:rPr>
                <w:color w:val="000000"/>
              </w:rPr>
              <w:t xml:space="preserve">, </w:t>
            </w:r>
            <w:r>
              <w:rPr>
                <w:color w:val="000000"/>
              </w:rPr>
              <w:t>Ms. </w:t>
            </w:r>
            <w:r w:rsidRPr="008D250E" w:rsidR="0020271E">
              <w:rPr>
                <w:color w:val="000000"/>
              </w:rPr>
              <w:t xml:space="preserve">Mailloux and </w:t>
            </w:r>
            <w:r>
              <w:rPr>
                <w:color w:val="000000"/>
              </w:rPr>
              <w:t>Ms. </w:t>
            </w:r>
            <w:r w:rsidRPr="008D250E" w:rsidR="0020271E">
              <w:rPr>
                <w:color w:val="000000"/>
              </w:rPr>
              <w:t xml:space="preserve">Salas </w:t>
            </w:r>
            <w:r w:rsidRPr="008D250E" w:rsidR="005664F8">
              <w:rPr>
                <w:color w:val="000000"/>
              </w:rPr>
              <w:t>took on a greater role in this proceeding.</w:t>
            </w:r>
          </w:p>
          <w:p w:rsidRPr="008D250E" w:rsidR="005664F8" w:rsidP="00C0309B" w:rsidRDefault="005664F8" w14:paraId="1DF0AE39" w14:textId="46E1088E">
            <w:pPr>
              <w:spacing w:after="240"/>
              <w:rPr>
                <w:color w:val="000000"/>
              </w:rPr>
            </w:pPr>
            <w:r w:rsidRPr="008D250E">
              <w:rPr>
                <w:color w:val="000000"/>
              </w:rPr>
              <w:t xml:space="preserve">Some time record entries reflect internal meetings and external Commission events involving two or more TURN representatives.  The scope of this proceeding was broad, </w:t>
            </w:r>
            <w:r w:rsidRPr="008D250E" w:rsidR="00D749C7">
              <w:rPr>
                <w:color w:val="000000"/>
              </w:rPr>
              <w:t>including emergency services communications</w:t>
            </w:r>
            <w:r w:rsidRPr="008D250E" w:rsidR="002C7912">
              <w:rPr>
                <w:color w:val="000000"/>
              </w:rPr>
              <w:t xml:space="preserve"> and compliance with a wide</w:t>
            </w:r>
            <w:r w:rsidR="00747698">
              <w:rPr>
                <w:color w:val="000000"/>
              </w:rPr>
              <w:noBreakHyphen/>
            </w:r>
            <w:r w:rsidRPr="008D250E" w:rsidR="002C7912">
              <w:rPr>
                <w:color w:val="000000"/>
              </w:rPr>
              <w:t xml:space="preserve">reaching </w:t>
            </w:r>
            <w:r w:rsidR="00C35A4D">
              <w:rPr>
                <w:color w:val="000000"/>
              </w:rPr>
              <w:t>Phase 1</w:t>
            </w:r>
            <w:r w:rsidRPr="008D250E" w:rsidR="002C7912">
              <w:rPr>
                <w:color w:val="000000"/>
              </w:rPr>
              <w:t xml:space="preserve"> Decisio</w:t>
            </w:r>
            <w:r w:rsidRPr="008D250E" w:rsidR="00684CF9">
              <w:rPr>
                <w:color w:val="000000"/>
              </w:rPr>
              <w:t xml:space="preserve">n, </w:t>
            </w:r>
            <w:r w:rsidRPr="008D250E" w:rsidR="001E6195">
              <w:rPr>
                <w:color w:val="000000"/>
              </w:rPr>
              <w:t>making it</w:t>
            </w:r>
            <w:r w:rsidRPr="008D250E" w:rsidR="00D749C7">
              <w:rPr>
                <w:color w:val="000000"/>
              </w:rPr>
              <w:t xml:space="preserve"> necessary to coordinate TURN’s work among the internal team </w:t>
            </w:r>
            <w:r w:rsidRPr="008D250E" w:rsidR="002C7912">
              <w:rPr>
                <w:color w:val="000000"/>
              </w:rPr>
              <w:t xml:space="preserve">who had been working on different aspects and issues in the case, </w:t>
            </w:r>
            <w:r w:rsidRPr="008D250E" w:rsidR="00D749C7">
              <w:rPr>
                <w:color w:val="000000"/>
              </w:rPr>
              <w:t xml:space="preserve">and to have more than one TURN representative at the Commission events. </w:t>
            </w:r>
            <w:r w:rsidRPr="008D250E" w:rsidR="007A616C">
              <w:rPr>
                <w:color w:val="000000"/>
              </w:rPr>
              <w:t xml:space="preserve">Moreover, due to the fact that </w:t>
            </w:r>
            <w:r w:rsidR="00C35A4D">
              <w:rPr>
                <w:color w:val="000000"/>
              </w:rPr>
              <w:t>Phase 2</w:t>
            </w:r>
            <w:r w:rsidRPr="008D250E" w:rsidR="007A616C">
              <w:rPr>
                <w:color w:val="000000"/>
              </w:rPr>
              <w:t xml:space="preserve"> of this case took several years to complete, TURN had to staff the proceeding with multiple staff to ensure consistent coverage and continuity in our work.  </w:t>
            </w:r>
            <w:r w:rsidRPr="008D250E" w:rsidR="00D749C7">
              <w:rPr>
                <w:color w:val="000000"/>
              </w:rPr>
              <w:t xml:space="preserve"> To conserve its resources, TURN only attended meeting</w:t>
            </w:r>
            <w:r w:rsidRPr="008D250E" w:rsidR="007A616C">
              <w:rPr>
                <w:color w:val="000000"/>
              </w:rPr>
              <w:t>s</w:t>
            </w:r>
            <w:r w:rsidRPr="008D250E" w:rsidR="00D749C7">
              <w:rPr>
                <w:color w:val="000000"/>
              </w:rPr>
              <w:t xml:space="preserve"> where it had been invited to participate or where TURN advocates had specific knowledge of the issues </w:t>
            </w:r>
            <w:r w:rsidRPr="008D250E" w:rsidR="003F411C">
              <w:rPr>
                <w:color w:val="000000"/>
              </w:rPr>
              <w:t>to be discussed</w:t>
            </w:r>
            <w:r w:rsidRPr="008D250E" w:rsidR="00D749C7">
              <w:rPr>
                <w:color w:val="000000"/>
              </w:rPr>
              <w:t>.</w:t>
            </w:r>
            <w:r w:rsidRPr="008D250E" w:rsidR="00810755">
              <w:rPr>
                <w:color w:val="000000"/>
              </w:rPr>
              <w:t xml:space="preserve">  To further conserve resources, TURN advocates attended these meetings by phone.</w:t>
            </w:r>
          </w:p>
          <w:p w:rsidRPr="008D250E" w:rsidR="00D749C7" w:rsidP="00C0309B" w:rsidRDefault="00D749C7" w14:paraId="3E71601C" w14:textId="605C7040">
            <w:pPr>
              <w:spacing w:after="240"/>
              <w:rPr>
                <w:color w:val="000000"/>
              </w:rPr>
            </w:pPr>
            <w:r w:rsidRPr="008D250E">
              <w:rPr>
                <w:color w:val="000000"/>
              </w:rPr>
              <w:t>In drafting this request for compensation, TURN has carefully reviewed it</w:t>
            </w:r>
            <w:r w:rsidRPr="008D250E" w:rsidR="00170742">
              <w:rPr>
                <w:color w:val="000000"/>
              </w:rPr>
              <w:t>s</w:t>
            </w:r>
            <w:r w:rsidRPr="008D250E">
              <w:rPr>
                <w:color w:val="000000"/>
              </w:rPr>
              <w:t xml:space="preserve"> time sheet</w:t>
            </w:r>
            <w:r w:rsidRPr="008D250E" w:rsidR="00170742">
              <w:rPr>
                <w:color w:val="000000"/>
              </w:rPr>
              <w:t>s</w:t>
            </w:r>
            <w:r w:rsidRPr="008D250E">
              <w:rPr>
                <w:color w:val="000000"/>
              </w:rPr>
              <w:t xml:space="preserve"> and </w:t>
            </w:r>
            <w:r w:rsidRPr="008D250E" w:rsidR="003F411C">
              <w:rPr>
                <w:color w:val="000000"/>
              </w:rPr>
              <w:t xml:space="preserve">has </w:t>
            </w:r>
            <w:r w:rsidRPr="008D250E">
              <w:rPr>
                <w:color w:val="000000"/>
              </w:rPr>
              <w:t xml:space="preserve">deleted entries where there </w:t>
            </w:r>
            <w:r w:rsidRPr="008D250E" w:rsidR="003F411C">
              <w:rPr>
                <w:color w:val="000000"/>
              </w:rPr>
              <w:t xml:space="preserve">is </w:t>
            </w:r>
            <w:r w:rsidRPr="008D250E">
              <w:rPr>
                <w:color w:val="000000"/>
              </w:rPr>
              <w:t>a likelihood of unnecessary duplication.</w:t>
            </w:r>
            <w:r w:rsidRPr="008D250E" w:rsidR="00170742">
              <w:rPr>
                <w:color w:val="000000"/>
              </w:rPr>
              <w:t xml:space="preserve"> </w:t>
            </w:r>
            <w:r w:rsidRPr="008D250E" w:rsidR="003A0258">
              <w:rPr>
                <w:color w:val="000000"/>
              </w:rPr>
              <w:t>T</w:t>
            </w:r>
            <w:r w:rsidRPr="008D250E" w:rsidR="00170742">
              <w:rPr>
                <w:color w:val="000000"/>
              </w:rPr>
              <w:t xml:space="preserve">o mitigate </w:t>
            </w:r>
            <w:r w:rsidRPr="008D250E" w:rsidR="003A0258">
              <w:rPr>
                <w:color w:val="000000"/>
              </w:rPr>
              <w:t xml:space="preserve">potential internal </w:t>
            </w:r>
            <w:r w:rsidRPr="008D250E" w:rsidR="00170742">
              <w:rPr>
                <w:color w:val="000000"/>
              </w:rPr>
              <w:t xml:space="preserve">duplication, </w:t>
            </w:r>
            <w:r w:rsidRPr="008D250E" w:rsidR="003A0258">
              <w:rPr>
                <w:color w:val="000000"/>
              </w:rPr>
              <w:t xml:space="preserve">where a meeting or call included multiple TURN participants, </w:t>
            </w:r>
            <w:r w:rsidRPr="008D250E" w:rsidR="00170742">
              <w:rPr>
                <w:color w:val="000000"/>
              </w:rPr>
              <w:t>we have deleted</w:t>
            </w:r>
            <w:r w:rsidRPr="008D250E" w:rsidR="003A0258">
              <w:rPr>
                <w:color w:val="000000"/>
              </w:rPr>
              <w:t xml:space="preserve"> some of</w:t>
            </w:r>
            <w:r w:rsidRPr="008D250E" w:rsidR="00170742">
              <w:rPr>
                <w:color w:val="000000"/>
              </w:rPr>
              <w:t xml:space="preserve"> the </w:t>
            </w:r>
            <w:r w:rsidRPr="008D250E" w:rsidR="003A0258">
              <w:rPr>
                <w:color w:val="000000"/>
              </w:rPr>
              <w:t xml:space="preserve">time </w:t>
            </w:r>
            <w:r w:rsidRPr="008D250E" w:rsidR="00170742">
              <w:rPr>
                <w:color w:val="000000"/>
              </w:rPr>
              <w:t>entries for one</w:t>
            </w:r>
            <w:r w:rsidRPr="008D250E" w:rsidR="003F411C">
              <w:rPr>
                <w:color w:val="000000"/>
              </w:rPr>
              <w:t xml:space="preserve"> of the</w:t>
            </w:r>
            <w:r w:rsidRPr="008D250E" w:rsidR="00170742">
              <w:rPr>
                <w:color w:val="000000"/>
              </w:rPr>
              <w:t xml:space="preserve"> participant</w:t>
            </w:r>
            <w:r w:rsidRPr="008D250E" w:rsidR="003F411C">
              <w:rPr>
                <w:color w:val="000000"/>
              </w:rPr>
              <w:t>s</w:t>
            </w:r>
            <w:r w:rsidRPr="008D250E" w:rsidR="00170742">
              <w:rPr>
                <w:color w:val="000000"/>
              </w:rPr>
              <w:t xml:space="preserve"> in an event</w:t>
            </w:r>
            <w:r w:rsidRPr="008D250E" w:rsidR="003F411C">
              <w:rPr>
                <w:color w:val="000000"/>
              </w:rPr>
              <w:t>,</w:t>
            </w:r>
            <w:r w:rsidRPr="008D250E" w:rsidR="00170742">
              <w:rPr>
                <w:color w:val="000000"/>
              </w:rPr>
              <w:t xml:space="preserve"> but </w:t>
            </w:r>
            <w:r w:rsidRPr="008D250E" w:rsidR="007C01F0">
              <w:rPr>
                <w:color w:val="000000"/>
              </w:rPr>
              <w:t xml:space="preserve">kept the time </w:t>
            </w:r>
            <w:r w:rsidRPr="008D250E" w:rsidR="003A0258">
              <w:rPr>
                <w:color w:val="000000"/>
              </w:rPr>
              <w:t xml:space="preserve">entry </w:t>
            </w:r>
            <w:r w:rsidRPr="008D250E" w:rsidR="007C01F0">
              <w:rPr>
                <w:color w:val="000000"/>
              </w:rPr>
              <w:t xml:space="preserve">for the other participant.  </w:t>
            </w:r>
            <w:r w:rsidRPr="008D250E" w:rsidR="003A0258">
              <w:rPr>
                <w:color w:val="000000"/>
              </w:rPr>
              <w:t>However, because t</w:t>
            </w:r>
            <w:r w:rsidRPr="008D250E" w:rsidR="007C01F0">
              <w:rPr>
                <w:color w:val="000000"/>
              </w:rPr>
              <w:t>he coordination</w:t>
            </w:r>
            <w:r w:rsidRPr="008D250E" w:rsidR="003A0258">
              <w:rPr>
                <w:color w:val="000000"/>
              </w:rPr>
              <w:t xml:space="preserve"> among TURN staff and externally with our allies</w:t>
            </w:r>
            <w:r w:rsidRPr="008D250E" w:rsidR="007C01F0">
              <w:rPr>
                <w:color w:val="000000"/>
              </w:rPr>
              <w:t xml:space="preserve"> is critical and reasonable for our work in this proceeding, w</w:t>
            </w:r>
            <w:r w:rsidRPr="008D250E">
              <w:rPr>
                <w:color w:val="000000"/>
              </w:rPr>
              <w:t xml:space="preserve">e find that the remaining entries </w:t>
            </w:r>
            <w:r w:rsidRPr="008D250E" w:rsidR="001C026D">
              <w:rPr>
                <w:color w:val="000000"/>
              </w:rPr>
              <w:t>reflect TURN’s substantial contribution and the coordinated work effort by its internal team.</w:t>
            </w:r>
          </w:p>
          <w:p w:rsidRPr="008D250E" w:rsidR="00D33923" w:rsidP="00C0309B" w:rsidRDefault="00D33923" w14:paraId="75C62CD8" w14:textId="3BFC6DDB">
            <w:pPr>
              <w:spacing w:after="240"/>
              <w:rPr>
                <w:i/>
                <w:color w:val="000000"/>
                <w:u w:val="single"/>
              </w:rPr>
            </w:pPr>
            <w:r w:rsidRPr="008D250E">
              <w:rPr>
                <w:i/>
                <w:color w:val="000000"/>
                <w:u w:val="single"/>
              </w:rPr>
              <w:t>Motion for Procedural S</w:t>
            </w:r>
            <w:r w:rsidRPr="008D250E" w:rsidR="00111583">
              <w:rPr>
                <w:i/>
                <w:color w:val="000000"/>
                <w:u w:val="single"/>
              </w:rPr>
              <w:t>chedule</w:t>
            </w:r>
            <w:r w:rsidRPr="008D250E" w:rsidR="003A0258">
              <w:rPr>
                <w:i/>
                <w:color w:val="000000"/>
                <w:u w:val="single"/>
              </w:rPr>
              <w:t xml:space="preserve"> and Subsequent October 2018 ALJ Ruling</w:t>
            </w:r>
            <w:r w:rsidRPr="008D250E" w:rsidR="00111583">
              <w:rPr>
                <w:i/>
                <w:color w:val="000000"/>
                <w:u w:val="single"/>
              </w:rPr>
              <w:t xml:space="preserve"> </w:t>
            </w:r>
          </w:p>
          <w:p w:rsidRPr="008D250E" w:rsidR="00111583" w:rsidP="00C0309B" w:rsidRDefault="00111583" w14:paraId="4162999E" w14:textId="038AEA32">
            <w:pPr>
              <w:spacing w:after="240"/>
              <w:rPr>
                <w:color w:val="000000"/>
              </w:rPr>
            </w:pPr>
            <w:r w:rsidRPr="008D250E">
              <w:rPr>
                <w:color w:val="000000"/>
              </w:rPr>
              <w:t xml:space="preserve">The Commission should find TURN’s work on the </w:t>
            </w:r>
            <w:r w:rsidRPr="008D250E" w:rsidR="00483865">
              <w:rPr>
                <w:color w:val="000000"/>
              </w:rPr>
              <w:t xml:space="preserve">2017 </w:t>
            </w:r>
            <w:r w:rsidRPr="008D250E">
              <w:rPr>
                <w:color w:val="000000"/>
              </w:rPr>
              <w:t>Motion for Procedural Schedule</w:t>
            </w:r>
            <w:r w:rsidRPr="008D250E" w:rsidR="00483865">
              <w:rPr>
                <w:color w:val="000000"/>
              </w:rPr>
              <w:t xml:space="preserve"> and its comments on the October 2018 ALJ Ruling</w:t>
            </w:r>
            <w:r w:rsidRPr="008D250E" w:rsidR="003A0258">
              <w:rPr>
                <w:color w:val="000000"/>
              </w:rPr>
              <w:t>, coded primarily as FIRE and IMP, while significant,</w:t>
            </w:r>
            <w:r w:rsidRPr="008D250E">
              <w:rPr>
                <w:color w:val="000000"/>
              </w:rPr>
              <w:t xml:space="preserve"> to be reasonable.  </w:t>
            </w:r>
            <w:r w:rsidRPr="008D250E" w:rsidR="00483865">
              <w:rPr>
                <w:color w:val="000000"/>
              </w:rPr>
              <w:t>In 2017</w:t>
            </w:r>
            <w:r w:rsidRPr="008D250E">
              <w:rPr>
                <w:color w:val="000000"/>
              </w:rPr>
              <w:t xml:space="preserve">, the Wine County Fires tore through Sonoma and Mendocino Counties, and residents—some of whom experienced rural call completion failures and other outages as noted during the </w:t>
            </w:r>
            <w:r w:rsidR="00C35A4D">
              <w:rPr>
                <w:color w:val="000000"/>
              </w:rPr>
              <w:t>Phase 1</w:t>
            </w:r>
            <w:r w:rsidRPr="008D250E">
              <w:rPr>
                <w:color w:val="000000"/>
              </w:rPr>
              <w:t xml:space="preserve"> public participation hearings—were dependent on those communications services for evacuation notices and emergency services.  TURN worked closely with</w:t>
            </w:r>
            <w:r w:rsidR="008251D6">
              <w:rPr>
                <w:color w:val="000000"/>
              </w:rPr>
              <w:t xml:space="preserve"> a </w:t>
            </w:r>
            <w:r w:rsidR="008251D6">
              <w:rPr>
                <w:color w:val="000000"/>
              </w:rPr>
              <w:lastRenderedPageBreak/>
              <w:t>Broadband Consortia and</w:t>
            </w:r>
            <w:r w:rsidRPr="008D250E">
              <w:rPr>
                <w:color w:val="000000"/>
              </w:rPr>
              <w:t xml:space="preserve"> the County of Mendocino to bring forth concerns and the results of an inform</w:t>
            </w:r>
            <w:r w:rsidRPr="008D250E" w:rsidR="00483865">
              <w:rPr>
                <w:color w:val="000000"/>
              </w:rPr>
              <w:t>ation</w:t>
            </w:r>
            <w:r w:rsidRPr="008D250E">
              <w:rPr>
                <w:color w:val="000000"/>
              </w:rPr>
              <w:t xml:space="preserve"> survey of the residents that showed residents did not have access to communications services during the fire</w:t>
            </w:r>
            <w:r w:rsidRPr="008D250E" w:rsidR="00383798">
              <w:rPr>
                <w:color w:val="000000"/>
              </w:rPr>
              <w:t>s</w:t>
            </w:r>
            <w:r w:rsidRPr="008D250E">
              <w:rPr>
                <w:color w:val="000000"/>
              </w:rPr>
              <w:t>.</w:t>
            </w:r>
          </w:p>
          <w:p w:rsidRPr="008D250E" w:rsidR="00111583" w:rsidP="00C0309B" w:rsidRDefault="00111583" w14:paraId="17CEEE46" w14:textId="48A30083">
            <w:pPr>
              <w:spacing w:after="240"/>
              <w:rPr>
                <w:color w:val="000000"/>
              </w:rPr>
            </w:pPr>
            <w:r w:rsidRPr="008D250E">
              <w:rPr>
                <w:color w:val="000000"/>
              </w:rPr>
              <w:t xml:space="preserve">The requirements ordered in </w:t>
            </w:r>
            <w:r w:rsidR="00C35A4D">
              <w:rPr>
                <w:color w:val="000000"/>
              </w:rPr>
              <w:t>Phase 1</w:t>
            </w:r>
            <w:r w:rsidRPr="008D250E">
              <w:rPr>
                <w:color w:val="000000"/>
              </w:rPr>
              <w:t xml:space="preserve"> of this proceeding had direct implications for those residents’ ability to access communication services, es</w:t>
            </w:r>
            <w:r w:rsidRPr="008D250E" w:rsidR="00383798">
              <w:rPr>
                <w:color w:val="000000"/>
              </w:rPr>
              <w:t>pecially during an</w:t>
            </w:r>
            <w:r w:rsidRPr="008D250E">
              <w:rPr>
                <w:color w:val="000000"/>
              </w:rPr>
              <w:t xml:space="preserve"> emergency.</w:t>
            </w:r>
            <w:r w:rsidRPr="008D250E" w:rsidR="00483865">
              <w:rPr>
                <w:color w:val="000000"/>
              </w:rPr>
              <w:t xml:space="preserve">  Yet </w:t>
            </w:r>
            <w:r w:rsidR="00C35A4D">
              <w:rPr>
                <w:color w:val="000000"/>
              </w:rPr>
              <w:t>Phase 2</w:t>
            </w:r>
            <w:r w:rsidRPr="008D250E" w:rsidR="00483865">
              <w:rPr>
                <w:color w:val="000000"/>
              </w:rPr>
              <w:t xml:space="preserve"> of the docket had slowed down and it appeared little progress was being made.</w:t>
            </w:r>
            <w:r w:rsidRPr="008D250E">
              <w:rPr>
                <w:color w:val="000000"/>
              </w:rPr>
              <w:t xml:space="preserve">  As such, TURN motioned for a procedural schedule to ensure the </w:t>
            </w:r>
            <w:r w:rsidR="00C35A4D">
              <w:rPr>
                <w:color w:val="000000"/>
              </w:rPr>
              <w:t>Phase 1</w:t>
            </w:r>
            <w:r w:rsidRPr="008D250E">
              <w:rPr>
                <w:color w:val="000000"/>
              </w:rPr>
              <w:t xml:space="preserve"> Decision would be timely implemented, and reduce the chances that rural residents would face communications outages during future emergencies.</w:t>
            </w:r>
            <w:r w:rsidRPr="008D250E" w:rsidR="00483865">
              <w:rPr>
                <w:color w:val="000000"/>
              </w:rPr>
              <w:t xml:space="preserve">  Indeed, while it took several months and </w:t>
            </w:r>
            <w:r w:rsidRPr="008D250E" w:rsidR="00DA1E56">
              <w:rPr>
                <w:color w:val="000000"/>
              </w:rPr>
              <w:t>additional</w:t>
            </w:r>
            <w:r w:rsidRPr="008D250E" w:rsidR="00483865">
              <w:rPr>
                <w:color w:val="000000"/>
              </w:rPr>
              <w:t xml:space="preserve"> meetings, the Commission issue</w:t>
            </w:r>
            <w:r w:rsidRPr="008D250E" w:rsidR="00DA1E56">
              <w:rPr>
                <w:color w:val="000000"/>
              </w:rPr>
              <w:t>d</w:t>
            </w:r>
            <w:r w:rsidRPr="008D250E" w:rsidR="00483865">
              <w:rPr>
                <w:color w:val="000000"/>
              </w:rPr>
              <w:t xml:space="preserve"> a </w:t>
            </w:r>
            <w:r w:rsidR="008251D6">
              <w:rPr>
                <w:color w:val="000000"/>
              </w:rPr>
              <w:t xml:space="preserve">detailed </w:t>
            </w:r>
            <w:r w:rsidRPr="008D250E" w:rsidR="00483865">
              <w:rPr>
                <w:color w:val="000000"/>
              </w:rPr>
              <w:t>Ruling regarding the</w:t>
            </w:r>
            <w:r w:rsidRPr="008D250E" w:rsidR="003A0258">
              <w:rPr>
                <w:color w:val="000000"/>
              </w:rPr>
              <w:t xml:space="preserve"> compliance</w:t>
            </w:r>
            <w:r w:rsidRPr="008D250E" w:rsidR="00483865">
              <w:rPr>
                <w:color w:val="000000"/>
              </w:rPr>
              <w:t xml:space="preserve"> progress</w:t>
            </w:r>
            <w:r w:rsidRPr="008D250E" w:rsidR="003A0258">
              <w:rPr>
                <w:color w:val="000000"/>
              </w:rPr>
              <w:t xml:space="preserve"> of each OP from the </w:t>
            </w:r>
            <w:r w:rsidR="00C35A4D">
              <w:rPr>
                <w:color w:val="000000"/>
              </w:rPr>
              <w:t>Phase 1</w:t>
            </w:r>
            <w:r w:rsidRPr="008D250E" w:rsidR="003A0258">
              <w:rPr>
                <w:color w:val="000000"/>
              </w:rPr>
              <w:t xml:space="preserve"> Decision.</w:t>
            </w:r>
            <w:r w:rsidRPr="008D250E" w:rsidR="00483865">
              <w:rPr>
                <w:color w:val="000000"/>
              </w:rPr>
              <w:t xml:space="preserve"> </w:t>
            </w:r>
            <w:r w:rsidRPr="008D250E" w:rsidR="0035393F">
              <w:rPr>
                <w:color w:val="000000"/>
              </w:rPr>
              <w:t xml:space="preserve"> </w:t>
            </w:r>
            <w:r w:rsidRPr="008D250E" w:rsidR="00483865">
              <w:rPr>
                <w:color w:val="000000"/>
              </w:rPr>
              <w:t xml:space="preserve">TURN’s </w:t>
            </w:r>
            <w:r w:rsidRPr="008D250E" w:rsidR="003A0258">
              <w:rPr>
                <w:color w:val="000000"/>
              </w:rPr>
              <w:t xml:space="preserve">further </w:t>
            </w:r>
            <w:r w:rsidRPr="008D250E" w:rsidR="00483865">
              <w:rPr>
                <w:color w:val="000000"/>
              </w:rPr>
              <w:t xml:space="preserve">work to provide a detailed response to that Ruling </w:t>
            </w:r>
            <w:r w:rsidRPr="008D250E" w:rsidR="00DA1E56">
              <w:rPr>
                <w:color w:val="000000"/>
              </w:rPr>
              <w:t xml:space="preserve">also represents a reasonable </w:t>
            </w:r>
            <w:r w:rsidRPr="008D250E" w:rsidR="003A0258">
              <w:rPr>
                <w:color w:val="000000"/>
              </w:rPr>
              <w:t xml:space="preserve">work </w:t>
            </w:r>
            <w:r w:rsidRPr="008D250E" w:rsidR="00DA1E56">
              <w:rPr>
                <w:color w:val="000000"/>
              </w:rPr>
              <w:t>effort to ensure that the Commission</w:t>
            </w:r>
            <w:r w:rsidRPr="008D250E" w:rsidR="003A0258">
              <w:rPr>
                <w:color w:val="000000"/>
              </w:rPr>
              <w:t xml:space="preserve"> had addressed all elements of each OP and</w:t>
            </w:r>
            <w:r w:rsidRPr="008D250E" w:rsidR="00DA1E56">
              <w:rPr>
                <w:color w:val="000000"/>
              </w:rPr>
              <w:t xml:space="preserve"> was as transparent and comprehensive as possible </w:t>
            </w:r>
            <w:r w:rsidRPr="008D250E" w:rsidR="003A0258">
              <w:rPr>
                <w:color w:val="000000"/>
              </w:rPr>
              <w:t>as it</w:t>
            </w:r>
            <w:r w:rsidRPr="008D250E" w:rsidR="00DA1E56">
              <w:rPr>
                <w:color w:val="000000"/>
              </w:rPr>
              <w:t xml:space="preserve"> demonstrate</w:t>
            </w:r>
            <w:r w:rsidRPr="008D250E" w:rsidR="003A0258">
              <w:rPr>
                <w:color w:val="000000"/>
              </w:rPr>
              <w:t>d</w:t>
            </w:r>
            <w:r w:rsidRPr="008D250E" w:rsidR="00DA1E56">
              <w:rPr>
                <w:color w:val="000000"/>
              </w:rPr>
              <w:t xml:space="preserve"> compliance with the</w:t>
            </w:r>
            <w:r w:rsidRPr="008D250E" w:rsidR="003A0258">
              <w:rPr>
                <w:color w:val="000000"/>
              </w:rPr>
              <w:t>se</w:t>
            </w:r>
            <w:r w:rsidRPr="008D250E" w:rsidR="00DA1E56">
              <w:rPr>
                <w:color w:val="000000"/>
              </w:rPr>
              <w:t xml:space="preserve"> customer</w:t>
            </w:r>
            <w:r w:rsidR="00747698">
              <w:rPr>
                <w:color w:val="000000"/>
              </w:rPr>
              <w:noBreakHyphen/>
            </w:r>
            <w:r w:rsidRPr="008D250E" w:rsidR="00DA1E56">
              <w:rPr>
                <w:color w:val="000000"/>
              </w:rPr>
              <w:t>critical processes</w:t>
            </w:r>
            <w:r w:rsidRPr="008D250E" w:rsidR="003A0258">
              <w:rPr>
                <w:color w:val="000000"/>
              </w:rPr>
              <w:t xml:space="preserve"> and requirements</w:t>
            </w:r>
            <w:r w:rsidRPr="008D250E" w:rsidR="00DA1E56">
              <w:rPr>
                <w:color w:val="000000"/>
              </w:rPr>
              <w:t>.</w:t>
            </w:r>
          </w:p>
          <w:p w:rsidRPr="008D250E" w:rsidR="00FF183E" w:rsidP="00C0309B" w:rsidRDefault="00FF183E" w14:paraId="56E361BF" w14:textId="2E65A824">
            <w:pPr>
              <w:spacing w:after="240"/>
              <w:rPr>
                <w:color w:val="000000"/>
              </w:rPr>
            </w:pPr>
            <w:r w:rsidRPr="008D250E">
              <w:rPr>
                <w:color w:val="000000"/>
              </w:rPr>
              <w:t>The time spent on the Motion for</w:t>
            </w:r>
            <w:r w:rsidRPr="008D250E" w:rsidR="00AB27EF">
              <w:rPr>
                <w:color w:val="000000"/>
              </w:rPr>
              <w:t xml:space="preserve"> Procedural Schedule</w:t>
            </w:r>
            <w:r w:rsidRPr="008D250E" w:rsidR="00DA1E56">
              <w:rPr>
                <w:color w:val="000000"/>
              </w:rPr>
              <w:t>,</w:t>
            </w:r>
            <w:r w:rsidRPr="008D250E" w:rsidR="00AB27EF">
              <w:rPr>
                <w:color w:val="000000"/>
              </w:rPr>
              <w:t xml:space="preserve"> to work</w:t>
            </w:r>
            <w:r w:rsidRPr="008D250E">
              <w:rPr>
                <w:color w:val="000000"/>
              </w:rPr>
              <w:t xml:space="preserve"> with Mendocino County</w:t>
            </w:r>
            <w:r w:rsidRPr="008D250E" w:rsidR="003A0258">
              <w:rPr>
                <w:color w:val="000000"/>
              </w:rPr>
              <w:t>, and to document gaps in compliance,</w:t>
            </w:r>
            <w:r w:rsidRPr="008D250E">
              <w:rPr>
                <w:color w:val="000000"/>
              </w:rPr>
              <w:t xml:space="preserve"> </w:t>
            </w:r>
            <w:r w:rsidRPr="008D250E" w:rsidR="00AB27EF">
              <w:rPr>
                <w:color w:val="000000"/>
              </w:rPr>
              <w:t xml:space="preserve">were within the scope for </w:t>
            </w:r>
            <w:r w:rsidR="00C35A4D">
              <w:rPr>
                <w:color w:val="000000"/>
              </w:rPr>
              <w:t>Phase 2</w:t>
            </w:r>
            <w:r w:rsidRPr="008D250E" w:rsidR="00AB27EF">
              <w:rPr>
                <w:color w:val="000000"/>
              </w:rPr>
              <w:t xml:space="preserve"> and reflect the Commission’s ongoing evaluation of the need for carriers to work with local governments</w:t>
            </w:r>
            <w:r w:rsidRPr="008D250E" w:rsidR="003A0258">
              <w:rPr>
                <w:color w:val="000000"/>
              </w:rPr>
              <w:t>, emergency agencies, and providers</w:t>
            </w:r>
            <w:r w:rsidRPr="008D250E" w:rsidR="00AB27EF">
              <w:rPr>
                <w:color w:val="000000"/>
              </w:rPr>
              <w:t xml:space="preserve">, especially </w:t>
            </w:r>
            <w:r w:rsidRPr="008D250E" w:rsidR="003A0258">
              <w:rPr>
                <w:color w:val="000000"/>
              </w:rPr>
              <w:t>to support improved</w:t>
            </w:r>
            <w:r w:rsidRPr="008D250E" w:rsidR="00AB27EF">
              <w:rPr>
                <w:color w:val="000000"/>
              </w:rPr>
              <w:t xml:space="preserve"> communications during emergenc</w:t>
            </w:r>
            <w:r w:rsidRPr="008D250E" w:rsidR="003A0258">
              <w:rPr>
                <w:color w:val="000000"/>
              </w:rPr>
              <w:t>y</w:t>
            </w:r>
            <w:r w:rsidRPr="008D250E" w:rsidR="00AB27EF">
              <w:rPr>
                <w:color w:val="000000"/>
              </w:rPr>
              <w:t xml:space="preserve"> situations.  </w:t>
            </w:r>
            <w:r w:rsidRPr="008D250E" w:rsidR="000A1E3A">
              <w:rPr>
                <w:color w:val="000000"/>
              </w:rPr>
              <w:t xml:space="preserve">While the Final Decision does not adopt many of the recommendations and requests that TURN and other intervenors made to bolster the Commission’s work on these critical issues and </w:t>
            </w:r>
            <w:r w:rsidRPr="008D250E" w:rsidR="006C4D33">
              <w:rPr>
                <w:color w:val="000000"/>
              </w:rPr>
              <w:t xml:space="preserve">to </w:t>
            </w:r>
            <w:r w:rsidRPr="008D250E" w:rsidR="000A1E3A">
              <w:rPr>
                <w:color w:val="000000"/>
              </w:rPr>
              <w:t xml:space="preserve">ensure a clear path to </w:t>
            </w:r>
            <w:r w:rsidR="00C35A4D">
              <w:rPr>
                <w:color w:val="000000"/>
              </w:rPr>
              <w:t>Phase 1</w:t>
            </w:r>
            <w:r w:rsidRPr="008D250E" w:rsidR="000A1E3A">
              <w:rPr>
                <w:color w:val="000000"/>
              </w:rPr>
              <w:t xml:space="preserve"> compliance, the Commission has previous</w:t>
            </w:r>
            <w:r w:rsidRPr="008D250E" w:rsidR="006C4D33">
              <w:rPr>
                <w:color w:val="000000"/>
              </w:rPr>
              <w:t>ly</w:t>
            </w:r>
            <w:r w:rsidRPr="008D250E" w:rsidR="000A1E3A">
              <w:rPr>
                <w:color w:val="000000"/>
              </w:rPr>
              <w:t xml:space="preserve"> recognized that </w:t>
            </w:r>
            <w:r w:rsidRPr="008D250E" w:rsidR="00AB27EF">
              <w:rPr>
                <w:color w:val="000000"/>
              </w:rPr>
              <w:t xml:space="preserve">TURN’s active participation and overall hours spent on </w:t>
            </w:r>
            <w:r w:rsidRPr="008D250E" w:rsidR="003A0258">
              <w:rPr>
                <w:color w:val="000000"/>
              </w:rPr>
              <w:t xml:space="preserve">these </w:t>
            </w:r>
            <w:r w:rsidRPr="008D250E" w:rsidR="00AB27EF">
              <w:rPr>
                <w:color w:val="000000"/>
              </w:rPr>
              <w:t>issue</w:t>
            </w:r>
            <w:r w:rsidRPr="008D250E" w:rsidR="003A0258">
              <w:rPr>
                <w:color w:val="000000"/>
              </w:rPr>
              <w:t>s</w:t>
            </w:r>
            <w:r w:rsidRPr="008D250E" w:rsidR="000A1E3A">
              <w:rPr>
                <w:color w:val="000000"/>
              </w:rPr>
              <w:t xml:space="preserve"> </w:t>
            </w:r>
            <w:r w:rsidRPr="008D250E" w:rsidR="00AB27EF">
              <w:rPr>
                <w:color w:val="000000"/>
              </w:rPr>
              <w:t xml:space="preserve">represent </w:t>
            </w:r>
            <w:r w:rsidRPr="008D250E" w:rsidR="000A1E3A">
              <w:rPr>
                <w:color w:val="000000"/>
              </w:rPr>
              <w:t>reasonable hours and substantial contribution</w:t>
            </w:r>
            <w:r w:rsidRPr="008D250E" w:rsidR="006C4D33">
              <w:rPr>
                <w:color w:val="000000"/>
              </w:rPr>
              <w:t xml:space="preserve">. </w:t>
            </w:r>
            <w:r w:rsidRPr="008D250E" w:rsidR="00E169A2">
              <w:rPr>
                <w:color w:val="000000"/>
              </w:rPr>
              <w:t xml:space="preserve"> </w:t>
            </w:r>
            <w:r w:rsidRPr="008D250E" w:rsidR="00E169A2">
              <w:rPr>
                <w:i/>
                <w:color w:val="000000"/>
              </w:rPr>
              <w:t>See</w:t>
            </w:r>
            <w:r w:rsidRPr="008D250E" w:rsidR="00E169A2">
              <w:rPr>
                <w:color w:val="000000"/>
              </w:rPr>
              <w:t xml:space="preserve">, </w:t>
            </w:r>
            <w:r w:rsidRPr="008D250E" w:rsidR="00E169A2">
              <w:rPr>
                <w:i/>
                <w:color w:val="000000"/>
              </w:rPr>
              <w:t>e.g.</w:t>
            </w:r>
            <w:r w:rsidRPr="008D250E" w:rsidR="00E169A2">
              <w:rPr>
                <w:color w:val="000000"/>
              </w:rPr>
              <w:t>, D.19</w:t>
            </w:r>
            <w:r w:rsidR="00747698">
              <w:rPr>
                <w:color w:val="000000"/>
              </w:rPr>
              <w:noBreakHyphen/>
            </w:r>
            <w:r w:rsidRPr="008D250E" w:rsidR="00E169A2">
              <w:rPr>
                <w:color w:val="000000"/>
              </w:rPr>
              <w:t>10</w:t>
            </w:r>
            <w:r w:rsidR="00747698">
              <w:rPr>
                <w:color w:val="000000"/>
              </w:rPr>
              <w:noBreakHyphen/>
            </w:r>
            <w:r w:rsidRPr="008D250E" w:rsidR="00E169A2">
              <w:rPr>
                <w:color w:val="000000"/>
              </w:rPr>
              <w:t>019 (citing Section 1802(j); D.08</w:t>
            </w:r>
            <w:r w:rsidR="00747698">
              <w:rPr>
                <w:color w:val="000000"/>
              </w:rPr>
              <w:noBreakHyphen/>
            </w:r>
            <w:r w:rsidRPr="008D250E" w:rsidR="00E169A2">
              <w:rPr>
                <w:color w:val="000000"/>
              </w:rPr>
              <w:t>04</w:t>
            </w:r>
            <w:r w:rsidR="00747698">
              <w:rPr>
                <w:color w:val="000000"/>
              </w:rPr>
              <w:noBreakHyphen/>
            </w:r>
            <w:r w:rsidRPr="008D250E" w:rsidR="00E169A2">
              <w:rPr>
                <w:color w:val="000000"/>
              </w:rPr>
              <w:t>004; D.10</w:t>
            </w:r>
            <w:r w:rsidR="00747698">
              <w:rPr>
                <w:color w:val="000000"/>
              </w:rPr>
              <w:noBreakHyphen/>
            </w:r>
            <w:r w:rsidRPr="008D250E" w:rsidR="00E169A2">
              <w:rPr>
                <w:color w:val="000000"/>
              </w:rPr>
              <w:t>06</w:t>
            </w:r>
            <w:r w:rsidR="00747698">
              <w:rPr>
                <w:color w:val="000000"/>
              </w:rPr>
              <w:noBreakHyphen/>
            </w:r>
            <w:r w:rsidRPr="008D250E" w:rsidR="00E169A2">
              <w:rPr>
                <w:color w:val="000000"/>
              </w:rPr>
              <w:t>046; D.09</w:t>
            </w:r>
            <w:r w:rsidR="00747698">
              <w:rPr>
                <w:color w:val="000000"/>
              </w:rPr>
              <w:noBreakHyphen/>
            </w:r>
            <w:r w:rsidRPr="008D250E" w:rsidR="00E169A2">
              <w:rPr>
                <w:color w:val="000000"/>
              </w:rPr>
              <w:t>12</w:t>
            </w:r>
            <w:r w:rsidR="00747698">
              <w:rPr>
                <w:color w:val="000000"/>
              </w:rPr>
              <w:noBreakHyphen/>
            </w:r>
            <w:r w:rsidRPr="008D250E" w:rsidR="00E169A2">
              <w:rPr>
                <w:color w:val="000000"/>
              </w:rPr>
              <w:t>014) (“TURN substantially contributed to the decision</w:t>
            </w:r>
            <w:r w:rsidR="00747698">
              <w:rPr>
                <w:color w:val="000000"/>
              </w:rPr>
              <w:noBreakHyphen/>
            </w:r>
            <w:r w:rsidRPr="008D250E" w:rsidR="00E169A2">
              <w:rPr>
                <w:color w:val="000000"/>
              </w:rPr>
              <w:t>making process because the Commission benefitted from the legal and factual arguments TURN made.</w:t>
            </w:r>
            <w:r w:rsidR="000E5C35">
              <w:rPr>
                <w:color w:val="000000"/>
              </w:rPr>
              <w:t> . .</w:t>
            </w:r>
            <w:r w:rsidR="00EC1CA4">
              <w:rPr>
                <w:color w:val="000000"/>
              </w:rPr>
              <w:t> </w:t>
            </w:r>
            <w:r w:rsidRPr="008D250E" w:rsidR="00E169A2">
              <w:rPr>
                <w:color w:val="000000"/>
              </w:rPr>
              <w:t xml:space="preserve">. Although the Commission did not adopt TURN’s legal contentions, the Commission did consider TURN’s factual contentions and adopted procedural recommendations related to scheduling and evidence.”) </w:t>
            </w:r>
            <w:r w:rsidRPr="008D250E" w:rsidR="000A1E3A">
              <w:rPr>
                <w:color w:val="000000"/>
              </w:rPr>
              <w:t xml:space="preserve"> </w:t>
            </w:r>
            <w:r w:rsidRPr="008D250E" w:rsidR="00AB27EF">
              <w:rPr>
                <w:color w:val="000000"/>
              </w:rPr>
              <w:t xml:space="preserve"> </w:t>
            </w:r>
            <w:r w:rsidRPr="008D250E" w:rsidR="006C4D33">
              <w:rPr>
                <w:color w:val="000000"/>
              </w:rPr>
              <w:t xml:space="preserve">Here, we request that the Commission find that the number of hours representing TURN’s work to </w:t>
            </w:r>
            <w:r w:rsidRPr="008D250E" w:rsidR="00AB27EF">
              <w:rPr>
                <w:color w:val="000000"/>
              </w:rPr>
              <w:t>respon</w:t>
            </w:r>
            <w:r w:rsidRPr="008D250E" w:rsidR="000A1E3A">
              <w:rPr>
                <w:color w:val="000000"/>
              </w:rPr>
              <w:t>d</w:t>
            </w:r>
            <w:r w:rsidRPr="008D250E" w:rsidR="00AB27EF">
              <w:rPr>
                <w:color w:val="000000"/>
              </w:rPr>
              <w:t xml:space="preserve"> to the Commission’s requests for stakeholder input</w:t>
            </w:r>
            <w:r w:rsidRPr="008D250E" w:rsidR="000A1E3A">
              <w:rPr>
                <w:color w:val="000000"/>
              </w:rPr>
              <w:t>,</w:t>
            </w:r>
            <w:r w:rsidRPr="008D250E" w:rsidR="006915A0">
              <w:rPr>
                <w:color w:val="000000"/>
              </w:rPr>
              <w:t xml:space="preserve"> </w:t>
            </w:r>
            <w:r w:rsidRPr="008D250E" w:rsidR="00AB27EF">
              <w:rPr>
                <w:color w:val="000000"/>
              </w:rPr>
              <w:t xml:space="preserve">the scope of </w:t>
            </w:r>
            <w:r w:rsidR="00C35A4D">
              <w:rPr>
                <w:color w:val="000000"/>
              </w:rPr>
              <w:t>Phase 2</w:t>
            </w:r>
            <w:r w:rsidRPr="008D250E" w:rsidR="000A1E3A">
              <w:rPr>
                <w:color w:val="000000"/>
              </w:rPr>
              <w:t xml:space="preserve">, transparency for the Commission’s and carriers’ </w:t>
            </w:r>
            <w:r w:rsidRPr="008D250E" w:rsidR="006C4D33">
              <w:rPr>
                <w:color w:val="000000"/>
              </w:rPr>
              <w:t>compliance efforts for the</w:t>
            </w:r>
            <w:r w:rsidRPr="008D250E" w:rsidR="000A1E3A">
              <w:rPr>
                <w:color w:val="000000"/>
              </w:rPr>
              <w:t xml:space="preserve"> </w:t>
            </w:r>
            <w:r w:rsidR="00C35A4D">
              <w:rPr>
                <w:color w:val="000000"/>
              </w:rPr>
              <w:t>Phase 1</w:t>
            </w:r>
            <w:r w:rsidRPr="008D250E" w:rsidR="000A1E3A">
              <w:rPr>
                <w:color w:val="000000"/>
              </w:rPr>
              <w:t xml:space="preserve"> requirements, and </w:t>
            </w:r>
            <w:r w:rsidRPr="008D250E" w:rsidR="006C4D33">
              <w:rPr>
                <w:color w:val="000000"/>
              </w:rPr>
              <w:t xml:space="preserve">further </w:t>
            </w:r>
            <w:r w:rsidRPr="008D250E" w:rsidR="000A1E3A">
              <w:rPr>
                <w:color w:val="000000"/>
              </w:rPr>
              <w:t xml:space="preserve">clarifications and amendments to the </w:t>
            </w:r>
            <w:r w:rsidR="00C35A4D">
              <w:rPr>
                <w:color w:val="000000"/>
              </w:rPr>
              <w:t>Phase 1</w:t>
            </w:r>
            <w:r w:rsidRPr="008D250E" w:rsidR="006C4D33">
              <w:rPr>
                <w:color w:val="000000"/>
              </w:rPr>
              <w:t xml:space="preserve"> requirements is a substantial contribution to this proceeding</w:t>
            </w:r>
            <w:r w:rsidRPr="008D250E" w:rsidR="00AB27EF">
              <w:rPr>
                <w:color w:val="000000"/>
              </w:rPr>
              <w:t>.</w:t>
            </w:r>
          </w:p>
          <w:p w:rsidRPr="008D250E" w:rsidR="00691528" w:rsidP="00C0309B" w:rsidRDefault="00F74E98" w14:paraId="1C37AFD2" w14:textId="60579648">
            <w:pPr>
              <w:spacing w:after="240"/>
              <w:rPr>
                <w:color w:val="000000"/>
              </w:rPr>
            </w:pPr>
            <w:r w:rsidRPr="008D250E">
              <w:rPr>
                <w:i/>
                <w:color w:val="000000"/>
                <w:u w:val="single"/>
              </w:rPr>
              <w:lastRenderedPageBreak/>
              <w:t>Reasonableness of Expenses:</w:t>
            </w:r>
          </w:p>
          <w:p w:rsidRPr="008D250E" w:rsidR="001F222C" w:rsidP="00C0309B" w:rsidRDefault="001F222C" w14:paraId="6F189DB6" w14:textId="01083412">
            <w:pPr>
              <w:spacing w:after="240"/>
              <w:rPr>
                <w:color w:val="000000"/>
              </w:rPr>
            </w:pPr>
            <w:r w:rsidRPr="008D250E">
              <w:rPr>
                <w:color w:val="000000"/>
              </w:rPr>
              <w:t xml:space="preserve">The Commission should find that the expenses associated with TURN’s participation in this proceeding are reasonable. </w:t>
            </w:r>
            <w:r w:rsidRPr="008D250E" w:rsidR="00483865">
              <w:rPr>
                <w:color w:val="000000"/>
              </w:rPr>
              <w:t>TURN has no travel expenses and minimal phone, copying</w:t>
            </w:r>
            <w:r w:rsidRPr="008D250E" w:rsidR="0035393F">
              <w:rPr>
                <w:color w:val="000000"/>
              </w:rPr>
              <w:t>,</w:t>
            </w:r>
            <w:r w:rsidRPr="008D250E" w:rsidR="00483865">
              <w:rPr>
                <w:color w:val="000000"/>
              </w:rPr>
              <w:t xml:space="preserve"> and other charges.  TURN’s legal research expenses relate to wor</w:t>
            </w:r>
            <w:r w:rsidR="00DF760C">
              <w:rPr>
                <w:color w:val="000000"/>
              </w:rPr>
              <w:t>k done to oppose the carriers’ Application for R</w:t>
            </w:r>
            <w:r w:rsidRPr="008D250E" w:rsidR="00483865">
              <w:rPr>
                <w:color w:val="000000"/>
              </w:rPr>
              <w:t>ehearing and represents a reasonable expense relative to the legal issues raised regarding scope and due process.</w:t>
            </w:r>
            <w:r w:rsidRPr="008D250E">
              <w:rPr>
                <w:color w:val="000000"/>
              </w:rPr>
              <w:t xml:space="preserve"> </w:t>
            </w:r>
            <w:r w:rsidRPr="008D250E" w:rsidR="0035393F">
              <w:rPr>
                <w:color w:val="000000"/>
              </w:rPr>
              <w:t xml:space="preserve"> </w:t>
            </w:r>
            <w:r w:rsidRPr="008D250E" w:rsidR="006B1873">
              <w:rPr>
                <w:color w:val="000000"/>
              </w:rPr>
              <w:t xml:space="preserve">This proceeding has continued for several years, and TURN </w:t>
            </w:r>
            <w:r w:rsidRPr="008D250E">
              <w:rPr>
                <w:color w:val="000000"/>
              </w:rPr>
              <w:t>has ma</w:t>
            </w:r>
            <w:r w:rsidRPr="008D250E" w:rsidR="006A4FC3">
              <w:rPr>
                <w:color w:val="000000"/>
              </w:rPr>
              <w:t>de efforts to ensure that its copying and postage charges are reasonable, has been cautious in incurring expenses, and has been conservative in its decision to include certain expenses in this compensation request.</w:t>
            </w:r>
          </w:p>
          <w:p w:rsidRPr="008D250E" w:rsidR="00F74E98" w:rsidP="00C0309B" w:rsidRDefault="00F74E98" w14:paraId="4BE4E9B3" w14:textId="27E65CE2">
            <w:pPr>
              <w:spacing w:after="240"/>
              <w:rPr>
                <w:color w:val="000000"/>
              </w:rPr>
            </w:pPr>
            <w:r w:rsidRPr="008D250E">
              <w:rPr>
                <w:i/>
                <w:color w:val="000000"/>
                <w:u w:val="single"/>
              </w:rPr>
              <w:t>Attorney Hourly Rates:</w:t>
            </w:r>
          </w:p>
          <w:p w:rsidRPr="008D250E" w:rsidR="00F74E98" w:rsidP="00C0309B" w:rsidRDefault="00F74E98" w14:paraId="410CDCB7" w14:textId="257C3A0A">
            <w:pPr>
              <w:spacing w:after="240"/>
              <w:rPr>
                <w:color w:val="000000"/>
              </w:rPr>
            </w:pPr>
            <w:r w:rsidRPr="008D250E">
              <w:rPr>
                <w:i/>
                <w:color w:val="000000"/>
              </w:rPr>
              <w:t>Christine A. Mailloux</w:t>
            </w:r>
          </w:p>
          <w:p w:rsidRPr="008D250E" w:rsidR="00F74E98" w:rsidP="00C0309B" w:rsidRDefault="00F74E98" w14:paraId="790133FE" w14:textId="34E31EBD">
            <w:pPr>
              <w:spacing w:after="240"/>
              <w:rPr>
                <w:color w:val="000000"/>
              </w:rPr>
            </w:pPr>
            <w:r w:rsidRPr="008D250E">
              <w:rPr>
                <w:color w:val="000000"/>
              </w:rPr>
              <w:t xml:space="preserve">TURN is using </w:t>
            </w:r>
            <w:r w:rsidR="00533183">
              <w:rPr>
                <w:color w:val="000000"/>
              </w:rPr>
              <w:t>Ms. </w:t>
            </w:r>
            <w:r w:rsidRPr="008D250E">
              <w:rPr>
                <w:color w:val="000000"/>
              </w:rPr>
              <w:t>Mailloux’ approved rate for her work in 2017 and 2018.</w:t>
            </w:r>
          </w:p>
          <w:p w:rsidRPr="008D250E" w:rsidR="00F74E98" w:rsidP="00C0309B" w:rsidRDefault="00F74E98" w14:paraId="7FD1E9D8" w14:textId="739ECF2D">
            <w:pPr>
              <w:spacing w:after="240"/>
              <w:rPr>
                <w:color w:val="000000"/>
              </w:rPr>
            </w:pPr>
            <w:r w:rsidRPr="008D250E">
              <w:rPr>
                <w:color w:val="000000"/>
              </w:rPr>
              <w:t xml:space="preserve">TURN requests and hourly rate of $495.00 for </w:t>
            </w:r>
            <w:r w:rsidR="00533183">
              <w:rPr>
                <w:color w:val="000000"/>
              </w:rPr>
              <w:t>Ms. </w:t>
            </w:r>
            <w:r w:rsidRPr="008D250E">
              <w:rPr>
                <w:color w:val="000000"/>
              </w:rPr>
              <w:t xml:space="preserve">Mailloux’ work in 2019.  TURN calculated this rate by increasing </w:t>
            </w:r>
            <w:r w:rsidR="00533183">
              <w:rPr>
                <w:color w:val="000000"/>
              </w:rPr>
              <w:t>Ms. </w:t>
            </w:r>
            <w:r w:rsidRPr="008D250E">
              <w:rPr>
                <w:color w:val="000000"/>
              </w:rPr>
              <w:t>Mailloux’ 2018 approved rate with a COLA of 2.35% approved by ALJ</w:t>
            </w:r>
            <w:r w:rsidR="00747698">
              <w:rPr>
                <w:color w:val="000000"/>
              </w:rPr>
              <w:noBreakHyphen/>
            </w:r>
            <w:r w:rsidRPr="008D250E">
              <w:rPr>
                <w:color w:val="000000"/>
              </w:rPr>
              <w:t>357 (2019).</w:t>
            </w:r>
          </w:p>
          <w:p w:rsidRPr="008D250E" w:rsidR="00F74E98" w:rsidP="00C0309B" w:rsidRDefault="00F74E98" w14:paraId="4B90B7F7" w14:textId="09EE5713">
            <w:pPr>
              <w:spacing w:after="240"/>
              <w:rPr>
                <w:color w:val="000000"/>
              </w:rPr>
            </w:pPr>
            <w:r w:rsidRPr="008D250E">
              <w:rPr>
                <w:i/>
                <w:color w:val="000000"/>
              </w:rPr>
              <w:t>Ashley L. Salas</w:t>
            </w:r>
          </w:p>
          <w:p w:rsidRPr="008D250E" w:rsidR="00F74E98" w:rsidP="00C0309B" w:rsidRDefault="00F74E98" w14:paraId="6AC99BB1" w14:textId="5522A415">
            <w:pPr>
              <w:spacing w:after="240"/>
              <w:rPr>
                <w:color w:val="000000"/>
              </w:rPr>
            </w:pPr>
            <w:r w:rsidRPr="008D250E">
              <w:rPr>
                <w:color w:val="000000"/>
              </w:rPr>
              <w:t xml:space="preserve">TURN is using </w:t>
            </w:r>
            <w:r w:rsidR="00533183">
              <w:rPr>
                <w:color w:val="000000"/>
              </w:rPr>
              <w:t>Ms. </w:t>
            </w:r>
            <w:r w:rsidRPr="008D250E">
              <w:rPr>
                <w:color w:val="000000"/>
              </w:rPr>
              <w:t>Salas’ approved rate for her work in 2017 and 2018.</w:t>
            </w:r>
          </w:p>
          <w:p w:rsidRPr="008D250E" w:rsidR="00F74E98" w:rsidP="00C0309B" w:rsidRDefault="00F74E98" w14:paraId="592BB449" w14:textId="3AC2C393">
            <w:pPr>
              <w:spacing w:after="240"/>
              <w:rPr>
                <w:color w:val="000000"/>
              </w:rPr>
            </w:pPr>
            <w:r w:rsidRPr="008D250E">
              <w:rPr>
                <w:color w:val="000000"/>
              </w:rPr>
              <w:t xml:space="preserve">TURN requests an hourly rate of $235.00 for </w:t>
            </w:r>
            <w:r w:rsidR="00533183">
              <w:rPr>
                <w:color w:val="000000"/>
              </w:rPr>
              <w:t>Ms. </w:t>
            </w:r>
            <w:r w:rsidRPr="008D250E">
              <w:rPr>
                <w:color w:val="000000"/>
              </w:rPr>
              <w:t xml:space="preserve">Salas’ work in 2019.  TURN calculates this rate by increasing </w:t>
            </w:r>
            <w:r w:rsidR="00533183">
              <w:rPr>
                <w:color w:val="000000"/>
              </w:rPr>
              <w:t>Ms. </w:t>
            </w:r>
            <w:r w:rsidRPr="008D250E">
              <w:rPr>
                <w:color w:val="000000"/>
              </w:rPr>
              <w:t>Salas’ 2018 approved rate with a COLA of 2.35% approved by ALJ</w:t>
            </w:r>
            <w:r w:rsidR="00747698">
              <w:rPr>
                <w:color w:val="000000"/>
              </w:rPr>
              <w:noBreakHyphen/>
            </w:r>
            <w:r w:rsidRPr="008D250E">
              <w:rPr>
                <w:color w:val="000000"/>
              </w:rPr>
              <w:t xml:space="preserve">237 (2019).  TURN also requested this same rate for </w:t>
            </w:r>
            <w:r w:rsidR="00533183">
              <w:rPr>
                <w:color w:val="000000"/>
              </w:rPr>
              <w:t>Ms. </w:t>
            </w:r>
            <w:r w:rsidRPr="008D250E">
              <w:rPr>
                <w:color w:val="000000"/>
              </w:rPr>
              <w:t xml:space="preserve">Salas in its </w:t>
            </w:r>
            <w:r w:rsidRPr="008D250E" w:rsidR="00F76D64">
              <w:rPr>
                <w:color w:val="000000"/>
              </w:rPr>
              <w:t>request for compensation</w:t>
            </w:r>
            <w:r w:rsidRPr="008D250E">
              <w:rPr>
                <w:color w:val="000000"/>
              </w:rPr>
              <w:t xml:space="preserve"> filed in R.13</w:t>
            </w:r>
            <w:r w:rsidR="00747698">
              <w:rPr>
                <w:color w:val="000000"/>
              </w:rPr>
              <w:noBreakHyphen/>
            </w:r>
            <w:r w:rsidRPr="008D250E">
              <w:rPr>
                <w:color w:val="000000"/>
              </w:rPr>
              <w:t>01</w:t>
            </w:r>
            <w:r w:rsidR="00747698">
              <w:rPr>
                <w:color w:val="000000"/>
              </w:rPr>
              <w:noBreakHyphen/>
            </w:r>
            <w:r w:rsidRPr="008D250E">
              <w:rPr>
                <w:color w:val="000000"/>
              </w:rPr>
              <w:t>010, R.12</w:t>
            </w:r>
            <w:r w:rsidR="00747698">
              <w:rPr>
                <w:color w:val="000000"/>
              </w:rPr>
              <w:noBreakHyphen/>
            </w:r>
            <w:r w:rsidRPr="008D250E">
              <w:rPr>
                <w:color w:val="000000"/>
              </w:rPr>
              <w:t>10</w:t>
            </w:r>
            <w:r w:rsidR="00747698">
              <w:rPr>
                <w:color w:val="000000"/>
              </w:rPr>
              <w:noBreakHyphen/>
            </w:r>
            <w:r w:rsidRPr="008D250E">
              <w:rPr>
                <w:color w:val="000000"/>
              </w:rPr>
              <w:t>012, and R.18</w:t>
            </w:r>
            <w:r w:rsidR="00747698">
              <w:rPr>
                <w:color w:val="000000"/>
              </w:rPr>
              <w:noBreakHyphen/>
            </w:r>
            <w:r w:rsidRPr="008D250E">
              <w:rPr>
                <w:color w:val="000000"/>
              </w:rPr>
              <w:t>03</w:t>
            </w:r>
            <w:r w:rsidR="00747698">
              <w:rPr>
                <w:color w:val="000000"/>
              </w:rPr>
              <w:noBreakHyphen/>
            </w:r>
            <w:r w:rsidRPr="008D250E">
              <w:rPr>
                <w:color w:val="000000"/>
              </w:rPr>
              <w:t>011.</w:t>
            </w:r>
          </w:p>
          <w:p w:rsidRPr="008D250E" w:rsidR="001419C2" w:rsidP="00C0309B" w:rsidRDefault="001419C2" w14:paraId="31D64A4B" w14:textId="77777777">
            <w:pPr>
              <w:spacing w:after="240"/>
              <w:rPr>
                <w:color w:val="000000"/>
              </w:rPr>
            </w:pPr>
            <w:r w:rsidRPr="008D250E">
              <w:rPr>
                <w:i/>
                <w:color w:val="000000"/>
              </w:rPr>
              <w:t>Regina Costa</w:t>
            </w:r>
          </w:p>
          <w:p w:rsidRPr="008D250E" w:rsidR="001419C2" w:rsidP="00C0309B" w:rsidRDefault="001419C2" w14:paraId="121F728A" w14:textId="3B676385">
            <w:pPr>
              <w:spacing w:after="240"/>
              <w:rPr>
                <w:color w:val="000000"/>
              </w:rPr>
            </w:pPr>
            <w:r w:rsidRPr="008D250E">
              <w:rPr>
                <w:color w:val="000000"/>
              </w:rPr>
              <w:t xml:space="preserve">TURN requests and hourly rate of $310.00 for </w:t>
            </w:r>
            <w:r w:rsidR="00533183">
              <w:rPr>
                <w:color w:val="000000"/>
              </w:rPr>
              <w:t>Ms. </w:t>
            </w:r>
            <w:r w:rsidRPr="008D250E">
              <w:rPr>
                <w:color w:val="000000"/>
              </w:rPr>
              <w:t xml:space="preserve">Costa’s work in 2017.  TURN calculated this rate by increasing </w:t>
            </w:r>
            <w:r w:rsidR="00533183">
              <w:rPr>
                <w:color w:val="000000"/>
              </w:rPr>
              <w:t>Ms. </w:t>
            </w:r>
            <w:r w:rsidRPr="008D250E">
              <w:rPr>
                <w:color w:val="000000"/>
              </w:rPr>
              <w:t>Costa’s 2016 approved rate with a COLA of 2.14% approved by ALJ</w:t>
            </w:r>
            <w:r w:rsidR="00747698">
              <w:rPr>
                <w:color w:val="000000"/>
              </w:rPr>
              <w:noBreakHyphen/>
            </w:r>
            <w:r w:rsidRPr="008D250E">
              <w:rPr>
                <w:color w:val="000000"/>
              </w:rPr>
              <w:t>345 (2017).</w:t>
            </w:r>
          </w:p>
          <w:p w:rsidRPr="008D250E" w:rsidR="001419C2" w:rsidP="00C0309B" w:rsidRDefault="001419C2" w14:paraId="69D5993B" w14:textId="15348BA9">
            <w:pPr>
              <w:spacing w:after="240"/>
              <w:rPr>
                <w:color w:val="000000"/>
              </w:rPr>
            </w:pPr>
            <w:r w:rsidRPr="008D250E">
              <w:rPr>
                <w:color w:val="000000"/>
              </w:rPr>
              <w:t xml:space="preserve">TURN requests and hourly rate of $315.00 for </w:t>
            </w:r>
            <w:r w:rsidR="00533183">
              <w:rPr>
                <w:color w:val="000000"/>
              </w:rPr>
              <w:t>Ms. </w:t>
            </w:r>
            <w:r w:rsidRPr="008D250E">
              <w:rPr>
                <w:color w:val="000000"/>
              </w:rPr>
              <w:t xml:space="preserve">Costa’s work in 2018.  TURN calculated this rate by increasing </w:t>
            </w:r>
            <w:r w:rsidR="00533183">
              <w:rPr>
                <w:color w:val="000000"/>
              </w:rPr>
              <w:t>Ms. </w:t>
            </w:r>
            <w:r w:rsidRPr="008D250E">
              <w:rPr>
                <w:color w:val="000000"/>
              </w:rPr>
              <w:t>Costa’s 2016 approved rate with a COLA of 2.14% approved by ALJ</w:t>
            </w:r>
            <w:r w:rsidR="00747698">
              <w:rPr>
                <w:color w:val="000000"/>
              </w:rPr>
              <w:noBreakHyphen/>
            </w:r>
            <w:r w:rsidRPr="008D250E">
              <w:rPr>
                <w:color w:val="000000"/>
              </w:rPr>
              <w:t>345 (2017), and a COLA of 2.3% approved by ALJ</w:t>
            </w:r>
            <w:r w:rsidR="00747698">
              <w:rPr>
                <w:color w:val="000000"/>
              </w:rPr>
              <w:noBreakHyphen/>
            </w:r>
            <w:r w:rsidRPr="008D250E">
              <w:rPr>
                <w:color w:val="000000"/>
              </w:rPr>
              <w:t>352 (2018).</w:t>
            </w:r>
          </w:p>
          <w:p w:rsidRPr="008D250E" w:rsidR="00F74E98" w:rsidP="00C0309B" w:rsidRDefault="001419C2" w14:paraId="694F0B63" w14:textId="1C4F9DE6">
            <w:pPr>
              <w:spacing w:after="240"/>
              <w:rPr>
                <w:color w:val="000000"/>
              </w:rPr>
            </w:pPr>
            <w:r w:rsidRPr="008D250E">
              <w:rPr>
                <w:color w:val="000000"/>
              </w:rPr>
              <w:lastRenderedPageBreak/>
              <w:t xml:space="preserve">TURN requests and hourly rate of $320.00 for </w:t>
            </w:r>
            <w:r w:rsidR="00533183">
              <w:rPr>
                <w:color w:val="000000"/>
              </w:rPr>
              <w:t>Ms. </w:t>
            </w:r>
            <w:r w:rsidRPr="008D250E">
              <w:rPr>
                <w:color w:val="000000"/>
              </w:rPr>
              <w:t xml:space="preserve">Costa’s work in 2019.  TURN calculated this rate by increasing </w:t>
            </w:r>
            <w:r w:rsidR="00533183">
              <w:rPr>
                <w:color w:val="000000"/>
              </w:rPr>
              <w:t>Ms. </w:t>
            </w:r>
            <w:r w:rsidRPr="008D250E">
              <w:rPr>
                <w:color w:val="000000"/>
              </w:rPr>
              <w:t>Costa’s 2016 approved rate with a COLA of 2.14% approved by ALJ</w:t>
            </w:r>
            <w:r w:rsidR="00747698">
              <w:rPr>
                <w:color w:val="000000"/>
              </w:rPr>
              <w:noBreakHyphen/>
            </w:r>
            <w:r w:rsidRPr="008D250E">
              <w:rPr>
                <w:color w:val="000000"/>
              </w:rPr>
              <w:t>345 (2017), a COLA of 2.3% approved by ALJ</w:t>
            </w:r>
            <w:r w:rsidR="00747698">
              <w:rPr>
                <w:color w:val="000000"/>
              </w:rPr>
              <w:noBreakHyphen/>
            </w:r>
            <w:r w:rsidRPr="008D250E">
              <w:rPr>
                <w:color w:val="000000"/>
              </w:rPr>
              <w:t>352 (2018), and a COLA of 2.35% approved by ALJ</w:t>
            </w:r>
            <w:r w:rsidR="00747698">
              <w:rPr>
                <w:color w:val="000000"/>
              </w:rPr>
              <w:noBreakHyphen/>
            </w:r>
            <w:r w:rsidRPr="008D250E">
              <w:rPr>
                <w:color w:val="000000"/>
              </w:rPr>
              <w:t xml:space="preserve">357 (2019).  TURN also requested this same rate for </w:t>
            </w:r>
            <w:r w:rsidR="00533183">
              <w:rPr>
                <w:color w:val="000000"/>
              </w:rPr>
              <w:t>Ms. </w:t>
            </w:r>
            <w:r w:rsidRPr="008D250E">
              <w:rPr>
                <w:color w:val="000000"/>
              </w:rPr>
              <w:t>Costa in its compensation request filed in R.18</w:t>
            </w:r>
            <w:r w:rsidR="00747698">
              <w:rPr>
                <w:color w:val="000000"/>
              </w:rPr>
              <w:noBreakHyphen/>
            </w:r>
            <w:r w:rsidRPr="008D250E">
              <w:rPr>
                <w:color w:val="000000"/>
              </w:rPr>
              <w:t>03</w:t>
            </w:r>
            <w:r w:rsidR="00747698">
              <w:rPr>
                <w:color w:val="000000"/>
              </w:rPr>
              <w:noBreakHyphen/>
            </w:r>
            <w:r w:rsidRPr="008D250E">
              <w:rPr>
                <w:color w:val="000000"/>
              </w:rPr>
              <w:t>011.</w:t>
            </w:r>
          </w:p>
        </w:tc>
        <w:tc>
          <w:tcPr>
            <w:tcW w:w="2269" w:type="dxa"/>
            <w:shd w:val="clear" w:color="auto" w:fill="auto"/>
          </w:tcPr>
          <w:p w:rsidRPr="008D250E" w:rsidR="00FE3BAE" w:rsidP="009364D0" w:rsidRDefault="00797EAC" w14:paraId="1874D625" w14:textId="47DE5D34">
            <w:pPr>
              <w:jc w:val="center"/>
              <w:rPr>
                <w:color w:val="000000"/>
              </w:rPr>
            </w:pPr>
            <w:r>
              <w:rPr>
                <w:color w:val="000000"/>
              </w:rPr>
              <w:lastRenderedPageBreak/>
              <w:t>Verified</w:t>
            </w:r>
          </w:p>
        </w:tc>
      </w:tr>
      <w:tr w:rsidRPr="008D250E" w:rsidR="00FE3BAE" w:rsidTr="00D769BE" w14:paraId="3FD38B74" w14:textId="77777777">
        <w:tc>
          <w:tcPr>
            <w:tcW w:w="7469" w:type="dxa"/>
            <w:shd w:val="clear" w:color="auto" w:fill="auto"/>
          </w:tcPr>
          <w:p w:rsidRPr="008D250E" w:rsidR="00FE3BAE" w:rsidP="00C0309B" w:rsidRDefault="00FE3BAE" w14:paraId="46990B37" w14:textId="43EA7006">
            <w:pPr>
              <w:spacing w:after="240"/>
              <w:rPr>
                <w:color w:val="000000"/>
              </w:rPr>
            </w:pPr>
            <w:r w:rsidRPr="008D250E">
              <w:rPr>
                <w:b/>
                <w:color w:val="000000"/>
              </w:rPr>
              <w:lastRenderedPageBreak/>
              <w:t>c. Allocation of hours by issue:</w:t>
            </w:r>
            <w:r w:rsidRPr="008D250E" w:rsidR="00E25078">
              <w:rPr>
                <w:color w:val="000000"/>
              </w:rPr>
              <w:t xml:space="preserve"> </w:t>
            </w:r>
          </w:p>
          <w:p w:rsidRPr="008D250E" w:rsidR="00FE3BAE" w:rsidP="00C0309B" w:rsidRDefault="00C83245" w14:paraId="78501013" w14:textId="77777777">
            <w:pPr>
              <w:spacing w:after="240"/>
              <w:rPr>
                <w:color w:val="000000"/>
              </w:rPr>
            </w:pPr>
            <w:r w:rsidRPr="008D250E">
              <w:rPr>
                <w:color w:val="000000"/>
              </w:rPr>
              <w:t>TURN has allocated its daily time entries by activity codes to better reflect the nature of the work reflected in each entry.  TURN has used the following activity codes.</w:t>
            </w:r>
          </w:p>
          <w:tbl>
            <w:tblPr>
              <w:tblStyle w:val="TableGrid"/>
              <w:tblW w:w="7165" w:type="dxa"/>
              <w:tblLayout w:type="fixed"/>
              <w:tblCellMar>
                <w:top w:w="58" w:type="dxa"/>
                <w:left w:w="115" w:type="dxa"/>
                <w:bottom w:w="58" w:type="dxa"/>
                <w:right w:w="115" w:type="dxa"/>
              </w:tblCellMar>
              <w:tblLook w:val="04A0" w:firstRow="1" w:lastRow="0" w:firstColumn="1" w:lastColumn="0" w:noHBand="0" w:noVBand="1"/>
            </w:tblPr>
            <w:tblGrid>
              <w:gridCol w:w="962"/>
              <w:gridCol w:w="4943"/>
              <w:gridCol w:w="1260"/>
            </w:tblGrid>
            <w:tr w:rsidRPr="008D250E" w:rsidR="00C83245" w:rsidTr="00F84058" w14:paraId="73404E2D" w14:textId="77777777">
              <w:tc>
                <w:tcPr>
                  <w:tcW w:w="962" w:type="dxa"/>
                  <w:vAlign w:val="bottom"/>
                </w:tcPr>
                <w:p w:rsidRPr="008D250E" w:rsidR="00C83245" w:rsidP="00C0309B" w:rsidRDefault="00C83245" w14:paraId="6FFCF2EE" w14:textId="35694C9C">
                  <w:pPr>
                    <w:jc w:val="center"/>
                    <w:rPr>
                      <w:b/>
                      <w:bCs/>
                      <w:color w:val="000000"/>
                    </w:rPr>
                  </w:pPr>
                  <w:r w:rsidRPr="008D250E">
                    <w:rPr>
                      <w:b/>
                      <w:bCs/>
                      <w:color w:val="000000"/>
                    </w:rPr>
                    <w:t>Code</w:t>
                  </w:r>
                </w:p>
              </w:tc>
              <w:tc>
                <w:tcPr>
                  <w:tcW w:w="4943" w:type="dxa"/>
                  <w:vAlign w:val="bottom"/>
                </w:tcPr>
                <w:p w:rsidRPr="008D250E" w:rsidR="00C83245" w:rsidP="00C0309B" w:rsidRDefault="00C83245" w14:paraId="5600920A" w14:textId="77777777">
                  <w:pPr>
                    <w:jc w:val="center"/>
                    <w:rPr>
                      <w:b/>
                      <w:bCs/>
                      <w:color w:val="000000"/>
                    </w:rPr>
                  </w:pPr>
                  <w:r w:rsidRPr="008D250E">
                    <w:rPr>
                      <w:b/>
                      <w:bCs/>
                      <w:color w:val="000000"/>
                    </w:rPr>
                    <w:t>Description</w:t>
                  </w:r>
                </w:p>
              </w:tc>
              <w:tc>
                <w:tcPr>
                  <w:tcW w:w="1260" w:type="dxa"/>
                  <w:vAlign w:val="bottom"/>
                </w:tcPr>
                <w:p w:rsidR="00C0309B" w:rsidP="00C0309B" w:rsidRDefault="00C83245" w14:paraId="77B74421" w14:textId="77777777">
                  <w:pPr>
                    <w:jc w:val="center"/>
                    <w:rPr>
                      <w:b/>
                      <w:bCs/>
                      <w:color w:val="000000"/>
                      <w:sz w:val="22"/>
                      <w:szCs w:val="22"/>
                    </w:rPr>
                  </w:pPr>
                  <w:r w:rsidRPr="008D250E">
                    <w:rPr>
                      <w:b/>
                      <w:bCs/>
                      <w:color w:val="000000"/>
                      <w:sz w:val="22"/>
                      <w:szCs w:val="22"/>
                    </w:rPr>
                    <w:t xml:space="preserve">Allocation </w:t>
                  </w:r>
                </w:p>
                <w:p w:rsidRPr="008D250E" w:rsidR="00C83245" w:rsidP="00C0309B" w:rsidRDefault="00C83245" w14:paraId="6EEF73F4" w14:textId="35577885">
                  <w:pPr>
                    <w:jc w:val="center"/>
                    <w:rPr>
                      <w:b/>
                      <w:bCs/>
                      <w:color w:val="000000"/>
                      <w:sz w:val="22"/>
                      <w:szCs w:val="22"/>
                    </w:rPr>
                  </w:pPr>
                  <w:r w:rsidRPr="008D250E">
                    <w:rPr>
                      <w:b/>
                      <w:bCs/>
                      <w:color w:val="000000"/>
                      <w:sz w:val="22"/>
                      <w:szCs w:val="22"/>
                    </w:rPr>
                    <w:t>of Time</w:t>
                  </w:r>
                </w:p>
              </w:tc>
            </w:tr>
            <w:tr w:rsidRPr="008D250E" w:rsidR="00C83245" w:rsidTr="00F84058" w14:paraId="301F7139" w14:textId="77777777">
              <w:tc>
                <w:tcPr>
                  <w:tcW w:w="962" w:type="dxa"/>
                </w:tcPr>
                <w:p w:rsidRPr="008D250E" w:rsidR="00C83245" w:rsidP="00F506DF" w:rsidRDefault="00C83245" w14:paraId="72462FFB" w14:textId="77777777">
                  <w:pPr>
                    <w:rPr>
                      <w:color w:val="000000"/>
                    </w:rPr>
                  </w:pPr>
                  <w:r w:rsidRPr="008D250E">
                    <w:rPr>
                      <w:color w:val="000000"/>
                    </w:rPr>
                    <w:t>COMP</w:t>
                  </w:r>
                </w:p>
              </w:tc>
              <w:tc>
                <w:tcPr>
                  <w:tcW w:w="4943" w:type="dxa"/>
                </w:tcPr>
                <w:p w:rsidRPr="008D250E" w:rsidR="00C83245" w:rsidP="00F506DF" w:rsidRDefault="00C83245" w14:paraId="09ABA59A" w14:textId="1CBD01B4">
                  <w:pPr>
                    <w:rPr>
                      <w:color w:val="000000"/>
                    </w:rPr>
                  </w:pPr>
                  <w:r w:rsidRPr="008D250E">
                    <w:rPr>
                      <w:b/>
                      <w:color w:val="000000"/>
                    </w:rPr>
                    <w:t>Compensation</w:t>
                  </w:r>
                  <w:r w:rsidRPr="008D250E">
                    <w:rPr>
                      <w:color w:val="000000"/>
                    </w:rPr>
                    <w:t xml:space="preserve"> </w:t>
                  </w:r>
                  <w:r w:rsidR="00747698">
                    <w:rPr>
                      <w:color w:val="000000"/>
                    </w:rPr>
                    <w:noBreakHyphen/>
                  </w:r>
                  <w:r w:rsidRPr="008D250E">
                    <w:rPr>
                      <w:color w:val="000000"/>
                    </w:rPr>
                    <w:t xml:space="preserve"> Work spent on compensation requests related matters.</w:t>
                  </w:r>
                </w:p>
              </w:tc>
              <w:tc>
                <w:tcPr>
                  <w:tcW w:w="1260" w:type="dxa"/>
                </w:tcPr>
                <w:p w:rsidRPr="008D250E" w:rsidR="00C83245" w:rsidP="00F506DF" w:rsidRDefault="00980956" w14:paraId="18FCAA56" w14:textId="69308DF8">
                  <w:pPr>
                    <w:jc w:val="right"/>
                    <w:rPr>
                      <w:bCs/>
                      <w:color w:val="000000"/>
                      <w:sz w:val="22"/>
                      <w:szCs w:val="22"/>
                    </w:rPr>
                  </w:pPr>
                  <w:r w:rsidRPr="008D250E">
                    <w:rPr>
                      <w:bCs/>
                      <w:color w:val="000000"/>
                      <w:sz w:val="22"/>
                      <w:szCs w:val="22"/>
                    </w:rPr>
                    <w:t>3.91</w:t>
                  </w:r>
                  <w:r w:rsidRPr="008D250E" w:rsidR="00C83245">
                    <w:rPr>
                      <w:bCs/>
                      <w:color w:val="000000"/>
                      <w:sz w:val="22"/>
                      <w:szCs w:val="22"/>
                    </w:rPr>
                    <w:t>%</w:t>
                  </w:r>
                </w:p>
              </w:tc>
            </w:tr>
            <w:tr w:rsidRPr="008D250E" w:rsidR="00C83245" w:rsidTr="00F84058" w14:paraId="3110DE94" w14:textId="77777777">
              <w:tc>
                <w:tcPr>
                  <w:tcW w:w="962" w:type="dxa"/>
                </w:tcPr>
                <w:p w:rsidRPr="008D250E" w:rsidR="00C83245" w:rsidP="00F506DF" w:rsidRDefault="00C83245" w14:paraId="4147523A" w14:textId="0E24FA49">
                  <w:pPr>
                    <w:rPr>
                      <w:color w:val="000000"/>
                    </w:rPr>
                  </w:pPr>
                  <w:r w:rsidRPr="008D250E">
                    <w:rPr>
                      <w:color w:val="000000"/>
                    </w:rPr>
                    <w:t>COOR</w:t>
                  </w:r>
                </w:p>
              </w:tc>
              <w:tc>
                <w:tcPr>
                  <w:tcW w:w="4943" w:type="dxa"/>
                </w:tcPr>
                <w:p w:rsidRPr="008D250E" w:rsidR="00C83245" w:rsidP="001B57E5" w:rsidRDefault="00C83245" w14:paraId="682A4F96" w14:textId="39670B9A">
                  <w:pPr>
                    <w:rPr>
                      <w:color w:val="000000"/>
                    </w:rPr>
                  </w:pPr>
                  <w:r w:rsidRPr="008D250E">
                    <w:rPr>
                      <w:b/>
                      <w:color w:val="000000"/>
                    </w:rPr>
                    <w:t>Coordination of Effort</w:t>
                  </w:r>
                  <w:r w:rsidRPr="008D250E">
                    <w:rPr>
                      <w:color w:val="000000"/>
                    </w:rPr>
                    <w:t xml:space="preserve"> </w:t>
                  </w:r>
                  <w:r w:rsidR="00747698">
                    <w:rPr>
                      <w:color w:val="000000"/>
                    </w:rPr>
                    <w:noBreakHyphen/>
                  </w:r>
                  <w:r w:rsidRPr="008D250E">
                    <w:rPr>
                      <w:color w:val="000000"/>
                    </w:rPr>
                    <w:t xml:space="preserve"> Work spent coordinating efforts, including dividing drafting and represen</w:t>
                  </w:r>
                  <w:r w:rsidRPr="008D250E" w:rsidR="001B57E5">
                    <w:rPr>
                      <w:color w:val="000000"/>
                    </w:rPr>
                    <w:t>tation of issues, for comments, ex parte meetings</w:t>
                  </w:r>
                  <w:r w:rsidRPr="008D250E">
                    <w:rPr>
                      <w:color w:val="000000"/>
                    </w:rPr>
                    <w:t>, and workshops with other intervenors.</w:t>
                  </w:r>
                </w:p>
              </w:tc>
              <w:tc>
                <w:tcPr>
                  <w:tcW w:w="1260" w:type="dxa"/>
                </w:tcPr>
                <w:p w:rsidRPr="008D250E" w:rsidR="00C83245" w:rsidP="00F506DF" w:rsidRDefault="00980956" w14:paraId="3A3C2980" w14:textId="06C34674">
                  <w:pPr>
                    <w:jc w:val="right"/>
                    <w:rPr>
                      <w:bCs/>
                      <w:color w:val="000000"/>
                      <w:sz w:val="22"/>
                      <w:szCs w:val="22"/>
                    </w:rPr>
                  </w:pPr>
                  <w:r w:rsidRPr="008D250E">
                    <w:rPr>
                      <w:bCs/>
                      <w:color w:val="000000"/>
                      <w:sz w:val="22"/>
                      <w:szCs w:val="22"/>
                    </w:rPr>
                    <w:t>8.26</w:t>
                  </w:r>
                  <w:r w:rsidRPr="008D250E" w:rsidR="00C83245">
                    <w:rPr>
                      <w:bCs/>
                      <w:color w:val="000000"/>
                      <w:sz w:val="22"/>
                      <w:szCs w:val="22"/>
                    </w:rPr>
                    <w:t>%</w:t>
                  </w:r>
                </w:p>
              </w:tc>
            </w:tr>
            <w:tr w:rsidRPr="008D250E" w:rsidR="00C83245" w:rsidTr="00F84058" w14:paraId="633E5808" w14:textId="77777777">
              <w:tc>
                <w:tcPr>
                  <w:tcW w:w="962" w:type="dxa"/>
                </w:tcPr>
                <w:p w:rsidRPr="008D250E" w:rsidR="00C83245" w:rsidP="00F506DF" w:rsidRDefault="00CF6F67" w14:paraId="6F37ADC0" w14:textId="0B0DD4E5">
                  <w:pPr>
                    <w:rPr>
                      <w:color w:val="000000"/>
                    </w:rPr>
                  </w:pPr>
                  <w:r w:rsidRPr="008D250E">
                    <w:rPr>
                      <w:color w:val="000000"/>
                    </w:rPr>
                    <w:t>APP</w:t>
                  </w:r>
                </w:p>
              </w:tc>
              <w:tc>
                <w:tcPr>
                  <w:tcW w:w="4943" w:type="dxa"/>
                </w:tcPr>
                <w:p w:rsidRPr="008D250E" w:rsidR="00C83245" w:rsidP="00F506DF" w:rsidRDefault="00CF6F67" w14:paraId="4611A4B9" w14:textId="15E6D36B">
                  <w:pPr>
                    <w:rPr>
                      <w:color w:val="000000"/>
                    </w:rPr>
                  </w:pPr>
                  <w:r w:rsidRPr="008D250E">
                    <w:rPr>
                      <w:b/>
                      <w:color w:val="000000"/>
                    </w:rPr>
                    <w:t>Application for Rehearing</w:t>
                  </w:r>
                  <w:r w:rsidRPr="008D250E">
                    <w:rPr>
                      <w:color w:val="000000"/>
                    </w:rPr>
                    <w:t xml:space="preserve"> – Time spent by TURN advocates to analyze and draft its opposition to the Application for Rehearing filed by multiple carriers that were parties to this proceeding.</w:t>
                  </w:r>
                </w:p>
              </w:tc>
              <w:tc>
                <w:tcPr>
                  <w:tcW w:w="1260" w:type="dxa"/>
                </w:tcPr>
                <w:p w:rsidRPr="008D250E" w:rsidR="00C83245" w:rsidP="00F506DF" w:rsidRDefault="00301F4C" w14:paraId="2DE91E5B" w14:textId="6F6892ED">
                  <w:pPr>
                    <w:jc w:val="right"/>
                    <w:rPr>
                      <w:bCs/>
                      <w:color w:val="000000"/>
                      <w:sz w:val="22"/>
                      <w:szCs w:val="22"/>
                    </w:rPr>
                  </w:pPr>
                  <w:r w:rsidRPr="008D250E">
                    <w:rPr>
                      <w:bCs/>
                      <w:color w:val="000000"/>
                      <w:sz w:val="22"/>
                      <w:szCs w:val="22"/>
                    </w:rPr>
                    <w:t>19.71</w:t>
                  </w:r>
                  <w:r w:rsidRPr="008D250E" w:rsidR="00C83245">
                    <w:rPr>
                      <w:bCs/>
                      <w:color w:val="000000"/>
                      <w:sz w:val="22"/>
                      <w:szCs w:val="22"/>
                    </w:rPr>
                    <w:t>%</w:t>
                  </w:r>
                </w:p>
              </w:tc>
            </w:tr>
            <w:tr w:rsidRPr="008D250E" w:rsidR="00C83245" w:rsidTr="00F84058" w14:paraId="5EB399F7" w14:textId="77777777">
              <w:trPr>
                <w:trHeight w:val="215"/>
              </w:trPr>
              <w:tc>
                <w:tcPr>
                  <w:tcW w:w="962" w:type="dxa"/>
                </w:tcPr>
                <w:p w:rsidRPr="008D250E" w:rsidR="00C83245" w:rsidP="00F506DF" w:rsidRDefault="00CF6F67" w14:paraId="69C415FA" w14:textId="53497734">
                  <w:pPr>
                    <w:rPr>
                      <w:color w:val="000000"/>
                    </w:rPr>
                  </w:pPr>
                  <w:r w:rsidRPr="008D250E">
                    <w:rPr>
                      <w:color w:val="000000"/>
                    </w:rPr>
                    <w:t>IMP</w:t>
                  </w:r>
                </w:p>
              </w:tc>
              <w:tc>
                <w:tcPr>
                  <w:tcW w:w="4943" w:type="dxa"/>
                </w:tcPr>
                <w:p w:rsidRPr="008D250E" w:rsidR="00C83245" w:rsidP="00F506DF" w:rsidRDefault="00CF6F67" w14:paraId="228C0751" w14:textId="61842694">
                  <w:pPr>
                    <w:rPr>
                      <w:color w:val="000000"/>
                    </w:rPr>
                  </w:pPr>
                  <w:r w:rsidRPr="008D250E">
                    <w:rPr>
                      <w:b/>
                      <w:color w:val="000000"/>
                    </w:rPr>
                    <w:t xml:space="preserve">Implementation of the </w:t>
                  </w:r>
                  <w:r w:rsidR="00C35A4D">
                    <w:rPr>
                      <w:b/>
                      <w:color w:val="000000"/>
                    </w:rPr>
                    <w:t>Phase 1</w:t>
                  </w:r>
                  <w:r w:rsidRPr="008D250E">
                    <w:rPr>
                      <w:b/>
                      <w:color w:val="000000"/>
                    </w:rPr>
                    <w:t xml:space="preserve"> Decision </w:t>
                  </w:r>
                  <w:r w:rsidR="00747698">
                    <w:rPr>
                      <w:color w:val="000000"/>
                    </w:rPr>
                    <w:noBreakHyphen/>
                  </w:r>
                  <w:r w:rsidRPr="008D250E">
                    <w:rPr>
                      <w:color w:val="000000"/>
                    </w:rPr>
                    <w:t xml:space="preserve"> Work by TURN advocates to participate in and comment on the carriers’ compliance with the </w:t>
                  </w:r>
                  <w:r w:rsidR="00C35A4D">
                    <w:rPr>
                      <w:color w:val="000000"/>
                    </w:rPr>
                    <w:t>Phase 1</w:t>
                  </w:r>
                  <w:r w:rsidRPr="008D250E">
                    <w:rPr>
                      <w:color w:val="000000"/>
                    </w:rPr>
                    <w:t xml:space="preserve"> Decision.</w:t>
                  </w:r>
                </w:p>
              </w:tc>
              <w:tc>
                <w:tcPr>
                  <w:tcW w:w="1260" w:type="dxa"/>
                </w:tcPr>
                <w:p w:rsidRPr="008D250E" w:rsidR="00C83245" w:rsidP="00F506DF" w:rsidRDefault="00980956" w14:paraId="71016CB0" w14:textId="1F5B5FA5">
                  <w:pPr>
                    <w:jc w:val="right"/>
                    <w:rPr>
                      <w:bCs/>
                      <w:color w:val="000000"/>
                      <w:sz w:val="22"/>
                      <w:szCs w:val="22"/>
                    </w:rPr>
                  </w:pPr>
                  <w:r w:rsidRPr="008D250E">
                    <w:rPr>
                      <w:bCs/>
                      <w:color w:val="000000"/>
                      <w:sz w:val="22"/>
                      <w:szCs w:val="22"/>
                    </w:rPr>
                    <w:t>27.98</w:t>
                  </w:r>
                  <w:r w:rsidRPr="008D250E" w:rsidR="00C83245">
                    <w:rPr>
                      <w:bCs/>
                      <w:color w:val="000000"/>
                      <w:sz w:val="22"/>
                      <w:szCs w:val="22"/>
                    </w:rPr>
                    <w:t>%</w:t>
                  </w:r>
                </w:p>
              </w:tc>
            </w:tr>
            <w:tr w:rsidRPr="008D250E" w:rsidR="00C83245" w:rsidTr="00F84058" w14:paraId="71A97ECB" w14:textId="77777777">
              <w:trPr>
                <w:trHeight w:val="215"/>
              </w:trPr>
              <w:tc>
                <w:tcPr>
                  <w:tcW w:w="962" w:type="dxa"/>
                </w:tcPr>
                <w:p w:rsidRPr="008D250E" w:rsidR="00C83245" w:rsidP="00F506DF" w:rsidRDefault="00CF6F67" w14:paraId="2B2686A7" w14:textId="4EB45EC2">
                  <w:pPr>
                    <w:rPr>
                      <w:color w:val="000000"/>
                    </w:rPr>
                  </w:pPr>
                  <w:r w:rsidRPr="008D250E">
                    <w:rPr>
                      <w:color w:val="000000"/>
                    </w:rPr>
                    <w:t>PH2</w:t>
                  </w:r>
                </w:p>
              </w:tc>
              <w:tc>
                <w:tcPr>
                  <w:tcW w:w="4943" w:type="dxa"/>
                </w:tcPr>
                <w:p w:rsidRPr="008D250E" w:rsidR="00C83245" w:rsidP="001B57E5" w:rsidRDefault="00C35A4D" w14:paraId="00087A0E" w14:textId="23BBA46C">
                  <w:pPr>
                    <w:rPr>
                      <w:color w:val="000000"/>
                    </w:rPr>
                  </w:pPr>
                  <w:r>
                    <w:rPr>
                      <w:b/>
                      <w:color w:val="000000"/>
                    </w:rPr>
                    <w:t>Phase 2</w:t>
                  </w:r>
                  <w:r w:rsidRPr="008D250E" w:rsidR="00CF6F67">
                    <w:rPr>
                      <w:b/>
                      <w:color w:val="000000"/>
                    </w:rPr>
                    <w:t xml:space="preserve"> Scope</w:t>
                  </w:r>
                  <w:r w:rsidRPr="008D250E" w:rsidR="00CF6F67">
                    <w:rPr>
                      <w:color w:val="000000"/>
                    </w:rPr>
                    <w:t xml:space="preserve"> –</w:t>
                  </w:r>
                  <w:r w:rsidRPr="008D250E" w:rsidR="001B57E5">
                    <w:rPr>
                      <w:color w:val="000000"/>
                    </w:rPr>
                    <w:t xml:space="preserve"> Analysis and advocacy on the proper scope for </w:t>
                  </w:r>
                  <w:r>
                    <w:rPr>
                      <w:color w:val="000000"/>
                    </w:rPr>
                    <w:t>Phase 2</w:t>
                  </w:r>
                  <w:r w:rsidRPr="008D250E" w:rsidR="001B57E5">
                    <w:rPr>
                      <w:color w:val="000000"/>
                    </w:rPr>
                    <w:t xml:space="preserve"> issues.</w:t>
                  </w:r>
                </w:p>
              </w:tc>
              <w:tc>
                <w:tcPr>
                  <w:tcW w:w="1260" w:type="dxa"/>
                </w:tcPr>
                <w:p w:rsidRPr="008D250E" w:rsidR="00C83245" w:rsidP="00F506DF" w:rsidRDefault="00980956" w14:paraId="603F2634" w14:textId="0F70EE06">
                  <w:pPr>
                    <w:jc w:val="right"/>
                    <w:rPr>
                      <w:bCs/>
                      <w:color w:val="000000"/>
                      <w:sz w:val="22"/>
                      <w:szCs w:val="22"/>
                    </w:rPr>
                  </w:pPr>
                  <w:r w:rsidRPr="008D250E">
                    <w:rPr>
                      <w:bCs/>
                      <w:color w:val="000000"/>
                      <w:sz w:val="22"/>
                      <w:szCs w:val="22"/>
                    </w:rPr>
                    <w:t>15.81</w:t>
                  </w:r>
                  <w:r w:rsidRPr="008D250E" w:rsidR="00C83245">
                    <w:rPr>
                      <w:bCs/>
                      <w:color w:val="000000"/>
                      <w:sz w:val="22"/>
                      <w:szCs w:val="22"/>
                    </w:rPr>
                    <w:t>%</w:t>
                  </w:r>
                </w:p>
              </w:tc>
            </w:tr>
            <w:tr w:rsidRPr="008D250E" w:rsidR="00C83245" w:rsidTr="00F84058" w14:paraId="47631791" w14:textId="77777777">
              <w:trPr>
                <w:trHeight w:val="215"/>
              </w:trPr>
              <w:tc>
                <w:tcPr>
                  <w:tcW w:w="962" w:type="dxa"/>
                </w:tcPr>
                <w:p w:rsidRPr="008D250E" w:rsidR="00C83245" w:rsidP="00F506DF" w:rsidRDefault="001B57E5" w14:paraId="0E721A6D" w14:textId="395C2EA2">
                  <w:pPr>
                    <w:rPr>
                      <w:color w:val="000000"/>
                    </w:rPr>
                  </w:pPr>
                  <w:r w:rsidRPr="008D250E">
                    <w:rPr>
                      <w:color w:val="000000"/>
                    </w:rPr>
                    <w:t>FIRE</w:t>
                  </w:r>
                </w:p>
              </w:tc>
              <w:tc>
                <w:tcPr>
                  <w:tcW w:w="4943" w:type="dxa"/>
                </w:tcPr>
                <w:p w:rsidRPr="008D250E" w:rsidR="00C83245" w:rsidP="00F506DF" w:rsidRDefault="001B57E5" w14:paraId="4A6C71A2" w14:textId="1A54A411">
                  <w:pPr>
                    <w:rPr>
                      <w:color w:val="000000"/>
                    </w:rPr>
                  </w:pPr>
                  <w:r w:rsidRPr="008D250E">
                    <w:rPr>
                      <w:b/>
                      <w:color w:val="000000"/>
                    </w:rPr>
                    <w:t>Rural Call Completion Issues During Fires</w:t>
                  </w:r>
                  <w:r w:rsidRPr="008D250E">
                    <w:rPr>
                      <w:color w:val="000000"/>
                    </w:rPr>
                    <w:t xml:space="preserve"> – Time spent advocating for Commission action following outages and other public safety issues during disasters, and whether those issues could be addressed in other proceedings.</w:t>
                  </w:r>
                </w:p>
              </w:tc>
              <w:tc>
                <w:tcPr>
                  <w:tcW w:w="1260" w:type="dxa"/>
                </w:tcPr>
                <w:p w:rsidRPr="008D250E" w:rsidR="00C83245" w:rsidP="00F506DF" w:rsidRDefault="00980956" w14:paraId="3D5029DF" w14:textId="7A680EAE">
                  <w:pPr>
                    <w:jc w:val="right"/>
                    <w:rPr>
                      <w:bCs/>
                      <w:color w:val="000000"/>
                      <w:sz w:val="22"/>
                      <w:szCs w:val="22"/>
                    </w:rPr>
                  </w:pPr>
                  <w:r w:rsidRPr="008D250E">
                    <w:rPr>
                      <w:bCs/>
                      <w:color w:val="000000"/>
                      <w:sz w:val="22"/>
                      <w:szCs w:val="22"/>
                    </w:rPr>
                    <w:t>24.42</w:t>
                  </w:r>
                  <w:r w:rsidRPr="008D250E" w:rsidR="00C83245">
                    <w:rPr>
                      <w:bCs/>
                      <w:color w:val="000000"/>
                      <w:sz w:val="22"/>
                      <w:szCs w:val="22"/>
                    </w:rPr>
                    <w:t>%</w:t>
                  </w:r>
                </w:p>
              </w:tc>
            </w:tr>
            <w:tr w:rsidRPr="008D250E" w:rsidR="00301F4C" w:rsidTr="00F84058" w14:paraId="30D43A37" w14:textId="77777777">
              <w:trPr>
                <w:trHeight w:val="215"/>
              </w:trPr>
              <w:tc>
                <w:tcPr>
                  <w:tcW w:w="5905" w:type="dxa"/>
                  <w:gridSpan w:val="2"/>
                </w:tcPr>
                <w:p w:rsidRPr="008D250E" w:rsidR="00301F4C" w:rsidP="00F506DF" w:rsidRDefault="00301F4C" w14:paraId="52DF1D13" w14:textId="4CA207ED">
                  <w:pPr>
                    <w:rPr>
                      <w:b/>
                      <w:color w:val="000000"/>
                    </w:rPr>
                  </w:pPr>
                  <w:r w:rsidRPr="008D250E">
                    <w:rPr>
                      <w:b/>
                      <w:color w:val="000000"/>
                    </w:rPr>
                    <w:t>TOTAL</w:t>
                  </w:r>
                </w:p>
              </w:tc>
              <w:tc>
                <w:tcPr>
                  <w:tcW w:w="1260" w:type="dxa"/>
                </w:tcPr>
                <w:p w:rsidRPr="008D250E" w:rsidR="00301F4C" w:rsidP="00F506DF" w:rsidRDefault="00301F4C" w14:paraId="546B3B71" w14:textId="7F16E616">
                  <w:pPr>
                    <w:jc w:val="right"/>
                    <w:rPr>
                      <w:b/>
                      <w:bCs/>
                      <w:color w:val="000000"/>
                      <w:sz w:val="22"/>
                      <w:szCs w:val="22"/>
                    </w:rPr>
                  </w:pPr>
                  <w:r w:rsidRPr="008D250E">
                    <w:rPr>
                      <w:b/>
                      <w:bCs/>
                      <w:color w:val="000000"/>
                      <w:sz w:val="22"/>
                      <w:szCs w:val="22"/>
                    </w:rPr>
                    <w:t>100%</w:t>
                  </w:r>
                </w:p>
              </w:tc>
            </w:tr>
          </w:tbl>
          <w:p w:rsidRPr="008D250E" w:rsidR="00691528" w:rsidRDefault="00691528" w14:paraId="3285939A" w14:textId="77777777">
            <w:pPr>
              <w:rPr>
                <w:color w:val="000000"/>
              </w:rPr>
            </w:pPr>
          </w:p>
        </w:tc>
        <w:tc>
          <w:tcPr>
            <w:tcW w:w="2269" w:type="dxa"/>
            <w:shd w:val="clear" w:color="auto" w:fill="auto"/>
          </w:tcPr>
          <w:p w:rsidRPr="008D250E" w:rsidR="00FE3BAE" w:rsidP="0058318B" w:rsidRDefault="00797EAC" w14:paraId="497C4799" w14:textId="3C0E84B0">
            <w:pPr>
              <w:jc w:val="center"/>
              <w:rPr>
                <w:color w:val="000000"/>
              </w:rPr>
            </w:pPr>
            <w:r>
              <w:rPr>
                <w:color w:val="000000"/>
              </w:rPr>
              <w:t>Verified</w:t>
            </w:r>
          </w:p>
        </w:tc>
      </w:tr>
    </w:tbl>
    <w:p w:rsidRPr="008D250E" w:rsidR="00A92D0B" w:rsidP="00C87E25" w:rsidRDefault="00A92D0B" w14:paraId="710BC7D6" w14:textId="77777777">
      <w:pPr>
        <w:keepNext/>
        <w:keepLines/>
        <w:numPr>
          <w:ilvl w:val="0"/>
          <w:numId w:val="2"/>
        </w:numPr>
        <w:tabs>
          <w:tab w:val="clear" w:pos="900"/>
          <w:tab w:val="num" w:pos="360"/>
        </w:tabs>
        <w:spacing w:before="240" w:after="120"/>
        <w:ind w:left="360"/>
        <w:rPr>
          <w:b/>
          <w:color w:val="000000"/>
        </w:rPr>
      </w:pPr>
      <w:r w:rsidRPr="008D250E">
        <w:rPr>
          <w:b/>
          <w:color w:val="000000"/>
        </w:rPr>
        <w:lastRenderedPageBreak/>
        <w:t>Specific Claim</w:t>
      </w:r>
      <w:r w:rsidRPr="008D250E" w:rsidR="00C02649">
        <w:rPr>
          <w:b/>
          <w:color w:val="000000"/>
        </w:rPr>
        <w:t>:</w:t>
      </w:r>
      <w:r w:rsidRPr="008D250E" w:rsidR="00D075B1">
        <w:rPr>
          <w:b/>
          <w:color w:val="000000"/>
        </w:rPr>
        <w:t>*</w:t>
      </w:r>
    </w:p>
    <w:tbl>
      <w:tblPr>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1E0" w:firstRow="1" w:lastRow="1" w:firstColumn="1" w:lastColumn="1" w:noHBand="0" w:noVBand="0"/>
      </w:tblPr>
      <w:tblGrid>
        <w:gridCol w:w="468"/>
        <w:gridCol w:w="961"/>
        <w:gridCol w:w="658"/>
        <w:gridCol w:w="90"/>
        <w:gridCol w:w="360"/>
        <w:gridCol w:w="512"/>
        <w:gridCol w:w="1079"/>
        <w:gridCol w:w="208"/>
        <w:gridCol w:w="1329"/>
        <w:gridCol w:w="830"/>
        <w:gridCol w:w="517"/>
        <w:gridCol w:w="990"/>
        <w:gridCol w:w="1079"/>
        <w:gridCol w:w="1440"/>
      </w:tblGrid>
      <w:tr w:rsidRPr="008D250E" w:rsidR="00A92D0B" w:rsidTr="003F2A8A" w14:paraId="780664A2" w14:textId="77777777">
        <w:trPr>
          <w:tblHeader/>
          <w:jc w:val="center"/>
        </w:trPr>
        <w:tc>
          <w:tcPr>
            <w:tcW w:w="7012" w:type="dxa"/>
            <w:gridSpan w:val="11"/>
            <w:tcBorders>
              <w:bottom w:val="single" w:color="auto" w:sz="4" w:space="0"/>
              <w:right w:val="single" w:color="auto" w:sz="24" w:space="0"/>
            </w:tcBorders>
            <w:shd w:val="clear" w:color="auto" w:fill="auto"/>
            <w:vAlign w:val="bottom"/>
          </w:tcPr>
          <w:p w:rsidRPr="008D250E" w:rsidR="00A92D0B" w:rsidP="00CC6EDA" w:rsidRDefault="00A92D0B" w14:paraId="6BFE54DA" w14:textId="77777777">
            <w:pPr>
              <w:keepNext/>
              <w:keepLines/>
              <w:jc w:val="center"/>
              <w:rPr>
                <w:b/>
                <w:smallCaps/>
                <w:color w:val="000000"/>
              </w:rPr>
            </w:pPr>
            <w:r w:rsidRPr="008D250E">
              <w:rPr>
                <w:b/>
                <w:smallCaps/>
                <w:color w:val="000000"/>
              </w:rPr>
              <w:t>Claimed</w:t>
            </w:r>
          </w:p>
        </w:tc>
        <w:tc>
          <w:tcPr>
            <w:tcW w:w="3509" w:type="dxa"/>
            <w:gridSpan w:val="3"/>
            <w:tcBorders>
              <w:left w:val="single" w:color="auto" w:sz="24" w:space="0"/>
              <w:bottom w:val="single" w:color="auto" w:sz="4" w:space="0"/>
            </w:tcBorders>
            <w:shd w:val="clear" w:color="auto" w:fill="auto"/>
            <w:vAlign w:val="bottom"/>
          </w:tcPr>
          <w:p w:rsidRPr="008D250E" w:rsidR="00A92D0B" w:rsidP="00CC6EDA" w:rsidRDefault="00A92D0B" w14:paraId="170A0FA1" w14:textId="77777777">
            <w:pPr>
              <w:keepNext/>
              <w:keepLines/>
              <w:jc w:val="center"/>
              <w:rPr>
                <w:b/>
                <w:smallCaps/>
                <w:color w:val="000000"/>
              </w:rPr>
            </w:pPr>
            <w:r w:rsidRPr="008D250E">
              <w:rPr>
                <w:b/>
                <w:smallCaps/>
                <w:color w:val="000000"/>
              </w:rPr>
              <w:t>CPUC Award</w:t>
            </w:r>
          </w:p>
        </w:tc>
      </w:tr>
      <w:tr w:rsidRPr="008D250E" w:rsidR="00A92D0B" w:rsidTr="00D769BE" w14:paraId="0F5B6CAA" w14:textId="77777777">
        <w:trPr>
          <w:jc w:val="center"/>
        </w:trPr>
        <w:tc>
          <w:tcPr>
            <w:tcW w:w="10521" w:type="dxa"/>
            <w:gridSpan w:val="14"/>
            <w:tcBorders>
              <w:top w:val="single" w:color="auto" w:sz="4" w:space="0"/>
              <w:left w:val="single" w:color="auto" w:sz="4" w:space="0"/>
              <w:bottom w:val="single" w:color="auto" w:sz="4" w:space="0"/>
              <w:right w:val="single" w:color="auto" w:sz="4" w:space="0"/>
            </w:tcBorders>
            <w:shd w:val="clear" w:color="auto" w:fill="E6E6E6"/>
          </w:tcPr>
          <w:p w:rsidRPr="008D250E" w:rsidR="00A92D0B" w:rsidP="00050A9C" w:rsidRDefault="00A92D0B" w14:paraId="284F9031" w14:textId="77777777">
            <w:pPr>
              <w:keepNext/>
              <w:keepLines/>
              <w:jc w:val="center"/>
              <w:rPr>
                <w:b/>
              </w:rPr>
            </w:pPr>
            <w:r w:rsidRPr="008D250E">
              <w:rPr>
                <w:b/>
              </w:rPr>
              <w:t>ATTORNEY, EXPERT, AND ADVOCATE FEES</w:t>
            </w:r>
          </w:p>
        </w:tc>
      </w:tr>
      <w:tr w:rsidRPr="008D250E" w:rsidR="00642221" w:rsidTr="003F2A8A" w14:paraId="5A70C962" w14:textId="77777777">
        <w:trPr>
          <w:jc w:val="center"/>
        </w:trPr>
        <w:tc>
          <w:tcPr>
            <w:tcW w:w="1429" w:type="dxa"/>
            <w:gridSpan w:val="2"/>
            <w:tcBorders>
              <w:top w:val="single" w:color="auto" w:sz="4" w:space="0"/>
              <w:bottom w:val="single" w:color="auto" w:sz="4" w:space="0"/>
            </w:tcBorders>
            <w:shd w:val="clear" w:color="auto" w:fill="auto"/>
            <w:vAlign w:val="bottom"/>
          </w:tcPr>
          <w:p w:rsidRPr="008D250E" w:rsidR="00A92D0B" w:rsidP="00050A9C" w:rsidRDefault="00A92D0B" w14:paraId="41646676" w14:textId="77777777">
            <w:pPr>
              <w:keepNext/>
              <w:keepLines/>
              <w:jc w:val="center"/>
              <w:rPr>
                <w:b/>
                <w:color w:val="000000"/>
                <w:sz w:val="22"/>
                <w:szCs w:val="22"/>
              </w:rPr>
            </w:pPr>
            <w:r w:rsidRPr="008D250E">
              <w:rPr>
                <w:b/>
                <w:color w:val="000000"/>
                <w:sz w:val="22"/>
                <w:szCs w:val="22"/>
              </w:rPr>
              <w:t>Item</w:t>
            </w:r>
          </w:p>
        </w:tc>
        <w:tc>
          <w:tcPr>
            <w:tcW w:w="748" w:type="dxa"/>
            <w:gridSpan w:val="2"/>
            <w:tcBorders>
              <w:top w:val="single" w:color="auto" w:sz="4" w:space="0"/>
              <w:bottom w:val="single" w:color="auto" w:sz="4" w:space="0"/>
            </w:tcBorders>
            <w:shd w:val="clear" w:color="auto" w:fill="auto"/>
            <w:vAlign w:val="bottom"/>
          </w:tcPr>
          <w:p w:rsidRPr="008D250E" w:rsidR="00A92D0B" w:rsidP="00050A9C" w:rsidRDefault="00A92D0B" w14:paraId="43BB9941" w14:textId="77777777">
            <w:pPr>
              <w:keepNext/>
              <w:keepLines/>
              <w:jc w:val="center"/>
              <w:rPr>
                <w:b/>
                <w:color w:val="000000"/>
                <w:sz w:val="22"/>
                <w:szCs w:val="22"/>
              </w:rPr>
            </w:pPr>
            <w:r w:rsidRPr="008D250E">
              <w:rPr>
                <w:b/>
                <w:color w:val="000000"/>
                <w:sz w:val="22"/>
                <w:szCs w:val="22"/>
              </w:rPr>
              <w:t>Year</w:t>
            </w:r>
          </w:p>
        </w:tc>
        <w:tc>
          <w:tcPr>
            <w:tcW w:w="872" w:type="dxa"/>
            <w:gridSpan w:val="2"/>
            <w:tcBorders>
              <w:top w:val="single" w:color="auto" w:sz="4" w:space="0"/>
              <w:bottom w:val="single" w:color="auto" w:sz="4" w:space="0"/>
            </w:tcBorders>
            <w:shd w:val="clear" w:color="auto" w:fill="auto"/>
            <w:vAlign w:val="bottom"/>
          </w:tcPr>
          <w:p w:rsidRPr="008D250E" w:rsidR="00A92D0B" w:rsidP="00050A9C" w:rsidRDefault="00A92D0B" w14:paraId="0EF32B08" w14:textId="77777777">
            <w:pPr>
              <w:keepNext/>
              <w:keepLines/>
              <w:jc w:val="center"/>
              <w:rPr>
                <w:b/>
                <w:color w:val="000000"/>
                <w:sz w:val="22"/>
                <w:szCs w:val="22"/>
              </w:rPr>
            </w:pPr>
            <w:r w:rsidRPr="008D250E">
              <w:rPr>
                <w:b/>
                <w:color w:val="000000"/>
                <w:sz w:val="22"/>
                <w:szCs w:val="22"/>
              </w:rPr>
              <w:t>Hours</w:t>
            </w:r>
          </w:p>
        </w:tc>
        <w:tc>
          <w:tcPr>
            <w:tcW w:w="1079" w:type="dxa"/>
            <w:tcBorders>
              <w:top w:val="single" w:color="auto" w:sz="4" w:space="0"/>
              <w:bottom w:val="single" w:color="auto" w:sz="4" w:space="0"/>
            </w:tcBorders>
            <w:shd w:val="clear" w:color="auto" w:fill="auto"/>
            <w:vAlign w:val="bottom"/>
          </w:tcPr>
          <w:p w:rsidRPr="008D250E" w:rsidR="00A92D0B" w:rsidP="00050A9C" w:rsidRDefault="00A92D0B" w14:paraId="21C69246" w14:textId="77777777">
            <w:pPr>
              <w:keepNext/>
              <w:keepLines/>
              <w:jc w:val="center"/>
              <w:rPr>
                <w:b/>
                <w:color w:val="000000"/>
                <w:sz w:val="22"/>
                <w:szCs w:val="22"/>
              </w:rPr>
            </w:pPr>
            <w:r w:rsidRPr="008D250E">
              <w:rPr>
                <w:b/>
                <w:color w:val="000000"/>
                <w:sz w:val="22"/>
                <w:szCs w:val="22"/>
              </w:rPr>
              <w:t>Rate</w:t>
            </w:r>
            <w:r w:rsidRPr="008D250E" w:rsidR="00E3786F">
              <w:rPr>
                <w:b/>
                <w:color w:val="000000"/>
                <w:sz w:val="22"/>
                <w:szCs w:val="22"/>
              </w:rPr>
              <w:t xml:space="preserve"> $</w:t>
            </w:r>
          </w:p>
        </w:tc>
        <w:tc>
          <w:tcPr>
            <w:tcW w:w="1537" w:type="dxa"/>
            <w:gridSpan w:val="2"/>
            <w:tcBorders>
              <w:top w:val="single" w:color="auto" w:sz="4" w:space="0"/>
              <w:bottom w:val="single" w:color="auto" w:sz="4" w:space="0"/>
              <w:right w:val="single" w:color="auto" w:sz="4" w:space="0"/>
            </w:tcBorders>
            <w:shd w:val="clear" w:color="auto" w:fill="auto"/>
            <w:vAlign w:val="bottom"/>
          </w:tcPr>
          <w:p w:rsidR="00050A9C" w:rsidP="00050A9C" w:rsidRDefault="00A92D0B" w14:paraId="3E95F17C" w14:textId="77777777">
            <w:pPr>
              <w:keepNext/>
              <w:keepLines/>
              <w:jc w:val="center"/>
              <w:rPr>
                <w:b/>
                <w:color w:val="000000"/>
                <w:sz w:val="22"/>
                <w:szCs w:val="22"/>
              </w:rPr>
            </w:pPr>
            <w:r w:rsidRPr="008D250E">
              <w:rPr>
                <w:b/>
                <w:color w:val="000000"/>
                <w:sz w:val="22"/>
                <w:szCs w:val="22"/>
              </w:rPr>
              <w:t xml:space="preserve">Basis </w:t>
            </w:r>
          </w:p>
          <w:p w:rsidRPr="008D250E" w:rsidR="00A92D0B" w:rsidP="00050A9C" w:rsidRDefault="00A92D0B" w14:paraId="59E63C07" w14:textId="431603A0">
            <w:pPr>
              <w:keepNext/>
              <w:keepLines/>
              <w:jc w:val="center"/>
              <w:rPr>
                <w:b/>
                <w:color w:val="000000"/>
                <w:sz w:val="22"/>
                <w:szCs w:val="22"/>
              </w:rPr>
            </w:pPr>
            <w:r w:rsidRPr="008D250E">
              <w:rPr>
                <w:b/>
                <w:color w:val="000000"/>
                <w:sz w:val="22"/>
                <w:szCs w:val="22"/>
              </w:rPr>
              <w:t>for Rate*</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8D250E" w:rsidR="00A92D0B" w:rsidP="00050A9C" w:rsidRDefault="00A92D0B" w14:paraId="7099C603" w14:textId="77777777">
            <w:pPr>
              <w:keepNext/>
              <w:keepLines/>
              <w:jc w:val="center"/>
              <w:rPr>
                <w:b/>
                <w:color w:val="000000"/>
                <w:sz w:val="22"/>
                <w:szCs w:val="22"/>
              </w:rPr>
            </w:pPr>
            <w:r w:rsidRPr="008D250E">
              <w:rPr>
                <w:b/>
                <w:color w:val="000000"/>
                <w:sz w:val="22"/>
                <w:szCs w:val="22"/>
              </w:rPr>
              <w:t>Total $</w:t>
            </w:r>
          </w:p>
        </w:tc>
        <w:tc>
          <w:tcPr>
            <w:tcW w:w="990" w:type="dxa"/>
            <w:tcBorders>
              <w:top w:val="single" w:color="auto" w:sz="4" w:space="0"/>
              <w:left w:val="single" w:color="auto" w:sz="4" w:space="0"/>
            </w:tcBorders>
            <w:shd w:val="clear" w:color="auto" w:fill="auto"/>
            <w:vAlign w:val="bottom"/>
          </w:tcPr>
          <w:p w:rsidRPr="008D250E" w:rsidR="00A92D0B" w:rsidP="00050A9C" w:rsidRDefault="00A92D0B" w14:paraId="564E4964" w14:textId="77777777">
            <w:pPr>
              <w:keepNext/>
              <w:keepLines/>
              <w:jc w:val="center"/>
              <w:rPr>
                <w:b/>
                <w:color w:val="000000"/>
                <w:sz w:val="22"/>
                <w:szCs w:val="22"/>
              </w:rPr>
            </w:pPr>
            <w:r w:rsidRPr="008D250E">
              <w:rPr>
                <w:b/>
                <w:color w:val="000000"/>
                <w:sz w:val="22"/>
                <w:szCs w:val="22"/>
              </w:rPr>
              <w:t>Hours</w:t>
            </w:r>
          </w:p>
        </w:tc>
        <w:tc>
          <w:tcPr>
            <w:tcW w:w="1079" w:type="dxa"/>
            <w:tcBorders>
              <w:top w:val="single" w:color="auto" w:sz="4" w:space="0"/>
            </w:tcBorders>
            <w:shd w:val="clear" w:color="auto" w:fill="auto"/>
            <w:vAlign w:val="bottom"/>
          </w:tcPr>
          <w:p w:rsidRPr="008D250E" w:rsidR="00A92D0B" w:rsidP="00050A9C" w:rsidRDefault="00A92D0B" w14:paraId="1462552D" w14:textId="77777777">
            <w:pPr>
              <w:keepNext/>
              <w:keepLines/>
              <w:jc w:val="center"/>
              <w:rPr>
                <w:b/>
                <w:color w:val="000000"/>
                <w:sz w:val="22"/>
                <w:szCs w:val="22"/>
              </w:rPr>
            </w:pPr>
            <w:r w:rsidRPr="008D250E">
              <w:rPr>
                <w:b/>
                <w:color w:val="000000"/>
                <w:sz w:val="22"/>
                <w:szCs w:val="22"/>
              </w:rPr>
              <w:t>Rate</w:t>
            </w:r>
            <w:r w:rsidRPr="008D250E" w:rsidR="00E3786F">
              <w:rPr>
                <w:b/>
                <w:color w:val="000000"/>
                <w:sz w:val="22"/>
                <w:szCs w:val="22"/>
              </w:rPr>
              <w:t xml:space="preserve"> $</w:t>
            </w:r>
          </w:p>
        </w:tc>
        <w:tc>
          <w:tcPr>
            <w:tcW w:w="1440" w:type="dxa"/>
            <w:tcBorders>
              <w:top w:val="single" w:color="auto" w:sz="4" w:space="0"/>
            </w:tcBorders>
            <w:shd w:val="clear" w:color="auto" w:fill="auto"/>
            <w:vAlign w:val="bottom"/>
          </w:tcPr>
          <w:p w:rsidRPr="008D250E" w:rsidR="00A92D0B" w:rsidP="00050A9C" w:rsidRDefault="00A92D0B" w14:paraId="1B6A5CA4" w14:textId="77777777">
            <w:pPr>
              <w:keepNext/>
              <w:keepLines/>
              <w:jc w:val="center"/>
              <w:rPr>
                <w:b/>
                <w:color w:val="000000"/>
                <w:sz w:val="22"/>
                <w:szCs w:val="22"/>
              </w:rPr>
            </w:pPr>
            <w:r w:rsidRPr="008D250E">
              <w:rPr>
                <w:b/>
                <w:color w:val="000000"/>
                <w:sz w:val="22"/>
                <w:szCs w:val="22"/>
              </w:rPr>
              <w:t>Total $</w:t>
            </w:r>
          </w:p>
        </w:tc>
      </w:tr>
      <w:tr w:rsidRPr="008D250E" w:rsidR="00642221" w:rsidTr="003F2A8A" w14:paraId="62E8A168" w14:textId="77777777">
        <w:trPr>
          <w:jc w:val="center"/>
        </w:trPr>
        <w:tc>
          <w:tcPr>
            <w:tcW w:w="1429" w:type="dxa"/>
            <w:gridSpan w:val="2"/>
            <w:shd w:val="clear" w:color="auto" w:fill="auto"/>
          </w:tcPr>
          <w:p w:rsidRPr="008D250E" w:rsidR="00A92D0B" w:rsidP="00CF5E5F" w:rsidRDefault="00CF5E5F" w14:paraId="33EA8B38" w14:textId="66ABC363">
            <w:pPr>
              <w:spacing w:before="60" w:after="60"/>
              <w:rPr>
                <w:color w:val="000000"/>
              </w:rPr>
            </w:pPr>
            <w:r w:rsidRPr="008D250E">
              <w:rPr>
                <w:color w:val="000000"/>
              </w:rPr>
              <w:t>Christine A. Mailloux</w:t>
            </w:r>
          </w:p>
        </w:tc>
        <w:tc>
          <w:tcPr>
            <w:tcW w:w="748" w:type="dxa"/>
            <w:gridSpan w:val="2"/>
            <w:shd w:val="clear" w:color="auto" w:fill="auto"/>
          </w:tcPr>
          <w:p w:rsidRPr="008D250E" w:rsidR="00A92D0B" w:rsidP="003F2A8A" w:rsidRDefault="00CF5E5F" w14:paraId="47EBBC49" w14:textId="66738F32">
            <w:pPr>
              <w:spacing w:before="60" w:after="60"/>
              <w:jc w:val="center"/>
              <w:rPr>
                <w:color w:val="000000"/>
              </w:rPr>
            </w:pPr>
            <w:r w:rsidRPr="008D250E">
              <w:rPr>
                <w:color w:val="000000"/>
              </w:rPr>
              <w:t>2017</w:t>
            </w:r>
          </w:p>
        </w:tc>
        <w:tc>
          <w:tcPr>
            <w:tcW w:w="872" w:type="dxa"/>
            <w:gridSpan w:val="2"/>
            <w:shd w:val="clear" w:color="auto" w:fill="auto"/>
          </w:tcPr>
          <w:p w:rsidRPr="008D250E" w:rsidR="00A92D0B" w:rsidP="003F2A8A" w:rsidRDefault="000774A2" w14:paraId="39A3074C" w14:textId="1FED6AA6">
            <w:pPr>
              <w:spacing w:before="60" w:after="60"/>
              <w:jc w:val="center"/>
              <w:rPr>
                <w:color w:val="000000"/>
              </w:rPr>
            </w:pPr>
            <w:r w:rsidRPr="008D250E">
              <w:rPr>
                <w:color w:val="000000"/>
              </w:rPr>
              <w:t>53.25</w:t>
            </w:r>
          </w:p>
        </w:tc>
        <w:tc>
          <w:tcPr>
            <w:tcW w:w="1079" w:type="dxa"/>
            <w:shd w:val="clear" w:color="auto" w:fill="auto"/>
          </w:tcPr>
          <w:p w:rsidRPr="008D250E" w:rsidR="00A92D0B" w:rsidP="003F2A8A" w:rsidRDefault="00972217" w14:paraId="3E5BD317" w14:textId="117E5D7B">
            <w:pPr>
              <w:spacing w:before="60" w:after="60"/>
              <w:jc w:val="right"/>
              <w:rPr>
                <w:color w:val="000000"/>
              </w:rPr>
            </w:pPr>
            <w:r w:rsidRPr="008D250E">
              <w:rPr>
                <w:color w:val="000000"/>
              </w:rPr>
              <w:t>$475.00</w:t>
            </w:r>
          </w:p>
        </w:tc>
        <w:tc>
          <w:tcPr>
            <w:tcW w:w="1537" w:type="dxa"/>
            <w:gridSpan w:val="2"/>
            <w:tcBorders>
              <w:right w:val="single" w:color="auto" w:sz="4" w:space="0"/>
            </w:tcBorders>
            <w:shd w:val="clear" w:color="auto" w:fill="auto"/>
          </w:tcPr>
          <w:p w:rsidRPr="008D250E" w:rsidR="00A92D0B" w:rsidP="003B6A1B" w:rsidRDefault="00972217" w14:paraId="63BDE315" w14:textId="65D7BF3D">
            <w:pPr>
              <w:spacing w:before="60" w:after="60"/>
              <w:rPr>
                <w:color w:val="000000"/>
              </w:rPr>
            </w:pPr>
            <w:r w:rsidRPr="008D250E">
              <w:rPr>
                <w:color w:val="000000"/>
              </w:rPr>
              <w:t>D.18</w:t>
            </w:r>
            <w:r w:rsidR="00747698">
              <w:rPr>
                <w:color w:val="000000"/>
              </w:rPr>
              <w:noBreakHyphen/>
            </w:r>
            <w:r w:rsidRPr="008D250E">
              <w:rPr>
                <w:color w:val="000000"/>
              </w:rPr>
              <w:t>01</w:t>
            </w:r>
            <w:r w:rsidR="00747698">
              <w:rPr>
                <w:color w:val="000000"/>
              </w:rPr>
              <w:noBreakHyphen/>
            </w:r>
            <w:r w:rsidRPr="008D250E">
              <w:rPr>
                <w:color w:val="000000"/>
              </w:rPr>
              <w:t>020</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06BD92A5" w14:textId="72212284">
            <w:pPr>
              <w:spacing w:before="60" w:after="60"/>
              <w:jc w:val="right"/>
              <w:rPr>
                <w:color w:val="000000"/>
              </w:rPr>
            </w:pPr>
            <w:r w:rsidRPr="008D250E">
              <w:rPr>
                <w:color w:val="000000"/>
              </w:rPr>
              <w:t>$25,293.75</w:t>
            </w:r>
          </w:p>
        </w:tc>
        <w:tc>
          <w:tcPr>
            <w:tcW w:w="990" w:type="dxa"/>
            <w:tcBorders>
              <w:left w:val="single" w:color="auto" w:sz="4" w:space="0"/>
            </w:tcBorders>
            <w:shd w:val="clear" w:color="auto" w:fill="auto"/>
          </w:tcPr>
          <w:p w:rsidRPr="008D250E" w:rsidR="00A92D0B" w:rsidP="00E9671B" w:rsidRDefault="00797EAC" w14:paraId="31AF7AA4" w14:textId="35A268AE">
            <w:pPr>
              <w:spacing w:before="60" w:after="60"/>
              <w:jc w:val="center"/>
              <w:rPr>
                <w:color w:val="000000"/>
              </w:rPr>
            </w:pPr>
            <w:r>
              <w:rPr>
                <w:color w:val="000000"/>
              </w:rPr>
              <w:t>53.25</w:t>
            </w:r>
          </w:p>
        </w:tc>
        <w:tc>
          <w:tcPr>
            <w:tcW w:w="1079" w:type="dxa"/>
            <w:shd w:val="clear" w:color="auto" w:fill="auto"/>
          </w:tcPr>
          <w:p w:rsidRPr="008D250E" w:rsidR="00A92D0B" w:rsidP="003F2A8A" w:rsidRDefault="00797EAC" w14:paraId="3400AFFC" w14:textId="6BACE2E8">
            <w:pPr>
              <w:spacing w:before="60" w:after="60"/>
              <w:jc w:val="right"/>
              <w:rPr>
                <w:color w:val="000000"/>
              </w:rPr>
            </w:pPr>
            <w:r>
              <w:rPr>
                <w:color w:val="000000"/>
              </w:rPr>
              <w:t>$475.00</w:t>
            </w:r>
          </w:p>
        </w:tc>
        <w:tc>
          <w:tcPr>
            <w:tcW w:w="1440" w:type="dxa"/>
            <w:shd w:val="clear" w:color="auto" w:fill="auto"/>
          </w:tcPr>
          <w:p w:rsidRPr="008D250E" w:rsidR="00A92D0B" w:rsidP="00E9671B" w:rsidRDefault="00797EAC" w14:paraId="196C1830" w14:textId="16AB71BC">
            <w:pPr>
              <w:spacing w:before="60" w:after="60"/>
              <w:jc w:val="right"/>
              <w:rPr>
                <w:color w:val="000000"/>
              </w:rPr>
            </w:pPr>
            <w:r>
              <w:rPr>
                <w:color w:val="000000"/>
              </w:rPr>
              <w:t>$25,293.75</w:t>
            </w:r>
          </w:p>
        </w:tc>
      </w:tr>
      <w:tr w:rsidRPr="008D250E" w:rsidR="00642221" w:rsidTr="003F2A8A" w14:paraId="5BF6A154" w14:textId="77777777">
        <w:trPr>
          <w:jc w:val="center"/>
        </w:trPr>
        <w:tc>
          <w:tcPr>
            <w:tcW w:w="1429" w:type="dxa"/>
            <w:gridSpan w:val="2"/>
            <w:shd w:val="clear" w:color="auto" w:fill="auto"/>
          </w:tcPr>
          <w:p w:rsidRPr="008D250E" w:rsidR="00A92D0B" w:rsidP="003B6A1B" w:rsidRDefault="00CF5E5F" w14:paraId="118506EC" w14:textId="698FCE5E">
            <w:pPr>
              <w:spacing w:before="60" w:after="60"/>
              <w:rPr>
                <w:color w:val="000000"/>
              </w:rPr>
            </w:pPr>
            <w:r w:rsidRPr="008D250E">
              <w:rPr>
                <w:color w:val="000000"/>
              </w:rPr>
              <w:t>Christine A. Mailloux</w:t>
            </w:r>
          </w:p>
        </w:tc>
        <w:tc>
          <w:tcPr>
            <w:tcW w:w="748" w:type="dxa"/>
            <w:gridSpan w:val="2"/>
            <w:shd w:val="clear" w:color="auto" w:fill="auto"/>
          </w:tcPr>
          <w:p w:rsidRPr="008D250E" w:rsidR="00A92D0B" w:rsidP="003F2A8A" w:rsidRDefault="00CF5E5F" w14:paraId="3767540B" w14:textId="4CECE468">
            <w:pPr>
              <w:spacing w:before="60" w:after="60"/>
              <w:jc w:val="center"/>
              <w:rPr>
                <w:color w:val="000000"/>
              </w:rPr>
            </w:pPr>
            <w:r w:rsidRPr="008D250E">
              <w:rPr>
                <w:color w:val="000000"/>
              </w:rPr>
              <w:t>2018</w:t>
            </w:r>
          </w:p>
        </w:tc>
        <w:tc>
          <w:tcPr>
            <w:tcW w:w="872" w:type="dxa"/>
            <w:gridSpan w:val="2"/>
            <w:shd w:val="clear" w:color="auto" w:fill="auto"/>
          </w:tcPr>
          <w:p w:rsidRPr="008D250E" w:rsidR="00A92D0B" w:rsidP="003F2A8A" w:rsidRDefault="000774A2" w14:paraId="120FE857" w14:textId="7C361557">
            <w:pPr>
              <w:spacing w:before="60" w:after="60"/>
              <w:jc w:val="center"/>
              <w:rPr>
                <w:color w:val="000000"/>
              </w:rPr>
            </w:pPr>
            <w:r w:rsidRPr="008D250E">
              <w:rPr>
                <w:color w:val="000000"/>
              </w:rPr>
              <w:t>17.00</w:t>
            </w:r>
          </w:p>
        </w:tc>
        <w:tc>
          <w:tcPr>
            <w:tcW w:w="1079" w:type="dxa"/>
            <w:shd w:val="clear" w:color="auto" w:fill="auto"/>
          </w:tcPr>
          <w:p w:rsidRPr="008D250E" w:rsidR="00A92D0B" w:rsidP="003F2A8A" w:rsidRDefault="00642221" w14:paraId="075109E1" w14:textId="7085B521">
            <w:pPr>
              <w:spacing w:before="60" w:after="60"/>
              <w:jc w:val="right"/>
              <w:rPr>
                <w:color w:val="000000"/>
              </w:rPr>
            </w:pPr>
            <w:r w:rsidRPr="008D250E">
              <w:rPr>
                <w:color w:val="000000"/>
              </w:rPr>
              <w:t>$485.00</w:t>
            </w:r>
          </w:p>
        </w:tc>
        <w:tc>
          <w:tcPr>
            <w:tcW w:w="1537" w:type="dxa"/>
            <w:gridSpan w:val="2"/>
            <w:tcBorders>
              <w:right w:val="single" w:color="auto" w:sz="4" w:space="0"/>
            </w:tcBorders>
            <w:shd w:val="clear" w:color="auto" w:fill="auto"/>
          </w:tcPr>
          <w:p w:rsidRPr="008D250E" w:rsidR="00A92D0B" w:rsidP="003B6A1B" w:rsidRDefault="00642221" w14:paraId="4AF4C006" w14:textId="510750A8">
            <w:pPr>
              <w:spacing w:before="60" w:after="60"/>
              <w:rPr>
                <w:color w:val="000000"/>
              </w:rPr>
            </w:pPr>
            <w:r w:rsidRPr="008D250E">
              <w:rPr>
                <w:color w:val="000000"/>
              </w:rPr>
              <w:t>D.19</w:t>
            </w:r>
            <w:r w:rsidR="00747698">
              <w:rPr>
                <w:color w:val="000000"/>
              </w:rPr>
              <w:noBreakHyphen/>
            </w:r>
            <w:r w:rsidRPr="008D250E">
              <w:rPr>
                <w:color w:val="000000"/>
              </w:rPr>
              <w:t>01</w:t>
            </w:r>
            <w:r w:rsidR="00747698">
              <w:rPr>
                <w:color w:val="000000"/>
              </w:rPr>
              <w:noBreakHyphen/>
            </w:r>
            <w:r w:rsidRPr="008D250E">
              <w:rPr>
                <w:color w:val="000000"/>
              </w:rPr>
              <w:t>017</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2A77845E" w14:textId="41DDA051">
            <w:pPr>
              <w:spacing w:before="60" w:after="60"/>
              <w:jc w:val="right"/>
              <w:rPr>
                <w:color w:val="000000"/>
              </w:rPr>
            </w:pPr>
            <w:r w:rsidRPr="008D250E">
              <w:rPr>
                <w:color w:val="000000"/>
              </w:rPr>
              <w:t>$8,245.00</w:t>
            </w:r>
          </w:p>
        </w:tc>
        <w:tc>
          <w:tcPr>
            <w:tcW w:w="990" w:type="dxa"/>
            <w:tcBorders>
              <w:left w:val="single" w:color="auto" w:sz="4" w:space="0"/>
            </w:tcBorders>
            <w:shd w:val="clear" w:color="auto" w:fill="auto"/>
          </w:tcPr>
          <w:p w:rsidRPr="008D250E" w:rsidR="00A92D0B" w:rsidP="00E9671B" w:rsidRDefault="00432DA0" w14:paraId="461DC9FD" w14:textId="38DF55F0">
            <w:pPr>
              <w:spacing w:before="60" w:after="60"/>
              <w:jc w:val="center"/>
              <w:rPr>
                <w:color w:val="000000"/>
              </w:rPr>
            </w:pPr>
            <w:r>
              <w:rPr>
                <w:color w:val="000000"/>
              </w:rPr>
              <w:t>17.00</w:t>
            </w:r>
          </w:p>
        </w:tc>
        <w:tc>
          <w:tcPr>
            <w:tcW w:w="1079" w:type="dxa"/>
            <w:shd w:val="clear" w:color="auto" w:fill="auto"/>
          </w:tcPr>
          <w:p w:rsidRPr="008D250E" w:rsidR="00A92D0B" w:rsidP="003F2A8A" w:rsidRDefault="00432DA0" w14:paraId="7FDABF74" w14:textId="370E22B3">
            <w:pPr>
              <w:spacing w:before="60" w:after="60"/>
              <w:jc w:val="right"/>
              <w:rPr>
                <w:color w:val="000000"/>
              </w:rPr>
            </w:pPr>
            <w:r>
              <w:rPr>
                <w:color w:val="000000"/>
              </w:rPr>
              <w:t>$485.00</w:t>
            </w:r>
          </w:p>
        </w:tc>
        <w:tc>
          <w:tcPr>
            <w:tcW w:w="1440" w:type="dxa"/>
            <w:shd w:val="clear" w:color="auto" w:fill="auto"/>
          </w:tcPr>
          <w:p w:rsidRPr="008D250E" w:rsidR="00A92D0B" w:rsidP="00E9671B" w:rsidRDefault="00432DA0" w14:paraId="05EFCF76" w14:textId="2FFDD4BD">
            <w:pPr>
              <w:spacing w:before="60" w:after="60"/>
              <w:jc w:val="right"/>
              <w:rPr>
                <w:color w:val="000000"/>
              </w:rPr>
            </w:pPr>
            <w:r>
              <w:rPr>
                <w:color w:val="000000"/>
              </w:rPr>
              <w:t>$8,245.00</w:t>
            </w:r>
          </w:p>
        </w:tc>
      </w:tr>
      <w:tr w:rsidRPr="008D250E" w:rsidR="00642221" w:rsidTr="003F2A8A" w14:paraId="38E0B4EA" w14:textId="77777777">
        <w:trPr>
          <w:jc w:val="center"/>
        </w:trPr>
        <w:tc>
          <w:tcPr>
            <w:tcW w:w="1429" w:type="dxa"/>
            <w:gridSpan w:val="2"/>
            <w:shd w:val="clear" w:color="auto" w:fill="auto"/>
          </w:tcPr>
          <w:p w:rsidRPr="008D250E" w:rsidR="00A92D0B" w:rsidP="00A92D0B" w:rsidRDefault="00CF5E5F" w14:paraId="1F980DF3" w14:textId="1656B921">
            <w:pPr>
              <w:spacing w:before="60" w:after="60"/>
              <w:rPr>
                <w:color w:val="000000"/>
              </w:rPr>
            </w:pPr>
            <w:r w:rsidRPr="008D250E">
              <w:rPr>
                <w:color w:val="000000"/>
              </w:rPr>
              <w:t>Ashley L. Salas</w:t>
            </w:r>
          </w:p>
        </w:tc>
        <w:tc>
          <w:tcPr>
            <w:tcW w:w="748" w:type="dxa"/>
            <w:gridSpan w:val="2"/>
            <w:shd w:val="clear" w:color="auto" w:fill="auto"/>
          </w:tcPr>
          <w:p w:rsidRPr="008D250E" w:rsidR="00A92D0B" w:rsidP="003F2A8A" w:rsidRDefault="00CF5E5F" w14:paraId="275BF57A" w14:textId="1808F3DE">
            <w:pPr>
              <w:spacing w:before="60" w:after="60"/>
              <w:jc w:val="center"/>
              <w:rPr>
                <w:color w:val="000000"/>
              </w:rPr>
            </w:pPr>
            <w:r w:rsidRPr="008D250E">
              <w:rPr>
                <w:color w:val="000000"/>
              </w:rPr>
              <w:t>2017</w:t>
            </w:r>
          </w:p>
        </w:tc>
        <w:tc>
          <w:tcPr>
            <w:tcW w:w="872" w:type="dxa"/>
            <w:gridSpan w:val="2"/>
            <w:shd w:val="clear" w:color="auto" w:fill="auto"/>
          </w:tcPr>
          <w:p w:rsidRPr="008D250E" w:rsidR="00A92D0B" w:rsidP="003F2A8A" w:rsidRDefault="000774A2" w14:paraId="0DE506C4" w14:textId="60EC7394">
            <w:pPr>
              <w:spacing w:before="60" w:after="60"/>
              <w:jc w:val="center"/>
              <w:rPr>
                <w:color w:val="000000"/>
              </w:rPr>
            </w:pPr>
            <w:r w:rsidRPr="008D250E">
              <w:rPr>
                <w:color w:val="000000"/>
              </w:rPr>
              <w:t>71.50</w:t>
            </w:r>
          </w:p>
        </w:tc>
        <w:tc>
          <w:tcPr>
            <w:tcW w:w="1079" w:type="dxa"/>
            <w:shd w:val="clear" w:color="auto" w:fill="auto"/>
          </w:tcPr>
          <w:p w:rsidRPr="008D250E" w:rsidR="00A92D0B" w:rsidP="003F2A8A" w:rsidRDefault="00642221" w14:paraId="26413E95" w14:textId="25312E6B">
            <w:pPr>
              <w:spacing w:before="60" w:after="60"/>
              <w:jc w:val="right"/>
              <w:rPr>
                <w:color w:val="000000"/>
              </w:rPr>
            </w:pPr>
            <w:r w:rsidRPr="008D250E">
              <w:rPr>
                <w:color w:val="000000"/>
              </w:rPr>
              <w:t>$210.00</w:t>
            </w:r>
          </w:p>
        </w:tc>
        <w:tc>
          <w:tcPr>
            <w:tcW w:w="1537" w:type="dxa"/>
            <w:gridSpan w:val="2"/>
            <w:tcBorders>
              <w:right w:val="single" w:color="auto" w:sz="4" w:space="0"/>
            </w:tcBorders>
            <w:shd w:val="clear" w:color="auto" w:fill="auto"/>
          </w:tcPr>
          <w:p w:rsidRPr="008D250E" w:rsidR="00A92D0B" w:rsidP="003B6A1B" w:rsidRDefault="00642221" w14:paraId="300AA881" w14:textId="162F51C6">
            <w:pPr>
              <w:spacing w:before="60" w:after="60"/>
              <w:rPr>
                <w:color w:val="000000"/>
              </w:rPr>
            </w:pPr>
            <w:r w:rsidRPr="008D250E">
              <w:rPr>
                <w:color w:val="000000"/>
              </w:rPr>
              <w:t>D.19</w:t>
            </w:r>
            <w:r w:rsidR="00747698">
              <w:rPr>
                <w:color w:val="000000"/>
              </w:rPr>
              <w:noBreakHyphen/>
            </w:r>
            <w:r w:rsidRPr="008D250E">
              <w:rPr>
                <w:color w:val="000000"/>
              </w:rPr>
              <w:t>05</w:t>
            </w:r>
            <w:r w:rsidR="00747698">
              <w:rPr>
                <w:color w:val="000000"/>
              </w:rPr>
              <w:noBreakHyphen/>
            </w:r>
            <w:r w:rsidRPr="008D250E">
              <w:rPr>
                <w:color w:val="000000"/>
              </w:rPr>
              <w:t>016</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23EF368E" w14:textId="6A1AD74B">
            <w:pPr>
              <w:spacing w:before="60" w:after="60"/>
              <w:jc w:val="right"/>
              <w:rPr>
                <w:color w:val="000000"/>
              </w:rPr>
            </w:pPr>
            <w:r w:rsidRPr="008D250E">
              <w:rPr>
                <w:color w:val="000000"/>
              </w:rPr>
              <w:t>$15,015.00</w:t>
            </w:r>
          </w:p>
        </w:tc>
        <w:tc>
          <w:tcPr>
            <w:tcW w:w="990" w:type="dxa"/>
            <w:tcBorders>
              <w:left w:val="single" w:color="auto" w:sz="4" w:space="0"/>
            </w:tcBorders>
            <w:shd w:val="clear" w:color="auto" w:fill="auto"/>
          </w:tcPr>
          <w:p w:rsidRPr="008D250E" w:rsidR="00A92D0B" w:rsidP="00E9671B" w:rsidRDefault="00432DA0" w14:paraId="2B0CA953" w14:textId="609C76A9">
            <w:pPr>
              <w:spacing w:before="60" w:after="60"/>
              <w:jc w:val="center"/>
              <w:rPr>
                <w:color w:val="000000"/>
              </w:rPr>
            </w:pPr>
            <w:r>
              <w:rPr>
                <w:color w:val="000000"/>
              </w:rPr>
              <w:t>71.50</w:t>
            </w:r>
          </w:p>
        </w:tc>
        <w:tc>
          <w:tcPr>
            <w:tcW w:w="1079" w:type="dxa"/>
            <w:shd w:val="clear" w:color="auto" w:fill="auto"/>
          </w:tcPr>
          <w:p w:rsidRPr="008D250E" w:rsidR="00A92D0B" w:rsidP="003F2A8A" w:rsidRDefault="00432DA0" w14:paraId="1FC8906C" w14:textId="0FF28322">
            <w:pPr>
              <w:spacing w:before="60" w:after="60"/>
              <w:jc w:val="right"/>
              <w:rPr>
                <w:color w:val="000000"/>
              </w:rPr>
            </w:pPr>
            <w:r>
              <w:rPr>
                <w:color w:val="000000"/>
              </w:rPr>
              <w:t>$210.00</w:t>
            </w:r>
          </w:p>
        </w:tc>
        <w:tc>
          <w:tcPr>
            <w:tcW w:w="1440" w:type="dxa"/>
            <w:shd w:val="clear" w:color="auto" w:fill="auto"/>
          </w:tcPr>
          <w:p w:rsidRPr="008D250E" w:rsidR="00A92D0B" w:rsidP="00E9671B" w:rsidRDefault="00432DA0" w14:paraId="6C594CB5" w14:textId="0C6923BC">
            <w:pPr>
              <w:spacing w:before="60" w:after="60"/>
              <w:jc w:val="right"/>
              <w:rPr>
                <w:color w:val="000000"/>
              </w:rPr>
            </w:pPr>
            <w:r>
              <w:rPr>
                <w:color w:val="000000"/>
              </w:rPr>
              <w:t>$15,015.00</w:t>
            </w:r>
          </w:p>
        </w:tc>
      </w:tr>
      <w:tr w:rsidRPr="008D250E" w:rsidR="00642221" w:rsidTr="003F2A8A" w14:paraId="78FC5ECE" w14:textId="77777777">
        <w:trPr>
          <w:jc w:val="center"/>
        </w:trPr>
        <w:tc>
          <w:tcPr>
            <w:tcW w:w="1429" w:type="dxa"/>
            <w:gridSpan w:val="2"/>
            <w:shd w:val="clear" w:color="auto" w:fill="auto"/>
          </w:tcPr>
          <w:p w:rsidRPr="008D250E" w:rsidR="00A92D0B" w:rsidP="00A92D0B" w:rsidRDefault="00CF5E5F" w14:paraId="1F8943E9" w14:textId="1719283F">
            <w:pPr>
              <w:spacing w:before="60" w:after="60"/>
              <w:rPr>
                <w:color w:val="000000"/>
              </w:rPr>
            </w:pPr>
            <w:r w:rsidRPr="008D250E">
              <w:rPr>
                <w:color w:val="000000"/>
              </w:rPr>
              <w:t>Ashley L. Salas</w:t>
            </w:r>
          </w:p>
        </w:tc>
        <w:tc>
          <w:tcPr>
            <w:tcW w:w="748" w:type="dxa"/>
            <w:gridSpan w:val="2"/>
            <w:shd w:val="clear" w:color="auto" w:fill="auto"/>
          </w:tcPr>
          <w:p w:rsidRPr="008D250E" w:rsidR="00A92D0B" w:rsidP="003F2A8A" w:rsidRDefault="00CF5E5F" w14:paraId="6FFEFF62" w14:textId="3B29ACAA">
            <w:pPr>
              <w:spacing w:before="60" w:after="60"/>
              <w:jc w:val="center"/>
              <w:rPr>
                <w:color w:val="000000"/>
              </w:rPr>
            </w:pPr>
            <w:r w:rsidRPr="008D250E">
              <w:rPr>
                <w:color w:val="000000"/>
              </w:rPr>
              <w:t>2018</w:t>
            </w:r>
          </w:p>
        </w:tc>
        <w:tc>
          <w:tcPr>
            <w:tcW w:w="872" w:type="dxa"/>
            <w:gridSpan w:val="2"/>
            <w:shd w:val="clear" w:color="auto" w:fill="auto"/>
          </w:tcPr>
          <w:p w:rsidRPr="008D250E" w:rsidR="00A92D0B" w:rsidP="003F2A8A" w:rsidRDefault="000774A2" w14:paraId="24984638" w14:textId="22C252FB">
            <w:pPr>
              <w:spacing w:before="60" w:after="60"/>
              <w:jc w:val="center"/>
              <w:rPr>
                <w:color w:val="000000"/>
              </w:rPr>
            </w:pPr>
            <w:r w:rsidRPr="008D250E">
              <w:rPr>
                <w:color w:val="000000"/>
              </w:rPr>
              <w:t>31.50</w:t>
            </w:r>
          </w:p>
        </w:tc>
        <w:tc>
          <w:tcPr>
            <w:tcW w:w="1079" w:type="dxa"/>
            <w:shd w:val="clear" w:color="auto" w:fill="auto"/>
          </w:tcPr>
          <w:p w:rsidRPr="008D250E" w:rsidR="00A92D0B" w:rsidP="003F2A8A" w:rsidRDefault="00642221" w14:paraId="00CA9050" w14:textId="02740222">
            <w:pPr>
              <w:spacing w:before="60" w:after="60"/>
              <w:jc w:val="right"/>
              <w:rPr>
                <w:color w:val="000000"/>
              </w:rPr>
            </w:pPr>
            <w:r w:rsidRPr="008D250E">
              <w:rPr>
                <w:color w:val="000000"/>
              </w:rPr>
              <w:t>$225.00</w:t>
            </w:r>
          </w:p>
        </w:tc>
        <w:tc>
          <w:tcPr>
            <w:tcW w:w="1537" w:type="dxa"/>
            <w:gridSpan w:val="2"/>
            <w:tcBorders>
              <w:right w:val="single" w:color="auto" w:sz="4" w:space="0"/>
            </w:tcBorders>
            <w:shd w:val="clear" w:color="auto" w:fill="auto"/>
          </w:tcPr>
          <w:p w:rsidRPr="008D250E" w:rsidR="00A92D0B" w:rsidP="003B6A1B" w:rsidRDefault="00642221" w14:paraId="760F08DA" w14:textId="66D72303">
            <w:pPr>
              <w:spacing w:before="60" w:after="60"/>
              <w:rPr>
                <w:color w:val="000000"/>
              </w:rPr>
            </w:pPr>
            <w:r w:rsidRPr="008D250E">
              <w:rPr>
                <w:color w:val="000000"/>
              </w:rPr>
              <w:t>D.19</w:t>
            </w:r>
            <w:r w:rsidR="00747698">
              <w:rPr>
                <w:color w:val="000000"/>
              </w:rPr>
              <w:noBreakHyphen/>
            </w:r>
            <w:r w:rsidRPr="008D250E">
              <w:rPr>
                <w:color w:val="000000"/>
              </w:rPr>
              <w:t>05</w:t>
            </w:r>
            <w:r w:rsidR="00747698">
              <w:rPr>
                <w:color w:val="000000"/>
              </w:rPr>
              <w:noBreakHyphen/>
            </w:r>
            <w:r w:rsidRPr="008D250E">
              <w:rPr>
                <w:color w:val="000000"/>
              </w:rPr>
              <w:t>016</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39D39174" w14:textId="13F62EE5">
            <w:pPr>
              <w:spacing w:before="60" w:after="60"/>
              <w:jc w:val="right"/>
              <w:rPr>
                <w:color w:val="000000"/>
              </w:rPr>
            </w:pPr>
            <w:r w:rsidRPr="008D250E">
              <w:rPr>
                <w:color w:val="000000"/>
              </w:rPr>
              <w:t>$7,087.50</w:t>
            </w:r>
          </w:p>
        </w:tc>
        <w:tc>
          <w:tcPr>
            <w:tcW w:w="990" w:type="dxa"/>
            <w:tcBorders>
              <w:left w:val="single" w:color="auto" w:sz="4" w:space="0"/>
            </w:tcBorders>
            <w:shd w:val="clear" w:color="auto" w:fill="auto"/>
          </w:tcPr>
          <w:p w:rsidRPr="008D250E" w:rsidR="00A92D0B" w:rsidP="00E9671B" w:rsidRDefault="00432DA0" w14:paraId="047FD0B5" w14:textId="666B2AD8">
            <w:pPr>
              <w:spacing w:before="60" w:after="60"/>
              <w:jc w:val="center"/>
              <w:rPr>
                <w:color w:val="000000"/>
              </w:rPr>
            </w:pPr>
            <w:r>
              <w:rPr>
                <w:color w:val="000000"/>
              </w:rPr>
              <w:t>31.50</w:t>
            </w:r>
          </w:p>
        </w:tc>
        <w:tc>
          <w:tcPr>
            <w:tcW w:w="1079" w:type="dxa"/>
            <w:shd w:val="clear" w:color="auto" w:fill="auto"/>
          </w:tcPr>
          <w:p w:rsidRPr="008D250E" w:rsidR="00A92D0B" w:rsidP="003F2A8A" w:rsidRDefault="00432DA0" w14:paraId="367660C2" w14:textId="709EC082">
            <w:pPr>
              <w:spacing w:before="60" w:after="60"/>
              <w:jc w:val="right"/>
              <w:rPr>
                <w:color w:val="000000"/>
              </w:rPr>
            </w:pPr>
            <w:r>
              <w:rPr>
                <w:color w:val="000000"/>
              </w:rPr>
              <w:t>$225.00</w:t>
            </w:r>
          </w:p>
        </w:tc>
        <w:tc>
          <w:tcPr>
            <w:tcW w:w="1440" w:type="dxa"/>
            <w:shd w:val="clear" w:color="auto" w:fill="auto"/>
          </w:tcPr>
          <w:p w:rsidRPr="008D250E" w:rsidR="00A92D0B" w:rsidP="00E9671B" w:rsidRDefault="00432DA0" w14:paraId="766AC45F" w14:textId="628D3004">
            <w:pPr>
              <w:spacing w:before="60" w:after="60"/>
              <w:jc w:val="right"/>
              <w:rPr>
                <w:color w:val="000000"/>
              </w:rPr>
            </w:pPr>
            <w:r>
              <w:rPr>
                <w:color w:val="000000"/>
              </w:rPr>
              <w:t>$7,087.50</w:t>
            </w:r>
          </w:p>
        </w:tc>
      </w:tr>
      <w:tr w:rsidRPr="008D250E" w:rsidR="00642221" w:rsidTr="003F2A8A" w14:paraId="4E698889" w14:textId="77777777">
        <w:trPr>
          <w:jc w:val="center"/>
        </w:trPr>
        <w:tc>
          <w:tcPr>
            <w:tcW w:w="1429" w:type="dxa"/>
            <w:gridSpan w:val="2"/>
            <w:shd w:val="clear" w:color="auto" w:fill="auto"/>
          </w:tcPr>
          <w:p w:rsidRPr="008D250E" w:rsidR="00A92D0B" w:rsidP="00A92D0B" w:rsidRDefault="00CF5E5F" w14:paraId="04CDED11" w14:textId="314A3275">
            <w:pPr>
              <w:spacing w:before="60" w:after="60"/>
              <w:rPr>
                <w:color w:val="000000"/>
              </w:rPr>
            </w:pPr>
            <w:r w:rsidRPr="008D250E">
              <w:rPr>
                <w:color w:val="000000"/>
              </w:rPr>
              <w:t>Ashley L. Salas</w:t>
            </w:r>
          </w:p>
        </w:tc>
        <w:tc>
          <w:tcPr>
            <w:tcW w:w="748" w:type="dxa"/>
            <w:gridSpan w:val="2"/>
            <w:shd w:val="clear" w:color="auto" w:fill="auto"/>
          </w:tcPr>
          <w:p w:rsidRPr="008D250E" w:rsidR="00A92D0B" w:rsidP="003F2A8A" w:rsidRDefault="00CF5E5F" w14:paraId="6B0C4BC3" w14:textId="067E823B">
            <w:pPr>
              <w:spacing w:before="60" w:after="60"/>
              <w:jc w:val="center"/>
              <w:rPr>
                <w:color w:val="000000"/>
              </w:rPr>
            </w:pPr>
            <w:r w:rsidRPr="008D250E">
              <w:rPr>
                <w:color w:val="000000"/>
              </w:rPr>
              <w:t>2019</w:t>
            </w:r>
          </w:p>
        </w:tc>
        <w:tc>
          <w:tcPr>
            <w:tcW w:w="872" w:type="dxa"/>
            <w:gridSpan w:val="2"/>
            <w:shd w:val="clear" w:color="auto" w:fill="auto"/>
          </w:tcPr>
          <w:p w:rsidRPr="008D250E" w:rsidR="00A92D0B" w:rsidP="003F2A8A" w:rsidRDefault="000774A2" w14:paraId="51C36695" w14:textId="6671B425">
            <w:pPr>
              <w:spacing w:before="60" w:after="60"/>
              <w:jc w:val="center"/>
              <w:rPr>
                <w:color w:val="000000"/>
              </w:rPr>
            </w:pPr>
            <w:r w:rsidRPr="008D250E">
              <w:rPr>
                <w:color w:val="000000"/>
              </w:rPr>
              <w:t>3.50</w:t>
            </w:r>
          </w:p>
        </w:tc>
        <w:tc>
          <w:tcPr>
            <w:tcW w:w="1079" w:type="dxa"/>
            <w:shd w:val="clear" w:color="auto" w:fill="auto"/>
          </w:tcPr>
          <w:p w:rsidRPr="008D250E" w:rsidR="00A92D0B" w:rsidP="003F2A8A" w:rsidRDefault="00642221" w14:paraId="50434DF3" w14:textId="408F5A86">
            <w:pPr>
              <w:spacing w:before="60" w:after="60"/>
              <w:jc w:val="right"/>
              <w:rPr>
                <w:color w:val="000000"/>
              </w:rPr>
            </w:pPr>
            <w:r w:rsidRPr="008D250E">
              <w:rPr>
                <w:color w:val="000000"/>
              </w:rPr>
              <w:t>$235.00</w:t>
            </w:r>
          </w:p>
        </w:tc>
        <w:tc>
          <w:tcPr>
            <w:tcW w:w="1537" w:type="dxa"/>
            <w:gridSpan w:val="2"/>
            <w:tcBorders>
              <w:right w:val="single" w:color="auto" w:sz="4" w:space="0"/>
            </w:tcBorders>
            <w:shd w:val="clear" w:color="auto" w:fill="auto"/>
          </w:tcPr>
          <w:p w:rsidRPr="008D250E" w:rsidR="00A92D0B" w:rsidP="003B6A1B" w:rsidRDefault="00642221" w14:paraId="41124BBA" w14:textId="0749332E">
            <w:pPr>
              <w:spacing w:before="60" w:after="60"/>
              <w:rPr>
                <w:color w:val="000000"/>
              </w:rPr>
            </w:pPr>
            <w:r w:rsidRPr="008D250E">
              <w:rPr>
                <w:color w:val="000000"/>
              </w:rPr>
              <w:t>Res. ALJ</w:t>
            </w:r>
            <w:r w:rsidR="00747698">
              <w:rPr>
                <w:color w:val="000000"/>
              </w:rPr>
              <w:noBreakHyphen/>
            </w:r>
            <w:r w:rsidRPr="008D250E">
              <w:rPr>
                <w:color w:val="000000"/>
              </w:rPr>
              <w:t>357 (the lowest end of the range for attorneys in the 3</w:t>
            </w:r>
            <w:r w:rsidR="00747698">
              <w:rPr>
                <w:color w:val="000000"/>
              </w:rPr>
              <w:noBreakHyphen/>
            </w:r>
            <w:r w:rsidRPr="008D250E">
              <w:rPr>
                <w:color w:val="000000"/>
              </w:rPr>
              <w:t>4 year experience tier).</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75F00059" w14:textId="3318EF0C">
            <w:pPr>
              <w:spacing w:before="60" w:after="60"/>
              <w:jc w:val="right"/>
              <w:rPr>
                <w:color w:val="000000"/>
              </w:rPr>
            </w:pPr>
            <w:r w:rsidRPr="008D250E">
              <w:rPr>
                <w:color w:val="000000"/>
              </w:rPr>
              <w:t>$822.50</w:t>
            </w:r>
          </w:p>
        </w:tc>
        <w:tc>
          <w:tcPr>
            <w:tcW w:w="990" w:type="dxa"/>
            <w:tcBorders>
              <w:left w:val="single" w:color="auto" w:sz="4" w:space="0"/>
            </w:tcBorders>
            <w:shd w:val="clear" w:color="auto" w:fill="auto"/>
          </w:tcPr>
          <w:p w:rsidRPr="008D250E" w:rsidR="00A92D0B" w:rsidP="00E9671B" w:rsidRDefault="00432DA0" w14:paraId="134A581C" w14:textId="1DDFB24C">
            <w:pPr>
              <w:spacing w:before="60" w:after="60"/>
              <w:jc w:val="center"/>
              <w:rPr>
                <w:color w:val="000000"/>
              </w:rPr>
            </w:pPr>
            <w:r>
              <w:rPr>
                <w:color w:val="000000"/>
              </w:rPr>
              <w:t>3.50</w:t>
            </w:r>
          </w:p>
        </w:tc>
        <w:tc>
          <w:tcPr>
            <w:tcW w:w="1079" w:type="dxa"/>
            <w:shd w:val="clear" w:color="auto" w:fill="auto"/>
          </w:tcPr>
          <w:p w:rsidRPr="008D250E" w:rsidR="00A92D0B" w:rsidP="003F2A8A" w:rsidRDefault="00432DA0" w14:paraId="2622F4BA" w14:textId="7E1F4B33">
            <w:pPr>
              <w:spacing w:before="60" w:after="60"/>
              <w:jc w:val="right"/>
              <w:rPr>
                <w:color w:val="000000"/>
              </w:rPr>
            </w:pPr>
            <w:r>
              <w:rPr>
                <w:color w:val="000000"/>
              </w:rPr>
              <w:t>$235.00</w:t>
            </w:r>
          </w:p>
        </w:tc>
        <w:tc>
          <w:tcPr>
            <w:tcW w:w="1440" w:type="dxa"/>
            <w:shd w:val="clear" w:color="auto" w:fill="auto"/>
          </w:tcPr>
          <w:p w:rsidRPr="008D250E" w:rsidR="00A92D0B" w:rsidP="00E9671B" w:rsidRDefault="00432DA0" w14:paraId="26135325" w14:textId="0BA7D3A8">
            <w:pPr>
              <w:spacing w:before="60" w:after="60"/>
              <w:jc w:val="right"/>
              <w:rPr>
                <w:color w:val="000000"/>
              </w:rPr>
            </w:pPr>
            <w:r>
              <w:rPr>
                <w:color w:val="000000"/>
              </w:rPr>
              <w:t>$822.50</w:t>
            </w:r>
          </w:p>
        </w:tc>
      </w:tr>
      <w:tr w:rsidRPr="008D250E" w:rsidR="00642221" w:rsidTr="003F2A8A" w14:paraId="541B1A43" w14:textId="77777777">
        <w:trPr>
          <w:jc w:val="center"/>
        </w:trPr>
        <w:tc>
          <w:tcPr>
            <w:tcW w:w="1429" w:type="dxa"/>
            <w:gridSpan w:val="2"/>
            <w:shd w:val="clear" w:color="auto" w:fill="auto"/>
          </w:tcPr>
          <w:p w:rsidRPr="008D250E" w:rsidR="00A92D0B" w:rsidP="00A92D0B" w:rsidRDefault="00CF5E5F" w14:paraId="41A7BE4B" w14:textId="2353DEBB">
            <w:pPr>
              <w:spacing w:before="60" w:after="60"/>
              <w:rPr>
                <w:color w:val="000000"/>
              </w:rPr>
            </w:pPr>
            <w:r w:rsidRPr="008D250E">
              <w:rPr>
                <w:color w:val="000000"/>
              </w:rPr>
              <w:t>Regina Costa</w:t>
            </w:r>
          </w:p>
        </w:tc>
        <w:tc>
          <w:tcPr>
            <w:tcW w:w="748" w:type="dxa"/>
            <w:gridSpan w:val="2"/>
            <w:shd w:val="clear" w:color="auto" w:fill="auto"/>
          </w:tcPr>
          <w:p w:rsidRPr="008D250E" w:rsidR="00A92D0B" w:rsidP="00E9671B" w:rsidRDefault="00CF5E5F" w14:paraId="5B3C2ADF" w14:textId="63946DF2">
            <w:pPr>
              <w:spacing w:before="60" w:after="60"/>
              <w:rPr>
                <w:color w:val="000000"/>
              </w:rPr>
            </w:pPr>
            <w:r w:rsidRPr="008D250E">
              <w:rPr>
                <w:color w:val="000000"/>
              </w:rPr>
              <w:t>2017</w:t>
            </w:r>
          </w:p>
        </w:tc>
        <w:tc>
          <w:tcPr>
            <w:tcW w:w="872" w:type="dxa"/>
            <w:gridSpan w:val="2"/>
            <w:shd w:val="clear" w:color="auto" w:fill="auto"/>
          </w:tcPr>
          <w:p w:rsidRPr="008D250E" w:rsidR="00A92D0B" w:rsidP="00E9671B" w:rsidRDefault="000774A2" w14:paraId="2E458EDF" w14:textId="5E975FA5">
            <w:pPr>
              <w:spacing w:before="60" w:after="60"/>
              <w:rPr>
                <w:color w:val="000000"/>
              </w:rPr>
            </w:pPr>
            <w:r w:rsidRPr="008D250E">
              <w:rPr>
                <w:color w:val="000000"/>
              </w:rPr>
              <w:t>35.00</w:t>
            </w:r>
          </w:p>
        </w:tc>
        <w:tc>
          <w:tcPr>
            <w:tcW w:w="1079" w:type="dxa"/>
            <w:shd w:val="clear" w:color="auto" w:fill="auto"/>
          </w:tcPr>
          <w:p w:rsidRPr="008D250E" w:rsidR="00A92D0B" w:rsidP="003F2A8A" w:rsidRDefault="00972217" w14:paraId="3D86BD08" w14:textId="1BD21C94">
            <w:pPr>
              <w:spacing w:before="60" w:after="60"/>
              <w:jc w:val="right"/>
              <w:rPr>
                <w:color w:val="000000"/>
              </w:rPr>
            </w:pPr>
            <w:r w:rsidRPr="008D250E">
              <w:rPr>
                <w:color w:val="000000"/>
              </w:rPr>
              <w:t>$310.00</w:t>
            </w:r>
          </w:p>
        </w:tc>
        <w:tc>
          <w:tcPr>
            <w:tcW w:w="1537" w:type="dxa"/>
            <w:gridSpan w:val="2"/>
            <w:tcBorders>
              <w:right w:val="single" w:color="auto" w:sz="4" w:space="0"/>
            </w:tcBorders>
            <w:shd w:val="clear" w:color="auto" w:fill="auto"/>
          </w:tcPr>
          <w:p w:rsidRPr="008D250E" w:rsidR="00A92D0B" w:rsidP="003B6A1B" w:rsidRDefault="00972217" w14:paraId="750EA256" w14:textId="611B2326">
            <w:pPr>
              <w:spacing w:before="60" w:after="60"/>
              <w:rPr>
                <w:color w:val="000000"/>
              </w:rPr>
            </w:pPr>
            <w:r w:rsidRPr="008D250E">
              <w:rPr>
                <w:color w:val="000000"/>
              </w:rPr>
              <w:t>D.17</w:t>
            </w:r>
            <w:r w:rsidR="00747698">
              <w:rPr>
                <w:color w:val="000000"/>
              </w:rPr>
              <w:noBreakHyphen/>
            </w:r>
            <w:r w:rsidRPr="008D250E">
              <w:rPr>
                <w:color w:val="000000"/>
              </w:rPr>
              <w:t>05</w:t>
            </w:r>
            <w:r w:rsidR="00747698">
              <w:rPr>
                <w:color w:val="000000"/>
              </w:rPr>
              <w:noBreakHyphen/>
            </w:r>
            <w:r w:rsidRPr="008D250E">
              <w:rPr>
                <w:color w:val="000000"/>
              </w:rPr>
              <w:t>012; Res. ALJ</w:t>
            </w:r>
            <w:r w:rsidR="00747698">
              <w:rPr>
                <w:color w:val="000000"/>
              </w:rPr>
              <w:noBreakHyphen/>
            </w:r>
            <w:r w:rsidRPr="008D250E">
              <w:rPr>
                <w:color w:val="000000"/>
              </w:rPr>
              <w:t>345 (2.14% 2017 COLA)</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4D76B38E" w14:textId="703D374C">
            <w:pPr>
              <w:spacing w:before="60" w:after="60"/>
              <w:jc w:val="right"/>
              <w:rPr>
                <w:color w:val="000000"/>
              </w:rPr>
            </w:pPr>
            <w:r w:rsidRPr="008D250E">
              <w:rPr>
                <w:color w:val="000000"/>
              </w:rPr>
              <w:t>$10,850.00</w:t>
            </w:r>
          </w:p>
        </w:tc>
        <w:tc>
          <w:tcPr>
            <w:tcW w:w="990" w:type="dxa"/>
            <w:tcBorders>
              <w:left w:val="single" w:color="auto" w:sz="4" w:space="0"/>
            </w:tcBorders>
            <w:shd w:val="clear" w:color="auto" w:fill="auto"/>
          </w:tcPr>
          <w:p w:rsidRPr="008D250E" w:rsidR="00A92D0B" w:rsidP="00E9671B" w:rsidRDefault="00432DA0" w14:paraId="5DD3213B" w14:textId="73E72DDF">
            <w:pPr>
              <w:spacing w:before="60" w:after="60"/>
              <w:jc w:val="center"/>
              <w:rPr>
                <w:color w:val="000000"/>
              </w:rPr>
            </w:pPr>
            <w:r>
              <w:rPr>
                <w:color w:val="000000"/>
              </w:rPr>
              <w:t>35.00</w:t>
            </w:r>
          </w:p>
        </w:tc>
        <w:tc>
          <w:tcPr>
            <w:tcW w:w="1079" w:type="dxa"/>
            <w:shd w:val="clear" w:color="auto" w:fill="auto"/>
          </w:tcPr>
          <w:p w:rsidRPr="008D250E" w:rsidR="00A92D0B" w:rsidP="003F2A8A" w:rsidRDefault="00432DA0" w14:paraId="07AEBBB0" w14:textId="77D61663">
            <w:pPr>
              <w:spacing w:before="60" w:after="60"/>
              <w:jc w:val="right"/>
              <w:rPr>
                <w:color w:val="000000"/>
              </w:rPr>
            </w:pPr>
            <w:r>
              <w:rPr>
                <w:color w:val="000000"/>
              </w:rPr>
              <w:t>$310.00</w:t>
            </w:r>
          </w:p>
        </w:tc>
        <w:tc>
          <w:tcPr>
            <w:tcW w:w="1440" w:type="dxa"/>
            <w:shd w:val="clear" w:color="auto" w:fill="auto"/>
          </w:tcPr>
          <w:p w:rsidRPr="008D250E" w:rsidR="00A92D0B" w:rsidP="00E9671B" w:rsidRDefault="00432DA0" w14:paraId="55630DF4" w14:textId="6B4C12F3">
            <w:pPr>
              <w:spacing w:before="60" w:after="60"/>
              <w:jc w:val="right"/>
              <w:rPr>
                <w:color w:val="000000"/>
              </w:rPr>
            </w:pPr>
            <w:r>
              <w:rPr>
                <w:color w:val="000000"/>
              </w:rPr>
              <w:t>$10,850.00</w:t>
            </w:r>
          </w:p>
        </w:tc>
      </w:tr>
      <w:tr w:rsidRPr="008D250E" w:rsidR="00642221" w:rsidTr="003F2A8A" w14:paraId="4DEB9267" w14:textId="77777777">
        <w:trPr>
          <w:jc w:val="center"/>
        </w:trPr>
        <w:tc>
          <w:tcPr>
            <w:tcW w:w="1429" w:type="dxa"/>
            <w:gridSpan w:val="2"/>
            <w:shd w:val="clear" w:color="auto" w:fill="auto"/>
          </w:tcPr>
          <w:p w:rsidRPr="008D250E" w:rsidR="00CF5E5F" w:rsidP="00A92D0B" w:rsidRDefault="00CF5E5F" w14:paraId="51DD5EE0" w14:textId="615C5EA5">
            <w:pPr>
              <w:spacing w:before="60" w:after="60"/>
              <w:rPr>
                <w:color w:val="000000"/>
              </w:rPr>
            </w:pPr>
            <w:r w:rsidRPr="008D250E">
              <w:rPr>
                <w:color w:val="000000"/>
              </w:rPr>
              <w:t>Regina Costa</w:t>
            </w:r>
          </w:p>
        </w:tc>
        <w:tc>
          <w:tcPr>
            <w:tcW w:w="748" w:type="dxa"/>
            <w:gridSpan w:val="2"/>
            <w:shd w:val="clear" w:color="auto" w:fill="auto"/>
          </w:tcPr>
          <w:p w:rsidRPr="008D250E" w:rsidR="00CF5E5F" w:rsidP="00E9671B" w:rsidRDefault="00CF5E5F" w14:paraId="348D987C" w14:textId="2FA7C8FE">
            <w:pPr>
              <w:spacing w:before="60" w:after="60"/>
              <w:rPr>
                <w:color w:val="000000"/>
              </w:rPr>
            </w:pPr>
            <w:r w:rsidRPr="008D250E">
              <w:rPr>
                <w:color w:val="000000"/>
              </w:rPr>
              <w:t>2018</w:t>
            </w:r>
          </w:p>
        </w:tc>
        <w:tc>
          <w:tcPr>
            <w:tcW w:w="872" w:type="dxa"/>
            <w:gridSpan w:val="2"/>
            <w:shd w:val="clear" w:color="auto" w:fill="auto"/>
          </w:tcPr>
          <w:p w:rsidRPr="008D250E" w:rsidR="00CF5E5F" w:rsidP="00E9671B" w:rsidRDefault="000774A2" w14:paraId="371F901C" w14:textId="777F5033">
            <w:pPr>
              <w:spacing w:before="60" w:after="60"/>
              <w:rPr>
                <w:color w:val="000000"/>
              </w:rPr>
            </w:pPr>
            <w:r w:rsidRPr="008D250E">
              <w:rPr>
                <w:color w:val="000000"/>
              </w:rPr>
              <w:t>28.25</w:t>
            </w:r>
          </w:p>
        </w:tc>
        <w:tc>
          <w:tcPr>
            <w:tcW w:w="1079" w:type="dxa"/>
            <w:shd w:val="clear" w:color="auto" w:fill="auto"/>
          </w:tcPr>
          <w:p w:rsidRPr="008D250E" w:rsidR="00CF5E5F" w:rsidP="003F2A8A" w:rsidRDefault="00972217" w14:paraId="50E84B73" w14:textId="7E224853">
            <w:pPr>
              <w:spacing w:before="60" w:after="60"/>
              <w:jc w:val="right"/>
              <w:rPr>
                <w:color w:val="000000"/>
              </w:rPr>
            </w:pPr>
            <w:r w:rsidRPr="008D250E">
              <w:rPr>
                <w:color w:val="000000"/>
              </w:rPr>
              <w:t>$315.00</w:t>
            </w:r>
          </w:p>
        </w:tc>
        <w:tc>
          <w:tcPr>
            <w:tcW w:w="1537" w:type="dxa"/>
            <w:gridSpan w:val="2"/>
            <w:tcBorders>
              <w:right w:val="single" w:color="auto" w:sz="4" w:space="0"/>
            </w:tcBorders>
            <w:shd w:val="clear" w:color="auto" w:fill="auto"/>
          </w:tcPr>
          <w:p w:rsidRPr="008D250E" w:rsidR="00CF5E5F" w:rsidP="003B6A1B" w:rsidRDefault="00972217" w14:paraId="7AA36D57" w14:textId="77147CDD">
            <w:pPr>
              <w:spacing w:before="60" w:after="60"/>
              <w:rPr>
                <w:color w:val="000000"/>
              </w:rPr>
            </w:pPr>
            <w:r w:rsidRPr="008D250E">
              <w:rPr>
                <w:color w:val="000000"/>
              </w:rPr>
              <w:t>D.17</w:t>
            </w:r>
            <w:r w:rsidR="00747698">
              <w:rPr>
                <w:color w:val="000000"/>
              </w:rPr>
              <w:noBreakHyphen/>
            </w:r>
            <w:r w:rsidRPr="008D250E">
              <w:rPr>
                <w:color w:val="000000"/>
              </w:rPr>
              <w:t>05</w:t>
            </w:r>
            <w:r w:rsidR="00747698">
              <w:rPr>
                <w:color w:val="000000"/>
              </w:rPr>
              <w:noBreakHyphen/>
            </w:r>
            <w:r w:rsidRPr="008D250E">
              <w:rPr>
                <w:color w:val="000000"/>
              </w:rPr>
              <w:t>012; Res. ALJ</w:t>
            </w:r>
            <w:r w:rsidR="00747698">
              <w:rPr>
                <w:color w:val="000000"/>
              </w:rPr>
              <w:noBreakHyphen/>
            </w:r>
            <w:r w:rsidRPr="008D250E">
              <w:rPr>
                <w:color w:val="000000"/>
              </w:rPr>
              <w:t>345 (2.14% 2017 COLA); Res. ALJ</w:t>
            </w:r>
            <w:r w:rsidR="00747698">
              <w:rPr>
                <w:color w:val="000000"/>
              </w:rPr>
              <w:noBreakHyphen/>
            </w:r>
            <w:r w:rsidRPr="008D250E">
              <w:rPr>
                <w:color w:val="000000"/>
              </w:rPr>
              <w:t>352 (2.3% 2018 COLA)</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CF5E5F" w:rsidP="003F2A8A" w:rsidRDefault="000774A2" w14:paraId="6AA69864" w14:textId="6A349C73">
            <w:pPr>
              <w:spacing w:before="60" w:after="60"/>
              <w:jc w:val="right"/>
              <w:rPr>
                <w:color w:val="000000"/>
              </w:rPr>
            </w:pPr>
            <w:r w:rsidRPr="008D250E">
              <w:rPr>
                <w:color w:val="000000"/>
              </w:rPr>
              <w:t>$8,898.75</w:t>
            </w:r>
          </w:p>
        </w:tc>
        <w:tc>
          <w:tcPr>
            <w:tcW w:w="990" w:type="dxa"/>
            <w:tcBorders>
              <w:left w:val="single" w:color="auto" w:sz="4" w:space="0"/>
            </w:tcBorders>
            <w:shd w:val="clear" w:color="auto" w:fill="auto"/>
          </w:tcPr>
          <w:p w:rsidRPr="008D250E" w:rsidR="00CF5E5F" w:rsidP="00E9671B" w:rsidRDefault="00432DA0" w14:paraId="143122DA" w14:textId="07A8AEC8">
            <w:pPr>
              <w:spacing w:before="60" w:after="60"/>
              <w:jc w:val="center"/>
              <w:rPr>
                <w:color w:val="000000"/>
              </w:rPr>
            </w:pPr>
            <w:r>
              <w:rPr>
                <w:color w:val="000000"/>
              </w:rPr>
              <w:t>28.25</w:t>
            </w:r>
          </w:p>
        </w:tc>
        <w:tc>
          <w:tcPr>
            <w:tcW w:w="1079" w:type="dxa"/>
            <w:shd w:val="clear" w:color="auto" w:fill="auto"/>
          </w:tcPr>
          <w:p w:rsidRPr="008D250E" w:rsidR="00CF5E5F" w:rsidP="003F2A8A" w:rsidRDefault="00432DA0" w14:paraId="3C12B599" w14:textId="36246091">
            <w:pPr>
              <w:spacing w:before="60" w:after="60"/>
              <w:jc w:val="right"/>
              <w:rPr>
                <w:color w:val="000000"/>
              </w:rPr>
            </w:pPr>
            <w:r>
              <w:rPr>
                <w:color w:val="000000"/>
              </w:rPr>
              <w:t>$315.00</w:t>
            </w:r>
          </w:p>
        </w:tc>
        <w:tc>
          <w:tcPr>
            <w:tcW w:w="1440" w:type="dxa"/>
            <w:shd w:val="clear" w:color="auto" w:fill="auto"/>
          </w:tcPr>
          <w:p w:rsidRPr="008D250E" w:rsidR="00CF5E5F" w:rsidP="00E9671B" w:rsidRDefault="00432DA0" w14:paraId="34CD9576" w14:textId="5D6CB79B">
            <w:pPr>
              <w:spacing w:before="60" w:after="60"/>
              <w:jc w:val="right"/>
              <w:rPr>
                <w:color w:val="000000"/>
              </w:rPr>
            </w:pPr>
            <w:r>
              <w:rPr>
                <w:color w:val="000000"/>
              </w:rPr>
              <w:t>$8,898.75</w:t>
            </w:r>
          </w:p>
        </w:tc>
      </w:tr>
      <w:tr w:rsidRPr="008D250E" w:rsidR="00642221" w:rsidTr="003F2A8A" w14:paraId="2D8F52D6" w14:textId="77777777">
        <w:trPr>
          <w:jc w:val="center"/>
        </w:trPr>
        <w:tc>
          <w:tcPr>
            <w:tcW w:w="1429" w:type="dxa"/>
            <w:gridSpan w:val="2"/>
            <w:shd w:val="clear" w:color="auto" w:fill="auto"/>
          </w:tcPr>
          <w:p w:rsidRPr="008D250E" w:rsidR="00CF5E5F" w:rsidP="00A92D0B" w:rsidRDefault="00CF5E5F" w14:paraId="0B0B6FEE" w14:textId="6E69AD69">
            <w:pPr>
              <w:spacing w:before="60" w:after="60"/>
              <w:rPr>
                <w:color w:val="000000"/>
              </w:rPr>
            </w:pPr>
            <w:r w:rsidRPr="008D250E">
              <w:rPr>
                <w:color w:val="000000"/>
              </w:rPr>
              <w:t>Regina Costa</w:t>
            </w:r>
          </w:p>
        </w:tc>
        <w:tc>
          <w:tcPr>
            <w:tcW w:w="748" w:type="dxa"/>
            <w:gridSpan w:val="2"/>
            <w:shd w:val="clear" w:color="auto" w:fill="auto"/>
          </w:tcPr>
          <w:p w:rsidRPr="008D250E" w:rsidR="00CF5E5F" w:rsidP="00E9671B" w:rsidRDefault="00CF5E5F" w14:paraId="50D1C0F8" w14:textId="672E94E5">
            <w:pPr>
              <w:spacing w:before="60" w:after="60"/>
              <w:rPr>
                <w:color w:val="000000"/>
              </w:rPr>
            </w:pPr>
            <w:r w:rsidRPr="008D250E">
              <w:rPr>
                <w:color w:val="000000"/>
              </w:rPr>
              <w:t>2019</w:t>
            </w:r>
          </w:p>
        </w:tc>
        <w:tc>
          <w:tcPr>
            <w:tcW w:w="872" w:type="dxa"/>
            <w:gridSpan w:val="2"/>
            <w:shd w:val="clear" w:color="auto" w:fill="auto"/>
          </w:tcPr>
          <w:p w:rsidRPr="008D250E" w:rsidR="00CF5E5F" w:rsidP="00E9671B" w:rsidRDefault="000774A2" w14:paraId="19E4DD30" w14:textId="7F62E594">
            <w:pPr>
              <w:spacing w:before="60" w:after="60"/>
              <w:rPr>
                <w:color w:val="000000"/>
              </w:rPr>
            </w:pPr>
            <w:r w:rsidRPr="008D250E">
              <w:rPr>
                <w:color w:val="000000"/>
              </w:rPr>
              <w:t>30.50</w:t>
            </w:r>
          </w:p>
        </w:tc>
        <w:tc>
          <w:tcPr>
            <w:tcW w:w="1079" w:type="dxa"/>
            <w:shd w:val="clear" w:color="auto" w:fill="auto"/>
          </w:tcPr>
          <w:p w:rsidRPr="008D250E" w:rsidR="00CF5E5F" w:rsidP="003F2A8A" w:rsidRDefault="00642221" w14:paraId="7C062DE9" w14:textId="31331DD0">
            <w:pPr>
              <w:spacing w:before="60" w:after="60"/>
              <w:jc w:val="right"/>
              <w:rPr>
                <w:color w:val="000000"/>
              </w:rPr>
            </w:pPr>
            <w:r w:rsidRPr="008D250E">
              <w:rPr>
                <w:color w:val="000000"/>
              </w:rPr>
              <w:t>$320.00</w:t>
            </w:r>
          </w:p>
        </w:tc>
        <w:tc>
          <w:tcPr>
            <w:tcW w:w="1537" w:type="dxa"/>
            <w:gridSpan w:val="2"/>
            <w:tcBorders>
              <w:right w:val="single" w:color="auto" w:sz="4" w:space="0"/>
            </w:tcBorders>
            <w:shd w:val="clear" w:color="auto" w:fill="auto"/>
          </w:tcPr>
          <w:p w:rsidRPr="008D250E" w:rsidR="00CF5E5F" w:rsidP="003B6A1B" w:rsidRDefault="00642221" w14:paraId="141C3BAF" w14:textId="251291E1">
            <w:pPr>
              <w:spacing w:before="60" w:after="60"/>
              <w:rPr>
                <w:color w:val="000000"/>
              </w:rPr>
            </w:pPr>
            <w:r w:rsidRPr="008D250E">
              <w:rPr>
                <w:color w:val="000000"/>
              </w:rPr>
              <w:t>D.17</w:t>
            </w:r>
            <w:r w:rsidR="00747698">
              <w:rPr>
                <w:color w:val="000000"/>
              </w:rPr>
              <w:noBreakHyphen/>
            </w:r>
            <w:r w:rsidRPr="008D250E">
              <w:rPr>
                <w:color w:val="000000"/>
              </w:rPr>
              <w:t>05</w:t>
            </w:r>
            <w:r w:rsidR="00747698">
              <w:rPr>
                <w:color w:val="000000"/>
              </w:rPr>
              <w:noBreakHyphen/>
            </w:r>
            <w:r w:rsidRPr="008D250E">
              <w:rPr>
                <w:color w:val="000000"/>
              </w:rPr>
              <w:t>012; Res. ALJ</w:t>
            </w:r>
            <w:r w:rsidR="00747698">
              <w:rPr>
                <w:color w:val="000000"/>
              </w:rPr>
              <w:noBreakHyphen/>
            </w:r>
            <w:r w:rsidRPr="008D250E">
              <w:rPr>
                <w:color w:val="000000"/>
              </w:rPr>
              <w:t xml:space="preserve">345 </w:t>
            </w:r>
            <w:r w:rsidRPr="008D250E">
              <w:rPr>
                <w:color w:val="000000"/>
              </w:rPr>
              <w:lastRenderedPageBreak/>
              <w:t>(2.14% 2017 COLA); Res. ALJ</w:t>
            </w:r>
            <w:r w:rsidR="00747698">
              <w:rPr>
                <w:color w:val="000000"/>
              </w:rPr>
              <w:noBreakHyphen/>
            </w:r>
            <w:r w:rsidRPr="008D250E">
              <w:rPr>
                <w:color w:val="000000"/>
              </w:rPr>
              <w:t>352 (2.3% 2018 COLA); Res. ALJ</w:t>
            </w:r>
            <w:r w:rsidR="00747698">
              <w:rPr>
                <w:color w:val="000000"/>
              </w:rPr>
              <w:noBreakHyphen/>
            </w:r>
            <w:r w:rsidRPr="008D250E">
              <w:rPr>
                <w:color w:val="000000"/>
              </w:rPr>
              <w:t>357 (2.35% 2019 COLA)</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CF5E5F" w:rsidP="003F2A8A" w:rsidRDefault="000774A2" w14:paraId="1A2A5BC1" w14:textId="100E5DFF">
            <w:pPr>
              <w:spacing w:before="60" w:after="60"/>
              <w:jc w:val="right"/>
              <w:rPr>
                <w:color w:val="000000"/>
              </w:rPr>
            </w:pPr>
            <w:r w:rsidRPr="008D250E">
              <w:rPr>
                <w:color w:val="000000"/>
              </w:rPr>
              <w:lastRenderedPageBreak/>
              <w:t>$9,760.00</w:t>
            </w:r>
          </w:p>
        </w:tc>
        <w:tc>
          <w:tcPr>
            <w:tcW w:w="990" w:type="dxa"/>
            <w:tcBorders>
              <w:left w:val="single" w:color="auto" w:sz="4" w:space="0"/>
            </w:tcBorders>
            <w:shd w:val="clear" w:color="auto" w:fill="auto"/>
          </w:tcPr>
          <w:p w:rsidRPr="008D250E" w:rsidR="00CF5E5F" w:rsidP="00E9671B" w:rsidRDefault="00432DA0" w14:paraId="660EB0E9" w14:textId="610973BF">
            <w:pPr>
              <w:spacing w:before="60" w:after="60"/>
              <w:jc w:val="center"/>
              <w:rPr>
                <w:color w:val="000000"/>
              </w:rPr>
            </w:pPr>
            <w:r>
              <w:rPr>
                <w:color w:val="000000"/>
              </w:rPr>
              <w:t>30.50</w:t>
            </w:r>
          </w:p>
        </w:tc>
        <w:tc>
          <w:tcPr>
            <w:tcW w:w="1079" w:type="dxa"/>
            <w:shd w:val="clear" w:color="auto" w:fill="auto"/>
          </w:tcPr>
          <w:p w:rsidRPr="008D250E" w:rsidR="00CF5E5F" w:rsidP="003F2A8A" w:rsidRDefault="00432DA0" w14:paraId="5CA5C484" w14:textId="730A0B54">
            <w:pPr>
              <w:spacing w:before="60" w:after="60"/>
              <w:jc w:val="right"/>
              <w:rPr>
                <w:color w:val="000000"/>
              </w:rPr>
            </w:pPr>
            <w:r>
              <w:rPr>
                <w:color w:val="000000"/>
              </w:rPr>
              <w:t>$320.00</w:t>
            </w:r>
          </w:p>
        </w:tc>
        <w:tc>
          <w:tcPr>
            <w:tcW w:w="1440" w:type="dxa"/>
            <w:shd w:val="clear" w:color="auto" w:fill="auto"/>
          </w:tcPr>
          <w:p w:rsidRPr="008D250E" w:rsidR="00CF5E5F" w:rsidP="00E9671B" w:rsidRDefault="00432DA0" w14:paraId="5E70EF0B" w14:textId="0ECDCF23">
            <w:pPr>
              <w:spacing w:before="60" w:after="60"/>
              <w:jc w:val="right"/>
              <w:rPr>
                <w:color w:val="000000"/>
              </w:rPr>
            </w:pPr>
            <w:r>
              <w:rPr>
                <w:color w:val="000000"/>
              </w:rPr>
              <w:t>$9,760.00</w:t>
            </w:r>
          </w:p>
        </w:tc>
      </w:tr>
      <w:tr w:rsidRPr="008D250E" w:rsidR="00E3786F" w:rsidTr="003F2A8A" w14:paraId="1B237C11" w14:textId="77777777">
        <w:trPr>
          <w:jc w:val="center"/>
        </w:trPr>
        <w:tc>
          <w:tcPr>
            <w:tcW w:w="7012" w:type="dxa"/>
            <w:gridSpan w:val="11"/>
            <w:tcBorders>
              <w:bottom w:val="single" w:color="auto" w:sz="4" w:space="0"/>
              <w:right w:val="single" w:color="auto" w:sz="24" w:space="0"/>
            </w:tcBorders>
            <w:shd w:val="clear" w:color="auto" w:fill="auto"/>
            <w:vAlign w:val="bottom"/>
          </w:tcPr>
          <w:p w:rsidRPr="008D250E" w:rsidR="00E3786F" w:rsidP="00050A9C" w:rsidRDefault="00E3786F" w14:paraId="2ECB6744" w14:textId="1238C39A">
            <w:pPr>
              <w:tabs>
                <w:tab w:val="left" w:pos="957"/>
              </w:tabs>
              <w:ind w:right="162"/>
              <w:jc w:val="right"/>
              <w:rPr>
                <w:b/>
                <w:i/>
                <w:color w:val="000000"/>
              </w:rPr>
            </w:pPr>
            <w:r w:rsidRPr="008D250E">
              <w:rPr>
                <w:b/>
                <w:i/>
                <w:color w:val="000000"/>
              </w:rPr>
              <w:t>Subtotal: $</w:t>
            </w:r>
            <w:r w:rsidRPr="008D250E" w:rsidR="000774A2">
              <w:rPr>
                <w:b/>
                <w:i/>
                <w:color w:val="000000"/>
              </w:rPr>
              <w:t>85,972.50</w:t>
            </w:r>
          </w:p>
        </w:tc>
        <w:tc>
          <w:tcPr>
            <w:tcW w:w="3509" w:type="dxa"/>
            <w:gridSpan w:val="3"/>
            <w:tcBorders>
              <w:left w:val="single" w:color="auto" w:sz="24" w:space="0"/>
              <w:bottom w:val="single" w:color="auto" w:sz="4" w:space="0"/>
            </w:tcBorders>
            <w:shd w:val="clear" w:color="auto" w:fill="auto"/>
            <w:vAlign w:val="bottom"/>
          </w:tcPr>
          <w:p w:rsidRPr="008D250E" w:rsidR="00E3786F" w:rsidP="00050A9C" w:rsidRDefault="00E3786F" w14:paraId="4C4556E5" w14:textId="0B14BD6F">
            <w:pPr>
              <w:tabs>
                <w:tab w:val="left" w:pos="957"/>
              </w:tabs>
              <w:ind w:right="162"/>
              <w:jc w:val="right"/>
              <w:rPr>
                <w:color w:val="000000"/>
              </w:rPr>
            </w:pPr>
            <w:r w:rsidRPr="008D250E">
              <w:rPr>
                <w:b/>
                <w:i/>
                <w:color w:val="000000"/>
              </w:rPr>
              <w:t xml:space="preserve">Subtotal: </w:t>
            </w:r>
            <w:r w:rsidRPr="008D250E">
              <w:rPr>
                <w:b/>
                <w:color w:val="000000"/>
              </w:rPr>
              <w:t>$</w:t>
            </w:r>
            <w:r w:rsidR="00432DA0">
              <w:rPr>
                <w:b/>
                <w:color w:val="000000"/>
              </w:rPr>
              <w:t>85,972.50</w:t>
            </w:r>
          </w:p>
        </w:tc>
      </w:tr>
      <w:tr w:rsidRPr="008D250E" w:rsidR="00A92D0B" w:rsidTr="00D769BE" w14:paraId="4F8FAF05" w14:textId="77777777">
        <w:trPr>
          <w:jc w:val="center"/>
        </w:trPr>
        <w:tc>
          <w:tcPr>
            <w:tcW w:w="10521" w:type="dxa"/>
            <w:gridSpan w:val="14"/>
            <w:tcBorders>
              <w:top w:val="single" w:color="auto" w:sz="4" w:space="0"/>
              <w:left w:val="single" w:color="auto" w:sz="4" w:space="0"/>
              <w:bottom w:val="single" w:color="auto" w:sz="4" w:space="0"/>
              <w:right w:val="single" w:color="auto" w:sz="4" w:space="0"/>
            </w:tcBorders>
            <w:shd w:val="clear" w:color="auto" w:fill="E6E6E6"/>
          </w:tcPr>
          <w:p w:rsidRPr="008D250E" w:rsidR="00A92D0B" w:rsidP="00050A9C" w:rsidRDefault="00A92D0B" w14:paraId="41FE304C" w14:textId="77777777">
            <w:pPr>
              <w:jc w:val="center"/>
              <w:rPr>
                <w:color w:val="000000"/>
              </w:rPr>
            </w:pPr>
            <w:r w:rsidRPr="008D250E">
              <w:rPr>
                <w:b/>
                <w:color w:val="000000"/>
              </w:rPr>
              <w:t xml:space="preserve">INTERVENOR COMPENSATION CLAIM PREPARATION </w:t>
            </w:r>
            <w:r w:rsidRPr="008D250E">
              <w:rPr>
                <w:b/>
                <w:smallCaps/>
                <w:color w:val="000000"/>
              </w:rPr>
              <w:t xml:space="preserve"> **</w:t>
            </w:r>
          </w:p>
        </w:tc>
      </w:tr>
      <w:tr w:rsidRPr="008D250E" w:rsidR="00F74E98" w:rsidTr="003F2A8A" w14:paraId="48B3E535" w14:textId="77777777">
        <w:trPr>
          <w:jc w:val="center"/>
        </w:trPr>
        <w:tc>
          <w:tcPr>
            <w:tcW w:w="1429" w:type="dxa"/>
            <w:gridSpan w:val="2"/>
            <w:tcBorders>
              <w:top w:val="single" w:color="auto" w:sz="4" w:space="0"/>
              <w:bottom w:val="single" w:color="auto" w:sz="4" w:space="0"/>
            </w:tcBorders>
            <w:shd w:val="clear" w:color="auto" w:fill="auto"/>
          </w:tcPr>
          <w:p w:rsidRPr="008D250E" w:rsidR="00A92D0B" w:rsidP="00050A9C" w:rsidRDefault="00A92D0B" w14:paraId="563A43BB" w14:textId="77777777">
            <w:pPr>
              <w:jc w:val="center"/>
              <w:rPr>
                <w:b/>
                <w:color w:val="000000"/>
                <w:sz w:val="22"/>
                <w:szCs w:val="22"/>
              </w:rPr>
            </w:pPr>
            <w:r w:rsidRPr="008D250E">
              <w:rPr>
                <w:b/>
                <w:color w:val="000000"/>
                <w:sz w:val="22"/>
                <w:szCs w:val="22"/>
              </w:rPr>
              <w:t>Item</w:t>
            </w:r>
          </w:p>
        </w:tc>
        <w:tc>
          <w:tcPr>
            <w:tcW w:w="748" w:type="dxa"/>
            <w:gridSpan w:val="2"/>
            <w:tcBorders>
              <w:top w:val="single" w:color="auto" w:sz="4" w:space="0"/>
              <w:bottom w:val="single" w:color="auto" w:sz="4" w:space="0"/>
            </w:tcBorders>
            <w:shd w:val="clear" w:color="auto" w:fill="auto"/>
          </w:tcPr>
          <w:p w:rsidRPr="008D250E" w:rsidR="00A92D0B" w:rsidP="00050A9C" w:rsidRDefault="00A92D0B" w14:paraId="144552E0" w14:textId="77777777">
            <w:pPr>
              <w:jc w:val="center"/>
              <w:rPr>
                <w:b/>
                <w:color w:val="000000"/>
                <w:sz w:val="22"/>
                <w:szCs w:val="22"/>
              </w:rPr>
            </w:pPr>
            <w:r w:rsidRPr="008D250E">
              <w:rPr>
                <w:b/>
                <w:color w:val="000000"/>
                <w:sz w:val="22"/>
                <w:szCs w:val="22"/>
              </w:rPr>
              <w:t>Year</w:t>
            </w:r>
          </w:p>
        </w:tc>
        <w:tc>
          <w:tcPr>
            <w:tcW w:w="872" w:type="dxa"/>
            <w:gridSpan w:val="2"/>
            <w:tcBorders>
              <w:top w:val="single" w:color="auto" w:sz="4" w:space="0"/>
              <w:bottom w:val="single" w:color="auto" w:sz="4" w:space="0"/>
            </w:tcBorders>
            <w:shd w:val="clear" w:color="auto" w:fill="auto"/>
          </w:tcPr>
          <w:p w:rsidRPr="008D250E" w:rsidR="00A92D0B" w:rsidP="00050A9C" w:rsidRDefault="00A92D0B" w14:paraId="42890B1B" w14:textId="77777777">
            <w:pPr>
              <w:jc w:val="center"/>
              <w:rPr>
                <w:b/>
                <w:color w:val="000000"/>
                <w:sz w:val="22"/>
                <w:szCs w:val="22"/>
              </w:rPr>
            </w:pPr>
            <w:r w:rsidRPr="008D250E">
              <w:rPr>
                <w:b/>
                <w:color w:val="000000"/>
                <w:sz w:val="22"/>
                <w:szCs w:val="22"/>
              </w:rPr>
              <w:t>Hours</w:t>
            </w:r>
          </w:p>
        </w:tc>
        <w:tc>
          <w:tcPr>
            <w:tcW w:w="1079" w:type="dxa"/>
            <w:tcBorders>
              <w:top w:val="single" w:color="auto" w:sz="4" w:space="0"/>
              <w:bottom w:val="single" w:color="auto" w:sz="4" w:space="0"/>
            </w:tcBorders>
            <w:shd w:val="clear" w:color="auto" w:fill="auto"/>
          </w:tcPr>
          <w:p w:rsidRPr="008D250E" w:rsidR="00A92D0B" w:rsidP="00050A9C" w:rsidRDefault="00A92D0B" w14:paraId="1E7BD956" w14:textId="77777777">
            <w:pPr>
              <w:jc w:val="center"/>
              <w:rPr>
                <w:b/>
                <w:color w:val="000000"/>
                <w:sz w:val="22"/>
                <w:szCs w:val="22"/>
              </w:rPr>
            </w:pPr>
            <w:r w:rsidRPr="008D250E">
              <w:rPr>
                <w:b/>
                <w:color w:val="000000"/>
                <w:sz w:val="22"/>
                <w:szCs w:val="22"/>
              </w:rPr>
              <w:t>Rate</w:t>
            </w:r>
            <w:r w:rsidRPr="008D250E" w:rsidR="00380703">
              <w:rPr>
                <w:b/>
                <w:color w:val="000000"/>
                <w:sz w:val="22"/>
                <w:szCs w:val="22"/>
              </w:rPr>
              <w:t xml:space="preserve"> $</w:t>
            </w:r>
            <w:r w:rsidRPr="008D250E">
              <w:rPr>
                <w:b/>
                <w:color w:val="000000"/>
                <w:sz w:val="22"/>
                <w:szCs w:val="22"/>
              </w:rPr>
              <w:t xml:space="preserve"> </w:t>
            </w:r>
          </w:p>
        </w:tc>
        <w:tc>
          <w:tcPr>
            <w:tcW w:w="1537" w:type="dxa"/>
            <w:gridSpan w:val="2"/>
            <w:tcBorders>
              <w:top w:val="single" w:color="auto" w:sz="4" w:space="0"/>
              <w:bottom w:val="single" w:color="auto" w:sz="4" w:space="0"/>
              <w:right w:val="single" w:color="auto" w:sz="4" w:space="0"/>
            </w:tcBorders>
            <w:shd w:val="clear" w:color="auto" w:fill="auto"/>
          </w:tcPr>
          <w:p w:rsidRPr="008D250E" w:rsidR="00A92D0B" w:rsidP="00050A9C" w:rsidRDefault="00A92D0B" w14:paraId="104D7982" w14:textId="77777777">
            <w:pPr>
              <w:jc w:val="center"/>
              <w:rPr>
                <w:b/>
                <w:color w:val="000000"/>
                <w:sz w:val="22"/>
                <w:szCs w:val="22"/>
              </w:rPr>
            </w:pPr>
            <w:r w:rsidRPr="008D250E">
              <w:rPr>
                <w:b/>
                <w:color w:val="000000"/>
                <w:sz w:val="22"/>
                <w:szCs w:val="22"/>
              </w:rPr>
              <w:t>Basis for Rate*</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050A9C" w:rsidRDefault="00A92D0B" w14:paraId="073B2BB9" w14:textId="77777777">
            <w:pPr>
              <w:jc w:val="center"/>
              <w:rPr>
                <w:b/>
                <w:color w:val="000000"/>
                <w:sz w:val="22"/>
                <w:szCs w:val="22"/>
              </w:rPr>
            </w:pPr>
            <w:r w:rsidRPr="008D250E">
              <w:rPr>
                <w:b/>
                <w:color w:val="000000"/>
                <w:sz w:val="22"/>
                <w:szCs w:val="22"/>
              </w:rPr>
              <w:t>Total $</w:t>
            </w:r>
          </w:p>
        </w:tc>
        <w:tc>
          <w:tcPr>
            <w:tcW w:w="990" w:type="dxa"/>
            <w:tcBorders>
              <w:top w:val="single" w:color="auto" w:sz="4" w:space="0"/>
              <w:left w:val="single" w:color="auto" w:sz="4" w:space="0"/>
            </w:tcBorders>
            <w:shd w:val="clear" w:color="auto" w:fill="auto"/>
          </w:tcPr>
          <w:p w:rsidRPr="008D250E" w:rsidR="00A92D0B" w:rsidP="00050A9C" w:rsidRDefault="00A92D0B" w14:paraId="0409143B" w14:textId="77777777">
            <w:pPr>
              <w:jc w:val="center"/>
              <w:rPr>
                <w:b/>
                <w:color w:val="000000"/>
                <w:sz w:val="22"/>
                <w:szCs w:val="22"/>
              </w:rPr>
            </w:pPr>
            <w:r w:rsidRPr="008D250E">
              <w:rPr>
                <w:b/>
                <w:color w:val="000000"/>
                <w:sz w:val="22"/>
                <w:szCs w:val="22"/>
              </w:rPr>
              <w:t>Hours</w:t>
            </w:r>
          </w:p>
        </w:tc>
        <w:tc>
          <w:tcPr>
            <w:tcW w:w="1079" w:type="dxa"/>
            <w:tcBorders>
              <w:top w:val="single" w:color="auto" w:sz="4" w:space="0"/>
            </w:tcBorders>
            <w:shd w:val="clear" w:color="auto" w:fill="auto"/>
          </w:tcPr>
          <w:p w:rsidRPr="008D250E" w:rsidR="00A92D0B" w:rsidP="00050A9C" w:rsidRDefault="00A92D0B" w14:paraId="6B59BB80" w14:textId="77777777">
            <w:pPr>
              <w:jc w:val="center"/>
              <w:rPr>
                <w:b/>
                <w:color w:val="000000"/>
                <w:sz w:val="22"/>
                <w:szCs w:val="22"/>
              </w:rPr>
            </w:pPr>
            <w:r w:rsidRPr="008D250E">
              <w:rPr>
                <w:b/>
                <w:color w:val="000000"/>
                <w:sz w:val="22"/>
                <w:szCs w:val="22"/>
              </w:rPr>
              <w:t xml:space="preserve">Rate </w:t>
            </w:r>
          </w:p>
        </w:tc>
        <w:tc>
          <w:tcPr>
            <w:tcW w:w="1440" w:type="dxa"/>
            <w:tcBorders>
              <w:top w:val="single" w:color="auto" w:sz="4" w:space="0"/>
            </w:tcBorders>
            <w:shd w:val="clear" w:color="auto" w:fill="auto"/>
          </w:tcPr>
          <w:p w:rsidRPr="008D250E" w:rsidR="00A92D0B" w:rsidP="00050A9C" w:rsidRDefault="00A92D0B" w14:paraId="6C7B13CF" w14:textId="77777777">
            <w:pPr>
              <w:jc w:val="center"/>
              <w:rPr>
                <w:b/>
                <w:color w:val="000000"/>
                <w:sz w:val="22"/>
                <w:szCs w:val="22"/>
              </w:rPr>
            </w:pPr>
            <w:r w:rsidRPr="008D250E">
              <w:rPr>
                <w:b/>
                <w:color w:val="000000"/>
                <w:sz w:val="22"/>
                <w:szCs w:val="22"/>
              </w:rPr>
              <w:t>Total $</w:t>
            </w:r>
          </w:p>
        </w:tc>
      </w:tr>
      <w:tr w:rsidRPr="008D250E" w:rsidR="00642221" w:rsidTr="003F2A8A" w14:paraId="25086E67" w14:textId="77777777">
        <w:trPr>
          <w:jc w:val="center"/>
        </w:trPr>
        <w:tc>
          <w:tcPr>
            <w:tcW w:w="1429" w:type="dxa"/>
            <w:gridSpan w:val="2"/>
            <w:shd w:val="clear" w:color="auto" w:fill="auto"/>
          </w:tcPr>
          <w:p w:rsidRPr="008D250E" w:rsidR="00A92D0B" w:rsidP="003B6A1B" w:rsidRDefault="00642221" w14:paraId="386D0995" w14:textId="621F4CDB">
            <w:pPr>
              <w:spacing w:before="60" w:after="60"/>
              <w:rPr>
                <w:color w:val="000000"/>
              </w:rPr>
            </w:pPr>
            <w:r w:rsidRPr="008D250E">
              <w:rPr>
                <w:color w:val="000000"/>
              </w:rPr>
              <w:t>Christine A. Mailloux</w:t>
            </w:r>
          </w:p>
        </w:tc>
        <w:tc>
          <w:tcPr>
            <w:tcW w:w="748" w:type="dxa"/>
            <w:gridSpan w:val="2"/>
            <w:shd w:val="clear" w:color="auto" w:fill="auto"/>
          </w:tcPr>
          <w:p w:rsidRPr="008D250E" w:rsidR="00A92D0B" w:rsidP="003F2A8A" w:rsidRDefault="00642221" w14:paraId="4A155F1D" w14:textId="65D46358">
            <w:pPr>
              <w:spacing w:before="60" w:after="60"/>
              <w:jc w:val="center"/>
              <w:rPr>
                <w:color w:val="000000"/>
              </w:rPr>
            </w:pPr>
            <w:r w:rsidRPr="008D250E">
              <w:rPr>
                <w:color w:val="000000"/>
              </w:rPr>
              <w:t>2019</w:t>
            </w:r>
          </w:p>
        </w:tc>
        <w:tc>
          <w:tcPr>
            <w:tcW w:w="872" w:type="dxa"/>
            <w:gridSpan w:val="2"/>
            <w:shd w:val="clear" w:color="auto" w:fill="auto"/>
          </w:tcPr>
          <w:p w:rsidRPr="008D250E" w:rsidR="00A92D0B" w:rsidP="003F2A8A" w:rsidRDefault="006F4E0F" w14:paraId="30EEA80A" w14:textId="2F4C87CB">
            <w:pPr>
              <w:spacing w:before="60" w:after="60"/>
              <w:jc w:val="center"/>
              <w:rPr>
                <w:color w:val="000000"/>
              </w:rPr>
            </w:pPr>
            <w:r w:rsidRPr="008D250E">
              <w:rPr>
                <w:color w:val="000000"/>
              </w:rPr>
              <w:t>3.75</w:t>
            </w:r>
          </w:p>
        </w:tc>
        <w:tc>
          <w:tcPr>
            <w:tcW w:w="1079" w:type="dxa"/>
            <w:shd w:val="clear" w:color="auto" w:fill="auto"/>
          </w:tcPr>
          <w:p w:rsidRPr="008D250E" w:rsidR="00A92D0B" w:rsidP="003F2A8A" w:rsidRDefault="00F74E98" w14:paraId="4EB14C91" w14:textId="52D196E3">
            <w:pPr>
              <w:spacing w:before="60" w:after="60"/>
              <w:jc w:val="right"/>
              <w:rPr>
                <w:color w:val="000000"/>
              </w:rPr>
            </w:pPr>
            <w:r w:rsidRPr="008D250E">
              <w:rPr>
                <w:color w:val="000000"/>
              </w:rPr>
              <w:t>$247.50</w:t>
            </w:r>
          </w:p>
        </w:tc>
        <w:tc>
          <w:tcPr>
            <w:tcW w:w="1537" w:type="dxa"/>
            <w:gridSpan w:val="2"/>
            <w:tcBorders>
              <w:right w:val="single" w:color="auto" w:sz="4" w:space="0"/>
            </w:tcBorders>
            <w:shd w:val="clear" w:color="auto" w:fill="auto"/>
          </w:tcPr>
          <w:p w:rsidRPr="008D250E" w:rsidR="00A92D0B" w:rsidP="003B6A1B" w:rsidRDefault="00F74E98" w14:paraId="02D334B7" w14:textId="4D965B41">
            <w:pPr>
              <w:spacing w:before="60" w:after="60"/>
              <w:rPr>
                <w:color w:val="000000"/>
              </w:rPr>
            </w:pPr>
            <w:r w:rsidRPr="008D250E">
              <w:rPr>
                <w:color w:val="000000"/>
              </w:rPr>
              <w:t>Half of 2019 requested rate</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7B9A0261" w14:textId="0B75D16A">
            <w:pPr>
              <w:spacing w:before="60" w:after="60"/>
              <w:jc w:val="right"/>
              <w:rPr>
                <w:color w:val="000000"/>
              </w:rPr>
            </w:pPr>
            <w:r w:rsidRPr="008D250E">
              <w:rPr>
                <w:color w:val="000000"/>
              </w:rPr>
              <w:t>$928.1</w:t>
            </w:r>
            <w:r w:rsidRPr="008D250E" w:rsidR="00753E97">
              <w:rPr>
                <w:color w:val="000000"/>
              </w:rPr>
              <w:t>2</w:t>
            </w:r>
          </w:p>
        </w:tc>
        <w:tc>
          <w:tcPr>
            <w:tcW w:w="990" w:type="dxa"/>
            <w:tcBorders>
              <w:left w:val="single" w:color="auto" w:sz="4" w:space="0"/>
              <w:right w:val="single" w:color="auto" w:sz="4" w:space="0"/>
            </w:tcBorders>
            <w:shd w:val="clear" w:color="auto" w:fill="auto"/>
          </w:tcPr>
          <w:p w:rsidRPr="008D250E" w:rsidR="00A92D0B" w:rsidP="00E9671B" w:rsidRDefault="00797EAC" w14:paraId="5E5A4264" w14:textId="2075E23C">
            <w:pPr>
              <w:spacing w:before="60" w:after="60"/>
              <w:jc w:val="center"/>
              <w:rPr>
                <w:color w:val="000000"/>
              </w:rPr>
            </w:pPr>
            <w:r>
              <w:rPr>
                <w:color w:val="000000"/>
              </w:rPr>
              <w:t>3.75</w:t>
            </w:r>
          </w:p>
        </w:tc>
        <w:tc>
          <w:tcPr>
            <w:tcW w:w="1079" w:type="dxa"/>
            <w:tcBorders>
              <w:left w:val="single" w:color="auto" w:sz="4" w:space="0"/>
            </w:tcBorders>
            <w:shd w:val="clear" w:color="auto" w:fill="auto"/>
          </w:tcPr>
          <w:p w:rsidRPr="008D250E" w:rsidR="00A92D0B" w:rsidP="003F2A8A" w:rsidRDefault="00797EAC" w14:paraId="47B1F089" w14:textId="007AB145">
            <w:pPr>
              <w:spacing w:before="60" w:after="60"/>
              <w:jc w:val="right"/>
              <w:rPr>
                <w:color w:val="000000"/>
              </w:rPr>
            </w:pPr>
            <w:r>
              <w:rPr>
                <w:color w:val="000000"/>
              </w:rPr>
              <w:t>$247.50</w:t>
            </w:r>
          </w:p>
        </w:tc>
        <w:tc>
          <w:tcPr>
            <w:tcW w:w="1440" w:type="dxa"/>
            <w:shd w:val="clear" w:color="auto" w:fill="auto"/>
          </w:tcPr>
          <w:p w:rsidRPr="008D250E" w:rsidR="00A92D0B" w:rsidP="00E9671B" w:rsidRDefault="00797EAC" w14:paraId="10659B6D" w14:textId="2D1D2F30">
            <w:pPr>
              <w:spacing w:before="60" w:after="60"/>
              <w:jc w:val="right"/>
              <w:rPr>
                <w:color w:val="000000"/>
              </w:rPr>
            </w:pPr>
            <w:r>
              <w:rPr>
                <w:color w:val="000000"/>
              </w:rPr>
              <w:t>$928.12</w:t>
            </w:r>
          </w:p>
        </w:tc>
      </w:tr>
      <w:tr w:rsidRPr="008D250E" w:rsidR="00642221" w:rsidTr="003F2A8A" w14:paraId="7AB9EF54" w14:textId="77777777">
        <w:trPr>
          <w:jc w:val="center"/>
        </w:trPr>
        <w:tc>
          <w:tcPr>
            <w:tcW w:w="1429" w:type="dxa"/>
            <w:gridSpan w:val="2"/>
            <w:shd w:val="clear" w:color="auto" w:fill="auto"/>
          </w:tcPr>
          <w:p w:rsidRPr="008D250E" w:rsidR="00A92D0B" w:rsidP="003B6A1B" w:rsidRDefault="00642221" w14:paraId="4F803C09" w14:textId="71E9332D">
            <w:pPr>
              <w:spacing w:before="60" w:after="60"/>
              <w:rPr>
                <w:color w:val="000000"/>
              </w:rPr>
            </w:pPr>
            <w:r w:rsidRPr="008D250E">
              <w:rPr>
                <w:color w:val="000000"/>
              </w:rPr>
              <w:t>Ashley L. Salas</w:t>
            </w:r>
          </w:p>
        </w:tc>
        <w:tc>
          <w:tcPr>
            <w:tcW w:w="748" w:type="dxa"/>
            <w:gridSpan w:val="2"/>
            <w:shd w:val="clear" w:color="auto" w:fill="auto"/>
          </w:tcPr>
          <w:p w:rsidRPr="008D250E" w:rsidR="00A92D0B" w:rsidP="003F2A8A" w:rsidRDefault="00642221" w14:paraId="058BFE37" w14:textId="1A5D2C3A">
            <w:pPr>
              <w:spacing w:before="60" w:after="60"/>
              <w:jc w:val="center"/>
              <w:rPr>
                <w:color w:val="000000"/>
              </w:rPr>
            </w:pPr>
            <w:r w:rsidRPr="008D250E">
              <w:rPr>
                <w:color w:val="000000"/>
              </w:rPr>
              <w:t>2019</w:t>
            </w:r>
          </w:p>
        </w:tc>
        <w:tc>
          <w:tcPr>
            <w:tcW w:w="872" w:type="dxa"/>
            <w:gridSpan w:val="2"/>
            <w:shd w:val="clear" w:color="auto" w:fill="auto"/>
          </w:tcPr>
          <w:p w:rsidRPr="008D250E" w:rsidR="00A92D0B" w:rsidP="003F2A8A" w:rsidRDefault="006F4E0F" w14:paraId="66A42865" w14:textId="26024486">
            <w:pPr>
              <w:spacing w:before="60" w:after="60"/>
              <w:jc w:val="center"/>
              <w:rPr>
                <w:color w:val="000000"/>
              </w:rPr>
            </w:pPr>
            <w:r w:rsidRPr="008D250E">
              <w:rPr>
                <w:color w:val="000000"/>
              </w:rPr>
              <w:t>7.25</w:t>
            </w:r>
          </w:p>
        </w:tc>
        <w:tc>
          <w:tcPr>
            <w:tcW w:w="1079" w:type="dxa"/>
            <w:shd w:val="clear" w:color="auto" w:fill="auto"/>
          </w:tcPr>
          <w:p w:rsidRPr="008D250E" w:rsidR="00A92D0B" w:rsidP="003F2A8A" w:rsidRDefault="00642221" w14:paraId="42AE8F2C" w14:textId="03766FB0">
            <w:pPr>
              <w:spacing w:before="60" w:after="60"/>
              <w:jc w:val="right"/>
              <w:rPr>
                <w:color w:val="000000"/>
              </w:rPr>
            </w:pPr>
            <w:r w:rsidRPr="008D250E">
              <w:rPr>
                <w:color w:val="000000"/>
              </w:rPr>
              <w:t>$117.50</w:t>
            </w:r>
          </w:p>
        </w:tc>
        <w:tc>
          <w:tcPr>
            <w:tcW w:w="1537" w:type="dxa"/>
            <w:gridSpan w:val="2"/>
            <w:tcBorders>
              <w:right w:val="single" w:color="auto" w:sz="4" w:space="0"/>
            </w:tcBorders>
            <w:shd w:val="clear" w:color="auto" w:fill="auto"/>
          </w:tcPr>
          <w:p w:rsidRPr="008D250E" w:rsidR="00A92D0B" w:rsidP="003B6A1B" w:rsidRDefault="00642221" w14:paraId="3DB754B7" w14:textId="71A75268">
            <w:pPr>
              <w:spacing w:before="60" w:after="60"/>
              <w:rPr>
                <w:color w:val="000000"/>
              </w:rPr>
            </w:pPr>
            <w:r w:rsidRPr="008D250E">
              <w:rPr>
                <w:color w:val="000000"/>
              </w:rPr>
              <w:t>Half of 2019 requested rate</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A92D0B" w:rsidP="003F2A8A" w:rsidRDefault="000774A2" w14:paraId="3D39C021" w14:textId="11970538">
            <w:pPr>
              <w:spacing w:before="60" w:after="60"/>
              <w:jc w:val="right"/>
              <w:rPr>
                <w:color w:val="000000"/>
              </w:rPr>
            </w:pPr>
            <w:r w:rsidRPr="008D250E">
              <w:rPr>
                <w:color w:val="000000"/>
              </w:rPr>
              <w:t>$851.88</w:t>
            </w:r>
          </w:p>
        </w:tc>
        <w:tc>
          <w:tcPr>
            <w:tcW w:w="990" w:type="dxa"/>
            <w:tcBorders>
              <w:left w:val="single" w:color="auto" w:sz="4" w:space="0"/>
              <w:right w:val="single" w:color="auto" w:sz="4" w:space="0"/>
            </w:tcBorders>
            <w:shd w:val="clear" w:color="auto" w:fill="auto"/>
          </w:tcPr>
          <w:p w:rsidRPr="008D250E" w:rsidR="00A92D0B" w:rsidP="00E9671B" w:rsidRDefault="00663C84" w14:paraId="6B8C8F0C" w14:textId="03D0B921">
            <w:pPr>
              <w:spacing w:before="60" w:after="60"/>
              <w:jc w:val="center"/>
              <w:rPr>
                <w:color w:val="000000"/>
              </w:rPr>
            </w:pPr>
            <w:r>
              <w:rPr>
                <w:color w:val="000000"/>
              </w:rPr>
              <w:t>7.25</w:t>
            </w:r>
          </w:p>
        </w:tc>
        <w:tc>
          <w:tcPr>
            <w:tcW w:w="1079" w:type="dxa"/>
            <w:tcBorders>
              <w:left w:val="single" w:color="auto" w:sz="4" w:space="0"/>
            </w:tcBorders>
            <w:shd w:val="clear" w:color="auto" w:fill="auto"/>
          </w:tcPr>
          <w:p w:rsidRPr="008D250E" w:rsidR="00A92D0B" w:rsidP="003F2A8A" w:rsidRDefault="00663C84" w14:paraId="0A58B021" w14:textId="19B3BE1B">
            <w:pPr>
              <w:spacing w:before="60" w:after="60"/>
              <w:jc w:val="right"/>
              <w:rPr>
                <w:color w:val="000000"/>
              </w:rPr>
            </w:pPr>
            <w:r>
              <w:rPr>
                <w:color w:val="000000"/>
              </w:rPr>
              <w:t>$117.50</w:t>
            </w:r>
          </w:p>
        </w:tc>
        <w:tc>
          <w:tcPr>
            <w:tcW w:w="1440" w:type="dxa"/>
            <w:shd w:val="clear" w:color="auto" w:fill="auto"/>
          </w:tcPr>
          <w:p w:rsidRPr="008D250E" w:rsidR="00A92D0B" w:rsidP="00E9671B" w:rsidRDefault="00663C84" w14:paraId="0769A3B4" w14:textId="4535683E">
            <w:pPr>
              <w:spacing w:before="60" w:after="60"/>
              <w:jc w:val="right"/>
              <w:rPr>
                <w:color w:val="000000"/>
              </w:rPr>
            </w:pPr>
            <w:r>
              <w:rPr>
                <w:color w:val="000000"/>
              </w:rPr>
              <w:t>$851.88</w:t>
            </w:r>
          </w:p>
        </w:tc>
      </w:tr>
      <w:tr w:rsidRPr="008D250E" w:rsidR="00E15DC3" w:rsidTr="003F2A8A" w14:paraId="266CEDD5" w14:textId="77777777">
        <w:trPr>
          <w:jc w:val="center"/>
        </w:trPr>
        <w:tc>
          <w:tcPr>
            <w:tcW w:w="7012" w:type="dxa"/>
            <w:gridSpan w:val="11"/>
            <w:tcBorders>
              <w:bottom w:val="single" w:color="auto" w:sz="4" w:space="0"/>
              <w:right w:val="single" w:color="auto" w:sz="24" w:space="0"/>
            </w:tcBorders>
            <w:shd w:val="clear" w:color="auto" w:fill="auto"/>
            <w:vAlign w:val="bottom"/>
          </w:tcPr>
          <w:p w:rsidRPr="008D250E" w:rsidR="00E15DC3" w:rsidP="00050A9C" w:rsidRDefault="00E15DC3" w14:paraId="4A1F5988" w14:textId="69AFFF98">
            <w:pPr>
              <w:tabs>
                <w:tab w:val="left" w:pos="957"/>
              </w:tabs>
              <w:ind w:right="162"/>
              <w:jc w:val="right"/>
              <w:rPr>
                <w:b/>
                <w:i/>
                <w:color w:val="000000"/>
              </w:rPr>
            </w:pPr>
            <w:r w:rsidRPr="008D250E">
              <w:rPr>
                <w:b/>
                <w:i/>
                <w:color w:val="000000"/>
              </w:rPr>
              <w:t>Subtotal: $</w:t>
            </w:r>
            <w:r w:rsidRPr="008D250E" w:rsidR="000774A2">
              <w:rPr>
                <w:b/>
                <w:i/>
                <w:color w:val="000000"/>
              </w:rPr>
              <w:t>1,780.00</w:t>
            </w:r>
          </w:p>
        </w:tc>
        <w:tc>
          <w:tcPr>
            <w:tcW w:w="3509" w:type="dxa"/>
            <w:gridSpan w:val="3"/>
            <w:tcBorders>
              <w:left w:val="single" w:color="auto" w:sz="24" w:space="0"/>
              <w:bottom w:val="single" w:color="auto" w:sz="4" w:space="0"/>
            </w:tcBorders>
            <w:shd w:val="clear" w:color="auto" w:fill="auto"/>
            <w:vAlign w:val="bottom"/>
          </w:tcPr>
          <w:p w:rsidRPr="008D250E" w:rsidR="00E15DC3" w:rsidP="00050A9C" w:rsidRDefault="00E15DC3" w14:paraId="2FBAA587" w14:textId="46270CD2">
            <w:pPr>
              <w:tabs>
                <w:tab w:val="left" w:pos="957"/>
              </w:tabs>
              <w:ind w:right="162"/>
              <w:jc w:val="right"/>
              <w:rPr>
                <w:b/>
                <w:i/>
                <w:color w:val="000000"/>
              </w:rPr>
            </w:pPr>
            <w:r w:rsidRPr="008D250E">
              <w:rPr>
                <w:b/>
                <w:i/>
                <w:color w:val="000000"/>
              </w:rPr>
              <w:t>Subtotal: $</w:t>
            </w:r>
            <w:r w:rsidR="008676F5">
              <w:rPr>
                <w:b/>
                <w:i/>
                <w:color w:val="000000"/>
              </w:rPr>
              <w:t>1,780.00</w:t>
            </w:r>
          </w:p>
        </w:tc>
      </w:tr>
      <w:tr w:rsidRPr="008D250E" w:rsidR="00A92D0B" w:rsidTr="00D769BE" w14:paraId="06193E6C" w14:textId="77777777">
        <w:trPr>
          <w:jc w:val="center"/>
        </w:trPr>
        <w:tc>
          <w:tcPr>
            <w:tcW w:w="10521" w:type="dxa"/>
            <w:gridSpan w:val="14"/>
            <w:tcBorders>
              <w:top w:val="single" w:color="auto" w:sz="4" w:space="0"/>
              <w:left w:val="single" w:color="auto" w:sz="4" w:space="0"/>
              <w:bottom w:val="single" w:color="auto" w:sz="4" w:space="0"/>
              <w:right w:val="single" w:color="auto" w:sz="4" w:space="0"/>
            </w:tcBorders>
            <w:shd w:val="clear" w:color="auto" w:fill="E6E6E6"/>
          </w:tcPr>
          <w:p w:rsidRPr="008D250E" w:rsidR="00A92D0B" w:rsidP="00050A9C" w:rsidRDefault="00A92D0B" w14:paraId="3BECCA4A" w14:textId="77777777">
            <w:pPr>
              <w:jc w:val="center"/>
              <w:rPr>
                <w:b/>
                <w:smallCaps/>
                <w:color w:val="000000"/>
              </w:rPr>
            </w:pPr>
            <w:r w:rsidRPr="008D250E">
              <w:rPr>
                <w:b/>
                <w:smallCaps/>
                <w:color w:val="000000"/>
              </w:rPr>
              <w:t>COSTS</w:t>
            </w:r>
          </w:p>
        </w:tc>
      </w:tr>
      <w:tr w:rsidRPr="008D250E" w:rsidR="00F74E98" w:rsidTr="003F2A8A" w14:paraId="72A80274" w14:textId="77777777">
        <w:trPr>
          <w:jc w:val="center"/>
        </w:trPr>
        <w:tc>
          <w:tcPr>
            <w:tcW w:w="468" w:type="dxa"/>
            <w:tcBorders>
              <w:top w:val="single" w:color="auto" w:sz="4" w:space="0"/>
              <w:bottom w:val="single" w:color="auto" w:sz="4" w:space="0"/>
            </w:tcBorders>
            <w:shd w:val="clear" w:color="auto" w:fill="auto"/>
          </w:tcPr>
          <w:p w:rsidRPr="008D250E" w:rsidR="00380703" w:rsidP="00050A9C" w:rsidRDefault="00380703" w14:paraId="117C57EE" w14:textId="77777777">
            <w:pPr>
              <w:jc w:val="center"/>
              <w:rPr>
                <w:b/>
                <w:color w:val="000000"/>
              </w:rPr>
            </w:pPr>
            <w:r w:rsidRPr="008D250E">
              <w:rPr>
                <w:b/>
                <w:color w:val="000000"/>
              </w:rPr>
              <w:t>#</w:t>
            </w:r>
          </w:p>
        </w:tc>
        <w:tc>
          <w:tcPr>
            <w:tcW w:w="1619" w:type="dxa"/>
            <w:gridSpan w:val="2"/>
            <w:tcBorders>
              <w:top w:val="single" w:color="auto" w:sz="4" w:space="0"/>
              <w:bottom w:val="single" w:color="auto" w:sz="4" w:space="0"/>
            </w:tcBorders>
            <w:shd w:val="clear" w:color="auto" w:fill="auto"/>
          </w:tcPr>
          <w:p w:rsidRPr="008D250E" w:rsidR="00380703" w:rsidP="00050A9C" w:rsidRDefault="00380703" w14:paraId="6A45FCC1" w14:textId="77777777">
            <w:pPr>
              <w:jc w:val="center"/>
              <w:rPr>
                <w:b/>
                <w:color w:val="000000"/>
              </w:rPr>
            </w:pPr>
            <w:r w:rsidRPr="008D250E">
              <w:rPr>
                <w:b/>
                <w:color w:val="000000"/>
              </w:rPr>
              <w:t>Item</w:t>
            </w:r>
          </w:p>
        </w:tc>
        <w:tc>
          <w:tcPr>
            <w:tcW w:w="3578" w:type="dxa"/>
            <w:gridSpan w:val="6"/>
            <w:tcBorders>
              <w:top w:val="single" w:color="auto" w:sz="4" w:space="0"/>
              <w:left w:val="single" w:color="auto" w:sz="4" w:space="0"/>
              <w:bottom w:val="single" w:color="auto" w:sz="4" w:space="0"/>
              <w:right w:val="single" w:color="auto" w:sz="4" w:space="0"/>
            </w:tcBorders>
            <w:shd w:val="clear" w:color="auto" w:fill="FFFFFF"/>
          </w:tcPr>
          <w:p w:rsidRPr="008D250E" w:rsidR="00380703" w:rsidP="00050A9C" w:rsidRDefault="00380703" w14:paraId="19FE7A44" w14:textId="77777777">
            <w:pPr>
              <w:jc w:val="center"/>
              <w:rPr>
                <w:b/>
                <w:color w:val="000000"/>
              </w:rPr>
            </w:pPr>
            <w:r w:rsidRPr="008D250E">
              <w:rPr>
                <w:b/>
                <w:color w:val="000000"/>
              </w:rPr>
              <w:t>Detail</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380703" w:rsidP="00050A9C" w:rsidRDefault="00380703" w14:paraId="52A549BC" w14:textId="77777777">
            <w:pPr>
              <w:jc w:val="center"/>
              <w:rPr>
                <w:b/>
                <w:color w:val="000000"/>
              </w:rPr>
            </w:pPr>
            <w:r w:rsidRPr="008D250E">
              <w:rPr>
                <w:b/>
                <w:color w:val="000000"/>
              </w:rPr>
              <w:t>Amount</w:t>
            </w:r>
          </w:p>
        </w:tc>
        <w:tc>
          <w:tcPr>
            <w:tcW w:w="3509" w:type="dxa"/>
            <w:gridSpan w:val="3"/>
            <w:tcBorders>
              <w:top w:val="single" w:color="auto" w:sz="4" w:space="0"/>
              <w:left w:val="single" w:color="auto" w:sz="24" w:space="0"/>
            </w:tcBorders>
            <w:shd w:val="clear" w:color="auto" w:fill="auto"/>
          </w:tcPr>
          <w:p w:rsidRPr="008D250E" w:rsidR="00380703" w:rsidP="00050A9C" w:rsidRDefault="00380703" w14:paraId="2A0A92A1" w14:textId="77777777">
            <w:pPr>
              <w:jc w:val="center"/>
              <w:rPr>
                <w:b/>
                <w:color w:val="000000"/>
              </w:rPr>
            </w:pPr>
            <w:r w:rsidRPr="008D250E">
              <w:rPr>
                <w:b/>
                <w:color w:val="000000"/>
              </w:rPr>
              <w:t>Amount</w:t>
            </w:r>
          </w:p>
        </w:tc>
      </w:tr>
      <w:tr w:rsidRPr="008D250E" w:rsidR="00F74E98" w:rsidTr="003F2A8A" w14:paraId="14B6D61A" w14:textId="77777777">
        <w:trPr>
          <w:jc w:val="center"/>
        </w:trPr>
        <w:tc>
          <w:tcPr>
            <w:tcW w:w="468" w:type="dxa"/>
            <w:tcBorders>
              <w:bottom w:val="single" w:color="auto" w:sz="4" w:space="0"/>
            </w:tcBorders>
            <w:shd w:val="clear" w:color="auto" w:fill="auto"/>
          </w:tcPr>
          <w:p w:rsidRPr="008D250E" w:rsidR="00380703" w:rsidP="003B6A1B" w:rsidRDefault="001C0DD1" w14:paraId="3272FF6C" w14:textId="77777777">
            <w:pPr>
              <w:spacing w:before="60" w:after="60"/>
              <w:rPr>
                <w:color w:val="000000"/>
              </w:rPr>
            </w:pPr>
            <w:r w:rsidRPr="008D250E">
              <w:rPr>
                <w:color w:val="000000"/>
              </w:rPr>
              <w:t>1.</w:t>
            </w:r>
          </w:p>
        </w:tc>
        <w:tc>
          <w:tcPr>
            <w:tcW w:w="1619" w:type="dxa"/>
            <w:gridSpan w:val="2"/>
            <w:tcBorders>
              <w:bottom w:val="single" w:color="auto" w:sz="4" w:space="0"/>
            </w:tcBorders>
            <w:shd w:val="clear" w:color="auto" w:fill="auto"/>
          </w:tcPr>
          <w:p w:rsidRPr="008D250E" w:rsidR="00380703" w:rsidP="003B6A1B" w:rsidRDefault="00B23240" w14:paraId="00BD9FA4" w14:textId="6CE00B6B">
            <w:pPr>
              <w:spacing w:before="60" w:after="60"/>
              <w:rPr>
                <w:color w:val="000000"/>
              </w:rPr>
            </w:pPr>
            <w:r w:rsidRPr="008D250E">
              <w:rPr>
                <w:color w:val="000000"/>
              </w:rPr>
              <w:t>Photocopying</w:t>
            </w:r>
          </w:p>
        </w:tc>
        <w:tc>
          <w:tcPr>
            <w:tcW w:w="3578" w:type="dxa"/>
            <w:gridSpan w:val="6"/>
            <w:tcBorders>
              <w:top w:val="single" w:color="auto" w:sz="4" w:space="0"/>
              <w:left w:val="single" w:color="auto" w:sz="4" w:space="0"/>
              <w:bottom w:val="single" w:color="auto" w:sz="4" w:space="0"/>
              <w:right w:val="single" w:color="auto" w:sz="4" w:space="0"/>
            </w:tcBorders>
            <w:shd w:val="clear" w:color="auto" w:fill="auto"/>
          </w:tcPr>
          <w:p w:rsidRPr="008D250E" w:rsidR="00380703" w:rsidP="003B6A1B" w:rsidRDefault="00B23240" w14:paraId="05A1FC0C" w14:textId="153DE57D">
            <w:pPr>
              <w:spacing w:before="60" w:after="60"/>
              <w:rPr>
                <w:color w:val="000000"/>
              </w:rPr>
            </w:pPr>
            <w:r w:rsidRPr="008D250E">
              <w:rPr>
                <w:color w:val="000000"/>
              </w:rPr>
              <w:t>Copying relating to pleadings for ALJ and Commission Officers in proceeding I.14</w:t>
            </w:r>
            <w:r w:rsidR="00747698">
              <w:rPr>
                <w:color w:val="000000"/>
              </w:rPr>
              <w:noBreakHyphen/>
            </w:r>
            <w:r w:rsidRPr="008D250E">
              <w:rPr>
                <w:color w:val="000000"/>
              </w:rPr>
              <w:t>05</w:t>
            </w:r>
            <w:r w:rsidR="00747698">
              <w:rPr>
                <w:color w:val="000000"/>
              </w:rPr>
              <w:noBreakHyphen/>
            </w:r>
            <w:r w:rsidRPr="008D250E">
              <w:rPr>
                <w:color w:val="000000"/>
              </w:rPr>
              <w:t>012.</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380703" w:rsidP="006F4E0F" w:rsidRDefault="006D0177" w14:paraId="324F04F2" w14:textId="6E801A8C">
            <w:pPr>
              <w:spacing w:before="60" w:after="60"/>
              <w:jc w:val="right"/>
              <w:rPr>
                <w:color w:val="000000"/>
              </w:rPr>
            </w:pPr>
            <w:r w:rsidRPr="008D250E">
              <w:rPr>
                <w:color w:val="000000"/>
              </w:rPr>
              <w:t>$13.10</w:t>
            </w:r>
          </w:p>
        </w:tc>
        <w:tc>
          <w:tcPr>
            <w:tcW w:w="3509" w:type="dxa"/>
            <w:gridSpan w:val="3"/>
            <w:tcBorders>
              <w:left w:val="single" w:color="auto" w:sz="24" w:space="0"/>
            </w:tcBorders>
            <w:shd w:val="clear" w:color="auto" w:fill="auto"/>
          </w:tcPr>
          <w:p w:rsidRPr="008D250E" w:rsidR="00380703" w:rsidP="003F2A8A" w:rsidRDefault="00663C84" w14:paraId="1C7D79D0" w14:textId="7CF77092">
            <w:pPr>
              <w:spacing w:before="60" w:after="60"/>
              <w:jc w:val="right"/>
              <w:rPr>
                <w:color w:val="000000"/>
              </w:rPr>
            </w:pPr>
            <w:r>
              <w:rPr>
                <w:color w:val="000000"/>
              </w:rPr>
              <w:t>$13.10</w:t>
            </w:r>
          </w:p>
        </w:tc>
      </w:tr>
      <w:tr w:rsidRPr="008D250E" w:rsidR="00F74E98" w:rsidTr="003F2A8A" w14:paraId="5988A992" w14:textId="77777777">
        <w:trPr>
          <w:jc w:val="center"/>
        </w:trPr>
        <w:tc>
          <w:tcPr>
            <w:tcW w:w="468" w:type="dxa"/>
            <w:tcBorders>
              <w:bottom w:val="single" w:color="auto" w:sz="4" w:space="0"/>
            </w:tcBorders>
            <w:shd w:val="clear" w:color="auto" w:fill="auto"/>
          </w:tcPr>
          <w:p w:rsidRPr="008D250E" w:rsidR="003B6A1B" w:rsidP="003B6A1B" w:rsidRDefault="001C0DD1" w14:paraId="454061C0" w14:textId="77777777">
            <w:pPr>
              <w:spacing w:before="60" w:after="60"/>
              <w:rPr>
                <w:color w:val="000000"/>
              </w:rPr>
            </w:pPr>
            <w:r w:rsidRPr="008D250E">
              <w:rPr>
                <w:color w:val="000000"/>
              </w:rPr>
              <w:t>2.</w:t>
            </w:r>
          </w:p>
        </w:tc>
        <w:tc>
          <w:tcPr>
            <w:tcW w:w="1619" w:type="dxa"/>
            <w:gridSpan w:val="2"/>
            <w:tcBorders>
              <w:bottom w:val="single" w:color="auto" w:sz="4" w:space="0"/>
            </w:tcBorders>
            <w:shd w:val="clear" w:color="auto" w:fill="auto"/>
          </w:tcPr>
          <w:p w:rsidRPr="008D250E" w:rsidR="003B6A1B" w:rsidP="003B6A1B" w:rsidRDefault="00126021" w14:paraId="51F2CAB8" w14:textId="296462DC">
            <w:pPr>
              <w:spacing w:before="60" w:after="60"/>
              <w:rPr>
                <w:color w:val="000000"/>
              </w:rPr>
            </w:pPr>
            <w:r w:rsidRPr="008D250E">
              <w:rPr>
                <w:color w:val="000000"/>
              </w:rPr>
              <w:t>Postage</w:t>
            </w:r>
          </w:p>
        </w:tc>
        <w:tc>
          <w:tcPr>
            <w:tcW w:w="3578" w:type="dxa"/>
            <w:gridSpan w:val="6"/>
            <w:tcBorders>
              <w:top w:val="single" w:color="auto" w:sz="4" w:space="0"/>
              <w:left w:val="single" w:color="auto" w:sz="4" w:space="0"/>
              <w:bottom w:val="single" w:color="auto" w:sz="4" w:space="0"/>
              <w:right w:val="single" w:color="auto" w:sz="4" w:space="0"/>
            </w:tcBorders>
            <w:shd w:val="clear" w:color="auto" w:fill="auto"/>
          </w:tcPr>
          <w:p w:rsidRPr="008D250E" w:rsidR="003B6A1B" w:rsidP="003B6A1B" w:rsidRDefault="00126021" w14:paraId="6A57CD68" w14:textId="29C4B6A6">
            <w:pPr>
              <w:spacing w:before="60" w:after="60"/>
              <w:rPr>
                <w:color w:val="000000"/>
              </w:rPr>
            </w:pPr>
            <w:r w:rsidRPr="008D250E">
              <w:rPr>
                <w:color w:val="000000"/>
              </w:rPr>
              <w:t>Postage expenses regarding proceeding I.14</w:t>
            </w:r>
            <w:r w:rsidR="00747698">
              <w:rPr>
                <w:color w:val="000000"/>
              </w:rPr>
              <w:noBreakHyphen/>
            </w:r>
            <w:r w:rsidRPr="008D250E">
              <w:rPr>
                <w:color w:val="000000"/>
              </w:rPr>
              <w:t>05</w:t>
            </w:r>
            <w:r w:rsidR="00747698">
              <w:rPr>
                <w:color w:val="000000"/>
              </w:rPr>
              <w:noBreakHyphen/>
            </w:r>
            <w:r w:rsidRPr="008D250E">
              <w:rPr>
                <w:color w:val="000000"/>
              </w:rPr>
              <w:t>012.</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3B6A1B" w:rsidP="006F4E0F" w:rsidRDefault="006F4E0F" w14:paraId="45700372" w14:textId="7B8EEC4D">
            <w:pPr>
              <w:spacing w:before="60" w:after="60"/>
              <w:jc w:val="right"/>
              <w:rPr>
                <w:color w:val="000000"/>
              </w:rPr>
            </w:pPr>
            <w:r w:rsidRPr="008D250E">
              <w:rPr>
                <w:color w:val="000000"/>
              </w:rPr>
              <w:t>$8.81</w:t>
            </w:r>
          </w:p>
        </w:tc>
        <w:tc>
          <w:tcPr>
            <w:tcW w:w="3509" w:type="dxa"/>
            <w:gridSpan w:val="3"/>
            <w:tcBorders>
              <w:left w:val="single" w:color="auto" w:sz="24" w:space="0"/>
            </w:tcBorders>
            <w:shd w:val="clear" w:color="auto" w:fill="auto"/>
          </w:tcPr>
          <w:p w:rsidRPr="008D250E" w:rsidR="003B6A1B" w:rsidP="003F2A8A" w:rsidRDefault="00663C84" w14:paraId="7540FF22" w14:textId="76CECEC3">
            <w:pPr>
              <w:spacing w:before="60" w:after="60"/>
              <w:jc w:val="right"/>
              <w:rPr>
                <w:color w:val="000000"/>
              </w:rPr>
            </w:pPr>
            <w:r>
              <w:rPr>
                <w:color w:val="000000"/>
              </w:rPr>
              <w:t>$8.81</w:t>
            </w:r>
          </w:p>
        </w:tc>
      </w:tr>
      <w:tr w:rsidRPr="008D250E" w:rsidR="00126021" w:rsidTr="003F2A8A" w14:paraId="780700D4" w14:textId="77777777">
        <w:trPr>
          <w:jc w:val="center"/>
        </w:trPr>
        <w:tc>
          <w:tcPr>
            <w:tcW w:w="468" w:type="dxa"/>
            <w:tcBorders>
              <w:bottom w:val="single" w:color="auto" w:sz="4" w:space="0"/>
            </w:tcBorders>
            <w:shd w:val="clear" w:color="auto" w:fill="auto"/>
          </w:tcPr>
          <w:p w:rsidRPr="008D250E" w:rsidR="00126021" w:rsidP="003B6A1B" w:rsidRDefault="00126021" w14:paraId="419D3BE1" w14:textId="3FB7CFC8">
            <w:pPr>
              <w:spacing w:before="60" w:after="60"/>
              <w:rPr>
                <w:color w:val="000000"/>
              </w:rPr>
            </w:pPr>
            <w:r w:rsidRPr="008D250E">
              <w:rPr>
                <w:color w:val="000000"/>
              </w:rPr>
              <w:t>3.</w:t>
            </w:r>
          </w:p>
        </w:tc>
        <w:tc>
          <w:tcPr>
            <w:tcW w:w="1619" w:type="dxa"/>
            <w:gridSpan w:val="2"/>
            <w:tcBorders>
              <w:bottom w:val="single" w:color="auto" w:sz="4" w:space="0"/>
            </w:tcBorders>
            <w:shd w:val="clear" w:color="auto" w:fill="auto"/>
          </w:tcPr>
          <w:p w:rsidRPr="008D250E" w:rsidR="00126021" w:rsidP="003B6A1B" w:rsidRDefault="00126021" w14:paraId="480EFFD4" w14:textId="09AB14C9">
            <w:pPr>
              <w:spacing w:before="60" w:after="60"/>
              <w:rPr>
                <w:color w:val="000000"/>
              </w:rPr>
            </w:pPr>
            <w:r w:rsidRPr="008D250E">
              <w:rPr>
                <w:color w:val="000000"/>
              </w:rPr>
              <w:t>Phone</w:t>
            </w:r>
          </w:p>
        </w:tc>
        <w:tc>
          <w:tcPr>
            <w:tcW w:w="3578" w:type="dxa"/>
            <w:gridSpan w:val="6"/>
            <w:tcBorders>
              <w:top w:val="single" w:color="auto" w:sz="4" w:space="0"/>
              <w:left w:val="single" w:color="auto" w:sz="4" w:space="0"/>
              <w:bottom w:val="single" w:color="auto" w:sz="4" w:space="0"/>
              <w:right w:val="single" w:color="auto" w:sz="4" w:space="0"/>
            </w:tcBorders>
            <w:shd w:val="clear" w:color="auto" w:fill="auto"/>
          </w:tcPr>
          <w:p w:rsidRPr="008D250E" w:rsidR="00126021" w:rsidP="003B6A1B" w:rsidRDefault="00126021" w14:paraId="027940BC" w14:textId="0349106E">
            <w:pPr>
              <w:spacing w:before="60" w:after="60"/>
              <w:rPr>
                <w:color w:val="000000"/>
              </w:rPr>
            </w:pPr>
            <w:r w:rsidRPr="008D250E">
              <w:rPr>
                <w:color w:val="000000"/>
              </w:rPr>
              <w:t>Phone bill for calls or conference calls necessary for proceeding.</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126021" w:rsidP="006F4E0F" w:rsidRDefault="006F4E0F" w14:paraId="00B5222D" w14:textId="10F3FF1E">
            <w:pPr>
              <w:spacing w:before="60" w:after="60"/>
              <w:jc w:val="right"/>
              <w:rPr>
                <w:color w:val="000000"/>
              </w:rPr>
            </w:pPr>
            <w:r w:rsidRPr="008D250E">
              <w:rPr>
                <w:color w:val="000000"/>
              </w:rPr>
              <w:t>$2.77</w:t>
            </w:r>
          </w:p>
        </w:tc>
        <w:tc>
          <w:tcPr>
            <w:tcW w:w="3509" w:type="dxa"/>
            <w:gridSpan w:val="3"/>
            <w:tcBorders>
              <w:left w:val="single" w:color="auto" w:sz="24" w:space="0"/>
            </w:tcBorders>
            <w:shd w:val="clear" w:color="auto" w:fill="auto"/>
          </w:tcPr>
          <w:p w:rsidRPr="008D250E" w:rsidR="00126021" w:rsidP="003F2A8A" w:rsidRDefault="00663C84" w14:paraId="3FECBC77" w14:textId="6E2C49CF">
            <w:pPr>
              <w:spacing w:before="60" w:after="60"/>
              <w:jc w:val="right"/>
              <w:rPr>
                <w:color w:val="000000"/>
              </w:rPr>
            </w:pPr>
            <w:r>
              <w:rPr>
                <w:color w:val="000000"/>
              </w:rPr>
              <w:t>$2.77</w:t>
            </w:r>
          </w:p>
        </w:tc>
      </w:tr>
      <w:tr w:rsidRPr="008D250E" w:rsidR="00126021" w:rsidTr="003F2A8A" w14:paraId="6300C9F7" w14:textId="77777777">
        <w:trPr>
          <w:jc w:val="center"/>
        </w:trPr>
        <w:tc>
          <w:tcPr>
            <w:tcW w:w="468" w:type="dxa"/>
            <w:tcBorders>
              <w:bottom w:val="single" w:color="auto" w:sz="4" w:space="0"/>
            </w:tcBorders>
            <w:shd w:val="clear" w:color="auto" w:fill="auto"/>
          </w:tcPr>
          <w:p w:rsidRPr="008D250E" w:rsidR="00126021" w:rsidP="003B6A1B" w:rsidRDefault="00C65A26" w14:paraId="472EAC42" w14:textId="2FA9CB34">
            <w:pPr>
              <w:spacing w:before="60" w:after="60"/>
              <w:rPr>
                <w:color w:val="000000"/>
              </w:rPr>
            </w:pPr>
            <w:r w:rsidRPr="008D250E">
              <w:rPr>
                <w:color w:val="000000"/>
              </w:rPr>
              <w:t>4.</w:t>
            </w:r>
          </w:p>
        </w:tc>
        <w:tc>
          <w:tcPr>
            <w:tcW w:w="1619" w:type="dxa"/>
            <w:gridSpan w:val="2"/>
            <w:tcBorders>
              <w:bottom w:val="single" w:color="auto" w:sz="4" w:space="0"/>
            </w:tcBorders>
            <w:shd w:val="clear" w:color="auto" w:fill="auto"/>
          </w:tcPr>
          <w:p w:rsidRPr="008D250E" w:rsidR="00126021" w:rsidP="003B6A1B" w:rsidRDefault="00C65A26" w14:paraId="64933039" w14:textId="1FE5684D">
            <w:pPr>
              <w:spacing w:before="60" w:after="60"/>
              <w:rPr>
                <w:color w:val="000000"/>
              </w:rPr>
            </w:pPr>
            <w:r w:rsidRPr="008D250E">
              <w:rPr>
                <w:color w:val="000000"/>
              </w:rPr>
              <w:t>Lexis Advance</w:t>
            </w:r>
          </w:p>
        </w:tc>
        <w:tc>
          <w:tcPr>
            <w:tcW w:w="3578" w:type="dxa"/>
            <w:gridSpan w:val="6"/>
            <w:tcBorders>
              <w:top w:val="single" w:color="auto" w:sz="4" w:space="0"/>
              <w:left w:val="single" w:color="auto" w:sz="4" w:space="0"/>
              <w:bottom w:val="single" w:color="auto" w:sz="4" w:space="0"/>
              <w:right w:val="single" w:color="auto" w:sz="4" w:space="0"/>
            </w:tcBorders>
            <w:shd w:val="clear" w:color="auto" w:fill="auto"/>
          </w:tcPr>
          <w:p w:rsidRPr="008D250E" w:rsidR="00126021" w:rsidP="003B6A1B" w:rsidRDefault="00C65A26" w14:paraId="7DADE926" w14:textId="39BF1943">
            <w:pPr>
              <w:spacing w:before="60" w:after="60"/>
              <w:rPr>
                <w:color w:val="000000"/>
              </w:rPr>
            </w:pPr>
            <w:r w:rsidRPr="008D250E">
              <w:rPr>
                <w:color w:val="000000"/>
              </w:rPr>
              <w:t>Legal research on Lexis Advance related to proceeding I.14</w:t>
            </w:r>
            <w:r w:rsidR="00747698">
              <w:rPr>
                <w:color w:val="000000"/>
              </w:rPr>
              <w:noBreakHyphen/>
            </w:r>
            <w:r w:rsidRPr="008D250E">
              <w:rPr>
                <w:color w:val="000000"/>
              </w:rPr>
              <w:t>05</w:t>
            </w:r>
            <w:r w:rsidR="00747698">
              <w:rPr>
                <w:color w:val="000000"/>
              </w:rPr>
              <w:noBreakHyphen/>
            </w:r>
            <w:r w:rsidRPr="008D250E">
              <w:rPr>
                <w:color w:val="000000"/>
              </w:rPr>
              <w:t>012.</w:t>
            </w:r>
          </w:p>
        </w:tc>
        <w:tc>
          <w:tcPr>
            <w:tcW w:w="1347" w:type="dxa"/>
            <w:gridSpan w:val="2"/>
            <w:tcBorders>
              <w:top w:val="single" w:color="auto" w:sz="4" w:space="0"/>
              <w:left w:val="single" w:color="auto" w:sz="4" w:space="0"/>
              <w:bottom w:val="single" w:color="auto" w:sz="4" w:space="0"/>
              <w:right w:val="single" w:color="auto" w:sz="24" w:space="0"/>
            </w:tcBorders>
            <w:shd w:val="clear" w:color="auto" w:fill="auto"/>
          </w:tcPr>
          <w:p w:rsidRPr="008D250E" w:rsidR="00126021" w:rsidP="006F4E0F" w:rsidRDefault="006F4E0F" w14:paraId="13D64CF8" w14:textId="56E7AD66">
            <w:pPr>
              <w:spacing w:before="60" w:after="60"/>
              <w:jc w:val="right"/>
              <w:rPr>
                <w:color w:val="000000"/>
              </w:rPr>
            </w:pPr>
            <w:r w:rsidRPr="008D250E">
              <w:rPr>
                <w:color w:val="000000"/>
              </w:rPr>
              <w:t>$277.00</w:t>
            </w:r>
          </w:p>
        </w:tc>
        <w:tc>
          <w:tcPr>
            <w:tcW w:w="3509" w:type="dxa"/>
            <w:gridSpan w:val="3"/>
            <w:tcBorders>
              <w:left w:val="single" w:color="auto" w:sz="24" w:space="0"/>
            </w:tcBorders>
            <w:shd w:val="clear" w:color="auto" w:fill="auto"/>
          </w:tcPr>
          <w:p w:rsidRPr="008D250E" w:rsidR="00126021" w:rsidP="003F2A8A" w:rsidRDefault="00663C84" w14:paraId="1F538ACE" w14:textId="3222D802">
            <w:pPr>
              <w:spacing w:before="60" w:after="60"/>
              <w:jc w:val="right"/>
              <w:rPr>
                <w:color w:val="000000"/>
              </w:rPr>
            </w:pPr>
            <w:r>
              <w:rPr>
                <w:color w:val="000000"/>
              </w:rPr>
              <w:t>$277.00</w:t>
            </w:r>
          </w:p>
        </w:tc>
      </w:tr>
      <w:tr w:rsidRPr="008D250E" w:rsidR="003B6A1B" w:rsidTr="003F2A8A" w14:paraId="7D250EBF" w14:textId="77777777">
        <w:trPr>
          <w:jc w:val="center"/>
        </w:trPr>
        <w:tc>
          <w:tcPr>
            <w:tcW w:w="7012" w:type="dxa"/>
            <w:gridSpan w:val="11"/>
            <w:tcBorders>
              <w:bottom w:val="single" w:color="auto" w:sz="4" w:space="0"/>
              <w:right w:val="single" w:color="auto" w:sz="24" w:space="0"/>
            </w:tcBorders>
            <w:shd w:val="clear" w:color="auto" w:fill="auto"/>
            <w:vAlign w:val="bottom"/>
          </w:tcPr>
          <w:p w:rsidRPr="008D250E" w:rsidR="003B6A1B" w:rsidP="00050A9C" w:rsidRDefault="003B6A1B" w14:paraId="6ADE275E" w14:textId="350C2DF9">
            <w:pPr>
              <w:tabs>
                <w:tab w:val="left" w:pos="957"/>
              </w:tabs>
              <w:ind w:right="162"/>
              <w:jc w:val="right"/>
              <w:rPr>
                <w:b/>
                <w:i/>
                <w:color w:val="000000"/>
              </w:rPr>
            </w:pPr>
            <w:r w:rsidRPr="008D250E">
              <w:rPr>
                <w:b/>
                <w:i/>
                <w:color w:val="000000"/>
              </w:rPr>
              <w:t>Subtotal: $</w:t>
            </w:r>
            <w:r w:rsidRPr="008D250E" w:rsidR="006F4E0F">
              <w:rPr>
                <w:b/>
                <w:i/>
                <w:color w:val="000000"/>
              </w:rPr>
              <w:t>301.68</w:t>
            </w:r>
          </w:p>
        </w:tc>
        <w:tc>
          <w:tcPr>
            <w:tcW w:w="3509" w:type="dxa"/>
            <w:gridSpan w:val="3"/>
            <w:tcBorders>
              <w:left w:val="single" w:color="auto" w:sz="24" w:space="0"/>
            </w:tcBorders>
            <w:shd w:val="clear" w:color="auto" w:fill="auto"/>
            <w:vAlign w:val="bottom"/>
          </w:tcPr>
          <w:p w:rsidRPr="008D250E" w:rsidR="003B6A1B" w:rsidP="00050A9C" w:rsidRDefault="003B6A1B" w14:paraId="67993F7A" w14:textId="5C9CE045">
            <w:pPr>
              <w:tabs>
                <w:tab w:val="left" w:pos="957"/>
              </w:tabs>
              <w:ind w:right="162"/>
              <w:jc w:val="right"/>
              <w:rPr>
                <w:b/>
                <w:i/>
                <w:color w:val="000000"/>
              </w:rPr>
            </w:pPr>
            <w:r w:rsidRPr="008D250E">
              <w:rPr>
                <w:b/>
                <w:i/>
                <w:color w:val="000000"/>
              </w:rPr>
              <w:t>Subtotal: $</w:t>
            </w:r>
            <w:r w:rsidR="00663C84">
              <w:rPr>
                <w:b/>
                <w:i/>
                <w:color w:val="000000"/>
              </w:rPr>
              <w:t>301.68</w:t>
            </w:r>
          </w:p>
        </w:tc>
      </w:tr>
      <w:tr w:rsidRPr="008D250E" w:rsidR="003B6A1B" w:rsidTr="003F2A8A" w14:paraId="06E7371A" w14:textId="77777777">
        <w:trPr>
          <w:jc w:val="center"/>
        </w:trPr>
        <w:tc>
          <w:tcPr>
            <w:tcW w:w="7012" w:type="dxa"/>
            <w:gridSpan w:val="11"/>
            <w:tcBorders>
              <w:top w:val="single" w:color="auto" w:sz="4" w:space="0"/>
              <w:bottom w:val="single" w:color="auto" w:sz="4" w:space="0"/>
              <w:right w:val="single" w:color="auto" w:sz="24" w:space="0"/>
            </w:tcBorders>
            <w:shd w:val="clear" w:color="auto" w:fill="E6E6E6"/>
            <w:vAlign w:val="bottom"/>
          </w:tcPr>
          <w:p w:rsidRPr="008D250E" w:rsidR="003B6A1B" w:rsidP="00050A9C" w:rsidRDefault="003B6A1B" w14:paraId="11B3B704" w14:textId="41EF8C6D">
            <w:pPr>
              <w:tabs>
                <w:tab w:val="left" w:pos="957"/>
              </w:tabs>
              <w:ind w:right="72"/>
              <w:jc w:val="right"/>
              <w:rPr>
                <w:b/>
                <w:color w:val="000000"/>
              </w:rPr>
            </w:pPr>
            <w:r w:rsidRPr="008D250E">
              <w:rPr>
                <w:b/>
                <w:i/>
                <w:color w:val="000000"/>
              </w:rPr>
              <w:t>TOTAL REQUEST: $</w:t>
            </w:r>
            <w:r w:rsidRPr="008D250E" w:rsidR="00753E97">
              <w:rPr>
                <w:b/>
                <w:i/>
                <w:color w:val="000000"/>
              </w:rPr>
              <w:t>88,054.18</w:t>
            </w:r>
          </w:p>
        </w:tc>
        <w:tc>
          <w:tcPr>
            <w:tcW w:w="3509" w:type="dxa"/>
            <w:gridSpan w:val="3"/>
            <w:tcBorders>
              <w:left w:val="single" w:color="auto" w:sz="24" w:space="0"/>
            </w:tcBorders>
            <w:shd w:val="clear" w:color="auto" w:fill="E6E6E6"/>
            <w:vAlign w:val="bottom"/>
          </w:tcPr>
          <w:p w:rsidRPr="008D250E" w:rsidR="003B6A1B" w:rsidP="00050A9C" w:rsidRDefault="003B6A1B" w14:paraId="3680D139" w14:textId="62EF7D6D">
            <w:pPr>
              <w:tabs>
                <w:tab w:val="left" w:pos="957"/>
              </w:tabs>
              <w:ind w:right="72"/>
              <w:jc w:val="right"/>
              <w:rPr>
                <w:b/>
                <w:color w:val="000000"/>
              </w:rPr>
            </w:pPr>
            <w:r w:rsidRPr="008D250E">
              <w:rPr>
                <w:b/>
                <w:i/>
                <w:color w:val="000000"/>
              </w:rPr>
              <w:t>TOTAL AWARD: $</w:t>
            </w:r>
            <w:r w:rsidR="00663C84">
              <w:rPr>
                <w:b/>
                <w:i/>
                <w:color w:val="000000"/>
              </w:rPr>
              <w:t>88,054.18</w:t>
            </w:r>
          </w:p>
        </w:tc>
      </w:tr>
      <w:tr w:rsidRPr="008D250E" w:rsidR="003B6A1B" w:rsidTr="00D769BE" w14:paraId="6A909BC1" w14:textId="77777777">
        <w:trPr>
          <w:jc w:val="center"/>
        </w:trPr>
        <w:tc>
          <w:tcPr>
            <w:tcW w:w="10521" w:type="dxa"/>
            <w:gridSpan w:val="14"/>
            <w:tcBorders>
              <w:top w:val="single" w:color="auto" w:sz="4" w:space="0"/>
              <w:bottom w:val="single" w:color="auto" w:sz="4" w:space="0"/>
            </w:tcBorders>
            <w:shd w:val="clear" w:color="auto" w:fill="auto"/>
          </w:tcPr>
          <w:p w:rsidRPr="008D250E" w:rsidR="003B6A1B" w:rsidP="00A11A22" w:rsidRDefault="003B6A1B" w14:paraId="6F39872E" w14:textId="1AA6F98D">
            <w:pPr>
              <w:spacing w:after="120"/>
              <w:rPr>
                <w:color w:val="000000"/>
              </w:rPr>
            </w:pPr>
            <w:r w:rsidRPr="008D250E">
              <w:rPr>
                <w:color w:val="000000"/>
              </w:rPr>
              <w:t xml:space="preserve">  *We remind all intervenors that Commission staff may audit </w:t>
            </w:r>
            <w:r w:rsidRPr="008D250E">
              <w:t>the records and books of the intervenors to the extent necessary to verify the basis for the award (</w:t>
            </w:r>
            <w:r w:rsidR="0095390B">
              <w:t>§ </w:t>
            </w:r>
            <w:r w:rsidRPr="008D250E">
              <w:t>1804(d)).  I</w:t>
            </w:r>
            <w:r w:rsidRPr="008D250E">
              <w:rPr>
                <w:color w:val="000000"/>
              </w:rPr>
              <w:t xml:space="preserve">ntervenors must make and retain </w:t>
            </w:r>
            <w:r w:rsidRPr="008D250E">
              <w:rPr>
                <w:color w:val="000000"/>
              </w:rPr>
              <w:lastRenderedPageBreak/>
              <w:t xml:space="preserve">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8D250E" w:rsidR="003B6A1B" w:rsidP="00A11A22" w:rsidRDefault="003B6A1B" w14:paraId="0D03EC65" w14:textId="77777777">
            <w:pPr>
              <w:spacing w:after="120"/>
              <w:rPr>
                <w:color w:val="000000"/>
              </w:rPr>
            </w:pPr>
            <w:r w:rsidRPr="008D250E">
              <w:rPr>
                <w:color w:val="000000"/>
              </w:rPr>
              <w:t>**Travel and Reasonable Claim preparation time are typically compensated at ½ of preparer’s normal hourly rate</w:t>
            </w:r>
            <w:r w:rsidRPr="008D250E" w:rsidDel="00D075B1">
              <w:rPr>
                <w:color w:val="000000"/>
              </w:rPr>
              <w:t xml:space="preserve"> </w:t>
            </w:r>
          </w:p>
        </w:tc>
      </w:tr>
      <w:tr w:rsidRPr="008D250E" w:rsidR="003B6A1B" w:rsidTr="00D769BE" w14:paraId="458B01A4" w14:textId="77777777">
        <w:trPr>
          <w:jc w:val="center"/>
        </w:trPr>
        <w:tc>
          <w:tcPr>
            <w:tcW w:w="10521" w:type="dxa"/>
            <w:gridSpan w:val="1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D250E" w:rsidR="003B6A1B" w:rsidP="00DD52BB" w:rsidRDefault="003B6A1B" w14:paraId="48B43CBD" w14:textId="77777777">
            <w:pPr>
              <w:spacing w:before="60" w:after="60"/>
              <w:jc w:val="center"/>
              <w:rPr>
                <w:b/>
                <w:smallCaps/>
                <w:color w:val="000000"/>
              </w:rPr>
            </w:pPr>
            <w:r w:rsidRPr="008D250E">
              <w:rPr>
                <w:b/>
                <w:smallCaps/>
                <w:color w:val="000000"/>
              </w:rPr>
              <w:lastRenderedPageBreak/>
              <w:t>ATTORNEY INFORMATION</w:t>
            </w:r>
          </w:p>
        </w:tc>
      </w:tr>
      <w:tr w:rsidRPr="008D250E" w:rsidR="003B6A1B" w:rsidTr="003F2A8A" w14:paraId="790C92C0" w14:textId="77777777">
        <w:trPr>
          <w:jc w:val="center"/>
        </w:trPr>
        <w:tc>
          <w:tcPr>
            <w:tcW w:w="2537" w:type="dxa"/>
            <w:gridSpan w:val="5"/>
            <w:tcBorders>
              <w:top w:val="single" w:color="auto" w:sz="4" w:space="0"/>
              <w:bottom w:val="single" w:color="auto" w:sz="4" w:space="0"/>
            </w:tcBorders>
            <w:shd w:val="clear" w:color="auto" w:fill="FFFFFF"/>
            <w:vAlign w:val="bottom"/>
          </w:tcPr>
          <w:p w:rsidRPr="008D250E" w:rsidR="003B6A1B" w:rsidP="001C2E83" w:rsidRDefault="003B6A1B" w14:paraId="00CAC866" w14:textId="77777777">
            <w:pPr>
              <w:keepNext/>
              <w:keepLines/>
              <w:jc w:val="center"/>
              <w:rPr>
                <w:b/>
                <w:color w:val="000000"/>
                <w:sz w:val="22"/>
                <w:szCs w:val="22"/>
              </w:rPr>
            </w:pPr>
            <w:r w:rsidRPr="008D250E">
              <w:rPr>
                <w:b/>
                <w:sz w:val="22"/>
                <w:szCs w:val="22"/>
              </w:rPr>
              <w:t>Attorney</w:t>
            </w:r>
          </w:p>
        </w:tc>
        <w:tc>
          <w:tcPr>
            <w:tcW w:w="1799" w:type="dxa"/>
            <w:gridSpan w:val="3"/>
            <w:tcBorders>
              <w:top w:val="single" w:color="auto" w:sz="4" w:space="0"/>
              <w:bottom w:val="single" w:color="auto" w:sz="4" w:space="0"/>
            </w:tcBorders>
            <w:shd w:val="clear" w:color="auto" w:fill="FFFFFF"/>
            <w:vAlign w:val="bottom"/>
          </w:tcPr>
          <w:p w:rsidR="001C2E83" w:rsidP="001C2E83" w:rsidRDefault="003B6A1B" w14:paraId="3605DE26" w14:textId="77777777">
            <w:pPr>
              <w:keepNext/>
              <w:keepLines/>
              <w:jc w:val="center"/>
              <w:rPr>
                <w:b/>
                <w:sz w:val="22"/>
                <w:szCs w:val="22"/>
              </w:rPr>
            </w:pPr>
            <w:r w:rsidRPr="008D250E">
              <w:rPr>
                <w:b/>
                <w:sz w:val="22"/>
                <w:szCs w:val="22"/>
              </w:rPr>
              <w:t xml:space="preserve">Date Admitted </w:t>
            </w:r>
          </w:p>
          <w:p w:rsidRPr="008D250E" w:rsidR="003B6A1B" w:rsidP="001C2E83" w:rsidRDefault="003B6A1B" w14:paraId="7E76A008" w14:textId="03CEF7D2">
            <w:pPr>
              <w:keepNext/>
              <w:keepLines/>
              <w:jc w:val="center"/>
              <w:rPr>
                <w:b/>
                <w:color w:val="000000"/>
                <w:sz w:val="22"/>
                <w:szCs w:val="22"/>
              </w:rPr>
            </w:pPr>
            <w:r w:rsidRPr="008D250E">
              <w:rPr>
                <w:b/>
                <w:sz w:val="22"/>
                <w:szCs w:val="22"/>
              </w:rPr>
              <w:t>to CA BAR</w:t>
            </w:r>
            <w:r w:rsidRPr="008D250E">
              <w:rPr>
                <w:rStyle w:val="FootnoteReference"/>
                <w:b/>
                <w:sz w:val="22"/>
                <w:szCs w:val="22"/>
              </w:rPr>
              <w:footnoteReference w:id="3"/>
            </w:r>
          </w:p>
        </w:tc>
        <w:tc>
          <w:tcPr>
            <w:tcW w:w="2159" w:type="dxa"/>
            <w:gridSpan w:val="2"/>
            <w:tcBorders>
              <w:top w:val="single" w:color="auto" w:sz="4" w:space="0"/>
              <w:bottom w:val="single" w:color="auto" w:sz="4" w:space="0"/>
            </w:tcBorders>
            <w:shd w:val="clear" w:color="auto" w:fill="FFFFFF"/>
            <w:vAlign w:val="bottom"/>
          </w:tcPr>
          <w:p w:rsidRPr="008D250E" w:rsidR="003B6A1B" w:rsidP="001C2E83" w:rsidRDefault="003B6A1B" w14:paraId="27E64ED7" w14:textId="77777777">
            <w:pPr>
              <w:keepNext/>
              <w:keepLines/>
              <w:jc w:val="center"/>
              <w:rPr>
                <w:b/>
                <w:color w:val="000000"/>
                <w:sz w:val="22"/>
                <w:szCs w:val="22"/>
              </w:rPr>
            </w:pPr>
            <w:r w:rsidRPr="008D250E">
              <w:rPr>
                <w:b/>
                <w:sz w:val="22"/>
                <w:szCs w:val="22"/>
              </w:rPr>
              <w:t>Member Number</w:t>
            </w:r>
          </w:p>
        </w:tc>
        <w:tc>
          <w:tcPr>
            <w:tcW w:w="4026" w:type="dxa"/>
            <w:gridSpan w:val="4"/>
            <w:tcBorders>
              <w:top w:val="single" w:color="auto" w:sz="4" w:space="0"/>
              <w:bottom w:val="single" w:color="auto" w:sz="4" w:space="0"/>
            </w:tcBorders>
            <w:shd w:val="clear" w:color="auto" w:fill="FFFFFF"/>
            <w:vAlign w:val="bottom"/>
          </w:tcPr>
          <w:p w:rsidR="00813E0E" w:rsidP="001C2E83" w:rsidRDefault="003B6A1B" w14:paraId="2E6D16D3" w14:textId="77777777">
            <w:pPr>
              <w:keepNext/>
              <w:keepLines/>
              <w:jc w:val="center"/>
              <w:rPr>
                <w:b/>
                <w:sz w:val="22"/>
                <w:szCs w:val="22"/>
              </w:rPr>
            </w:pPr>
            <w:r w:rsidRPr="008D250E">
              <w:rPr>
                <w:b/>
                <w:sz w:val="22"/>
                <w:szCs w:val="22"/>
              </w:rPr>
              <w:t xml:space="preserve">Actions Affecting </w:t>
            </w:r>
          </w:p>
          <w:p w:rsidRPr="008D250E" w:rsidR="003B6A1B" w:rsidP="001C2E83" w:rsidRDefault="003B6A1B" w14:paraId="496B5DC1" w14:textId="60656F56">
            <w:pPr>
              <w:keepNext/>
              <w:keepLines/>
              <w:jc w:val="center"/>
              <w:rPr>
                <w:b/>
                <w:sz w:val="22"/>
                <w:szCs w:val="22"/>
              </w:rPr>
            </w:pPr>
            <w:r w:rsidRPr="008D250E">
              <w:rPr>
                <w:b/>
                <w:sz w:val="22"/>
                <w:szCs w:val="22"/>
              </w:rPr>
              <w:t>Eligibility (Yes/No?)</w:t>
            </w:r>
          </w:p>
          <w:p w:rsidRPr="008D250E" w:rsidR="003B6A1B" w:rsidP="001C2E83" w:rsidRDefault="003B6A1B" w14:paraId="36F8922D" w14:textId="77777777">
            <w:pPr>
              <w:keepNext/>
              <w:keepLines/>
              <w:jc w:val="center"/>
              <w:rPr>
                <w:b/>
                <w:color w:val="000000"/>
                <w:sz w:val="22"/>
                <w:szCs w:val="22"/>
              </w:rPr>
            </w:pPr>
            <w:r w:rsidRPr="008D250E">
              <w:rPr>
                <w:b/>
                <w:sz w:val="22"/>
                <w:szCs w:val="22"/>
              </w:rPr>
              <w:t>If “Yes”, attach explanation</w:t>
            </w:r>
          </w:p>
        </w:tc>
      </w:tr>
      <w:tr w:rsidRPr="008D250E" w:rsidR="003B6A1B" w:rsidTr="003F2A8A" w14:paraId="4DC5EE9B" w14:textId="77777777">
        <w:trPr>
          <w:trHeight w:val="172"/>
          <w:jc w:val="center"/>
        </w:trPr>
        <w:tc>
          <w:tcPr>
            <w:tcW w:w="2537" w:type="dxa"/>
            <w:gridSpan w:val="5"/>
            <w:tcBorders>
              <w:top w:val="single" w:color="auto" w:sz="4" w:space="0"/>
              <w:bottom w:val="single" w:color="auto" w:sz="4" w:space="0"/>
            </w:tcBorders>
            <w:shd w:val="clear" w:color="auto" w:fill="auto"/>
          </w:tcPr>
          <w:p w:rsidRPr="008D250E" w:rsidR="003B6A1B" w:rsidP="00DD52BB" w:rsidRDefault="00932A25" w14:paraId="7266B7BF" w14:textId="7A5A3F15">
            <w:pPr>
              <w:keepNext/>
              <w:keepLines/>
              <w:spacing w:before="60" w:after="60"/>
              <w:jc w:val="center"/>
              <w:rPr>
                <w:color w:val="000000"/>
              </w:rPr>
            </w:pPr>
            <w:r w:rsidRPr="008D250E">
              <w:rPr>
                <w:color w:val="000000"/>
              </w:rPr>
              <w:t>Christine A. Mailloux</w:t>
            </w:r>
          </w:p>
        </w:tc>
        <w:tc>
          <w:tcPr>
            <w:tcW w:w="1799" w:type="dxa"/>
            <w:gridSpan w:val="3"/>
            <w:tcBorders>
              <w:top w:val="single" w:color="auto" w:sz="4" w:space="0"/>
              <w:bottom w:val="single" w:color="auto" w:sz="4" w:space="0"/>
            </w:tcBorders>
            <w:shd w:val="clear" w:color="auto" w:fill="auto"/>
          </w:tcPr>
          <w:p w:rsidRPr="008D250E" w:rsidR="003B6A1B" w:rsidP="00DD52BB" w:rsidRDefault="00932A25" w14:paraId="69A41F15" w14:textId="7332EFE1">
            <w:pPr>
              <w:keepNext/>
              <w:keepLines/>
              <w:spacing w:before="60" w:after="60"/>
              <w:jc w:val="center"/>
              <w:rPr>
                <w:color w:val="000000"/>
              </w:rPr>
            </w:pPr>
            <w:r w:rsidRPr="008D250E">
              <w:rPr>
                <w:color w:val="000000"/>
              </w:rPr>
              <w:t>12/93</w:t>
            </w:r>
          </w:p>
        </w:tc>
        <w:tc>
          <w:tcPr>
            <w:tcW w:w="2159" w:type="dxa"/>
            <w:gridSpan w:val="2"/>
            <w:tcBorders>
              <w:top w:val="single" w:color="auto" w:sz="4" w:space="0"/>
              <w:bottom w:val="single" w:color="auto" w:sz="4" w:space="0"/>
            </w:tcBorders>
            <w:shd w:val="clear" w:color="auto" w:fill="auto"/>
          </w:tcPr>
          <w:p w:rsidRPr="008D250E" w:rsidR="003B6A1B" w:rsidP="00DD52BB" w:rsidRDefault="00932A25" w14:paraId="58495CD7" w14:textId="04297045">
            <w:pPr>
              <w:keepNext/>
              <w:keepLines/>
              <w:spacing w:before="60" w:after="60"/>
              <w:jc w:val="center"/>
              <w:rPr>
                <w:color w:val="000000"/>
              </w:rPr>
            </w:pPr>
            <w:r w:rsidRPr="008D250E">
              <w:rPr>
                <w:color w:val="000000"/>
              </w:rPr>
              <w:t>167918</w:t>
            </w:r>
          </w:p>
        </w:tc>
        <w:tc>
          <w:tcPr>
            <w:tcW w:w="4026" w:type="dxa"/>
            <w:gridSpan w:val="4"/>
            <w:tcBorders>
              <w:top w:val="single" w:color="auto" w:sz="4" w:space="0"/>
              <w:bottom w:val="single" w:color="auto" w:sz="4" w:space="0"/>
            </w:tcBorders>
            <w:shd w:val="clear" w:color="auto" w:fill="auto"/>
          </w:tcPr>
          <w:p w:rsidRPr="008D250E" w:rsidR="003B6A1B" w:rsidP="00DD52BB" w:rsidRDefault="00932A25" w14:paraId="117B99BF" w14:textId="44C4BF56">
            <w:pPr>
              <w:keepNext/>
              <w:keepLines/>
              <w:spacing w:before="60" w:after="60"/>
              <w:jc w:val="center"/>
              <w:rPr>
                <w:color w:val="000000"/>
              </w:rPr>
            </w:pPr>
            <w:r w:rsidRPr="008D250E">
              <w:rPr>
                <w:color w:val="000000"/>
              </w:rPr>
              <w:t>No</w:t>
            </w:r>
          </w:p>
        </w:tc>
      </w:tr>
      <w:tr w:rsidRPr="008D250E" w:rsidR="003B6A1B" w:rsidTr="003F2A8A" w14:paraId="5D036E2E" w14:textId="77777777">
        <w:trPr>
          <w:trHeight w:val="172"/>
          <w:jc w:val="center"/>
        </w:trPr>
        <w:tc>
          <w:tcPr>
            <w:tcW w:w="2537" w:type="dxa"/>
            <w:gridSpan w:val="5"/>
            <w:tcBorders>
              <w:top w:val="single" w:color="auto" w:sz="4" w:space="0"/>
              <w:bottom w:val="single" w:color="auto" w:sz="4" w:space="0"/>
            </w:tcBorders>
            <w:shd w:val="clear" w:color="auto" w:fill="auto"/>
          </w:tcPr>
          <w:p w:rsidRPr="008D250E" w:rsidR="003B6A1B" w:rsidP="00DD52BB" w:rsidRDefault="00932A25" w14:paraId="3D5F8F51" w14:textId="4AED2FE4">
            <w:pPr>
              <w:keepNext/>
              <w:keepLines/>
              <w:spacing w:before="60" w:after="60"/>
              <w:jc w:val="center"/>
              <w:rPr>
                <w:color w:val="000000"/>
              </w:rPr>
            </w:pPr>
            <w:r w:rsidRPr="008D250E">
              <w:rPr>
                <w:color w:val="000000"/>
              </w:rPr>
              <w:t>Ashley L. Salas</w:t>
            </w:r>
          </w:p>
        </w:tc>
        <w:tc>
          <w:tcPr>
            <w:tcW w:w="1799" w:type="dxa"/>
            <w:gridSpan w:val="3"/>
            <w:tcBorders>
              <w:top w:val="single" w:color="auto" w:sz="4" w:space="0"/>
              <w:bottom w:val="single" w:color="auto" w:sz="4" w:space="0"/>
            </w:tcBorders>
            <w:shd w:val="clear" w:color="auto" w:fill="auto"/>
          </w:tcPr>
          <w:p w:rsidRPr="008D250E" w:rsidR="003B6A1B" w:rsidP="00DD52BB" w:rsidRDefault="00932A25" w14:paraId="1609FC8E" w14:textId="08531C04">
            <w:pPr>
              <w:keepNext/>
              <w:keepLines/>
              <w:spacing w:before="60" w:after="60"/>
              <w:jc w:val="center"/>
              <w:rPr>
                <w:color w:val="000000"/>
              </w:rPr>
            </w:pPr>
            <w:r w:rsidRPr="008D250E">
              <w:rPr>
                <w:color w:val="000000"/>
              </w:rPr>
              <w:t>12/15</w:t>
            </w:r>
          </w:p>
        </w:tc>
        <w:tc>
          <w:tcPr>
            <w:tcW w:w="2159" w:type="dxa"/>
            <w:gridSpan w:val="2"/>
            <w:tcBorders>
              <w:top w:val="single" w:color="auto" w:sz="4" w:space="0"/>
              <w:bottom w:val="single" w:color="auto" w:sz="4" w:space="0"/>
            </w:tcBorders>
            <w:shd w:val="clear" w:color="auto" w:fill="auto"/>
          </w:tcPr>
          <w:p w:rsidRPr="008D250E" w:rsidR="003B6A1B" w:rsidP="00DD52BB" w:rsidRDefault="00932A25" w14:paraId="182A9D2B" w14:textId="7766854A">
            <w:pPr>
              <w:keepNext/>
              <w:keepLines/>
              <w:spacing w:before="60" w:after="60"/>
              <w:jc w:val="center"/>
              <w:rPr>
                <w:color w:val="000000"/>
              </w:rPr>
            </w:pPr>
            <w:r w:rsidRPr="008D250E">
              <w:rPr>
                <w:color w:val="000000"/>
              </w:rPr>
              <w:t>308374</w:t>
            </w:r>
          </w:p>
        </w:tc>
        <w:tc>
          <w:tcPr>
            <w:tcW w:w="4026" w:type="dxa"/>
            <w:gridSpan w:val="4"/>
            <w:tcBorders>
              <w:top w:val="single" w:color="auto" w:sz="4" w:space="0"/>
              <w:bottom w:val="single" w:color="auto" w:sz="4" w:space="0"/>
            </w:tcBorders>
            <w:shd w:val="clear" w:color="auto" w:fill="auto"/>
          </w:tcPr>
          <w:p w:rsidRPr="008D250E" w:rsidR="003B6A1B" w:rsidP="00DD52BB" w:rsidRDefault="00932A25" w14:paraId="35DC3C56" w14:textId="33145ECC">
            <w:pPr>
              <w:keepNext/>
              <w:keepLines/>
              <w:spacing w:before="60" w:after="60"/>
              <w:jc w:val="center"/>
              <w:rPr>
                <w:color w:val="000000"/>
              </w:rPr>
            </w:pPr>
            <w:r w:rsidRPr="008D250E">
              <w:rPr>
                <w:color w:val="000000"/>
              </w:rPr>
              <w:t>No</w:t>
            </w:r>
          </w:p>
        </w:tc>
      </w:tr>
    </w:tbl>
    <w:p w:rsidRPr="008D250E" w:rsidR="0022302F" w:rsidP="00B31B2C" w:rsidRDefault="00A92D0B" w14:paraId="67A6CABA" w14:textId="77777777">
      <w:pPr>
        <w:keepNext/>
        <w:numPr>
          <w:ilvl w:val="0"/>
          <w:numId w:val="2"/>
        </w:numPr>
        <w:tabs>
          <w:tab w:val="clear" w:pos="900"/>
          <w:tab w:val="num" w:pos="360"/>
        </w:tabs>
        <w:spacing w:before="240"/>
        <w:ind w:left="360"/>
        <w:rPr>
          <w:b/>
          <w:color w:val="000000"/>
        </w:rPr>
      </w:pPr>
      <w:r w:rsidRPr="008D250E">
        <w:rPr>
          <w:b/>
        </w:rPr>
        <w:t>Attachments Documenting Specific Claim and Comments on Part III</w:t>
      </w:r>
      <w:r w:rsidRPr="008D250E" w:rsidR="00C02649">
        <w:rPr>
          <w:b/>
        </w:rPr>
        <w:t>:</w:t>
      </w:r>
    </w:p>
    <w:p w:rsidRPr="008D250E" w:rsidR="00A92D0B" w:rsidP="00B31B2C" w:rsidRDefault="00A92D0B" w14:paraId="04BC309E" w14:textId="13E03BDB">
      <w:pPr>
        <w:keepNext/>
        <w:spacing w:after="120"/>
        <w:ind w:left="360"/>
        <w:rPr>
          <w:b/>
          <w:i/>
          <w:color w:val="000000"/>
          <w:u w:val="single"/>
        </w:rPr>
      </w:pPr>
      <w:r w:rsidRPr="008D250E">
        <w:rPr>
          <w:b/>
          <w:i/>
          <w:color w:val="000000"/>
          <w:u w:val="single"/>
        </w:rPr>
        <w:t xml:space="preserve">(attachments </w:t>
      </w:r>
      <w:r w:rsidRPr="008D250E" w:rsidR="0022302F">
        <w:rPr>
          <w:b/>
          <w:i/>
          <w:color w:val="000000"/>
          <w:u w:val="single"/>
        </w:rPr>
        <w:t>not attached to final Decision)</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1795"/>
        <w:gridCol w:w="7763"/>
      </w:tblGrid>
      <w:tr w:rsidRPr="008D250E" w:rsidR="00A92D0B" w:rsidTr="001830B8" w14:paraId="0C2B760A" w14:textId="77777777">
        <w:trPr>
          <w:tblHeader/>
        </w:trPr>
        <w:tc>
          <w:tcPr>
            <w:tcW w:w="1795" w:type="dxa"/>
            <w:shd w:val="clear" w:color="auto" w:fill="D9D9D9" w:themeFill="background1" w:themeFillShade="D9"/>
            <w:vAlign w:val="bottom"/>
          </w:tcPr>
          <w:p w:rsidR="001830B8" w:rsidP="001830B8" w:rsidRDefault="00A92D0B" w14:paraId="36B18D82" w14:textId="77777777">
            <w:pPr>
              <w:tabs>
                <w:tab w:val="left" w:pos="1260"/>
              </w:tabs>
              <w:jc w:val="center"/>
              <w:rPr>
                <w:b/>
                <w:color w:val="000000"/>
              </w:rPr>
            </w:pPr>
            <w:r w:rsidRPr="008D250E">
              <w:rPr>
                <w:b/>
                <w:color w:val="000000"/>
              </w:rPr>
              <w:t xml:space="preserve">Attachment or </w:t>
            </w:r>
          </w:p>
          <w:p w:rsidRPr="008D250E" w:rsidR="00A92D0B" w:rsidP="001830B8" w:rsidRDefault="00A92D0B" w14:paraId="42A1D838" w14:textId="57DF9059">
            <w:pPr>
              <w:tabs>
                <w:tab w:val="left" w:pos="1260"/>
              </w:tabs>
              <w:jc w:val="center"/>
              <w:rPr>
                <w:b/>
                <w:color w:val="000000"/>
              </w:rPr>
            </w:pPr>
            <w:r w:rsidRPr="008D250E">
              <w:rPr>
                <w:b/>
                <w:color w:val="000000"/>
              </w:rPr>
              <w:t>Comment  #</w:t>
            </w:r>
          </w:p>
        </w:tc>
        <w:tc>
          <w:tcPr>
            <w:tcW w:w="7763" w:type="dxa"/>
            <w:tcBorders>
              <w:bottom w:val="single" w:color="auto" w:sz="4" w:space="0"/>
            </w:tcBorders>
            <w:shd w:val="clear" w:color="auto" w:fill="D9D9D9" w:themeFill="background1" w:themeFillShade="D9"/>
            <w:vAlign w:val="bottom"/>
          </w:tcPr>
          <w:p w:rsidRPr="008D250E" w:rsidR="00A92D0B" w:rsidP="001830B8" w:rsidRDefault="00A92D0B" w14:paraId="55F0A65F" w14:textId="77777777">
            <w:pPr>
              <w:tabs>
                <w:tab w:val="left" w:pos="1260"/>
              </w:tabs>
              <w:jc w:val="center"/>
              <w:rPr>
                <w:b/>
                <w:color w:val="000000"/>
              </w:rPr>
            </w:pPr>
            <w:r w:rsidRPr="008D250E">
              <w:rPr>
                <w:b/>
                <w:color w:val="000000"/>
              </w:rPr>
              <w:t>Description/Comment</w:t>
            </w:r>
          </w:p>
        </w:tc>
      </w:tr>
      <w:tr w:rsidRPr="008D250E" w:rsidR="00A92D0B" w:rsidTr="001830B8" w14:paraId="71F47148" w14:textId="77777777">
        <w:tc>
          <w:tcPr>
            <w:tcW w:w="1795" w:type="dxa"/>
            <w:tcBorders>
              <w:bottom w:val="single" w:color="auto" w:sz="4" w:space="0"/>
            </w:tcBorders>
            <w:shd w:val="clear" w:color="auto" w:fill="auto"/>
          </w:tcPr>
          <w:p w:rsidRPr="008D250E" w:rsidR="00A92D0B" w:rsidP="005E09D4" w:rsidRDefault="00A92D0B" w14:paraId="7A5C03D8" w14:textId="77777777">
            <w:pPr>
              <w:tabs>
                <w:tab w:val="left" w:pos="1260"/>
              </w:tabs>
              <w:jc w:val="center"/>
              <w:rPr>
                <w:color w:val="000000"/>
              </w:rPr>
            </w:pPr>
            <w:r w:rsidRPr="008D250E">
              <w:rPr>
                <w:color w:val="000000"/>
              </w:rPr>
              <w:t>1</w:t>
            </w:r>
          </w:p>
        </w:tc>
        <w:tc>
          <w:tcPr>
            <w:tcW w:w="7763" w:type="dxa"/>
            <w:tcBorders>
              <w:bottom w:val="single" w:color="auto" w:sz="4" w:space="0"/>
            </w:tcBorders>
            <w:shd w:val="clear" w:color="auto" w:fill="auto"/>
          </w:tcPr>
          <w:p w:rsidRPr="008D250E" w:rsidR="00A92D0B" w:rsidP="005E09D4" w:rsidRDefault="00A92D0B" w14:paraId="370C67BC" w14:textId="77777777">
            <w:pPr>
              <w:tabs>
                <w:tab w:val="left" w:pos="1260"/>
              </w:tabs>
              <w:rPr>
                <w:color w:val="000000"/>
              </w:rPr>
            </w:pPr>
            <w:r w:rsidRPr="008D250E">
              <w:rPr>
                <w:color w:val="000000"/>
              </w:rPr>
              <w:t>Certificate of Service</w:t>
            </w:r>
          </w:p>
        </w:tc>
      </w:tr>
      <w:tr w:rsidRPr="008D250E" w:rsidR="00A92D0B" w:rsidTr="001830B8" w14:paraId="72C869B0" w14:textId="77777777">
        <w:tc>
          <w:tcPr>
            <w:tcW w:w="1795" w:type="dxa"/>
            <w:shd w:val="clear" w:color="auto" w:fill="auto"/>
          </w:tcPr>
          <w:p w:rsidRPr="008D250E" w:rsidR="00A92D0B" w:rsidP="005E09D4" w:rsidRDefault="0022302F" w14:paraId="49AADD21" w14:textId="77777777">
            <w:pPr>
              <w:tabs>
                <w:tab w:val="left" w:pos="1260"/>
              </w:tabs>
              <w:jc w:val="center"/>
              <w:rPr>
                <w:color w:val="000000"/>
              </w:rPr>
            </w:pPr>
            <w:r w:rsidRPr="008D250E">
              <w:rPr>
                <w:color w:val="000000"/>
              </w:rPr>
              <w:t>2</w:t>
            </w:r>
          </w:p>
        </w:tc>
        <w:tc>
          <w:tcPr>
            <w:tcW w:w="7763" w:type="dxa"/>
            <w:shd w:val="clear" w:color="auto" w:fill="auto"/>
          </w:tcPr>
          <w:p w:rsidRPr="008D250E" w:rsidR="00A92D0B" w:rsidP="005E09D4" w:rsidRDefault="0061762B" w14:paraId="3AF20C23" w14:textId="1CC31BDF">
            <w:pPr>
              <w:tabs>
                <w:tab w:val="left" w:pos="1260"/>
              </w:tabs>
              <w:rPr>
                <w:color w:val="000000"/>
              </w:rPr>
            </w:pPr>
            <w:r w:rsidRPr="008D250E">
              <w:rPr>
                <w:color w:val="000000"/>
              </w:rPr>
              <w:t>Timesheets for TURN’s Attorneys and Advocates</w:t>
            </w:r>
          </w:p>
        </w:tc>
      </w:tr>
      <w:tr w:rsidRPr="008D250E" w:rsidR="0061762B" w:rsidTr="001830B8" w14:paraId="05487505" w14:textId="77777777">
        <w:tc>
          <w:tcPr>
            <w:tcW w:w="1795" w:type="dxa"/>
            <w:shd w:val="clear" w:color="auto" w:fill="auto"/>
          </w:tcPr>
          <w:p w:rsidRPr="008D250E" w:rsidR="0061762B" w:rsidP="005E09D4" w:rsidRDefault="0061762B" w14:paraId="297F13FA" w14:textId="47BE0347">
            <w:pPr>
              <w:tabs>
                <w:tab w:val="left" w:pos="1260"/>
              </w:tabs>
              <w:jc w:val="center"/>
              <w:rPr>
                <w:color w:val="000000"/>
              </w:rPr>
            </w:pPr>
            <w:r w:rsidRPr="008D250E">
              <w:rPr>
                <w:color w:val="000000"/>
              </w:rPr>
              <w:t>3</w:t>
            </w:r>
          </w:p>
        </w:tc>
        <w:tc>
          <w:tcPr>
            <w:tcW w:w="7763" w:type="dxa"/>
            <w:shd w:val="clear" w:color="auto" w:fill="auto"/>
          </w:tcPr>
          <w:p w:rsidRPr="008D250E" w:rsidR="0061762B" w:rsidP="005E09D4" w:rsidRDefault="0061762B" w14:paraId="0B2E2B86" w14:textId="7D265E76">
            <w:pPr>
              <w:tabs>
                <w:tab w:val="left" w:pos="1872"/>
                <w:tab w:val="right" w:pos="3672"/>
              </w:tabs>
              <w:rPr>
                <w:color w:val="000000"/>
              </w:rPr>
            </w:pPr>
            <w:r w:rsidRPr="008D250E">
              <w:rPr>
                <w:color w:val="000000"/>
              </w:rPr>
              <w:t>TURN Direct Expenses associated with D.18</w:t>
            </w:r>
            <w:r w:rsidR="00747698">
              <w:rPr>
                <w:color w:val="000000"/>
              </w:rPr>
              <w:noBreakHyphen/>
            </w:r>
            <w:r w:rsidRPr="008D250E">
              <w:rPr>
                <w:color w:val="000000"/>
              </w:rPr>
              <w:t>07</w:t>
            </w:r>
            <w:r w:rsidR="00747698">
              <w:rPr>
                <w:color w:val="000000"/>
              </w:rPr>
              <w:noBreakHyphen/>
            </w:r>
            <w:r w:rsidRPr="008D250E">
              <w:rPr>
                <w:color w:val="000000"/>
              </w:rPr>
              <w:t>045 and D.19</w:t>
            </w:r>
            <w:r w:rsidR="00747698">
              <w:rPr>
                <w:color w:val="000000"/>
              </w:rPr>
              <w:noBreakHyphen/>
            </w:r>
            <w:r w:rsidRPr="008D250E">
              <w:rPr>
                <w:color w:val="000000"/>
              </w:rPr>
              <w:t>09</w:t>
            </w:r>
            <w:r w:rsidR="00747698">
              <w:rPr>
                <w:color w:val="000000"/>
              </w:rPr>
              <w:noBreakHyphen/>
            </w:r>
            <w:r w:rsidRPr="008D250E">
              <w:rPr>
                <w:color w:val="000000"/>
              </w:rPr>
              <w:t>042</w:t>
            </w:r>
          </w:p>
        </w:tc>
      </w:tr>
      <w:tr w:rsidRPr="008D250E" w:rsidR="0061762B" w:rsidTr="001830B8" w14:paraId="16A768A4" w14:textId="77777777">
        <w:tc>
          <w:tcPr>
            <w:tcW w:w="1795" w:type="dxa"/>
            <w:shd w:val="clear" w:color="auto" w:fill="auto"/>
          </w:tcPr>
          <w:p w:rsidRPr="008D250E" w:rsidR="0061762B" w:rsidP="005E09D4" w:rsidRDefault="0061762B" w14:paraId="1538F565" w14:textId="2F662562">
            <w:pPr>
              <w:tabs>
                <w:tab w:val="left" w:pos="1260"/>
              </w:tabs>
              <w:jc w:val="center"/>
              <w:rPr>
                <w:color w:val="000000"/>
              </w:rPr>
            </w:pPr>
            <w:r w:rsidRPr="008D250E">
              <w:rPr>
                <w:color w:val="000000"/>
              </w:rPr>
              <w:t>4</w:t>
            </w:r>
          </w:p>
        </w:tc>
        <w:tc>
          <w:tcPr>
            <w:tcW w:w="7763" w:type="dxa"/>
            <w:shd w:val="clear" w:color="auto" w:fill="auto"/>
          </w:tcPr>
          <w:p w:rsidRPr="008D250E" w:rsidR="0061762B" w:rsidP="005E09D4" w:rsidRDefault="0061762B" w14:paraId="452AD12C" w14:textId="7CB4F737">
            <w:pPr>
              <w:tabs>
                <w:tab w:val="left" w:pos="1872"/>
                <w:tab w:val="right" w:pos="3672"/>
              </w:tabs>
              <w:rPr>
                <w:color w:val="000000"/>
              </w:rPr>
            </w:pPr>
            <w:r w:rsidRPr="008D250E">
              <w:rPr>
                <w:color w:val="000000"/>
              </w:rPr>
              <w:t>TURN Hours Allocated by Issue</w:t>
            </w:r>
          </w:p>
        </w:tc>
      </w:tr>
    </w:tbl>
    <w:p w:rsidRPr="008D250E" w:rsidR="00A92D0B" w:rsidP="00A455E7" w:rsidRDefault="00F81778" w14:paraId="0D8B7003" w14:textId="1C64ED4B">
      <w:pPr>
        <w:keepNext/>
        <w:spacing w:before="240" w:after="120"/>
        <w:ind w:left="547" w:hanging="547"/>
        <w:rPr>
          <w:b/>
          <w:color w:val="000000"/>
        </w:rPr>
      </w:pPr>
      <w:r w:rsidRPr="008D250E">
        <w:rPr>
          <w:b/>
          <w:color w:val="000000"/>
        </w:rPr>
        <w:t xml:space="preserve">D.  </w:t>
      </w:r>
      <w:r w:rsidRPr="008D250E" w:rsidR="00A92D0B">
        <w:rPr>
          <w:b/>
          <w:color w:val="000000"/>
        </w:rPr>
        <w:t xml:space="preserve">CPUC </w:t>
      </w:r>
      <w:r w:rsidRPr="008D250E" w:rsidR="008C09F7">
        <w:rPr>
          <w:b/>
          <w:color w:val="000000"/>
        </w:rPr>
        <w:t xml:space="preserve">Comments, </w:t>
      </w:r>
      <w:r w:rsidRPr="008D250E" w:rsidR="00A92D0B">
        <w:rPr>
          <w:b/>
          <w:color w:val="000000"/>
        </w:rPr>
        <w:t>Disallowances</w:t>
      </w:r>
      <w:r w:rsidRPr="008D250E" w:rsidR="008C09F7">
        <w:rPr>
          <w:b/>
          <w:color w:val="000000"/>
        </w:rPr>
        <w:t>,</w:t>
      </w:r>
      <w:r w:rsidRPr="008D250E" w:rsidR="00D075B1">
        <w:rPr>
          <w:b/>
          <w:color w:val="000000"/>
        </w:rPr>
        <w:t xml:space="preserve"> </w:t>
      </w:r>
      <w:r w:rsidRPr="008D250E" w:rsidR="00A319DE">
        <w:rPr>
          <w:b/>
          <w:color w:val="000000"/>
        </w:rPr>
        <w:t>and</w:t>
      </w:r>
      <w:r w:rsidRPr="008D250E" w:rsidR="00D075B1">
        <w:rPr>
          <w:b/>
          <w:color w:val="000000"/>
        </w:rPr>
        <w:t xml:space="preserve"> </w:t>
      </w:r>
      <w:r w:rsidRPr="008D250E" w:rsidR="00A92D0B">
        <w:rPr>
          <w:b/>
          <w:color w:val="000000"/>
        </w:rPr>
        <w:t xml:space="preserve">Adjustments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1548"/>
        <w:gridCol w:w="8010"/>
      </w:tblGrid>
      <w:tr w:rsidRPr="008D250E" w:rsidR="00A92D0B" w:rsidTr="000B7F7E" w14:paraId="52CD0603" w14:textId="77777777">
        <w:trPr>
          <w:tblHeader/>
        </w:trPr>
        <w:tc>
          <w:tcPr>
            <w:tcW w:w="1548" w:type="dxa"/>
            <w:shd w:val="pct12" w:color="auto" w:fill="auto"/>
            <w:vAlign w:val="bottom"/>
          </w:tcPr>
          <w:p w:rsidRPr="008D250E" w:rsidR="00A92D0B" w:rsidP="000B7F7E" w:rsidRDefault="00072C81" w14:paraId="3954EC4C" w14:textId="77777777">
            <w:pPr>
              <w:tabs>
                <w:tab w:val="left" w:pos="1440"/>
              </w:tabs>
              <w:jc w:val="center"/>
              <w:rPr>
                <w:b/>
                <w:color w:val="000000"/>
              </w:rPr>
            </w:pPr>
            <w:r w:rsidRPr="008D250E">
              <w:rPr>
                <w:b/>
                <w:color w:val="000000"/>
              </w:rPr>
              <w:t>Item</w:t>
            </w:r>
          </w:p>
        </w:tc>
        <w:tc>
          <w:tcPr>
            <w:tcW w:w="8010" w:type="dxa"/>
            <w:shd w:val="pct12" w:color="auto" w:fill="auto"/>
            <w:vAlign w:val="bottom"/>
          </w:tcPr>
          <w:p w:rsidRPr="008D250E" w:rsidR="00A92D0B" w:rsidP="000B7F7E" w:rsidRDefault="00A92D0B" w14:paraId="09F9E4D9" w14:textId="77777777">
            <w:pPr>
              <w:tabs>
                <w:tab w:val="left" w:pos="1440"/>
              </w:tabs>
              <w:jc w:val="center"/>
              <w:rPr>
                <w:b/>
                <w:color w:val="000000"/>
              </w:rPr>
            </w:pPr>
            <w:r w:rsidRPr="008D250E">
              <w:rPr>
                <w:b/>
                <w:color w:val="000000"/>
              </w:rPr>
              <w:t>Reason</w:t>
            </w:r>
          </w:p>
        </w:tc>
      </w:tr>
      <w:tr w:rsidRPr="008D250E" w:rsidR="00A92D0B" w:rsidTr="00D769BE" w14:paraId="69DEE01C" w14:textId="77777777">
        <w:tc>
          <w:tcPr>
            <w:tcW w:w="1548" w:type="dxa"/>
            <w:shd w:val="clear" w:color="auto" w:fill="auto"/>
          </w:tcPr>
          <w:p w:rsidRPr="008D250E" w:rsidR="00A92D0B" w:rsidP="00A3229B" w:rsidRDefault="00A92D0B" w14:paraId="1E6C8F3D" w14:textId="77777777">
            <w:pPr>
              <w:tabs>
                <w:tab w:val="left" w:pos="1440"/>
              </w:tabs>
              <w:rPr>
                <w:color w:val="000000"/>
              </w:rPr>
            </w:pPr>
          </w:p>
        </w:tc>
        <w:tc>
          <w:tcPr>
            <w:tcW w:w="8010" w:type="dxa"/>
            <w:shd w:val="clear" w:color="auto" w:fill="auto"/>
          </w:tcPr>
          <w:p w:rsidRPr="008D250E" w:rsidR="00A92D0B" w:rsidP="00A3229B" w:rsidRDefault="00A92D0B" w14:paraId="45BFCB16" w14:textId="77777777">
            <w:pPr>
              <w:tabs>
                <w:tab w:val="left" w:pos="1440"/>
              </w:tabs>
              <w:rPr>
                <w:color w:val="000000"/>
              </w:rPr>
            </w:pPr>
          </w:p>
        </w:tc>
      </w:tr>
      <w:tr w:rsidRPr="008D250E" w:rsidR="00A92D0B" w:rsidTr="00D769BE" w14:paraId="52155EFC" w14:textId="77777777">
        <w:tc>
          <w:tcPr>
            <w:tcW w:w="1548" w:type="dxa"/>
            <w:shd w:val="clear" w:color="auto" w:fill="auto"/>
          </w:tcPr>
          <w:p w:rsidRPr="008D250E" w:rsidR="00A92D0B" w:rsidP="00A3229B" w:rsidRDefault="00A92D0B" w14:paraId="26487933" w14:textId="77777777">
            <w:pPr>
              <w:tabs>
                <w:tab w:val="left" w:pos="1440"/>
              </w:tabs>
              <w:rPr>
                <w:color w:val="000000"/>
              </w:rPr>
            </w:pPr>
          </w:p>
        </w:tc>
        <w:tc>
          <w:tcPr>
            <w:tcW w:w="8010" w:type="dxa"/>
            <w:shd w:val="clear" w:color="auto" w:fill="auto"/>
          </w:tcPr>
          <w:p w:rsidRPr="008D250E" w:rsidR="00A92D0B" w:rsidP="00A3229B" w:rsidRDefault="00A92D0B" w14:paraId="455E6A00" w14:textId="77777777">
            <w:pPr>
              <w:tabs>
                <w:tab w:val="left" w:pos="1440"/>
              </w:tabs>
              <w:rPr>
                <w:color w:val="000000"/>
              </w:rPr>
            </w:pPr>
          </w:p>
        </w:tc>
      </w:tr>
    </w:tbl>
    <w:p w:rsidRPr="008D250E" w:rsidR="00A92D0B" w:rsidP="007365B8" w:rsidRDefault="00A92D0B" w14:paraId="18E9D359" w14:textId="5DAFF403">
      <w:pPr>
        <w:keepNext/>
        <w:spacing w:before="240" w:after="120"/>
        <w:jc w:val="center"/>
        <w:rPr>
          <w:b/>
          <w:color w:val="000000"/>
        </w:rPr>
      </w:pPr>
      <w:r w:rsidRPr="008D250E">
        <w:rPr>
          <w:b/>
          <w:color w:val="000000"/>
        </w:rPr>
        <w:lastRenderedPageBreak/>
        <w:t>PART IV:</w:t>
      </w:r>
      <w:r w:rsidR="007365B8">
        <w:rPr>
          <w:b/>
          <w:color w:val="000000"/>
        </w:rPr>
        <w:t xml:space="preserve">  </w:t>
      </w:r>
      <w:r w:rsidRPr="008D250E">
        <w:rPr>
          <w:b/>
          <w:color w:val="000000"/>
        </w:rPr>
        <w:t>OPPOSITIONS AND COMMENTS</w:t>
      </w:r>
    </w:p>
    <w:p w:rsidRPr="008D250E" w:rsidR="00A92D0B" w:rsidP="00A455E7" w:rsidRDefault="00A92D0B" w14:paraId="5D5DC317" w14:textId="784ACD81">
      <w:pPr>
        <w:keepNext/>
        <w:tabs>
          <w:tab w:val="left" w:pos="1260"/>
        </w:tabs>
        <w:spacing w:after="120"/>
        <w:jc w:val="center"/>
        <w:rPr>
          <w:b/>
          <w:color w:val="000000"/>
        </w:rPr>
      </w:pPr>
      <w:r w:rsidRPr="008D250E">
        <w:rPr>
          <w:b/>
          <w:color w:val="000000"/>
        </w:rPr>
        <w:t>Within 30 days after service of this Claim, Commission Staff</w:t>
      </w:r>
      <w:r w:rsidRPr="008D250E" w:rsidR="00F20061">
        <w:rPr>
          <w:b/>
          <w:color w:val="000000"/>
        </w:rPr>
        <w:t xml:space="preserve"> </w:t>
      </w:r>
      <w:r w:rsidRPr="008D250E">
        <w:rPr>
          <w:b/>
          <w:color w:val="000000"/>
        </w:rPr>
        <w:t>or any other party may file a response to the Claim (</w:t>
      </w:r>
      <w:r w:rsidRPr="008D250E">
        <w:rPr>
          <w:b/>
          <w:i/>
          <w:color w:val="000000"/>
        </w:rPr>
        <w:t>see</w:t>
      </w:r>
      <w:r w:rsidRPr="008D250E">
        <w:rPr>
          <w:b/>
          <w:color w:val="000000"/>
        </w:rPr>
        <w:t xml:space="preserve"> </w:t>
      </w:r>
      <w:r w:rsidR="0095390B">
        <w:rPr>
          <w:b/>
          <w:color w:val="000000"/>
        </w:rPr>
        <w:t>§ </w:t>
      </w:r>
      <w:r w:rsidRPr="008D250E">
        <w:rPr>
          <w:b/>
          <w:color w:val="000000"/>
        </w:rPr>
        <w:t>1804(c))</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7488"/>
        <w:gridCol w:w="2070"/>
      </w:tblGrid>
      <w:tr w:rsidRPr="008D250E" w:rsidR="00A92D0B" w:rsidTr="00D769BE" w14:paraId="46A51699" w14:textId="77777777">
        <w:tc>
          <w:tcPr>
            <w:tcW w:w="7488" w:type="dxa"/>
            <w:shd w:val="clear" w:color="auto" w:fill="auto"/>
          </w:tcPr>
          <w:p w:rsidRPr="008D250E" w:rsidR="00A92D0B" w:rsidP="00A3229B" w:rsidRDefault="00A92D0B" w14:paraId="607B1FB9" w14:textId="77777777">
            <w:pPr>
              <w:spacing w:before="60" w:after="60"/>
              <w:rPr>
                <w:color w:val="000000"/>
              </w:rPr>
            </w:pPr>
            <w:r w:rsidRPr="008D250E">
              <w:rPr>
                <w:b/>
                <w:color w:val="000000"/>
              </w:rPr>
              <w:t>A.  Opposition:  Did any party oppose the Claim?</w:t>
            </w:r>
          </w:p>
        </w:tc>
        <w:tc>
          <w:tcPr>
            <w:tcW w:w="2070" w:type="dxa"/>
            <w:shd w:val="clear" w:color="auto" w:fill="auto"/>
          </w:tcPr>
          <w:p w:rsidRPr="008D250E" w:rsidR="00A92D0B" w:rsidP="00A3229B" w:rsidRDefault="00663C84" w14:paraId="6E7CD931" w14:textId="70B8C6E9">
            <w:pPr>
              <w:spacing w:before="60" w:after="60"/>
              <w:rPr>
                <w:color w:val="000000"/>
              </w:rPr>
            </w:pPr>
            <w:r>
              <w:rPr>
                <w:color w:val="000000"/>
              </w:rPr>
              <w:t>No</w:t>
            </w:r>
          </w:p>
        </w:tc>
      </w:tr>
    </w:tbl>
    <w:p w:rsidRPr="008D250E" w:rsidR="00A92D0B" w:rsidRDefault="00A92D0B" w14:paraId="23420BFC"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7488"/>
        <w:gridCol w:w="2070"/>
      </w:tblGrid>
      <w:tr w:rsidRPr="008D250E" w:rsidR="00A92D0B" w:rsidTr="00D769BE" w14:paraId="7A0D8740" w14:textId="77777777">
        <w:tc>
          <w:tcPr>
            <w:tcW w:w="7488" w:type="dxa"/>
            <w:shd w:val="clear" w:color="auto" w:fill="auto"/>
          </w:tcPr>
          <w:p w:rsidRPr="008D250E" w:rsidR="00A92D0B" w:rsidP="00A3229B" w:rsidRDefault="00A92D0B" w14:paraId="37D28D8D" w14:textId="39C67B88">
            <w:pPr>
              <w:spacing w:before="60" w:after="60"/>
              <w:rPr>
                <w:color w:val="000000"/>
              </w:rPr>
            </w:pPr>
            <w:r w:rsidRPr="008D250E">
              <w:rPr>
                <w:b/>
                <w:color w:val="000000"/>
              </w:rPr>
              <w:t>B.  Comment Period:  Was the 30</w:t>
            </w:r>
            <w:r w:rsidR="00747698">
              <w:rPr>
                <w:b/>
                <w:color w:val="000000"/>
              </w:rPr>
              <w:noBreakHyphen/>
            </w:r>
            <w:r w:rsidRPr="008D250E">
              <w:rPr>
                <w:b/>
                <w:color w:val="000000"/>
              </w:rPr>
              <w:t>day comment period waived (</w:t>
            </w:r>
            <w:r w:rsidRPr="008D250E">
              <w:rPr>
                <w:b/>
                <w:i/>
                <w:color w:val="000000"/>
              </w:rPr>
              <w:t>see</w:t>
            </w:r>
            <w:r w:rsidRPr="008D250E">
              <w:rPr>
                <w:b/>
                <w:color w:val="000000"/>
              </w:rPr>
              <w:t xml:space="preserve"> Rule 14.6(</w:t>
            </w:r>
            <w:r w:rsidRPr="008D250E" w:rsidR="00963EEF">
              <w:rPr>
                <w:b/>
                <w:color w:val="000000"/>
              </w:rPr>
              <w:t>c</w:t>
            </w:r>
            <w:r w:rsidRPr="008D250E">
              <w:rPr>
                <w:b/>
                <w:color w:val="000000"/>
              </w:rPr>
              <w:t>)(6))?</w:t>
            </w:r>
          </w:p>
        </w:tc>
        <w:tc>
          <w:tcPr>
            <w:tcW w:w="2070" w:type="dxa"/>
            <w:shd w:val="clear" w:color="auto" w:fill="auto"/>
          </w:tcPr>
          <w:p w:rsidRPr="008D250E" w:rsidR="00A92D0B" w:rsidP="00A3229B" w:rsidRDefault="00663C84" w14:paraId="238D2D3F" w14:textId="3E7934FC">
            <w:pPr>
              <w:spacing w:before="60" w:after="60"/>
              <w:rPr>
                <w:color w:val="000000"/>
              </w:rPr>
            </w:pPr>
            <w:r>
              <w:rPr>
                <w:color w:val="000000"/>
              </w:rPr>
              <w:t>Yes</w:t>
            </w:r>
          </w:p>
        </w:tc>
      </w:tr>
    </w:tbl>
    <w:p w:rsidR="00A92D0B" w:rsidP="00A455E7" w:rsidRDefault="00A92D0B" w14:paraId="186E115A" w14:textId="047F49AB">
      <w:pPr>
        <w:keepNext/>
        <w:spacing w:before="240" w:after="120"/>
        <w:jc w:val="center"/>
        <w:rPr>
          <w:b/>
          <w:color w:val="000000"/>
          <w:u w:val="single"/>
        </w:rPr>
      </w:pPr>
      <w:r w:rsidRPr="008D250E">
        <w:rPr>
          <w:b/>
          <w:color w:val="000000"/>
          <w:u w:val="single"/>
        </w:rPr>
        <w:t>FINDINGS OF FACT</w:t>
      </w:r>
    </w:p>
    <w:p w:rsidRPr="006808AB" w:rsidR="008676F5" w:rsidP="00F12AC6" w:rsidRDefault="00663C84" w14:paraId="7FA9827A" w14:textId="09F8927F">
      <w:pPr>
        <w:pStyle w:val="ListParagraph"/>
        <w:numPr>
          <w:ilvl w:val="0"/>
          <w:numId w:val="9"/>
        </w:numPr>
        <w:spacing w:after="240"/>
        <w:ind w:left="475" w:hanging="475"/>
        <w:rPr>
          <w:color w:val="000000"/>
          <w:szCs w:val="24"/>
        </w:rPr>
      </w:pPr>
      <w:r w:rsidRPr="006808AB">
        <w:rPr>
          <w:szCs w:val="24"/>
        </w:rPr>
        <w:t>The Utility Reform Network has m</w:t>
      </w:r>
      <w:r w:rsidRPr="006808AB" w:rsidR="00A92D0B">
        <w:rPr>
          <w:szCs w:val="24"/>
        </w:rPr>
        <w:t>ade a substantia</w:t>
      </w:r>
      <w:r w:rsidRPr="006808AB" w:rsidR="00DE3A5D">
        <w:rPr>
          <w:szCs w:val="24"/>
        </w:rPr>
        <w:t>l contribution to D</w:t>
      </w:r>
      <w:r w:rsidRPr="006808AB">
        <w:rPr>
          <w:szCs w:val="24"/>
        </w:rPr>
        <w:t>.18</w:t>
      </w:r>
      <w:r w:rsidR="00747698">
        <w:rPr>
          <w:szCs w:val="24"/>
        </w:rPr>
        <w:noBreakHyphen/>
      </w:r>
      <w:r w:rsidRPr="006808AB">
        <w:rPr>
          <w:szCs w:val="24"/>
        </w:rPr>
        <w:t>07</w:t>
      </w:r>
      <w:r w:rsidR="00747698">
        <w:rPr>
          <w:szCs w:val="24"/>
        </w:rPr>
        <w:noBreakHyphen/>
      </w:r>
      <w:r w:rsidRPr="006808AB">
        <w:rPr>
          <w:szCs w:val="24"/>
        </w:rPr>
        <w:t>045 and D.19</w:t>
      </w:r>
      <w:r w:rsidR="00747698">
        <w:rPr>
          <w:szCs w:val="24"/>
        </w:rPr>
        <w:noBreakHyphen/>
      </w:r>
      <w:r w:rsidRPr="006808AB">
        <w:rPr>
          <w:szCs w:val="24"/>
        </w:rPr>
        <w:t>09</w:t>
      </w:r>
      <w:r w:rsidR="00747698">
        <w:rPr>
          <w:szCs w:val="24"/>
        </w:rPr>
        <w:noBreakHyphen/>
      </w:r>
      <w:r w:rsidRPr="006808AB">
        <w:rPr>
          <w:szCs w:val="24"/>
        </w:rPr>
        <w:t>042.</w:t>
      </w:r>
    </w:p>
    <w:p w:rsidRPr="006808AB" w:rsidR="00A92D0B" w:rsidP="00F12AC6" w:rsidRDefault="00A92D0B" w14:paraId="04EB50FD" w14:textId="73CB3DA9">
      <w:pPr>
        <w:pStyle w:val="ListParagraph"/>
        <w:numPr>
          <w:ilvl w:val="0"/>
          <w:numId w:val="9"/>
        </w:numPr>
        <w:spacing w:after="240"/>
        <w:ind w:left="475" w:hanging="475"/>
        <w:rPr>
          <w:szCs w:val="24"/>
          <w:shd w:val="clear" w:color="auto" w:fill="CCFFCC"/>
        </w:rPr>
      </w:pPr>
      <w:r w:rsidRPr="006808AB">
        <w:rPr>
          <w:szCs w:val="24"/>
        </w:rPr>
        <w:t>The requested hourly rates for</w:t>
      </w:r>
      <w:r w:rsidRPr="006808AB" w:rsidR="00663C84">
        <w:rPr>
          <w:szCs w:val="24"/>
        </w:rPr>
        <w:t xml:space="preserve"> The Utility Reform Network’</w:t>
      </w:r>
      <w:r w:rsidRPr="006808AB" w:rsidR="005A63D4">
        <w:rPr>
          <w:szCs w:val="24"/>
        </w:rPr>
        <w:t xml:space="preserve">s </w:t>
      </w:r>
      <w:r w:rsidRPr="006808AB">
        <w:rPr>
          <w:szCs w:val="24"/>
        </w:rPr>
        <w:t xml:space="preserve">representatives are </w:t>
      </w:r>
      <w:r w:rsidRPr="00F12AC6">
        <w:rPr>
          <w:szCs w:val="24"/>
        </w:rPr>
        <w:t>comparable</w:t>
      </w:r>
      <w:r w:rsidRPr="006808AB">
        <w:rPr>
          <w:szCs w:val="24"/>
        </w:rPr>
        <w:t xml:space="preserve"> </w:t>
      </w:r>
      <w:r w:rsidRPr="00F12AC6">
        <w:rPr>
          <w:color w:val="000000"/>
          <w:szCs w:val="24"/>
        </w:rPr>
        <w:t>to</w:t>
      </w:r>
      <w:r w:rsidRPr="006808AB">
        <w:rPr>
          <w:szCs w:val="24"/>
        </w:rPr>
        <w:t xml:space="preserve"> market rates paid to experts and advocates having comparable training and experience and offering similar services.</w:t>
      </w:r>
    </w:p>
    <w:p w:rsidRPr="006808AB" w:rsidR="0033600C" w:rsidP="00F12AC6" w:rsidRDefault="00A92D0B" w14:paraId="228751B3" w14:textId="570982BD">
      <w:pPr>
        <w:pStyle w:val="ListParagraph"/>
        <w:numPr>
          <w:ilvl w:val="0"/>
          <w:numId w:val="9"/>
        </w:numPr>
        <w:spacing w:after="240"/>
        <w:ind w:left="475" w:hanging="475"/>
        <w:rPr>
          <w:szCs w:val="24"/>
        </w:rPr>
      </w:pPr>
      <w:r w:rsidRPr="006808AB">
        <w:rPr>
          <w:szCs w:val="24"/>
        </w:rPr>
        <w:t xml:space="preserve">The </w:t>
      </w:r>
      <w:r w:rsidRPr="00F12AC6">
        <w:rPr>
          <w:color w:val="000000"/>
          <w:szCs w:val="24"/>
        </w:rPr>
        <w:t>claimed</w:t>
      </w:r>
      <w:r w:rsidRPr="006808AB">
        <w:rPr>
          <w:szCs w:val="24"/>
        </w:rPr>
        <w:t xml:space="preserve"> costs and expenses are reasonable and commensurate with the work performed. </w:t>
      </w:r>
    </w:p>
    <w:p w:rsidRPr="00F12AC6" w:rsidR="001962EB" w:rsidP="00F12AC6" w:rsidRDefault="00A92D0B" w14:paraId="68E2B644" w14:textId="2BDD7298">
      <w:pPr>
        <w:pStyle w:val="ListParagraph"/>
        <w:numPr>
          <w:ilvl w:val="0"/>
          <w:numId w:val="9"/>
        </w:numPr>
        <w:spacing w:after="240"/>
        <w:ind w:left="475" w:hanging="475"/>
        <w:rPr>
          <w:szCs w:val="24"/>
        </w:rPr>
      </w:pPr>
      <w:r w:rsidRPr="006808AB">
        <w:rPr>
          <w:szCs w:val="24"/>
        </w:rPr>
        <w:t xml:space="preserve">The total </w:t>
      </w:r>
      <w:r w:rsidRPr="00F12AC6">
        <w:rPr>
          <w:color w:val="000000"/>
          <w:szCs w:val="24"/>
        </w:rPr>
        <w:t>of</w:t>
      </w:r>
      <w:r w:rsidRPr="006808AB">
        <w:rPr>
          <w:szCs w:val="24"/>
        </w:rPr>
        <w:t xml:space="preserve"> reasonable </w:t>
      </w:r>
      <w:r w:rsidRPr="006808AB" w:rsidR="003C608A">
        <w:rPr>
          <w:szCs w:val="24"/>
        </w:rPr>
        <w:t xml:space="preserve">compensation </w:t>
      </w:r>
      <w:r w:rsidRPr="006808AB">
        <w:rPr>
          <w:szCs w:val="24"/>
        </w:rPr>
        <w:t xml:space="preserve">is </w:t>
      </w:r>
      <w:r w:rsidRPr="006808AB" w:rsidR="00663C84">
        <w:rPr>
          <w:szCs w:val="24"/>
        </w:rPr>
        <w:t>$</w:t>
      </w:r>
      <w:r w:rsidRPr="006808AB" w:rsidR="00A756BF">
        <w:rPr>
          <w:szCs w:val="24"/>
        </w:rPr>
        <w:t>88,054.18</w:t>
      </w:r>
      <w:r w:rsidRPr="006808AB">
        <w:rPr>
          <w:szCs w:val="24"/>
        </w:rPr>
        <w:t>.</w:t>
      </w:r>
    </w:p>
    <w:p w:rsidRPr="008D250E" w:rsidR="00A92D0B" w:rsidP="00A455E7" w:rsidRDefault="00A92D0B" w14:paraId="5C773C3F" w14:textId="77777777">
      <w:pPr>
        <w:keepNext/>
        <w:spacing w:before="240" w:after="120"/>
        <w:jc w:val="center"/>
        <w:rPr>
          <w:b/>
          <w:color w:val="000000"/>
          <w:u w:val="single"/>
        </w:rPr>
      </w:pPr>
      <w:r w:rsidRPr="008D250E">
        <w:rPr>
          <w:b/>
          <w:color w:val="000000"/>
          <w:u w:val="single"/>
        </w:rPr>
        <w:t>CONCLUSION OF LAW</w:t>
      </w:r>
    </w:p>
    <w:p w:rsidRPr="007F620E" w:rsidR="006808AB" w:rsidP="00F12AC6" w:rsidRDefault="006808AB" w14:paraId="2AEE117E" w14:textId="5F07D05F">
      <w:pPr>
        <w:pStyle w:val="ListParagraph"/>
        <w:numPr>
          <w:ilvl w:val="0"/>
          <w:numId w:val="10"/>
        </w:numPr>
        <w:spacing w:after="240"/>
        <w:rPr>
          <w:color w:val="000000"/>
        </w:rPr>
      </w:pPr>
      <w:r w:rsidRPr="007F620E">
        <w:rPr>
          <w:color w:val="000000"/>
        </w:rPr>
        <w:t>The Claim, with any adjustment set forth above, satisfies</w:t>
      </w:r>
      <w:r>
        <w:rPr>
          <w:color w:val="000000"/>
        </w:rPr>
        <w:t xml:space="preserve"> </w:t>
      </w:r>
      <w:r w:rsidRPr="007F620E">
        <w:rPr>
          <w:color w:val="000000"/>
        </w:rPr>
        <w:t xml:space="preserve">all requirements of </w:t>
      </w:r>
      <w:r w:rsidR="0079054A">
        <w:rPr>
          <w:color w:val="000000"/>
        </w:rPr>
        <w:t>Pub. Util.</w:t>
      </w:r>
      <w:r w:rsidRPr="007F620E">
        <w:rPr>
          <w:color w:val="000000"/>
        </w:rPr>
        <w:t xml:space="preserve"> Code </w:t>
      </w:r>
      <w:r w:rsidR="00AD01CD">
        <w:rPr>
          <w:color w:val="000000"/>
        </w:rPr>
        <w:t>§</w:t>
      </w:r>
      <w:r w:rsidR="0095390B">
        <w:rPr>
          <w:color w:val="000000"/>
        </w:rPr>
        <w:t>§ </w:t>
      </w:r>
      <w:r w:rsidRPr="007F620E">
        <w:rPr>
          <w:color w:val="000000"/>
        </w:rPr>
        <w:t>1801</w:t>
      </w:r>
      <w:r w:rsidR="00747698">
        <w:rPr>
          <w:color w:val="000000"/>
        </w:rPr>
        <w:noBreakHyphen/>
      </w:r>
      <w:r w:rsidRPr="007F620E">
        <w:rPr>
          <w:color w:val="000000"/>
        </w:rPr>
        <w:t>1812.</w:t>
      </w:r>
    </w:p>
    <w:p w:rsidRPr="008D250E" w:rsidR="00A92D0B" w:rsidP="00A455E7" w:rsidRDefault="00A92D0B" w14:paraId="0E2503A5" w14:textId="77777777">
      <w:pPr>
        <w:keepNext/>
        <w:spacing w:before="240" w:after="120"/>
        <w:jc w:val="center"/>
        <w:rPr>
          <w:b/>
          <w:color w:val="000000"/>
          <w:u w:val="single"/>
        </w:rPr>
      </w:pPr>
      <w:r w:rsidRPr="008D250E">
        <w:rPr>
          <w:b/>
          <w:color w:val="000000"/>
          <w:u w:val="single"/>
        </w:rPr>
        <w:t>ORDER</w:t>
      </w:r>
    </w:p>
    <w:p w:rsidRPr="008D250E" w:rsidR="00A92D0B" w:rsidP="00F12AC6" w:rsidRDefault="00A756BF" w14:paraId="33FB4E15" w14:textId="6F3C0AC7">
      <w:pPr>
        <w:pStyle w:val="ListParagraph"/>
        <w:numPr>
          <w:ilvl w:val="0"/>
          <w:numId w:val="11"/>
        </w:numPr>
        <w:spacing w:after="240"/>
        <w:rPr>
          <w:color w:val="000000"/>
        </w:rPr>
      </w:pPr>
      <w:r>
        <w:t xml:space="preserve">The Utility </w:t>
      </w:r>
      <w:r w:rsidRPr="00F12AC6">
        <w:rPr>
          <w:color w:val="000000"/>
        </w:rPr>
        <w:t>Reform</w:t>
      </w:r>
      <w:r>
        <w:t xml:space="preserve"> Network </w:t>
      </w:r>
      <w:r w:rsidR="0033600C">
        <w:t>s</w:t>
      </w:r>
      <w:r w:rsidRPr="008D250E" w:rsidR="00FE3BAE">
        <w:t>hall be</w:t>
      </w:r>
      <w:r w:rsidRPr="008D250E" w:rsidR="00A92D0B">
        <w:rPr>
          <w:color w:val="000000"/>
        </w:rPr>
        <w:t xml:space="preserve"> awarded </w:t>
      </w:r>
      <w:r>
        <w:rPr>
          <w:color w:val="000000"/>
        </w:rPr>
        <w:t>$88,054.18</w:t>
      </w:r>
      <w:r w:rsidRPr="008D250E" w:rsidR="00A92D0B">
        <w:rPr>
          <w:color w:val="000000"/>
        </w:rPr>
        <w:t>.</w:t>
      </w:r>
    </w:p>
    <w:p w:rsidRPr="008D250E" w:rsidR="00A92D0B" w:rsidP="00F12AC6" w:rsidRDefault="00A92D0B" w14:paraId="4AEF5671" w14:textId="45EECD92">
      <w:pPr>
        <w:pStyle w:val="ListParagraph"/>
        <w:numPr>
          <w:ilvl w:val="0"/>
          <w:numId w:val="11"/>
        </w:numPr>
        <w:spacing w:after="240"/>
      </w:pPr>
      <w:r w:rsidRPr="008D250E">
        <w:t xml:space="preserve">Within 30 days of the effective date of this decision, </w:t>
      </w:r>
      <w:r w:rsidR="00E67715">
        <w:t xml:space="preserve">the Commission’s Intervenor Compensation Fund </w:t>
      </w:r>
      <w:r w:rsidRPr="008D250E">
        <w:t>shall pay</w:t>
      </w:r>
      <w:r w:rsidR="00A756BF">
        <w:t xml:space="preserve"> The Utility Reform Network</w:t>
      </w:r>
      <w:r w:rsidRPr="008D250E" w:rsidR="00FE3BAE">
        <w:t xml:space="preserve"> </w:t>
      </w:r>
      <w:r w:rsidRPr="008D250E">
        <w:t>the total award. Payment of the award shall include</w:t>
      </w:r>
      <w:r w:rsidRPr="008D250E" w:rsidR="004E3939">
        <w:t xml:space="preserve"> compound </w:t>
      </w:r>
      <w:r w:rsidRPr="008D250E">
        <w:t>interest at the rate earned on prime, three</w:t>
      </w:r>
      <w:r w:rsidR="00747698">
        <w:noBreakHyphen/>
      </w:r>
      <w:r w:rsidRPr="008D250E">
        <w:t xml:space="preserve">month </w:t>
      </w:r>
      <w:r w:rsidRPr="008D250E" w:rsidR="00214B22">
        <w:t>non</w:t>
      </w:r>
      <w:r w:rsidR="00747698">
        <w:noBreakHyphen/>
      </w:r>
      <w:r w:rsidRPr="008D250E" w:rsidR="00214B22">
        <w:t xml:space="preserve">financial </w:t>
      </w:r>
      <w:r w:rsidRPr="008D250E">
        <w:t>commercial paper as reported in Federal Reserve Statistical Release H.15, beginning</w:t>
      </w:r>
      <w:r w:rsidRPr="008D250E" w:rsidR="00357F1A">
        <w:t xml:space="preserve"> </w:t>
      </w:r>
      <w:r w:rsidR="00A756BF">
        <w:t>February 8, 2020</w:t>
      </w:r>
      <w:r w:rsidRPr="008D250E" w:rsidR="00357F1A">
        <w:t xml:space="preserve">, </w:t>
      </w:r>
      <w:r w:rsidRPr="008D250E">
        <w:t>the 75</w:t>
      </w:r>
      <w:r w:rsidRPr="008D250E">
        <w:rPr>
          <w:vertAlign w:val="superscript"/>
        </w:rPr>
        <w:t>th</w:t>
      </w:r>
      <w:r w:rsidRPr="008D250E">
        <w:t xml:space="preserve"> day after the filing of</w:t>
      </w:r>
      <w:r w:rsidR="00A756BF">
        <w:t xml:space="preserve"> The Utility Reform Network’</w:t>
      </w:r>
      <w:r w:rsidRPr="008D250E" w:rsidR="00FE3BAE">
        <w:t>s</w:t>
      </w:r>
      <w:r w:rsidRPr="008D250E" w:rsidR="00FE3BAE">
        <w:rPr>
          <w:b/>
        </w:rPr>
        <w:t xml:space="preserve"> </w:t>
      </w:r>
      <w:r w:rsidRPr="008D250E">
        <w:t>request, and continuing until full payment is made.</w:t>
      </w:r>
    </w:p>
    <w:p w:rsidRPr="008D250E" w:rsidR="00A92D0B" w:rsidP="00DB3A11" w:rsidRDefault="00A92D0B" w14:paraId="5AD40C95" w14:textId="45DD2E7D">
      <w:pPr>
        <w:pStyle w:val="ListParagraph"/>
        <w:keepNext/>
        <w:numPr>
          <w:ilvl w:val="0"/>
          <w:numId w:val="11"/>
        </w:numPr>
        <w:spacing w:after="240"/>
      </w:pPr>
      <w:r w:rsidRPr="008D250E">
        <w:lastRenderedPageBreak/>
        <w:t>The comment period for today’s decision is</w:t>
      </w:r>
      <w:r w:rsidR="00A756BF">
        <w:t xml:space="preserve"> </w:t>
      </w:r>
      <w:r w:rsidRPr="008D250E">
        <w:t>waived.</w:t>
      </w:r>
    </w:p>
    <w:p w:rsidRPr="008D250E" w:rsidR="00A92D0B" w:rsidP="00DB3A11" w:rsidRDefault="00A92D0B" w14:paraId="13F3A0AD" w14:textId="77777777">
      <w:pPr>
        <w:keepNext/>
        <w:spacing w:after="240"/>
        <w:ind w:left="475"/>
        <w:rPr>
          <w:color w:val="000000"/>
        </w:rPr>
      </w:pPr>
      <w:r w:rsidRPr="008D250E">
        <w:rPr>
          <w:color w:val="000000"/>
        </w:rPr>
        <w:t>This decision is effective today.</w:t>
      </w:r>
    </w:p>
    <w:p w:rsidR="00A92D0B" w:rsidP="00DB3A11" w:rsidRDefault="00A92D0B" w14:paraId="0467B995" w14:textId="455E18C0">
      <w:pPr>
        <w:keepNext/>
        <w:spacing w:after="240"/>
        <w:ind w:left="475"/>
        <w:rPr>
          <w:color w:val="000000"/>
        </w:rPr>
      </w:pPr>
      <w:r w:rsidRPr="008D250E">
        <w:rPr>
          <w:color w:val="000000"/>
        </w:rPr>
        <w:t xml:space="preserve">Dated </w:t>
      </w:r>
      <w:r w:rsidR="00DB3A11">
        <w:rPr>
          <w:color w:val="000000"/>
        </w:rPr>
        <w:t>May 21, 2020</w:t>
      </w:r>
      <w:r w:rsidRPr="008D250E">
        <w:rPr>
          <w:color w:val="000000"/>
        </w:rPr>
        <w:t>, at San Francisco, California.</w:t>
      </w:r>
    </w:p>
    <w:p w:rsidR="00D15DE8" w:rsidP="00DB3A11" w:rsidRDefault="00D15DE8" w14:paraId="45E85F75" w14:textId="77777777">
      <w:pPr>
        <w:keepNext/>
        <w:spacing w:after="240"/>
        <w:ind w:left="475"/>
        <w:rPr>
          <w:color w:val="000000"/>
        </w:rPr>
      </w:pPr>
    </w:p>
    <w:p w:rsidRPr="00C773F2" w:rsidR="00DB3A11" w:rsidP="00DB3A11" w:rsidRDefault="00DB3A11" w14:paraId="2069DFA1" w14:textId="77777777">
      <w:pPr>
        <w:keepNext/>
        <w:autoSpaceDE w:val="0"/>
        <w:autoSpaceDN w:val="0"/>
        <w:adjustRightInd w:val="0"/>
        <w:ind w:left="4320"/>
        <w:jc w:val="both"/>
        <w:rPr>
          <w:rFonts w:ascii="Book Antiqua" w:hAnsi="Book Antiqua" w:cs="Palatino"/>
          <w:sz w:val="26"/>
          <w:szCs w:val="26"/>
        </w:rPr>
      </w:pPr>
      <w:bookmarkStart w:name="_Hlk17215919" w:id="0"/>
      <w:r w:rsidRPr="00C773F2">
        <w:rPr>
          <w:rFonts w:ascii="Book Antiqua" w:hAnsi="Book Antiqua" w:cs="Courier New"/>
          <w:sz w:val="26"/>
          <w:szCs w:val="26"/>
        </w:rPr>
        <w:t>MARYBEL BATJER</w:t>
      </w:r>
    </w:p>
    <w:p w:rsidRPr="00C773F2" w:rsidR="00DB3A11" w:rsidP="00DB3A11" w:rsidRDefault="00DB3A11" w14:paraId="18B4F803" w14:textId="77777777">
      <w:pPr>
        <w:keepNext/>
        <w:autoSpaceDE w:val="0"/>
        <w:autoSpaceDN w:val="0"/>
        <w:adjustRightInd w:val="0"/>
        <w:ind w:firstLine="720"/>
        <w:jc w:val="both"/>
        <w:rPr>
          <w:rFonts w:ascii="Book Antiqua" w:hAnsi="Book Antiqua" w:cs="Palatino"/>
          <w:sz w:val="26"/>
          <w:szCs w:val="26"/>
        </w:rPr>
      </w:pP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t xml:space="preserve">                       President</w:t>
      </w:r>
    </w:p>
    <w:p w:rsidRPr="00C773F2" w:rsidR="00DB3A11" w:rsidP="00DB3A11" w:rsidRDefault="00DB3A11" w14:paraId="719B3A5E" w14:textId="77777777">
      <w:pPr>
        <w:keepNext/>
        <w:autoSpaceDE w:val="0"/>
        <w:autoSpaceDN w:val="0"/>
        <w:adjustRightInd w:val="0"/>
        <w:ind w:left="4320"/>
        <w:jc w:val="both"/>
        <w:rPr>
          <w:rFonts w:ascii="Book Antiqua" w:hAnsi="Book Antiqua" w:cs="Courier New"/>
          <w:sz w:val="26"/>
          <w:szCs w:val="26"/>
        </w:rPr>
      </w:pPr>
      <w:r w:rsidRPr="00C773F2">
        <w:rPr>
          <w:rFonts w:ascii="Book Antiqua" w:hAnsi="Book Antiqua" w:cs="Courier New"/>
          <w:sz w:val="26"/>
          <w:szCs w:val="26"/>
        </w:rPr>
        <w:t>LIANE M. RANDOLPH</w:t>
      </w:r>
    </w:p>
    <w:p w:rsidRPr="00C773F2" w:rsidR="00DB3A11" w:rsidP="00DB3A11" w:rsidRDefault="00DB3A11" w14:paraId="6B1B1996" w14:textId="77777777">
      <w:pPr>
        <w:keepNext/>
        <w:autoSpaceDE w:val="0"/>
        <w:autoSpaceDN w:val="0"/>
        <w:adjustRightInd w:val="0"/>
        <w:ind w:left="4320"/>
        <w:jc w:val="both"/>
        <w:rPr>
          <w:rFonts w:ascii="Book Antiqua" w:hAnsi="Book Antiqua"/>
          <w:sz w:val="28"/>
          <w:szCs w:val="28"/>
        </w:rPr>
      </w:pPr>
      <w:r w:rsidRPr="00C773F2">
        <w:rPr>
          <w:rFonts w:ascii="Book Antiqua" w:hAnsi="Book Antiqua"/>
          <w:sz w:val="28"/>
          <w:szCs w:val="28"/>
        </w:rPr>
        <w:t>MARTHA GUZMAN ACEVES</w:t>
      </w:r>
    </w:p>
    <w:p w:rsidRPr="00C773F2" w:rsidR="00DB3A11" w:rsidP="00DB3A11" w:rsidRDefault="00DB3A11" w14:paraId="09B18FFF" w14:textId="77777777">
      <w:pPr>
        <w:keepNext/>
        <w:autoSpaceDE w:val="0"/>
        <w:autoSpaceDN w:val="0"/>
        <w:adjustRightInd w:val="0"/>
        <w:ind w:left="4320"/>
        <w:jc w:val="both"/>
        <w:rPr>
          <w:rFonts w:ascii="Book Antiqua" w:hAnsi="Book Antiqua"/>
          <w:sz w:val="28"/>
          <w:szCs w:val="28"/>
        </w:rPr>
      </w:pPr>
      <w:r w:rsidRPr="00C773F2">
        <w:rPr>
          <w:rFonts w:ascii="Book Antiqua" w:hAnsi="Book Antiqua"/>
          <w:sz w:val="28"/>
          <w:szCs w:val="28"/>
        </w:rPr>
        <w:t>CLIFFORD RECHTSCHAFFEN</w:t>
      </w:r>
    </w:p>
    <w:p w:rsidRPr="00C773F2" w:rsidR="00DB3A11" w:rsidP="00DB3A11" w:rsidRDefault="00DB3A11" w14:paraId="7BEDF0E4" w14:textId="77777777">
      <w:pPr>
        <w:keepNext/>
        <w:autoSpaceDE w:val="0"/>
        <w:autoSpaceDN w:val="0"/>
        <w:adjustRightInd w:val="0"/>
        <w:ind w:left="4320"/>
        <w:jc w:val="both"/>
        <w:rPr>
          <w:rFonts w:ascii="Book Antiqua" w:hAnsi="Book Antiqua"/>
          <w:sz w:val="28"/>
          <w:szCs w:val="28"/>
        </w:rPr>
      </w:pPr>
      <w:r w:rsidRPr="00C773F2">
        <w:rPr>
          <w:rFonts w:ascii="Book Antiqua" w:hAnsi="Book Antiqua"/>
          <w:sz w:val="28"/>
          <w:szCs w:val="28"/>
        </w:rPr>
        <w:t>GENEVIEVE SHIROMA</w:t>
      </w:r>
    </w:p>
    <w:p w:rsidRPr="00C773F2" w:rsidR="00DB3A11" w:rsidP="00DB3A11" w:rsidRDefault="00DB3A11" w14:paraId="723F5110" w14:textId="77777777">
      <w:pPr>
        <w:autoSpaceDE w:val="0"/>
        <w:autoSpaceDN w:val="0"/>
        <w:adjustRightInd w:val="0"/>
        <w:ind w:left="4320" w:firstLine="720"/>
        <w:jc w:val="both"/>
        <w:rPr>
          <w:rFonts w:ascii="Book Antiqua" w:hAnsi="Book Antiqua" w:cs="Palatino"/>
          <w:sz w:val="26"/>
          <w:szCs w:val="26"/>
        </w:rPr>
      </w:pPr>
      <w:r w:rsidRPr="00C773F2">
        <w:rPr>
          <w:rFonts w:ascii="Book Antiqua" w:hAnsi="Book Antiqua" w:cs="Palatino"/>
          <w:sz w:val="26"/>
          <w:szCs w:val="26"/>
        </w:rPr>
        <w:t xml:space="preserve">                 Commissioners</w:t>
      </w:r>
    </w:p>
    <w:bookmarkEnd w:id="0"/>
    <w:p w:rsidRPr="008D250E" w:rsidR="00DB3A11" w:rsidP="00F12AC6" w:rsidRDefault="00DB3A11" w14:paraId="3CC9AFCB" w14:textId="77777777">
      <w:pPr>
        <w:keepNext/>
        <w:spacing w:after="240"/>
        <w:ind w:left="475"/>
        <w:rPr>
          <w:color w:val="000000"/>
        </w:rPr>
      </w:pPr>
    </w:p>
    <w:p w:rsidRPr="008D250E" w:rsidR="00A92D0B" w:rsidRDefault="00A92D0B" w14:paraId="1A474D77" w14:textId="77777777"/>
    <w:p w:rsidR="00BB5CCD" w:rsidRDefault="00BB5CCD" w14:paraId="70DE10F0" w14:textId="77777777">
      <w:pPr>
        <w:sectPr w:rsidR="00BB5CCD" w:rsidSect="000F67CA">
          <w:headerReference w:type="default" r:id="rId8"/>
          <w:footerReference w:type="default" r:id="rId9"/>
          <w:footerReference w:type="first" r:id="rId10"/>
          <w:pgSz w:w="12240" w:h="15840"/>
          <w:pgMar w:top="1728" w:right="1800" w:bottom="1440" w:left="1800" w:header="720" w:footer="720" w:gutter="0"/>
          <w:pgNumType w:fmt="numberInDash"/>
          <w:cols w:space="720"/>
          <w:titlePg/>
          <w:docGrid w:linePitch="360"/>
        </w:sectPr>
      </w:pPr>
    </w:p>
    <w:p w:rsidRPr="00BB5CCD" w:rsidR="00FE3BAE" w:rsidP="00BB5CCD" w:rsidRDefault="00FE3BAE" w14:paraId="7A1C7043" w14:textId="77777777">
      <w:pPr>
        <w:pStyle w:val="standard"/>
        <w:keepNext/>
        <w:spacing w:after="120" w:line="240" w:lineRule="auto"/>
        <w:ind w:firstLine="0"/>
        <w:jc w:val="center"/>
        <w:rPr>
          <w:b/>
          <w:szCs w:val="26"/>
        </w:rPr>
      </w:pPr>
      <w:r w:rsidRPr="00BB5CCD">
        <w:rPr>
          <w:b/>
          <w:szCs w:val="26"/>
        </w:rPr>
        <w:lastRenderedPageBreak/>
        <w:t>APPENDIX</w:t>
      </w:r>
    </w:p>
    <w:p w:rsidRPr="00BB5CCD" w:rsidR="00FE3BAE" w:rsidP="00BB5CCD" w:rsidRDefault="00FE3BAE" w14:paraId="300BB274" w14:textId="77777777">
      <w:pPr>
        <w:pStyle w:val="standard"/>
        <w:keepNext/>
        <w:spacing w:after="120" w:line="240" w:lineRule="auto"/>
        <w:ind w:firstLine="0"/>
        <w:jc w:val="center"/>
        <w:rPr>
          <w:b/>
          <w:bCs/>
        </w:rPr>
      </w:pPr>
      <w:r w:rsidRPr="00BB5CCD">
        <w:rPr>
          <w:b/>
          <w:bCs/>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2880"/>
        <w:gridCol w:w="3735"/>
        <w:gridCol w:w="2475"/>
        <w:gridCol w:w="1260"/>
      </w:tblGrid>
      <w:tr w:rsidRPr="00BB5CCD" w:rsidR="00FE3BAE" w:rsidTr="00D769BE"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4BC9C636" w14:textId="77777777">
            <w:pPr>
              <w:rPr>
                <w:b/>
                <w:bCs/>
              </w:rPr>
            </w:pPr>
            <w:r w:rsidRPr="008D4523">
              <w:rPr>
                <w:b/>
                <w:bCs/>
              </w:rPr>
              <w:t>Compensation Decision:</w:t>
            </w:r>
          </w:p>
        </w:tc>
        <w:tc>
          <w:tcPr>
            <w:tcW w:w="3735" w:type="dxa"/>
            <w:tcBorders>
              <w:top w:val="single" w:color="auto" w:sz="4" w:space="0"/>
              <w:left w:val="single" w:color="auto" w:sz="4" w:space="0"/>
              <w:bottom w:val="single" w:color="auto" w:sz="4" w:space="0"/>
              <w:right w:val="single" w:color="auto" w:sz="4" w:space="0"/>
            </w:tcBorders>
          </w:tcPr>
          <w:p w:rsidRPr="00BB5CCD" w:rsidR="00FE3BAE" w:rsidP="0083467B" w:rsidRDefault="000F0B23" w14:paraId="16C5D6B1" w14:textId="78B21C72">
            <w:r w:rsidRPr="000F0B23">
              <w:t>D2005036</w:t>
            </w:r>
          </w:p>
        </w:tc>
        <w:tc>
          <w:tcPr>
            <w:tcW w:w="2475"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3ECA0C4F" w14:textId="77777777">
            <w:pPr>
              <w:rPr>
                <w:b/>
                <w:bCs/>
              </w:rPr>
            </w:pPr>
            <w:r w:rsidRPr="008D4523">
              <w:rPr>
                <w:b/>
                <w:bCs/>
              </w:rP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BB5CCD" w:rsidR="00FE3BAE" w:rsidP="0083467B" w:rsidRDefault="00A24C29" w14:paraId="6846FB87" w14:textId="13FF71E2">
            <w:pPr>
              <w:jc w:val="center"/>
            </w:pPr>
            <w:r w:rsidRPr="00BB5CCD">
              <w:t>No</w:t>
            </w:r>
          </w:p>
        </w:tc>
      </w:tr>
      <w:tr w:rsidRPr="00BB5CCD" w:rsidR="00FE3BAE" w:rsidTr="00D769BE"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6E65620B" w14:textId="77777777">
            <w:pPr>
              <w:rPr>
                <w:b/>
                <w:bCs/>
              </w:rPr>
            </w:pPr>
            <w:r w:rsidRPr="008D4523">
              <w:rPr>
                <w:b/>
                <w:bCs/>
              </w:rP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BB5CCD" w:rsidR="00FE3BAE" w:rsidP="0083467B" w:rsidRDefault="00A756BF" w14:paraId="426F2C45" w14:textId="4495781C">
            <w:r w:rsidRPr="00BB5CCD">
              <w:t>D1807045, D1909042</w:t>
            </w:r>
          </w:p>
        </w:tc>
      </w:tr>
      <w:tr w:rsidRPr="00BB5CCD" w:rsidR="00FE3BAE" w:rsidTr="00D769BE"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717974DE" w14:textId="77777777">
            <w:pPr>
              <w:rPr>
                <w:b/>
                <w:bCs/>
              </w:rPr>
            </w:pPr>
            <w:r w:rsidRPr="008D4523">
              <w:rPr>
                <w:b/>
                <w:bCs/>
              </w:rP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BB5CCD" w:rsidR="00FE3BAE" w:rsidP="0083467B" w:rsidRDefault="003028C9" w14:paraId="5B85688D" w14:textId="3435C346">
            <w:r w:rsidRPr="00BB5CCD">
              <w:t>I1405012</w:t>
            </w:r>
          </w:p>
        </w:tc>
      </w:tr>
      <w:tr w:rsidRPr="00BB5CCD" w:rsidR="00FE3BAE" w:rsidTr="00D769BE"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738C0A58" w14:textId="77777777">
            <w:pPr>
              <w:rPr>
                <w:b/>
                <w:bCs/>
              </w:rPr>
            </w:pPr>
            <w:r w:rsidRPr="008D4523">
              <w:rPr>
                <w:b/>
                <w:bCs/>
              </w:rP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BB5CCD" w:rsidR="00FE3BAE" w:rsidP="0083467B" w:rsidRDefault="00A24C29" w14:paraId="5E75C0F0" w14:textId="5969AE89">
            <w:r w:rsidRPr="00BB5CCD">
              <w:t>ALJ Mason</w:t>
            </w:r>
          </w:p>
        </w:tc>
      </w:tr>
      <w:tr w:rsidRPr="00BB5CCD" w:rsidR="00FE3BAE" w:rsidTr="00D769BE"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Pr="008D4523" w:rsidR="00FE3BAE" w:rsidP="0083467B" w:rsidRDefault="00FE3BAE" w14:paraId="1414CA71" w14:textId="77777777">
            <w:pPr>
              <w:rPr>
                <w:b/>
                <w:bCs/>
              </w:rPr>
            </w:pPr>
            <w:r w:rsidRPr="008D4523">
              <w:rPr>
                <w:b/>
                <w:bCs/>
              </w:rP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BB5CCD" w:rsidR="00FE3BAE" w:rsidP="0083467B" w:rsidRDefault="003028C9" w14:paraId="7CA711B6" w14:textId="056E88B6">
            <w:r w:rsidRPr="00BB5CCD">
              <w:t>Commission’s Intervenor Compensation Fund</w:t>
            </w:r>
          </w:p>
        </w:tc>
      </w:tr>
    </w:tbl>
    <w:p w:rsidRPr="00BB5CCD" w:rsidR="00FE3BAE" w:rsidP="00BB5CCD" w:rsidRDefault="00FE3BAE" w14:paraId="7F0236A2" w14:textId="77777777">
      <w:pPr>
        <w:pStyle w:val="standard"/>
        <w:keepNext/>
        <w:spacing w:before="240" w:after="120" w:line="240" w:lineRule="auto"/>
        <w:ind w:firstLine="0"/>
        <w:jc w:val="center"/>
        <w:rPr>
          <w:b/>
          <w:bCs/>
          <w:szCs w:val="28"/>
        </w:rPr>
      </w:pPr>
      <w:r w:rsidRPr="00BB5CCD">
        <w:rPr>
          <w:b/>
          <w:bCs/>
          <w:szCs w:val="28"/>
        </w:rPr>
        <w:t>Intervenor Information</w:t>
      </w:r>
    </w:p>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1E0" w:firstRow="1" w:lastRow="1" w:firstColumn="1" w:lastColumn="1" w:noHBand="0" w:noVBand="0"/>
      </w:tblPr>
      <w:tblGrid>
        <w:gridCol w:w="1597"/>
        <w:gridCol w:w="1620"/>
        <w:gridCol w:w="1710"/>
        <w:gridCol w:w="1710"/>
        <w:gridCol w:w="1530"/>
        <w:gridCol w:w="2160"/>
      </w:tblGrid>
      <w:tr w:rsidRPr="00040B8F" w:rsidR="00FE3BAE" w:rsidTr="00F8494C" w14:paraId="6CDB318E" w14:textId="77777777">
        <w:tc>
          <w:tcPr>
            <w:tcW w:w="1597" w:type="dxa"/>
            <w:tcBorders>
              <w:top w:val="single" w:color="auto" w:sz="4" w:space="0"/>
              <w:left w:val="single" w:color="auto" w:sz="4" w:space="0"/>
              <w:bottom w:val="single" w:color="auto" w:sz="4" w:space="0"/>
              <w:right w:val="single" w:color="auto" w:sz="4" w:space="0"/>
            </w:tcBorders>
            <w:vAlign w:val="bottom"/>
            <w:hideMark/>
          </w:tcPr>
          <w:p w:rsidRPr="00040B8F" w:rsidR="00FE3BAE" w:rsidP="00040B8F" w:rsidRDefault="00FE3BAE" w14:paraId="2578F35B" w14:textId="77777777">
            <w:pPr>
              <w:keepLines/>
              <w:jc w:val="center"/>
              <w:rPr>
                <w:b/>
                <w:bCs/>
              </w:rPr>
            </w:pPr>
            <w:r w:rsidRPr="00040B8F">
              <w:rPr>
                <w:b/>
                <w:bCs/>
              </w:rPr>
              <w:t>Intervenor</w:t>
            </w:r>
          </w:p>
        </w:tc>
        <w:tc>
          <w:tcPr>
            <w:tcW w:w="1620" w:type="dxa"/>
            <w:tcBorders>
              <w:top w:val="single" w:color="auto" w:sz="4" w:space="0"/>
              <w:left w:val="single" w:color="auto" w:sz="4" w:space="0"/>
              <w:bottom w:val="single" w:color="auto" w:sz="4" w:space="0"/>
              <w:right w:val="single" w:color="auto" w:sz="4" w:space="0"/>
            </w:tcBorders>
            <w:vAlign w:val="bottom"/>
            <w:hideMark/>
          </w:tcPr>
          <w:p w:rsidR="009A32E8" w:rsidP="00040B8F" w:rsidRDefault="0081626F" w14:paraId="1BCC39FA" w14:textId="77777777">
            <w:pPr>
              <w:keepLines/>
              <w:jc w:val="center"/>
              <w:rPr>
                <w:b/>
                <w:bCs/>
              </w:rPr>
            </w:pPr>
            <w:r w:rsidRPr="00040B8F">
              <w:rPr>
                <w:b/>
                <w:bCs/>
              </w:rPr>
              <w:t xml:space="preserve">Date </w:t>
            </w:r>
          </w:p>
          <w:p w:rsidRPr="00040B8F" w:rsidR="00FE3BAE" w:rsidP="00040B8F" w:rsidRDefault="0081626F" w14:paraId="2C1C9DC3" w14:textId="498559A0">
            <w:pPr>
              <w:keepLines/>
              <w:jc w:val="center"/>
              <w:rPr>
                <w:b/>
                <w:bCs/>
              </w:rPr>
            </w:pPr>
            <w:r w:rsidRPr="00040B8F">
              <w:rPr>
                <w:b/>
                <w:bCs/>
              </w:rPr>
              <w:t>Claim Filed</w:t>
            </w:r>
          </w:p>
        </w:tc>
        <w:tc>
          <w:tcPr>
            <w:tcW w:w="1710" w:type="dxa"/>
            <w:tcBorders>
              <w:top w:val="single" w:color="auto" w:sz="4" w:space="0"/>
              <w:left w:val="single" w:color="auto" w:sz="4" w:space="0"/>
              <w:bottom w:val="single" w:color="auto" w:sz="4" w:space="0"/>
              <w:right w:val="single" w:color="auto" w:sz="4" w:space="0"/>
            </w:tcBorders>
            <w:vAlign w:val="bottom"/>
            <w:hideMark/>
          </w:tcPr>
          <w:p w:rsidR="009A32E8" w:rsidP="00040B8F" w:rsidRDefault="00FE3BAE" w14:paraId="0F17F6FE" w14:textId="77777777">
            <w:pPr>
              <w:keepLines/>
              <w:jc w:val="center"/>
              <w:rPr>
                <w:b/>
                <w:bCs/>
              </w:rPr>
            </w:pPr>
            <w:r w:rsidRPr="00040B8F">
              <w:rPr>
                <w:b/>
                <w:bCs/>
              </w:rPr>
              <w:t xml:space="preserve">Amount </w:t>
            </w:r>
          </w:p>
          <w:p w:rsidRPr="00040B8F" w:rsidR="00FE3BAE" w:rsidP="00040B8F" w:rsidRDefault="00FE3BAE" w14:paraId="60DD020D" w14:textId="04D8E00D">
            <w:pPr>
              <w:keepLines/>
              <w:jc w:val="center"/>
              <w:rPr>
                <w:b/>
                <w:bCs/>
              </w:rPr>
            </w:pPr>
            <w:r w:rsidRPr="00040B8F">
              <w:rPr>
                <w:b/>
                <w:bCs/>
              </w:rPr>
              <w:t>Requested</w:t>
            </w:r>
          </w:p>
        </w:tc>
        <w:tc>
          <w:tcPr>
            <w:tcW w:w="1710" w:type="dxa"/>
            <w:tcBorders>
              <w:top w:val="single" w:color="auto" w:sz="4" w:space="0"/>
              <w:left w:val="single" w:color="auto" w:sz="4" w:space="0"/>
              <w:bottom w:val="single" w:color="auto" w:sz="4" w:space="0"/>
              <w:right w:val="single" w:color="auto" w:sz="4" w:space="0"/>
            </w:tcBorders>
            <w:vAlign w:val="bottom"/>
            <w:hideMark/>
          </w:tcPr>
          <w:p w:rsidR="009A32E8" w:rsidP="00040B8F" w:rsidRDefault="00FE3BAE" w14:paraId="197C1A1D" w14:textId="77777777">
            <w:pPr>
              <w:keepLines/>
              <w:jc w:val="center"/>
              <w:rPr>
                <w:b/>
                <w:bCs/>
              </w:rPr>
            </w:pPr>
            <w:r w:rsidRPr="00040B8F">
              <w:rPr>
                <w:b/>
                <w:bCs/>
              </w:rPr>
              <w:t xml:space="preserve">Amount </w:t>
            </w:r>
          </w:p>
          <w:p w:rsidRPr="00040B8F" w:rsidR="00FE3BAE" w:rsidP="00040B8F" w:rsidRDefault="00FE3BAE" w14:paraId="19A4A01D" w14:textId="256B1E74">
            <w:pPr>
              <w:keepLines/>
              <w:jc w:val="center"/>
              <w:rPr>
                <w:b/>
                <w:bCs/>
              </w:rPr>
            </w:pPr>
            <w:r w:rsidRPr="00040B8F">
              <w:rPr>
                <w:b/>
                <w:bCs/>
              </w:rPr>
              <w:t>Awarded</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040B8F" w:rsidR="00FE3BAE" w:rsidP="00040B8F" w:rsidRDefault="00FE3BAE" w14:paraId="5B9F47E2" w14:textId="77777777">
            <w:pPr>
              <w:keepLines/>
              <w:jc w:val="center"/>
              <w:rPr>
                <w:b/>
                <w:bCs/>
              </w:rPr>
            </w:pPr>
            <w:r w:rsidRPr="00040B8F">
              <w:rPr>
                <w:b/>
                <w:bCs/>
              </w:rPr>
              <w:t>Multiplier?</w:t>
            </w:r>
          </w:p>
        </w:tc>
        <w:tc>
          <w:tcPr>
            <w:tcW w:w="2160" w:type="dxa"/>
            <w:tcBorders>
              <w:top w:val="single" w:color="auto" w:sz="4" w:space="0"/>
              <w:left w:val="single" w:color="auto" w:sz="4" w:space="0"/>
              <w:bottom w:val="single" w:color="auto" w:sz="4" w:space="0"/>
              <w:right w:val="single" w:color="auto" w:sz="4" w:space="0"/>
            </w:tcBorders>
            <w:vAlign w:val="bottom"/>
            <w:hideMark/>
          </w:tcPr>
          <w:p w:rsidR="009A32E8" w:rsidP="00040B8F" w:rsidRDefault="00FE3BAE" w14:paraId="03C51B6F" w14:textId="77777777">
            <w:pPr>
              <w:keepLines/>
              <w:jc w:val="center"/>
              <w:rPr>
                <w:b/>
                <w:bCs/>
              </w:rPr>
            </w:pPr>
            <w:r w:rsidRPr="00040B8F">
              <w:rPr>
                <w:b/>
                <w:bCs/>
              </w:rPr>
              <w:t>Reason Change/</w:t>
            </w:r>
          </w:p>
          <w:p w:rsidRPr="00040B8F" w:rsidR="00FE3BAE" w:rsidP="00040B8F" w:rsidRDefault="00FE3BAE" w14:paraId="089590A8" w14:textId="4902996F">
            <w:pPr>
              <w:keepLines/>
              <w:jc w:val="center"/>
              <w:rPr>
                <w:b/>
                <w:bCs/>
              </w:rPr>
            </w:pPr>
            <w:r w:rsidRPr="00040B8F">
              <w:rPr>
                <w:b/>
                <w:bCs/>
              </w:rPr>
              <w:t>Disallowance</w:t>
            </w:r>
          </w:p>
        </w:tc>
      </w:tr>
      <w:tr w:rsidRPr="00BB5CCD" w:rsidR="00FE3BAE" w:rsidTr="00F8494C" w14:paraId="080524E3" w14:textId="77777777">
        <w:trPr>
          <w:trHeight w:val="872"/>
        </w:trPr>
        <w:tc>
          <w:tcPr>
            <w:tcW w:w="1597" w:type="dxa"/>
            <w:tcBorders>
              <w:top w:val="single" w:color="auto" w:sz="4" w:space="0"/>
              <w:left w:val="single" w:color="auto" w:sz="4" w:space="0"/>
              <w:bottom w:val="single" w:color="auto" w:sz="4" w:space="0"/>
              <w:right w:val="single" w:color="auto" w:sz="4" w:space="0"/>
            </w:tcBorders>
            <w:shd w:val="clear" w:color="auto" w:fill="auto"/>
            <w:hideMark/>
          </w:tcPr>
          <w:p w:rsidRPr="00BB5CCD" w:rsidR="00FE3BAE" w:rsidP="0083467B" w:rsidRDefault="00A24C29" w14:paraId="3008FB17" w14:textId="54EAEC26">
            <w:pPr>
              <w:jc w:val="center"/>
            </w:pPr>
            <w:r w:rsidRPr="00BB5CCD">
              <w:t>The Utility Reform Network</w:t>
            </w:r>
          </w:p>
        </w:tc>
        <w:tc>
          <w:tcPr>
            <w:tcW w:w="1620" w:type="dxa"/>
            <w:tcBorders>
              <w:top w:val="single" w:color="auto" w:sz="4" w:space="0"/>
              <w:left w:val="single" w:color="auto" w:sz="4" w:space="0"/>
              <w:bottom w:val="single" w:color="auto" w:sz="4" w:space="0"/>
              <w:right w:val="single" w:color="auto" w:sz="4" w:space="0"/>
            </w:tcBorders>
            <w:shd w:val="clear" w:color="auto" w:fill="auto"/>
            <w:hideMark/>
          </w:tcPr>
          <w:p w:rsidRPr="00BB5CCD" w:rsidR="00FE3BAE" w:rsidP="0083467B" w:rsidRDefault="003028C9" w14:paraId="63956769" w14:textId="7B746F80">
            <w:pPr>
              <w:jc w:val="center"/>
            </w:pPr>
            <w:r w:rsidRPr="00BB5CCD">
              <w:t>11/25/19</w:t>
            </w:r>
          </w:p>
        </w:tc>
        <w:tc>
          <w:tcPr>
            <w:tcW w:w="1710" w:type="dxa"/>
            <w:tcBorders>
              <w:top w:val="single" w:color="auto" w:sz="4" w:space="0"/>
              <w:left w:val="single" w:color="auto" w:sz="4" w:space="0"/>
              <w:bottom w:val="single" w:color="auto" w:sz="4" w:space="0"/>
              <w:right w:val="single" w:color="auto" w:sz="4" w:space="0"/>
            </w:tcBorders>
            <w:shd w:val="clear" w:color="auto" w:fill="auto"/>
            <w:hideMark/>
          </w:tcPr>
          <w:p w:rsidRPr="00BB5CCD" w:rsidR="00FE3BAE" w:rsidP="0083467B" w:rsidRDefault="003028C9" w14:paraId="75AD20FA" w14:textId="32A5DE3B">
            <w:pPr>
              <w:jc w:val="center"/>
            </w:pPr>
            <w:r w:rsidRPr="00BB5CCD">
              <w:t>$88,054.18</w:t>
            </w:r>
          </w:p>
        </w:tc>
        <w:tc>
          <w:tcPr>
            <w:tcW w:w="1710" w:type="dxa"/>
            <w:tcBorders>
              <w:top w:val="single" w:color="auto" w:sz="4" w:space="0"/>
              <w:left w:val="single" w:color="auto" w:sz="4" w:space="0"/>
              <w:bottom w:val="single" w:color="auto" w:sz="4" w:space="0"/>
              <w:right w:val="single" w:color="auto" w:sz="4" w:space="0"/>
            </w:tcBorders>
            <w:hideMark/>
          </w:tcPr>
          <w:p w:rsidRPr="00BB5CCD" w:rsidR="00FE3BAE" w:rsidP="0083467B" w:rsidRDefault="003028C9" w14:paraId="0DD6FE00" w14:textId="0EAA086D">
            <w:pPr>
              <w:jc w:val="center"/>
            </w:pPr>
            <w:r w:rsidRPr="00BB5CCD">
              <w:t>$88,054.18</w:t>
            </w:r>
          </w:p>
        </w:tc>
        <w:tc>
          <w:tcPr>
            <w:tcW w:w="1530" w:type="dxa"/>
            <w:tcBorders>
              <w:top w:val="single" w:color="auto" w:sz="4" w:space="0"/>
              <w:left w:val="single" w:color="auto" w:sz="4" w:space="0"/>
              <w:bottom w:val="single" w:color="auto" w:sz="4" w:space="0"/>
              <w:right w:val="single" w:color="auto" w:sz="4" w:space="0"/>
            </w:tcBorders>
            <w:hideMark/>
          </w:tcPr>
          <w:p w:rsidRPr="00BB5CCD" w:rsidR="00FE3BAE" w:rsidP="0083467B" w:rsidRDefault="00FE3BAE" w14:paraId="0BDAFE20" w14:textId="77777777">
            <w:pPr>
              <w:jc w:val="center"/>
            </w:pPr>
            <w:r w:rsidRPr="00BB5CCD">
              <w:t>N/A</w:t>
            </w:r>
          </w:p>
        </w:tc>
        <w:tc>
          <w:tcPr>
            <w:tcW w:w="2160" w:type="dxa"/>
            <w:tcBorders>
              <w:top w:val="single" w:color="auto" w:sz="4" w:space="0"/>
              <w:left w:val="single" w:color="auto" w:sz="4" w:space="0"/>
              <w:bottom w:val="single" w:color="auto" w:sz="4" w:space="0"/>
              <w:right w:val="single" w:color="auto" w:sz="4" w:space="0"/>
            </w:tcBorders>
            <w:hideMark/>
          </w:tcPr>
          <w:p w:rsidRPr="00BB5CCD" w:rsidR="00FE3BAE" w:rsidP="0083467B" w:rsidRDefault="006808AB" w14:paraId="6B53C6F9" w14:textId="4F7B6C4A">
            <w:pPr>
              <w:jc w:val="center"/>
            </w:pPr>
            <w:r w:rsidRPr="00BB5CCD">
              <w:t>N/A</w:t>
            </w:r>
          </w:p>
        </w:tc>
      </w:tr>
    </w:tbl>
    <w:p w:rsidRPr="00BB5CCD" w:rsidR="00FE3BAE" w:rsidP="00BB5CCD" w:rsidRDefault="0022302F" w14:paraId="2841210B" w14:textId="77777777">
      <w:pPr>
        <w:pStyle w:val="standard"/>
        <w:keepNext/>
        <w:spacing w:before="240" w:after="120" w:line="240" w:lineRule="auto"/>
        <w:ind w:firstLine="0"/>
        <w:jc w:val="center"/>
        <w:rPr>
          <w:b/>
          <w:bCs/>
          <w:szCs w:val="28"/>
        </w:rPr>
      </w:pPr>
      <w:r w:rsidRPr="00BB5CCD">
        <w:rPr>
          <w:b/>
          <w:bCs/>
          <w:szCs w:val="28"/>
        </w:rPr>
        <w:t>Hourly Fee</w:t>
      </w:r>
      <w:r w:rsidRPr="00BB5CCD" w:rsidR="00FE3BAE">
        <w:rPr>
          <w:b/>
          <w:bCs/>
          <w:szCs w:val="28"/>
        </w:rPr>
        <w:t xml:space="preserve">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115" w:type="dxa"/>
          <w:bottom w:w="58" w:type="dxa"/>
          <w:right w:w="115" w:type="dxa"/>
        </w:tblCellMar>
        <w:tblLook w:val="01E0" w:firstRow="1" w:lastRow="1" w:firstColumn="1" w:lastColumn="1" w:noHBand="0" w:noVBand="0"/>
      </w:tblPr>
      <w:tblGrid>
        <w:gridCol w:w="1507"/>
        <w:gridCol w:w="1620"/>
        <w:gridCol w:w="2070"/>
        <w:gridCol w:w="1800"/>
        <w:gridCol w:w="1733"/>
        <w:gridCol w:w="1620"/>
      </w:tblGrid>
      <w:tr w:rsidRPr="009A32E8" w:rsidR="00C02649" w:rsidTr="009A32E8" w14:paraId="7CF2F0CA" w14:textId="77777777">
        <w:trPr>
          <w:trHeight w:val="288"/>
        </w:trPr>
        <w:tc>
          <w:tcPr>
            <w:tcW w:w="1507" w:type="dxa"/>
            <w:tcBorders>
              <w:top w:val="single" w:color="auto" w:sz="4" w:space="0"/>
              <w:left w:val="single" w:color="auto" w:sz="4" w:space="0"/>
              <w:bottom w:val="single" w:color="auto" w:sz="4" w:space="0"/>
              <w:right w:val="single" w:color="auto" w:sz="4" w:space="0"/>
            </w:tcBorders>
            <w:vAlign w:val="bottom"/>
            <w:hideMark/>
          </w:tcPr>
          <w:p w:rsidRPr="009A32E8" w:rsidR="003B6A1B" w:rsidP="009A32E8" w:rsidRDefault="003B6A1B" w14:paraId="61500303" w14:textId="77777777">
            <w:pPr>
              <w:jc w:val="center"/>
              <w:rPr>
                <w:b/>
                <w:bCs/>
              </w:rPr>
            </w:pPr>
            <w:r w:rsidRPr="009A32E8">
              <w:rPr>
                <w:b/>
                <w:bCs/>
              </w:rPr>
              <w:t>First Name</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9A32E8" w:rsidR="003B6A1B" w:rsidP="009A32E8" w:rsidRDefault="003B6A1B" w14:paraId="55908486" w14:textId="77777777">
            <w:pPr>
              <w:jc w:val="center"/>
              <w:rPr>
                <w:b/>
                <w:bCs/>
              </w:rPr>
            </w:pPr>
            <w:r w:rsidRPr="009A32E8">
              <w:rPr>
                <w:b/>
                <w:bCs/>
              </w:rPr>
              <w:t>Last Name</w:t>
            </w:r>
          </w:p>
        </w:tc>
        <w:tc>
          <w:tcPr>
            <w:tcW w:w="2070" w:type="dxa"/>
            <w:tcBorders>
              <w:top w:val="single" w:color="auto" w:sz="4" w:space="0"/>
              <w:left w:val="single" w:color="auto" w:sz="4" w:space="0"/>
              <w:bottom w:val="single" w:color="auto" w:sz="4" w:space="0"/>
              <w:right w:val="single" w:color="auto" w:sz="4" w:space="0"/>
            </w:tcBorders>
            <w:vAlign w:val="bottom"/>
            <w:hideMark/>
          </w:tcPr>
          <w:p w:rsidR="009A32E8" w:rsidP="009A32E8" w:rsidRDefault="00171EBF" w14:paraId="5A7DFFE7" w14:textId="77777777">
            <w:pPr>
              <w:jc w:val="center"/>
              <w:rPr>
                <w:b/>
                <w:bCs/>
              </w:rPr>
            </w:pPr>
            <w:r w:rsidRPr="009A32E8">
              <w:rPr>
                <w:b/>
                <w:bCs/>
              </w:rPr>
              <w:t xml:space="preserve">Attorney, Expert, </w:t>
            </w:r>
          </w:p>
          <w:p w:rsidRPr="009A32E8" w:rsidR="003B6A1B" w:rsidP="009A32E8" w:rsidRDefault="00171EBF" w14:paraId="2438DAE1" w14:textId="0325C187">
            <w:pPr>
              <w:jc w:val="center"/>
              <w:rPr>
                <w:b/>
                <w:bCs/>
              </w:rPr>
            </w:pPr>
            <w:r w:rsidRPr="009A32E8">
              <w:rPr>
                <w:b/>
                <w:bCs/>
              </w:rPr>
              <w:t>or Advocate</w:t>
            </w:r>
          </w:p>
        </w:tc>
        <w:tc>
          <w:tcPr>
            <w:tcW w:w="1800" w:type="dxa"/>
            <w:tcBorders>
              <w:top w:val="single" w:color="auto" w:sz="4" w:space="0"/>
              <w:left w:val="single" w:color="auto" w:sz="4" w:space="0"/>
              <w:bottom w:val="single" w:color="auto" w:sz="4" w:space="0"/>
              <w:right w:val="single" w:color="auto" w:sz="4" w:space="0"/>
            </w:tcBorders>
            <w:vAlign w:val="bottom"/>
            <w:hideMark/>
          </w:tcPr>
          <w:p w:rsidR="009A32E8" w:rsidP="009A32E8" w:rsidRDefault="003B6A1B" w14:paraId="5DE5C340" w14:textId="77777777">
            <w:pPr>
              <w:jc w:val="center"/>
              <w:rPr>
                <w:b/>
                <w:bCs/>
              </w:rPr>
            </w:pPr>
            <w:r w:rsidRPr="009A32E8">
              <w:rPr>
                <w:b/>
                <w:bCs/>
              </w:rPr>
              <w:t xml:space="preserve">Hourly </w:t>
            </w:r>
          </w:p>
          <w:p w:rsidRPr="009A32E8" w:rsidR="003B6A1B" w:rsidP="009A32E8" w:rsidRDefault="003B6A1B" w14:paraId="3431A72E" w14:textId="2ECF330A">
            <w:pPr>
              <w:jc w:val="center"/>
              <w:rPr>
                <w:b/>
                <w:bCs/>
              </w:rPr>
            </w:pPr>
            <w:r w:rsidRPr="009A32E8">
              <w:rPr>
                <w:b/>
                <w:bCs/>
              </w:rPr>
              <w:t>Fee Requested</w:t>
            </w:r>
          </w:p>
        </w:tc>
        <w:tc>
          <w:tcPr>
            <w:tcW w:w="1733" w:type="dxa"/>
            <w:tcBorders>
              <w:top w:val="single" w:color="auto" w:sz="4" w:space="0"/>
              <w:left w:val="single" w:color="auto" w:sz="4" w:space="0"/>
              <w:bottom w:val="single" w:color="auto" w:sz="4" w:space="0"/>
              <w:right w:val="single" w:color="auto" w:sz="4" w:space="0"/>
            </w:tcBorders>
            <w:vAlign w:val="bottom"/>
            <w:hideMark/>
          </w:tcPr>
          <w:p w:rsidR="009A32E8" w:rsidP="009A32E8" w:rsidRDefault="003B6A1B" w14:paraId="2AD2736A" w14:textId="77777777">
            <w:pPr>
              <w:jc w:val="center"/>
              <w:rPr>
                <w:b/>
                <w:bCs/>
              </w:rPr>
            </w:pPr>
            <w:r w:rsidRPr="009A32E8">
              <w:rPr>
                <w:b/>
                <w:bCs/>
              </w:rPr>
              <w:t xml:space="preserve">Year Hourly </w:t>
            </w:r>
          </w:p>
          <w:p w:rsidRPr="009A32E8" w:rsidR="003B6A1B" w:rsidP="009A32E8" w:rsidRDefault="003B6A1B" w14:paraId="6FE76773" w14:textId="550B3A8F">
            <w:pPr>
              <w:jc w:val="center"/>
              <w:rPr>
                <w:b/>
                <w:bCs/>
              </w:rPr>
            </w:pPr>
            <w:r w:rsidRPr="009A32E8">
              <w:rPr>
                <w:b/>
                <w:bCs/>
              </w:rPr>
              <w:t>Fee Requested</w:t>
            </w:r>
          </w:p>
        </w:tc>
        <w:tc>
          <w:tcPr>
            <w:tcW w:w="1620" w:type="dxa"/>
            <w:tcBorders>
              <w:top w:val="single" w:color="auto" w:sz="4" w:space="0"/>
              <w:left w:val="single" w:color="auto" w:sz="4" w:space="0"/>
              <w:bottom w:val="single" w:color="auto" w:sz="4" w:space="0"/>
              <w:right w:val="single" w:color="auto" w:sz="4" w:space="0"/>
            </w:tcBorders>
            <w:vAlign w:val="bottom"/>
            <w:hideMark/>
          </w:tcPr>
          <w:p w:rsidR="009A32E8" w:rsidP="009A32E8" w:rsidRDefault="003B6A1B" w14:paraId="030EA516" w14:textId="77777777">
            <w:pPr>
              <w:jc w:val="center"/>
              <w:rPr>
                <w:b/>
                <w:bCs/>
              </w:rPr>
            </w:pPr>
            <w:r w:rsidRPr="009A32E8">
              <w:rPr>
                <w:b/>
                <w:bCs/>
              </w:rPr>
              <w:t xml:space="preserve">Hourly </w:t>
            </w:r>
          </w:p>
          <w:p w:rsidRPr="009A32E8" w:rsidR="003B6A1B" w:rsidP="009A32E8" w:rsidRDefault="003B6A1B" w14:paraId="1B789B85" w14:textId="66A27FD3">
            <w:pPr>
              <w:jc w:val="center"/>
              <w:rPr>
                <w:b/>
                <w:bCs/>
              </w:rPr>
            </w:pPr>
            <w:r w:rsidRPr="009A32E8">
              <w:rPr>
                <w:b/>
                <w:bCs/>
              </w:rPr>
              <w:t>Fee Adopted</w:t>
            </w:r>
          </w:p>
        </w:tc>
      </w:tr>
      <w:tr w:rsidRPr="00BB5CCD" w:rsidR="00A24C29" w:rsidTr="009A32E8" w14:paraId="1211B948"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0F0C6D6C" w14:textId="13F59AD1">
            <w:pPr>
              <w:jc w:val="center"/>
              <w:rPr>
                <w:shd w:val="clear" w:color="auto" w:fill="CCFFCC"/>
              </w:rPr>
            </w:pPr>
            <w:r w:rsidRPr="00BB5CCD">
              <w:rPr>
                <w:color w:val="000000"/>
              </w:rPr>
              <w:t>Christine 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6ACE7B68" w14:textId="1B9CC1D3">
            <w:pPr>
              <w:jc w:val="center"/>
              <w:rPr>
                <w:shd w:val="clear" w:color="auto" w:fill="CCFFCC"/>
              </w:rPr>
            </w:pPr>
            <w:r w:rsidRPr="00BB5CCD">
              <w:rPr>
                <w:color w:val="000000"/>
              </w:rPr>
              <w:t>Mailloux</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0E61474F" w14:textId="7DAA3465">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44F9655C" w14:textId="222331C6">
            <w:pPr>
              <w:jc w:val="center"/>
            </w:pPr>
            <w:r w:rsidRPr="00BB5CCD">
              <w:rPr>
                <w:color w:val="000000"/>
              </w:rPr>
              <w:t>$475.00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2EB25516" w14:textId="7CDA0B03">
            <w:pPr>
              <w:jc w:val="center"/>
            </w:pPr>
            <w:r w:rsidRPr="00BB5CCD">
              <w:t>2017</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0A76FE98" w14:textId="455739E1">
            <w:pPr>
              <w:jc w:val="center"/>
            </w:pPr>
            <w:r w:rsidRPr="00BB5CCD">
              <w:rPr>
                <w:color w:val="000000"/>
              </w:rPr>
              <w:t>$475.00</w:t>
            </w:r>
          </w:p>
        </w:tc>
      </w:tr>
      <w:tr w:rsidRPr="00BB5CCD" w:rsidR="00A24C29" w:rsidTr="009A32E8" w14:paraId="23CC0A9F"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4CFDAB24" w14:textId="5040FE12">
            <w:pPr>
              <w:jc w:val="center"/>
              <w:rPr>
                <w:shd w:val="clear" w:color="auto" w:fill="CCFFCC"/>
              </w:rPr>
            </w:pPr>
            <w:r w:rsidRPr="00BB5CCD">
              <w:rPr>
                <w:color w:val="000000"/>
              </w:rPr>
              <w:t>Christine 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3A9B4F75" w14:textId="43D68C7B">
            <w:pPr>
              <w:jc w:val="center"/>
              <w:rPr>
                <w:shd w:val="clear" w:color="auto" w:fill="CCFFCC"/>
              </w:rPr>
            </w:pPr>
            <w:r w:rsidRPr="00BB5CCD">
              <w:rPr>
                <w:color w:val="000000"/>
              </w:rPr>
              <w:t>Mailloux</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73440B00" w14:textId="1C25DD2B">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1466F47E" w14:textId="3B3942CF">
            <w:pPr>
              <w:jc w:val="center"/>
            </w:pPr>
            <w:r w:rsidRPr="00BB5CCD">
              <w:rPr>
                <w:color w:val="000000"/>
              </w:rPr>
              <w:t>$485.00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4CBE320E" w14:textId="53E5616F">
            <w:pPr>
              <w:jc w:val="center"/>
            </w:pPr>
            <w:r w:rsidRPr="00BB5CCD">
              <w:t>2018</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37932A57" w14:textId="3E5447C7">
            <w:pPr>
              <w:jc w:val="center"/>
            </w:pPr>
            <w:r w:rsidRPr="00BB5CCD">
              <w:rPr>
                <w:color w:val="000000"/>
              </w:rPr>
              <w:t>$485.00</w:t>
            </w:r>
          </w:p>
        </w:tc>
      </w:tr>
      <w:tr w:rsidRPr="00BB5CCD" w:rsidR="00A24C29" w:rsidTr="009A32E8" w14:paraId="06F89197"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5466E6F7" w14:textId="685FD094">
            <w:pPr>
              <w:jc w:val="center"/>
              <w:rPr>
                <w:color w:val="000000"/>
              </w:rPr>
            </w:pPr>
            <w:r w:rsidRPr="00BB5CCD">
              <w:rPr>
                <w:color w:val="000000"/>
              </w:rPr>
              <w:t>Christine 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0AB76F3F" w14:textId="77243995">
            <w:pPr>
              <w:jc w:val="center"/>
              <w:rPr>
                <w:color w:val="000000"/>
              </w:rPr>
            </w:pPr>
            <w:r w:rsidRPr="00BB5CCD">
              <w:rPr>
                <w:color w:val="000000"/>
              </w:rPr>
              <w:t>Mailloux</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3A336B60" w14:textId="73A285FF">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61AB1126" w14:textId="37FF951C">
            <w:pPr>
              <w:jc w:val="center"/>
            </w:pPr>
            <w:r w:rsidRPr="00BB5CCD">
              <w:t>$495.00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7ABDBF62" w14:textId="21D7B62B">
            <w:pPr>
              <w:jc w:val="center"/>
            </w:pPr>
            <w:r w:rsidRPr="00BB5CCD">
              <w:t>2019</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5C6417F9" w14:textId="425279C1">
            <w:pPr>
              <w:jc w:val="center"/>
            </w:pPr>
            <w:r w:rsidRPr="00BB5CCD">
              <w:t>$495.00</w:t>
            </w:r>
          </w:p>
        </w:tc>
      </w:tr>
      <w:tr w:rsidRPr="00BB5CCD" w:rsidR="00A24C29" w:rsidTr="009A32E8" w14:paraId="4C519B49"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65C04662" w14:textId="3ED1A804">
            <w:pPr>
              <w:jc w:val="center"/>
              <w:rPr>
                <w:shd w:val="clear" w:color="auto" w:fill="CCFFCC"/>
              </w:rPr>
            </w:pPr>
            <w:r w:rsidRPr="00BB5CCD">
              <w:rPr>
                <w:color w:val="000000"/>
              </w:rPr>
              <w:t>Ashley 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1C590887" w14:textId="0847222F">
            <w:pPr>
              <w:jc w:val="center"/>
              <w:rPr>
                <w:shd w:val="clear" w:color="auto" w:fill="CCFFCC"/>
              </w:rPr>
            </w:pPr>
            <w:r w:rsidRPr="00BB5CCD">
              <w:rPr>
                <w:color w:val="000000"/>
              </w:rPr>
              <w:t>Salas</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1EA8DE3D" w14:textId="3CFB7D80">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4F6290AB" w14:textId="63A1DBEA">
            <w:pPr>
              <w:jc w:val="center"/>
            </w:pPr>
            <w:r w:rsidRPr="00BB5CCD">
              <w:rPr>
                <w:color w:val="000000"/>
              </w:rPr>
              <w:t>$210.00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1354C70A" w14:textId="6B74571A">
            <w:pPr>
              <w:jc w:val="center"/>
            </w:pPr>
            <w:r w:rsidRPr="00BB5CCD">
              <w:t>2017</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36649915" w14:textId="7115C07F">
            <w:pPr>
              <w:jc w:val="center"/>
            </w:pPr>
            <w:r w:rsidRPr="00BB5CCD">
              <w:rPr>
                <w:color w:val="000000"/>
              </w:rPr>
              <w:t>$210.00</w:t>
            </w:r>
          </w:p>
        </w:tc>
      </w:tr>
      <w:tr w:rsidRPr="00BB5CCD" w:rsidR="00A24C29" w:rsidTr="009A32E8" w14:paraId="6C04DB40"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71BF257F" w14:textId="0C276AA9">
            <w:pPr>
              <w:jc w:val="center"/>
              <w:rPr>
                <w:shd w:val="clear" w:color="auto" w:fill="CCFFCC"/>
              </w:rPr>
            </w:pPr>
            <w:r w:rsidRPr="00BB5CCD">
              <w:rPr>
                <w:color w:val="000000"/>
              </w:rPr>
              <w:t>Ashley 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4D0E5B24" w14:textId="7C43CC8B">
            <w:pPr>
              <w:jc w:val="center"/>
              <w:rPr>
                <w:shd w:val="clear" w:color="auto" w:fill="CCFFCC"/>
              </w:rPr>
            </w:pPr>
            <w:r w:rsidRPr="00BB5CCD">
              <w:rPr>
                <w:color w:val="000000"/>
              </w:rPr>
              <w:t>Salas</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3ACB6465" w14:textId="170A66B4">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27D75B3F" w14:textId="537E8A41">
            <w:pPr>
              <w:jc w:val="center"/>
            </w:pPr>
            <w:r w:rsidRPr="00BB5CCD">
              <w:rPr>
                <w:color w:val="000000"/>
              </w:rPr>
              <w:t>$225.00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0BD45097" w14:textId="693E6539">
            <w:pPr>
              <w:jc w:val="center"/>
            </w:pPr>
            <w:r w:rsidRPr="00BB5CCD">
              <w:t>2018</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6B245605" w14:textId="6A86AABD">
            <w:pPr>
              <w:jc w:val="center"/>
            </w:pPr>
            <w:r w:rsidRPr="00BB5CCD">
              <w:rPr>
                <w:color w:val="000000"/>
              </w:rPr>
              <w:t>$225.00</w:t>
            </w:r>
          </w:p>
        </w:tc>
      </w:tr>
      <w:tr w:rsidRPr="00BB5CCD" w:rsidR="00A24C29" w:rsidTr="009A32E8" w14:paraId="474E258F"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115C1393" w14:textId="5F339AA0">
            <w:pPr>
              <w:jc w:val="center"/>
              <w:rPr>
                <w:shd w:val="clear" w:color="auto" w:fill="CCFFCC"/>
              </w:rPr>
            </w:pPr>
            <w:r w:rsidRPr="00BB5CCD">
              <w:rPr>
                <w:color w:val="000000"/>
              </w:rPr>
              <w:t>Ashley L.</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1467A27B" w14:textId="0AA46477">
            <w:pPr>
              <w:jc w:val="center"/>
              <w:rPr>
                <w:shd w:val="clear" w:color="auto" w:fill="CCFFCC"/>
              </w:rPr>
            </w:pPr>
            <w:r w:rsidRPr="00BB5CCD">
              <w:rPr>
                <w:color w:val="000000"/>
              </w:rPr>
              <w:t>Salas</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66D10560" w14:textId="0512BAA5">
            <w:pPr>
              <w:jc w:val="center"/>
              <w:rPr>
                <w:shd w:val="clear" w:color="auto" w:fill="CCFFCC"/>
              </w:rPr>
            </w:pPr>
            <w:r w:rsidRPr="00BB5CCD">
              <w:rPr>
                <w:color w:val="000000"/>
              </w:rPr>
              <w:t>Attorney</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7BC812A8" w14:textId="388ACF2F">
            <w:pPr>
              <w:jc w:val="center"/>
            </w:pPr>
            <w:r w:rsidRPr="00BB5CCD">
              <w:rPr>
                <w:color w:val="000000"/>
              </w:rPr>
              <w:t>$235.00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4580AE9E" w14:textId="19BE2163">
            <w:pPr>
              <w:jc w:val="center"/>
            </w:pPr>
            <w:r w:rsidRPr="00BB5CCD">
              <w:t>2019</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74B7B957" w14:textId="4B51165C">
            <w:pPr>
              <w:jc w:val="center"/>
            </w:pPr>
            <w:r w:rsidRPr="00BB5CCD">
              <w:rPr>
                <w:color w:val="000000"/>
              </w:rPr>
              <w:t>$235.00</w:t>
            </w:r>
          </w:p>
        </w:tc>
      </w:tr>
      <w:tr w:rsidRPr="00BB5CCD" w:rsidR="00A24C29" w:rsidTr="009A32E8" w14:paraId="0DC4129D"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1C03A89B" w14:textId="59BFE608">
            <w:pPr>
              <w:jc w:val="center"/>
              <w:rPr>
                <w:shd w:val="clear" w:color="auto" w:fill="CCFFCC"/>
              </w:rPr>
            </w:pPr>
            <w:r w:rsidRPr="00BB5CCD">
              <w:rPr>
                <w:color w:val="000000"/>
              </w:rPr>
              <w:t>Regina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53680AFD" w14:textId="5CCEF5AC">
            <w:pPr>
              <w:jc w:val="center"/>
              <w:rPr>
                <w:shd w:val="clear" w:color="auto" w:fill="CCFFCC"/>
              </w:rPr>
            </w:pPr>
            <w:r w:rsidRPr="00BB5CCD">
              <w:rPr>
                <w:color w:val="000000"/>
              </w:rPr>
              <w:t>Costa</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597A6D17" w14:textId="76D73243">
            <w:pPr>
              <w:jc w:val="center"/>
              <w:rPr>
                <w:shd w:val="clear" w:color="auto" w:fill="CCFFCC"/>
              </w:rPr>
            </w:pPr>
            <w:r w:rsidRPr="00BB5CCD">
              <w:rPr>
                <w:color w:val="000000"/>
              </w:rPr>
              <w:t>Advocate</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48B7FBBF" w14:textId="403B034F">
            <w:pPr>
              <w:jc w:val="center"/>
            </w:pPr>
            <w:r w:rsidRPr="00BB5CCD">
              <w:rPr>
                <w:color w:val="000000"/>
              </w:rPr>
              <w:t>$310.00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5541B9E8" w14:textId="2E139919">
            <w:pPr>
              <w:jc w:val="center"/>
            </w:pPr>
            <w:r w:rsidRPr="00BB5CCD">
              <w:t>2017</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5585EC38" w14:textId="00D3B160">
            <w:pPr>
              <w:jc w:val="center"/>
            </w:pPr>
            <w:r w:rsidRPr="00BB5CCD">
              <w:rPr>
                <w:color w:val="000000"/>
              </w:rPr>
              <w:t>$310.00</w:t>
            </w:r>
          </w:p>
        </w:tc>
      </w:tr>
      <w:tr w:rsidRPr="00BB5CCD" w:rsidR="00A24C29" w:rsidTr="009A32E8" w14:paraId="29AE6932"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360AC496" w14:textId="31E8AF0D">
            <w:pPr>
              <w:jc w:val="center"/>
              <w:rPr>
                <w:shd w:val="clear" w:color="auto" w:fill="CCFFCC"/>
              </w:rPr>
            </w:pPr>
            <w:r w:rsidRPr="00BB5CCD">
              <w:rPr>
                <w:color w:val="000000"/>
              </w:rPr>
              <w:t>Regina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56248722" w14:textId="0AB3A898">
            <w:pPr>
              <w:jc w:val="center"/>
              <w:rPr>
                <w:shd w:val="clear" w:color="auto" w:fill="CCFFCC"/>
              </w:rPr>
            </w:pPr>
            <w:r w:rsidRPr="00BB5CCD">
              <w:rPr>
                <w:color w:val="000000"/>
              </w:rPr>
              <w:t>Costa</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5260F89F" w14:textId="66668AFC">
            <w:pPr>
              <w:jc w:val="center"/>
              <w:rPr>
                <w:shd w:val="clear" w:color="auto" w:fill="CCFFCC"/>
              </w:rPr>
            </w:pPr>
            <w:r w:rsidRPr="00BB5CCD">
              <w:rPr>
                <w:color w:val="000000"/>
              </w:rPr>
              <w:t>Advocate</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6D2EBA5C" w14:textId="32FAC13F">
            <w:pPr>
              <w:jc w:val="center"/>
            </w:pPr>
            <w:r w:rsidRPr="00BB5CCD">
              <w:rPr>
                <w:color w:val="000000"/>
              </w:rPr>
              <w:t>$315.00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34B04A04" w14:textId="40E52E85">
            <w:pPr>
              <w:jc w:val="center"/>
            </w:pPr>
            <w:r w:rsidRPr="00BB5CCD">
              <w:t>2018</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6A145930" w14:textId="54485D35">
            <w:pPr>
              <w:jc w:val="center"/>
            </w:pPr>
            <w:r w:rsidRPr="00BB5CCD">
              <w:rPr>
                <w:color w:val="000000"/>
              </w:rPr>
              <w:t>$315.00</w:t>
            </w:r>
          </w:p>
        </w:tc>
      </w:tr>
      <w:tr w:rsidRPr="00BB5CCD" w:rsidR="00A24C29" w:rsidTr="009A32E8" w14:paraId="7BBD5E13" w14:textId="77777777">
        <w:trPr>
          <w:trHeight w:val="288"/>
        </w:trPr>
        <w:tc>
          <w:tcPr>
            <w:tcW w:w="1507"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23066614" w14:textId="584A9CC5">
            <w:pPr>
              <w:jc w:val="center"/>
            </w:pPr>
            <w:r w:rsidRPr="00BB5CCD">
              <w:rPr>
                <w:color w:val="000000"/>
              </w:rPr>
              <w:t>Regina</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BB2DA0" w:rsidRDefault="00A24C29" w14:paraId="4786C89C" w14:textId="29579248">
            <w:pPr>
              <w:jc w:val="center"/>
            </w:pPr>
            <w:r w:rsidRPr="00BB5CCD">
              <w:rPr>
                <w:color w:val="000000"/>
              </w:rPr>
              <w:t>Costa</w:t>
            </w:r>
          </w:p>
        </w:tc>
        <w:tc>
          <w:tcPr>
            <w:tcW w:w="207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18CADD1E" w14:textId="06EED63E">
            <w:pPr>
              <w:jc w:val="center"/>
              <w:rPr>
                <w:szCs w:val="26"/>
              </w:rPr>
            </w:pPr>
            <w:r w:rsidRPr="00BB5CCD">
              <w:rPr>
                <w:color w:val="000000"/>
              </w:rPr>
              <w:t>Advocate</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39919693" w14:textId="58D455AB">
            <w:pPr>
              <w:jc w:val="center"/>
            </w:pPr>
            <w:r w:rsidRPr="00BB5CCD">
              <w:rPr>
                <w:color w:val="000000"/>
              </w:rPr>
              <w:t>$320.00</w:t>
            </w:r>
          </w:p>
        </w:tc>
        <w:tc>
          <w:tcPr>
            <w:tcW w:w="1733" w:type="dxa"/>
            <w:tcBorders>
              <w:top w:val="single" w:color="auto" w:sz="4" w:space="0"/>
              <w:left w:val="single" w:color="auto" w:sz="4" w:space="0"/>
              <w:bottom w:val="single" w:color="auto" w:sz="4" w:space="0"/>
              <w:right w:val="single" w:color="auto" w:sz="4" w:space="0"/>
            </w:tcBorders>
            <w:shd w:val="clear" w:color="auto" w:fill="auto"/>
          </w:tcPr>
          <w:p w:rsidRPr="00BB5CCD" w:rsidR="00A24C29" w:rsidP="00A24C29" w:rsidRDefault="00A24C29" w14:paraId="214A549B" w14:textId="3336875F">
            <w:pPr>
              <w:jc w:val="center"/>
            </w:pPr>
            <w:r w:rsidRPr="00BB5CCD">
              <w:t>2019</w:t>
            </w:r>
          </w:p>
        </w:tc>
        <w:tc>
          <w:tcPr>
            <w:tcW w:w="1620" w:type="dxa"/>
            <w:tcBorders>
              <w:top w:val="single" w:color="auto" w:sz="4" w:space="0"/>
              <w:left w:val="single" w:color="auto" w:sz="4" w:space="0"/>
              <w:bottom w:val="single" w:color="auto" w:sz="4" w:space="0"/>
              <w:right w:val="single" w:color="auto" w:sz="4" w:space="0"/>
            </w:tcBorders>
          </w:tcPr>
          <w:p w:rsidRPr="00BB5CCD" w:rsidR="00A24C29" w:rsidP="00A24C29" w:rsidRDefault="00A24C29" w14:paraId="3B9C718F" w14:textId="772C8FF8">
            <w:pPr>
              <w:jc w:val="center"/>
            </w:pPr>
            <w:r w:rsidRPr="00BB5CCD">
              <w:rPr>
                <w:color w:val="000000"/>
              </w:rPr>
              <w:t>$320.00</w:t>
            </w:r>
          </w:p>
        </w:tc>
      </w:tr>
    </w:tbl>
    <w:p w:rsidRPr="00BB5CCD" w:rsidR="0022302F" w:rsidP="00BB5CCD" w:rsidRDefault="0022302F" w14:paraId="330D3693" w14:textId="77777777">
      <w:pPr>
        <w:rPr>
          <w:b/>
        </w:rPr>
      </w:pPr>
    </w:p>
    <w:p w:rsidR="0022302F" w:rsidP="00BB5CCD" w:rsidRDefault="0022302F" w14:paraId="1CF37A00" w14:textId="0804E7E8">
      <w:pPr>
        <w:rPr>
          <w:b/>
        </w:rPr>
      </w:pPr>
    </w:p>
    <w:p w:rsidRPr="00BB5CCD" w:rsidR="00BB5CCD" w:rsidP="00BB5CCD" w:rsidRDefault="00BB5CCD" w14:paraId="3F416ADA" w14:textId="77777777">
      <w:pPr>
        <w:rPr>
          <w:b/>
        </w:rPr>
      </w:pPr>
    </w:p>
    <w:p w:rsidRPr="00BB5CCD" w:rsidR="00FE3BAE" w:rsidP="00FE3BAE" w:rsidRDefault="00FE3BAE" w14:paraId="53F54635" w14:textId="574DA5C8">
      <w:pPr>
        <w:jc w:val="center"/>
        <w:rPr>
          <w:b/>
        </w:rPr>
      </w:pPr>
      <w:r w:rsidRPr="00BB5CCD">
        <w:rPr>
          <w:b/>
        </w:rPr>
        <w:t xml:space="preserve">(END OF </w:t>
      </w:r>
      <w:r w:rsidRPr="00BB5CCD">
        <w:rPr>
          <w:b/>
          <w:szCs w:val="26"/>
        </w:rPr>
        <w:t>APPENDIX</w:t>
      </w:r>
      <w:r w:rsidRPr="00BB5CCD">
        <w:rPr>
          <w:b/>
        </w:rPr>
        <w:t>)</w:t>
      </w:r>
    </w:p>
    <w:sectPr w:rsidRPr="00BB5CCD" w:rsidR="00FE3BAE" w:rsidSect="00BB5CCD">
      <w:footerReference w:type="default" r:id="rId11"/>
      <w:headerReference w:type="first" r:id="rId12"/>
      <w:pgSz w:w="12240" w:h="15840"/>
      <w:pgMar w:top="1728"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C096" w14:textId="77777777" w:rsidR="00CE2CA2" w:rsidRDefault="00CE2CA2" w:rsidP="00885956">
      <w:r>
        <w:separator/>
      </w:r>
    </w:p>
  </w:endnote>
  <w:endnote w:type="continuationSeparator" w:id="0">
    <w:p w14:paraId="4F3AF6C4" w14:textId="77777777" w:rsidR="00CE2CA2" w:rsidRDefault="00CE2CA2"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70652"/>
      <w:docPartObj>
        <w:docPartGallery w:val="Page Numbers (Bottom of Page)"/>
        <w:docPartUnique/>
      </w:docPartObj>
    </w:sdtPr>
    <w:sdtEndPr>
      <w:rPr>
        <w:noProof/>
      </w:rPr>
    </w:sdtEndPr>
    <w:sdtContent>
      <w:p w14:paraId="28A020F4" w14:textId="09952B51" w:rsidR="00A24C29" w:rsidRDefault="00A24C29" w:rsidP="0047763C">
        <w:pPr>
          <w:pStyle w:val="Footer"/>
          <w:jc w:val="center"/>
        </w:pPr>
        <w:r>
          <w:fldChar w:fldCharType="begin"/>
        </w:r>
        <w:r>
          <w:instrText xml:space="preserve"> PAGE   \* MERGEFORMAT </w:instrText>
        </w:r>
        <w:r>
          <w:fldChar w:fldCharType="separate"/>
        </w:r>
        <w:r>
          <w:rPr>
            <w:noProof/>
          </w:rPr>
          <w:t xml:space="preserve">- 10 </w:t>
        </w:r>
        <w:r w:rsidR="00747698">
          <w:rPr>
            <w:noProof/>
          </w:rPr>
          <w:noBreakHyphen/>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9329"/>
      <w:docPartObj>
        <w:docPartGallery w:val="Page Numbers (Bottom of Page)"/>
        <w:docPartUnique/>
      </w:docPartObj>
    </w:sdtPr>
    <w:sdtEndPr>
      <w:rPr>
        <w:noProof/>
      </w:rPr>
    </w:sdtEndPr>
    <w:sdtContent>
      <w:p w14:paraId="560F7D5D" w14:textId="449BEFBE" w:rsidR="00A24C29" w:rsidRDefault="000F0B23" w:rsidP="0047763C">
        <w:pPr>
          <w:pStyle w:val="Footer"/>
          <w:tabs>
            <w:tab w:val="clear" w:pos="4680"/>
            <w:tab w:val="clear" w:pos="9360"/>
            <w:tab w:val="center" w:pos="4320"/>
            <w:tab w:val="right" w:pos="8640"/>
          </w:tabs>
        </w:pPr>
        <w:r w:rsidRPr="000F0B23">
          <w:rPr>
            <w:rFonts w:ascii="Arial" w:hAnsi="Arial"/>
            <w:sz w:val="16"/>
          </w:rPr>
          <w:t>338675878</w:t>
        </w:r>
        <w:r w:rsidR="0047763C">
          <w:tab/>
        </w:r>
        <w:r w:rsidR="00A24C29">
          <w:fldChar w:fldCharType="begin"/>
        </w:r>
        <w:r w:rsidR="00A24C29">
          <w:instrText xml:space="preserve"> PAGE   \* MERGEFORMAT </w:instrText>
        </w:r>
        <w:r w:rsidR="00A24C29">
          <w:fldChar w:fldCharType="separate"/>
        </w:r>
        <w:r w:rsidR="00A24C29">
          <w:rPr>
            <w:noProof/>
          </w:rPr>
          <w:t xml:space="preserve">- 1 </w:t>
        </w:r>
        <w:r w:rsidR="00747698">
          <w:rPr>
            <w:noProof/>
          </w:rPr>
          <w:noBreakHyphen/>
        </w:r>
        <w:r w:rsidR="00A24C29">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E12C" w14:textId="65DEB381" w:rsidR="00BE68C8" w:rsidRDefault="00BE68C8" w:rsidP="00BE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81E3" w14:textId="77777777" w:rsidR="00CE2CA2" w:rsidRDefault="00CE2CA2" w:rsidP="00885956">
      <w:r>
        <w:separator/>
      </w:r>
    </w:p>
  </w:footnote>
  <w:footnote w:type="continuationSeparator" w:id="0">
    <w:p w14:paraId="4F72264A" w14:textId="77777777" w:rsidR="00CE2CA2" w:rsidRDefault="00CE2CA2" w:rsidP="00885956">
      <w:r>
        <w:continuationSeparator/>
      </w:r>
    </w:p>
  </w:footnote>
  <w:footnote w:id="1">
    <w:p w14:paraId="7CAF0DDD" w14:textId="60595777" w:rsidR="00A24C29" w:rsidRDefault="00A24C29" w:rsidP="00393055">
      <w:pPr>
        <w:pStyle w:val="FootnoteText"/>
      </w:pPr>
      <w:r>
        <w:rPr>
          <w:rStyle w:val="FootnoteReference"/>
        </w:rPr>
        <w:footnoteRef/>
      </w:r>
      <w:r>
        <w:t xml:space="preserve"> </w:t>
      </w:r>
      <w:r w:rsidR="00393055">
        <w:t xml:space="preserve"> </w:t>
      </w:r>
      <w:r w:rsidRPr="00393055">
        <w:t>All</w:t>
      </w:r>
      <w:r>
        <w:t xml:space="preserve"> statutory references are to California Public Utilities Code unless indicated otherwise.</w:t>
      </w:r>
    </w:p>
  </w:footnote>
  <w:footnote w:id="2">
    <w:p w14:paraId="067A050B" w14:textId="4EE5B048" w:rsidR="00A24C29" w:rsidRDefault="00A24C29" w:rsidP="00393055">
      <w:pPr>
        <w:pStyle w:val="FootnoteText"/>
      </w:pPr>
      <w:r>
        <w:rPr>
          <w:rStyle w:val="FootnoteReference"/>
        </w:rPr>
        <w:footnoteRef/>
      </w:r>
      <w:r>
        <w:t xml:space="preserve"> </w:t>
      </w:r>
      <w:r w:rsidR="009364D0">
        <w:t xml:space="preserve"> </w:t>
      </w:r>
      <w:r w:rsidRPr="00D30039">
        <w:t>The Office of Ratepayer Advocates was renamed the Public Advocate</w:t>
      </w:r>
      <w:r>
        <w:t>’</w:t>
      </w:r>
      <w:r w:rsidRPr="00D30039">
        <w:t>s Office of the Public Utilities Commission pursuant to Senate Bill No. 854, which the Governor approved on June 27, 2018. </w:t>
      </w:r>
    </w:p>
  </w:footnote>
  <w:footnote w:id="3">
    <w:p w14:paraId="2A44723A" w14:textId="64990E06" w:rsidR="00A24C29" w:rsidRPr="00DE3A5D" w:rsidRDefault="00A24C29" w:rsidP="00393055">
      <w:pPr>
        <w:pStyle w:val="FootnoteText"/>
      </w:pPr>
      <w:r w:rsidRPr="00DE3A5D">
        <w:rPr>
          <w:rStyle w:val="FootnoteReference"/>
          <w:sz w:val="20"/>
        </w:rPr>
        <w:footnoteRef/>
      </w:r>
      <w:r w:rsidRPr="00DE3A5D">
        <w:t xml:space="preserve"> </w:t>
      </w:r>
      <w:r w:rsidR="00393055">
        <w:t xml:space="preserve"> </w:t>
      </w:r>
      <w:r w:rsidRPr="00DE3A5D">
        <w:t xml:space="preserve">This information may be </w:t>
      </w:r>
      <w:r w:rsidRPr="00DE3A5D">
        <w:rPr>
          <w:color w:val="000000"/>
        </w:rPr>
        <w:t>obtain</w:t>
      </w:r>
      <w:r>
        <w:rPr>
          <w:color w:val="000000"/>
        </w:rPr>
        <w:t>ed through the State Ba</w:t>
      </w:r>
      <w:r w:rsidRPr="00393055">
        <w:rPr>
          <w:color w:val="000000"/>
        </w:rPr>
        <w:t xml:space="preserve">r of California’s website at </w:t>
      </w:r>
      <w:hyperlink r:id="rId1" w:history="1">
        <w:r w:rsidRPr="00393055">
          <w:rPr>
            <w:rStyle w:val="Hyperlink"/>
          </w:rPr>
          <w:t>http://members.calbar.ca.gov/fal/MemberSearch/QuickSearch</w:t>
        </w:r>
      </w:hyperlink>
      <w:r w:rsidRPr="0039305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9506" w14:textId="62F64DDC" w:rsidR="00322FB2" w:rsidRDefault="00322FB2" w:rsidP="00322FB2">
    <w:pPr>
      <w:pStyle w:val="Header"/>
      <w:tabs>
        <w:tab w:val="clear" w:pos="4680"/>
      </w:tabs>
    </w:pPr>
    <w:r w:rsidRPr="00322FB2">
      <w:t>I</w:t>
    </w:r>
    <w:r>
      <w:t>.</w:t>
    </w:r>
    <w:r w:rsidRPr="00322FB2">
      <w:t>14</w:t>
    </w:r>
    <w:r w:rsidR="00747698">
      <w:noBreakHyphen/>
    </w:r>
    <w:r w:rsidRPr="00322FB2">
      <w:t>05</w:t>
    </w:r>
    <w:r w:rsidR="00747698">
      <w:noBreakHyphen/>
    </w:r>
    <w:r w:rsidRPr="00322FB2">
      <w:t>012</w:t>
    </w:r>
    <w:r>
      <w:t xml:space="preserve">  ALJ/RIM/nd3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42D9" w14:textId="77777777" w:rsidR="00BB5CCD" w:rsidRDefault="00BB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647BB8"/>
    <w:multiLevelType w:val="hybridMultilevel"/>
    <w:tmpl w:val="B94880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211959"/>
    <w:multiLevelType w:val="hybridMultilevel"/>
    <w:tmpl w:val="E79865AE"/>
    <w:lvl w:ilvl="0" w:tplc="85D273E8">
      <w:start w:val="1"/>
      <w:numFmt w:val="decimal"/>
      <w:lvlText w:val="%1."/>
      <w:lvlJc w:val="left"/>
      <w:pPr>
        <w:ind w:left="475" w:hanging="4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6E30588"/>
    <w:multiLevelType w:val="hybridMultilevel"/>
    <w:tmpl w:val="E79865AE"/>
    <w:lvl w:ilvl="0" w:tplc="85D273E8">
      <w:start w:val="1"/>
      <w:numFmt w:val="decimal"/>
      <w:lvlText w:val="%1."/>
      <w:lvlJc w:val="left"/>
      <w:pPr>
        <w:ind w:left="475" w:hanging="4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62C97285"/>
    <w:multiLevelType w:val="hybridMultilevel"/>
    <w:tmpl w:val="E994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B4D86"/>
    <w:multiLevelType w:val="hybridMultilevel"/>
    <w:tmpl w:val="248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179A5"/>
    <w:multiLevelType w:val="hybridMultilevel"/>
    <w:tmpl w:val="22FA37DE"/>
    <w:lvl w:ilvl="0" w:tplc="D2A229BE">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0"/>
  </w:num>
  <w:num w:numId="4">
    <w:abstractNumId w:val="4"/>
  </w:num>
  <w:num w:numId="5">
    <w:abstractNumId w:val="2"/>
  </w:num>
  <w:num w:numId="6">
    <w:abstractNumId w:val="6"/>
  </w:num>
  <w:num w:numId="7">
    <w:abstractNumId w:val="7"/>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3A49"/>
    <w:rsid w:val="000061BD"/>
    <w:rsid w:val="00006831"/>
    <w:rsid w:val="0001112A"/>
    <w:rsid w:val="00016DD5"/>
    <w:rsid w:val="0002489B"/>
    <w:rsid w:val="0002590E"/>
    <w:rsid w:val="00026A15"/>
    <w:rsid w:val="00031753"/>
    <w:rsid w:val="00034492"/>
    <w:rsid w:val="00034FD8"/>
    <w:rsid w:val="00036F54"/>
    <w:rsid w:val="00040B8F"/>
    <w:rsid w:val="0004169B"/>
    <w:rsid w:val="0004495C"/>
    <w:rsid w:val="00045A2F"/>
    <w:rsid w:val="00050A9C"/>
    <w:rsid w:val="0005445A"/>
    <w:rsid w:val="00056CB4"/>
    <w:rsid w:val="00072C81"/>
    <w:rsid w:val="000774A2"/>
    <w:rsid w:val="00090A0E"/>
    <w:rsid w:val="000A1E3A"/>
    <w:rsid w:val="000B21EA"/>
    <w:rsid w:val="000B7F7E"/>
    <w:rsid w:val="000C2031"/>
    <w:rsid w:val="000D2980"/>
    <w:rsid w:val="000D6CA0"/>
    <w:rsid w:val="000D6DF8"/>
    <w:rsid w:val="000E41D9"/>
    <w:rsid w:val="000E5C35"/>
    <w:rsid w:val="000E6ABD"/>
    <w:rsid w:val="000E70C6"/>
    <w:rsid w:val="000F0B23"/>
    <w:rsid w:val="000F595C"/>
    <w:rsid w:val="000F67CA"/>
    <w:rsid w:val="000F7670"/>
    <w:rsid w:val="0010480F"/>
    <w:rsid w:val="00110D89"/>
    <w:rsid w:val="001111F7"/>
    <w:rsid w:val="00111583"/>
    <w:rsid w:val="00111C50"/>
    <w:rsid w:val="00123103"/>
    <w:rsid w:val="00125492"/>
    <w:rsid w:val="00126021"/>
    <w:rsid w:val="001346EB"/>
    <w:rsid w:val="00137A15"/>
    <w:rsid w:val="001419C2"/>
    <w:rsid w:val="00141A4E"/>
    <w:rsid w:val="00141C70"/>
    <w:rsid w:val="001473FE"/>
    <w:rsid w:val="00151AA8"/>
    <w:rsid w:val="00152F94"/>
    <w:rsid w:val="001574E7"/>
    <w:rsid w:val="00163B6D"/>
    <w:rsid w:val="00170742"/>
    <w:rsid w:val="00171EBF"/>
    <w:rsid w:val="00175865"/>
    <w:rsid w:val="00175ACD"/>
    <w:rsid w:val="00177FF0"/>
    <w:rsid w:val="00180E8C"/>
    <w:rsid w:val="001830B8"/>
    <w:rsid w:val="001962EB"/>
    <w:rsid w:val="001A7B33"/>
    <w:rsid w:val="001B487B"/>
    <w:rsid w:val="001B57E5"/>
    <w:rsid w:val="001B65AC"/>
    <w:rsid w:val="001B704C"/>
    <w:rsid w:val="001C026D"/>
    <w:rsid w:val="001C0DD1"/>
    <w:rsid w:val="001C21AE"/>
    <w:rsid w:val="001C22CA"/>
    <w:rsid w:val="001C2E83"/>
    <w:rsid w:val="001D3ED2"/>
    <w:rsid w:val="001E6195"/>
    <w:rsid w:val="001E77CF"/>
    <w:rsid w:val="001F222C"/>
    <w:rsid w:val="001F238E"/>
    <w:rsid w:val="001F253E"/>
    <w:rsid w:val="0020271E"/>
    <w:rsid w:val="00204E3A"/>
    <w:rsid w:val="00212E10"/>
    <w:rsid w:val="00214B22"/>
    <w:rsid w:val="00217224"/>
    <w:rsid w:val="0022302F"/>
    <w:rsid w:val="00224CD9"/>
    <w:rsid w:val="00225A7B"/>
    <w:rsid w:val="00226770"/>
    <w:rsid w:val="002274ED"/>
    <w:rsid w:val="00230392"/>
    <w:rsid w:val="002370B3"/>
    <w:rsid w:val="002415DC"/>
    <w:rsid w:val="00245649"/>
    <w:rsid w:val="002466F8"/>
    <w:rsid w:val="00256F00"/>
    <w:rsid w:val="00260518"/>
    <w:rsid w:val="00264045"/>
    <w:rsid w:val="00264333"/>
    <w:rsid w:val="00270312"/>
    <w:rsid w:val="00270E2E"/>
    <w:rsid w:val="00273208"/>
    <w:rsid w:val="00283AF3"/>
    <w:rsid w:val="00287694"/>
    <w:rsid w:val="0029724E"/>
    <w:rsid w:val="002A6C07"/>
    <w:rsid w:val="002A7E1F"/>
    <w:rsid w:val="002C1F33"/>
    <w:rsid w:val="002C3980"/>
    <w:rsid w:val="002C4EE8"/>
    <w:rsid w:val="002C7912"/>
    <w:rsid w:val="002D21CA"/>
    <w:rsid w:val="002D53AA"/>
    <w:rsid w:val="002E5F83"/>
    <w:rsid w:val="002E77D8"/>
    <w:rsid w:val="00301F4C"/>
    <w:rsid w:val="003028C9"/>
    <w:rsid w:val="00303C2B"/>
    <w:rsid w:val="00322FB2"/>
    <w:rsid w:val="0032774B"/>
    <w:rsid w:val="003306E8"/>
    <w:rsid w:val="0033600C"/>
    <w:rsid w:val="00344A2D"/>
    <w:rsid w:val="00346456"/>
    <w:rsid w:val="003501DD"/>
    <w:rsid w:val="0035152C"/>
    <w:rsid w:val="00351CDD"/>
    <w:rsid w:val="0035393F"/>
    <w:rsid w:val="003574C1"/>
    <w:rsid w:val="00357F1A"/>
    <w:rsid w:val="00373E7E"/>
    <w:rsid w:val="00374FD1"/>
    <w:rsid w:val="00377884"/>
    <w:rsid w:val="00377B38"/>
    <w:rsid w:val="00380703"/>
    <w:rsid w:val="00383798"/>
    <w:rsid w:val="00383F72"/>
    <w:rsid w:val="00387B8F"/>
    <w:rsid w:val="00393055"/>
    <w:rsid w:val="003A0258"/>
    <w:rsid w:val="003A1736"/>
    <w:rsid w:val="003A2918"/>
    <w:rsid w:val="003A2F6B"/>
    <w:rsid w:val="003B1782"/>
    <w:rsid w:val="003B5EAC"/>
    <w:rsid w:val="003B6A1B"/>
    <w:rsid w:val="003C608A"/>
    <w:rsid w:val="003D359B"/>
    <w:rsid w:val="003D4455"/>
    <w:rsid w:val="003D44DC"/>
    <w:rsid w:val="003D683A"/>
    <w:rsid w:val="003E34FD"/>
    <w:rsid w:val="003F0F7C"/>
    <w:rsid w:val="003F2A8A"/>
    <w:rsid w:val="003F411C"/>
    <w:rsid w:val="003F48CD"/>
    <w:rsid w:val="00400857"/>
    <w:rsid w:val="004200DA"/>
    <w:rsid w:val="00427236"/>
    <w:rsid w:val="00432BB3"/>
    <w:rsid w:val="00432DA0"/>
    <w:rsid w:val="00433D2E"/>
    <w:rsid w:val="00433DCB"/>
    <w:rsid w:val="0044470D"/>
    <w:rsid w:val="004515FB"/>
    <w:rsid w:val="004534E7"/>
    <w:rsid w:val="00464FD2"/>
    <w:rsid w:val="00475742"/>
    <w:rsid w:val="0047763C"/>
    <w:rsid w:val="00480BF6"/>
    <w:rsid w:val="00482B47"/>
    <w:rsid w:val="00483865"/>
    <w:rsid w:val="004840D2"/>
    <w:rsid w:val="004855C1"/>
    <w:rsid w:val="004A2B1E"/>
    <w:rsid w:val="004A587B"/>
    <w:rsid w:val="004B07A5"/>
    <w:rsid w:val="004B1A5F"/>
    <w:rsid w:val="004B28B5"/>
    <w:rsid w:val="004B3313"/>
    <w:rsid w:val="004C0961"/>
    <w:rsid w:val="004C2988"/>
    <w:rsid w:val="004C39A1"/>
    <w:rsid w:val="004C40AF"/>
    <w:rsid w:val="004C61CE"/>
    <w:rsid w:val="004D6B6D"/>
    <w:rsid w:val="004D779D"/>
    <w:rsid w:val="004E0395"/>
    <w:rsid w:val="004E3939"/>
    <w:rsid w:val="004E3D93"/>
    <w:rsid w:val="004F0D6B"/>
    <w:rsid w:val="00504041"/>
    <w:rsid w:val="0051052A"/>
    <w:rsid w:val="00516CE7"/>
    <w:rsid w:val="005215EF"/>
    <w:rsid w:val="00521B86"/>
    <w:rsid w:val="00527FDB"/>
    <w:rsid w:val="00531D14"/>
    <w:rsid w:val="00533183"/>
    <w:rsid w:val="00533373"/>
    <w:rsid w:val="00534750"/>
    <w:rsid w:val="00535A97"/>
    <w:rsid w:val="00547145"/>
    <w:rsid w:val="00551967"/>
    <w:rsid w:val="0055228B"/>
    <w:rsid w:val="00553C11"/>
    <w:rsid w:val="00555975"/>
    <w:rsid w:val="00555D06"/>
    <w:rsid w:val="005664F8"/>
    <w:rsid w:val="00570D52"/>
    <w:rsid w:val="0057129A"/>
    <w:rsid w:val="00576BA7"/>
    <w:rsid w:val="0058180E"/>
    <w:rsid w:val="0058302D"/>
    <w:rsid w:val="0058318B"/>
    <w:rsid w:val="005845A2"/>
    <w:rsid w:val="00586D75"/>
    <w:rsid w:val="00590FEA"/>
    <w:rsid w:val="005912FA"/>
    <w:rsid w:val="00597CB2"/>
    <w:rsid w:val="005A53F1"/>
    <w:rsid w:val="005A63D4"/>
    <w:rsid w:val="005A65C2"/>
    <w:rsid w:val="005A7658"/>
    <w:rsid w:val="005C327F"/>
    <w:rsid w:val="005C38B3"/>
    <w:rsid w:val="005D1DA7"/>
    <w:rsid w:val="005D77AC"/>
    <w:rsid w:val="005E09D4"/>
    <w:rsid w:val="005E5928"/>
    <w:rsid w:val="005E6E53"/>
    <w:rsid w:val="005F4D82"/>
    <w:rsid w:val="00604162"/>
    <w:rsid w:val="00604537"/>
    <w:rsid w:val="0060590C"/>
    <w:rsid w:val="00615CA9"/>
    <w:rsid w:val="0061762B"/>
    <w:rsid w:val="00621A7C"/>
    <w:rsid w:val="006265F5"/>
    <w:rsid w:val="00627724"/>
    <w:rsid w:val="006348E1"/>
    <w:rsid w:val="0064207D"/>
    <w:rsid w:val="00642221"/>
    <w:rsid w:val="00642D03"/>
    <w:rsid w:val="0064312A"/>
    <w:rsid w:val="00644ADA"/>
    <w:rsid w:val="00645688"/>
    <w:rsid w:val="0065087E"/>
    <w:rsid w:val="0065285A"/>
    <w:rsid w:val="00652DEA"/>
    <w:rsid w:val="006560BA"/>
    <w:rsid w:val="00660D7E"/>
    <w:rsid w:val="00662BD7"/>
    <w:rsid w:val="006637D2"/>
    <w:rsid w:val="00663C84"/>
    <w:rsid w:val="00666455"/>
    <w:rsid w:val="00673595"/>
    <w:rsid w:val="00673EB1"/>
    <w:rsid w:val="006808AB"/>
    <w:rsid w:val="006826B0"/>
    <w:rsid w:val="00684CF9"/>
    <w:rsid w:val="006870EC"/>
    <w:rsid w:val="00691528"/>
    <w:rsid w:val="006915A0"/>
    <w:rsid w:val="00692738"/>
    <w:rsid w:val="006A03C7"/>
    <w:rsid w:val="006A2B77"/>
    <w:rsid w:val="006A4FC3"/>
    <w:rsid w:val="006A7272"/>
    <w:rsid w:val="006B0FD3"/>
    <w:rsid w:val="006B1873"/>
    <w:rsid w:val="006B6A08"/>
    <w:rsid w:val="006B7375"/>
    <w:rsid w:val="006C4D33"/>
    <w:rsid w:val="006C60DF"/>
    <w:rsid w:val="006C7DB0"/>
    <w:rsid w:val="006D0177"/>
    <w:rsid w:val="006D1BE0"/>
    <w:rsid w:val="006D46BC"/>
    <w:rsid w:val="006D4B0E"/>
    <w:rsid w:val="006E6AC9"/>
    <w:rsid w:val="006F17DB"/>
    <w:rsid w:val="006F3085"/>
    <w:rsid w:val="006F4CC2"/>
    <w:rsid w:val="006F4E0F"/>
    <w:rsid w:val="006F7A68"/>
    <w:rsid w:val="00703D5A"/>
    <w:rsid w:val="00720CFF"/>
    <w:rsid w:val="00721FD7"/>
    <w:rsid w:val="007251C6"/>
    <w:rsid w:val="007359CD"/>
    <w:rsid w:val="007365B8"/>
    <w:rsid w:val="0074620B"/>
    <w:rsid w:val="0074725A"/>
    <w:rsid w:val="00747698"/>
    <w:rsid w:val="00753E97"/>
    <w:rsid w:val="00756361"/>
    <w:rsid w:val="00756CA5"/>
    <w:rsid w:val="00757B44"/>
    <w:rsid w:val="00766AA6"/>
    <w:rsid w:val="00773163"/>
    <w:rsid w:val="007761D2"/>
    <w:rsid w:val="00780B16"/>
    <w:rsid w:val="00780C7B"/>
    <w:rsid w:val="00782A14"/>
    <w:rsid w:val="0079054A"/>
    <w:rsid w:val="00790652"/>
    <w:rsid w:val="00791143"/>
    <w:rsid w:val="00791C0A"/>
    <w:rsid w:val="00794FBF"/>
    <w:rsid w:val="00797EAC"/>
    <w:rsid w:val="007A09F3"/>
    <w:rsid w:val="007A2F65"/>
    <w:rsid w:val="007A3FCC"/>
    <w:rsid w:val="007A5240"/>
    <w:rsid w:val="007A616C"/>
    <w:rsid w:val="007B6699"/>
    <w:rsid w:val="007C01F0"/>
    <w:rsid w:val="007C1B69"/>
    <w:rsid w:val="007D15E2"/>
    <w:rsid w:val="007E48D6"/>
    <w:rsid w:val="007E56DE"/>
    <w:rsid w:val="007E71C3"/>
    <w:rsid w:val="007F2203"/>
    <w:rsid w:val="007F26EE"/>
    <w:rsid w:val="007F5BEB"/>
    <w:rsid w:val="007F620E"/>
    <w:rsid w:val="007F6CF5"/>
    <w:rsid w:val="00802101"/>
    <w:rsid w:val="00802701"/>
    <w:rsid w:val="0080621D"/>
    <w:rsid w:val="008071DF"/>
    <w:rsid w:val="00807564"/>
    <w:rsid w:val="00810755"/>
    <w:rsid w:val="00813E0E"/>
    <w:rsid w:val="00815F1F"/>
    <w:rsid w:val="0081626F"/>
    <w:rsid w:val="00817FED"/>
    <w:rsid w:val="0082366C"/>
    <w:rsid w:val="008251D6"/>
    <w:rsid w:val="0083286B"/>
    <w:rsid w:val="008334F2"/>
    <w:rsid w:val="0083350A"/>
    <w:rsid w:val="0083467B"/>
    <w:rsid w:val="00844806"/>
    <w:rsid w:val="00844855"/>
    <w:rsid w:val="00850196"/>
    <w:rsid w:val="008549A4"/>
    <w:rsid w:val="00855FD7"/>
    <w:rsid w:val="00861565"/>
    <w:rsid w:val="008676F5"/>
    <w:rsid w:val="00873269"/>
    <w:rsid w:val="00883B63"/>
    <w:rsid w:val="008844B6"/>
    <w:rsid w:val="00885956"/>
    <w:rsid w:val="00886869"/>
    <w:rsid w:val="008958B8"/>
    <w:rsid w:val="008972C0"/>
    <w:rsid w:val="008B67E2"/>
    <w:rsid w:val="008B7435"/>
    <w:rsid w:val="008B7BF7"/>
    <w:rsid w:val="008C09F7"/>
    <w:rsid w:val="008C2208"/>
    <w:rsid w:val="008C604A"/>
    <w:rsid w:val="008D14D0"/>
    <w:rsid w:val="008D250E"/>
    <w:rsid w:val="008D4523"/>
    <w:rsid w:val="008D4F41"/>
    <w:rsid w:val="008E2D3A"/>
    <w:rsid w:val="008E3450"/>
    <w:rsid w:val="008E4336"/>
    <w:rsid w:val="008E6AB7"/>
    <w:rsid w:val="008F3270"/>
    <w:rsid w:val="008F6211"/>
    <w:rsid w:val="0090063D"/>
    <w:rsid w:val="00904D35"/>
    <w:rsid w:val="00912972"/>
    <w:rsid w:val="00915118"/>
    <w:rsid w:val="0092352B"/>
    <w:rsid w:val="009242C3"/>
    <w:rsid w:val="00925FAB"/>
    <w:rsid w:val="00927A29"/>
    <w:rsid w:val="00930811"/>
    <w:rsid w:val="009312B4"/>
    <w:rsid w:val="00932A25"/>
    <w:rsid w:val="009364D0"/>
    <w:rsid w:val="00936717"/>
    <w:rsid w:val="0095390B"/>
    <w:rsid w:val="00963EEF"/>
    <w:rsid w:val="00972217"/>
    <w:rsid w:val="00976520"/>
    <w:rsid w:val="00980956"/>
    <w:rsid w:val="0098392A"/>
    <w:rsid w:val="00992B91"/>
    <w:rsid w:val="009958D4"/>
    <w:rsid w:val="0099666C"/>
    <w:rsid w:val="00997D48"/>
    <w:rsid w:val="009A32E8"/>
    <w:rsid w:val="009A62F6"/>
    <w:rsid w:val="009B0E5C"/>
    <w:rsid w:val="009C2C9E"/>
    <w:rsid w:val="009C5581"/>
    <w:rsid w:val="009E48E4"/>
    <w:rsid w:val="009F794A"/>
    <w:rsid w:val="00A0416D"/>
    <w:rsid w:val="00A07A96"/>
    <w:rsid w:val="00A11A22"/>
    <w:rsid w:val="00A14A91"/>
    <w:rsid w:val="00A15ABA"/>
    <w:rsid w:val="00A24C29"/>
    <w:rsid w:val="00A319DE"/>
    <w:rsid w:val="00A3229B"/>
    <w:rsid w:val="00A43279"/>
    <w:rsid w:val="00A4402C"/>
    <w:rsid w:val="00A455E7"/>
    <w:rsid w:val="00A55BB1"/>
    <w:rsid w:val="00A64A22"/>
    <w:rsid w:val="00A67E89"/>
    <w:rsid w:val="00A756BF"/>
    <w:rsid w:val="00A75D2D"/>
    <w:rsid w:val="00A76390"/>
    <w:rsid w:val="00A77FC5"/>
    <w:rsid w:val="00A86988"/>
    <w:rsid w:val="00A910F1"/>
    <w:rsid w:val="00A92D0B"/>
    <w:rsid w:val="00A96669"/>
    <w:rsid w:val="00AA1740"/>
    <w:rsid w:val="00AA6588"/>
    <w:rsid w:val="00AB27EF"/>
    <w:rsid w:val="00AB2F7F"/>
    <w:rsid w:val="00AB3510"/>
    <w:rsid w:val="00AB42AC"/>
    <w:rsid w:val="00AC23F9"/>
    <w:rsid w:val="00AC5A4B"/>
    <w:rsid w:val="00AD01CD"/>
    <w:rsid w:val="00AD09CA"/>
    <w:rsid w:val="00AD12A7"/>
    <w:rsid w:val="00AD339A"/>
    <w:rsid w:val="00AD5797"/>
    <w:rsid w:val="00AD742A"/>
    <w:rsid w:val="00AE429F"/>
    <w:rsid w:val="00AF1730"/>
    <w:rsid w:val="00B00BCD"/>
    <w:rsid w:val="00B03003"/>
    <w:rsid w:val="00B04898"/>
    <w:rsid w:val="00B06E3A"/>
    <w:rsid w:val="00B075EE"/>
    <w:rsid w:val="00B12CC6"/>
    <w:rsid w:val="00B14326"/>
    <w:rsid w:val="00B157BE"/>
    <w:rsid w:val="00B1593B"/>
    <w:rsid w:val="00B15C6B"/>
    <w:rsid w:val="00B23240"/>
    <w:rsid w:val="00B312DA"/>
    <w:rsid w:val="00B31565"/>
    <w:rsid w:val="00B31B2C"/>
    <w:rsid w:val="00B34DDB"/>
    <w:rsid w:val="00B408AF"/>
    <w:rsid w:val="00B410BB"/>
    <w:rsid w:val="00B4521A"/>
    <w:rsid w:val="00B45AE7"/>
    <w:rsid w:val="00B45D22"/>
    <w:rsid w:val="00B46F05"/>
    <w:rsid w:val="00B516A0"/>
    <w:rsid w:val="00B51C2B"/>
    <w:rsid w:val="00B54991"/>
    <w:rsid w:val="00B55CCD"/>
    <w:rsid w:val="00B55D78"/>
    <w:rsid w:val="00B57F30"/>
    <w:rsid w:val="00B6044E"/>
    <w:rsid w:val="00B60602"/>
    <w:rsid w:val="00B62AC0"/>
    <w:rsid w:val="00B66CF5"/>
    <w:rsid w:val="00B74DFD"/>
    <w:rsid w:val="00B82181"/>
    <w:rsid w:val="00B944FC"/>
    <w:rsid w:val="00B963DB"/>
    <w:rsid w:val="00BA35A7"/>
    <w:rsid w:val="00BA548C"/>
    <w:rsid w:val="00BB2DA0"/>
    <w:rsid w:val="00BB49BB"/>
    <w:rsid w:val="00BB5CCD"/>
    <w:rsid w:val="00BD06B9"/>
    <w:rsid w:val="00BE45D0"/>
    <w:rsid w:val="00BE68C8"/>
    <w:rsid w:val="00BF0F92"/>
    <w:rsid w:val="00BF2F45"/>
    <w:rsid w:val="00BF3F04"/>
    <w:rsid w:val="00BF5C14"/>
    <w:rsid w:val="00C02649"/>
    <w:rsid w:val="00C0309B"/>
    <w:rsid w:val="00C0471D"/>
    <w:rsid w:val="00C109F4"/>
    <w:rsid w:val="00C13AA4"/>
    <w:rsid w:val="00C13B3F"/>
    <w:rsid w:val="00C16370"/>
    <w:rsid w:val="00C16981"/>
    <w:rsid w:val="00C3000B"/>
    <w:rsid w:val="00C35A4D"/>
    <w:rsid w:val="00C35C73"/>
    <w:rsid w:val="00C36379"/>
    <w:rsid w:val="00C37061"/>
    <w:rsid w:val="00C372E0"/>
    <w:rsid w:val="00C42519"/>
    <w:rsid w:val="00C43148"/>
    <w:rsid w:val="00C43E79"/>
    <w:rsid w:val="00C65A26"/>
    <w:rsid w:val="00C7167E"/>
    <w:rsid w:val="00C742D7"/>
    <w:rsid w:val="00C75E8B"/>
    <w:rsid w:val="00C765A2"/>
    <w:rsid w:val="00C80771"/>
    <w:rsid w:val="00C82897"/>
    <w:rsid w:val="00C83245"/>
    <w:rsid w:val="00C8602A"/>
    <w:rsid w:val="00C87E25"/>
    <w:rsid w:val="00CA30F4"/>
    <w:rsid w:val="00CA7B7A"/>
    <w:rsid w:val="00CB1001"/>
    <w:rsid w:val="00CB2BBA"/>
    <w:rsid w:val="00CC2FB0"/>
    <w:rsid w:val="00CC4B40"/>
    <w:rsid w:val="00CC6EDA"/>
    <w:rsid w:val="00CD39E1"/>
    <w:rsid w:val="00CD6886"/>
    <w:rsid w:val="00CD7D17"/>
    <w:rsid w:val="00CE0A14"/>
    <w:rsid w:val="00CE2CA2"/>
    <w:rsid w:val="00CE41FA"/>
    <w:rsid w:val="00CE48BA"/>
    <w:rsid w:val="00CE6DF8"/>
    <w:rsid w:val="00CF1129"/>
    <w:rsid w:val="00CF5E5F"/>
    <w:rsid w:val="00CF6F67"/>
    <w:rsid w:val="00CF71B0"/>
    <w:rsid w:val="00D04F04"/>
    <w:rsid w:val="00D05276"/>
    <w:rsid w:val="00D06AD7"/>
    <w:rsid w:val="00D075B1"/>
    <w:rsid w:val="00D10372"/>
    <w:rsid w:val="00D15DE8"/>
    <w:rsid w:val="00D21995"/>
    <w:rsid w:val="00D21A6A"/>
    <w:rsid w:val="00D27D5F"/>
    <w:rsid w:val="00D30039"/>
    <w:rsid w:val="00D30C4F"/>
    <w:rsid w:val="00D33923"/>
    <w:rsid w:val="00D36884"/>
    <w:rsid w:val="00D36927"/>
    <w:rsid w:val="00D36B19"/>
    <w:rsid w:val="00D46A46"/>
    <w:rsid w:val="00D50D99"/>
    <w:rsid w:val="00D554D3"/>
    <w:rsid w:val="00D56BCA"/>
    <w:rsid w:val="00D73BEE"/>
    <w:rsid w:val="00D749C7"/>
    <w:rsid w:val="00D74F4E"/>
    <w:rsid w:val="00D75107"/>
    <w:rsid w:val="00D769BE"/>
    <w:rsid w:val="00D81726"/>
    <w:rsid w:val="00D81938"/>
    <w:rsid w:val="00D84F94"/>
    <w:rsid w:val="00D85FA8"/>
    <w:rsid w:val="00D8769E"/>
    <w:rsid w:val="00D94249"/>
    <w:rsid w:val="00D96767"/>
    <w:rsid w:val="00DA1E56"/>
    <w:rsid w:val="00DA3AEE"/>
    <w:rsid w:val="00DB1F3A"/>
    <w:rsid w:val="00DB3A11"/>
    <w:rsid w:val="00DB7F74"/>
    <w:rsid w:val="00DC6DF2"/>
    <w:rsid w:val="00DD1607"/>
    <w:rsid w:val="00DD4461"/>
    <w:rsid w:val="00DD52BB"/>
    <w:rsid w:val="00DE3A5D"/>
    <w:rsid w:val="00DF760C"/>
    <w:rsid w:val="00E00990"/>
    <w:rsid w:val="00E00FCE"/>
    <w:rsid w:val="00E0472B"/>
    <w:rsid w:val="00E074F2"/>
    <w:rsid w:val="00E15B40"/>
    <w:rsid w:val="00E15DC3"/>
    <w:rsid w:val="00E169A2"/>
    <w:rsid w:val="00E2190D"/>
    <w:rsid w:val="00E21EA5"/>
    <w:rsid w:val="00E24B29"/>
    <w:rsid w:val="00E25078"/>
    <w:rsid w:val="00E30298"/>
    <w:rsid w:val="00E3786F"/>
    <w:rsid w:val="00E40140"/>
    <w:rsid w:val="00E46005"/>
    <w:rsid w:val="00E4697D"/>
    <w:rsid w:val="00E52992"/>
    <w:rsid w:val="00E53BCE"/>
    <w:rsid w:val="00E53C7E"/>
    <w:rsid w:val="00E55F23"/>
    <w:rsid w:val="00E60942"/>
    <w:rsid w:val="00E66131"/>
    <w:rsid w:val="00E66156"/>
    <w:rsid w:val="00E67715"/>
    <w:rsid w:val="00E75E09"/>
    <w:rsid w:val="00E8134B"/>
    <w:rsid w:val="00E85058"/>
    <w:rsid w:val="00E85912"/>
    <w:rsid w:val="00E85EDA"/>
    <w:rsid w:val="00E871BB"/>
    <w:rsid w:val="00E9366A"/>
    <w:rsid w:val="00E95788"/>
    <w:rsid w:val="00E959A0"/>
    <w:rsid w:val="00E9671B"/>
    <w:rsid w:val="00EA5F9F"/>
    <w:rsid w:val="00EB0CD9"/>
    <w:rsid w:val="00EB7A79"/>
    <w:rsid w:val="00EC08E4"/>
    <w:rsid w:val="00EC1CA4"/>
    <w:rsid w:val="00EC5926"/>
    <w:rsid w:val="00ED4D56"/>
    <w:rsid w:val="00ED6B6B"/>
    <w:rsid w:val="00EE3288"/>
    <w:rsid w:val="00EF0A67"/>
    <w:rsid w:val="00F04904"/>
    <w:rsid w:val="00F12AC6"/>
    <w:rsid w:val="00F13BAD"/>
    <w:rsid w:val="00F20061"/>
    <w:rsid w:val="00F26371"/>
    <w:rsid w:val="00F269EC"/>
    <w:rsid w:val="00F2703A"/>
    <w:rsid w:val="00F30142"/>
    <w:rsid w:val="00F30DA8"/>
    <w:rsid w:val="00F30F6F"/>
    <w:rsid w:val="00F322B6"/>
    <w:rsid w:val="00F328F9"/>
    <w:rsid w:val="00F34C1F"/>
    <w:rsid w:val="00F3772B"/>
    <w:rsid w:val="00F411D7"/>
    <w:rsid w:val="00F41774"/>
    <w:rsid w:val="00F4797C"/>
    <w:rsid w:val="00F47E87"/>
    <w:rsid w:val="00F506DF"/>
    <w:rsid w:val="00F53BE2"/>
    <w:rsid w:val="00F55200"/>
    <w:rsid w:val="00F63C29"/>
    <w:rsid w:val="00F650AE"/>
    <w:rsid w:val="00F65C4F"/>
    <w:rsid w:val="00F65E27"/>
    <w:rsid w:val="00F6748F"/>
    <w:rsid w:val="00F7015A"/>
    <w:rsid w:val="00F74E98"/>
    <w:rsid w:val="00F7636C"/>
    <w:rsid w:val="00F76D64"/>
    <w:rsid w:val="00F81778"/>
    <w:rsid w:val="00F84058"/>
    <w:rsid w:val="00F8494C"/>
    <w:rsid w:val="00F877AE"/>
    <w:rsid w:val="00F93149"/>
    <w:rsid w:val="00FA42F9"/>
    <w:rsid w:val="00FA4732"/>
    <w:rsid w:val="00FB35FF"/>
    <w:rsid w:val="00FB5D2D"/>
    <w:rsid w:val="00FC0772"/>
    <w:rsid w:val="00FC32EB"/>
    <w:rsid w:val="00FC3AF0"/>
    <w:rsid w:val="00FC72B7"/>
    <w:rsid w:val="00FE059B"/>
    <w:rsid w:val="00FE2042"/>
    <w:rsid w:val="00FE3BAE"/>
    <w:rsid w:val="00FE5776"/>
    <w:rsid w:val="00FE7F79"/>
    <w:rsid w:val="00FF183E"/>
    <w:rsid w:val="00FF27C6"/>
    <w:rsid w:val="00FF52DF"/>
    <w:rsid w:val="00FF5E0F"/>
    <w:rsid w:val="00FF610E"/>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393055"/>
    <w:pPr>
      <w:spacing w:after="120"/>
    </w:pPr>
    <w:rPr>
      <w:sz w:val="22"/>
      <w:szCs w:val="20"/>
    </w:rPr>
  </w:style>
  <w:style w:type="character" w:customStyle="1" w:styleId="FootnoteTextChar">
    <w:name w:val="Footnote Text Char"/>
    <w:basedOn w:val="DefaultParagraphFont"/>
    <w:link w:val="FootnoteText"/>
    <w:uiPriority w:val="99"/>
    <w:rsid w:val="00393055"/>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F12AC6"/>
    <w:pPr>
      <w:ind w:left="720"/>
    </w:pPr>
    <w:rPr>
      <w:rFonts w:eastAsia="Calibri"/>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BB5CCD"/>
    <w:rPr>
      <w:sz w:val="24"/>
    </w:rPr>
  </w:style>
  <w:style w:type="paragraph" w:customStyle="1" w:styleId="standard">
    <w:name w:val="standard"/>
    <w:basedOn w:val="Normal"/>
    <w:link w:val="standardChar"/>
    <w:rsid w:val="00BB5CCD"/>
    <w:pPr>
      <w:spacing w:line="360" w:lineRule="auto"/>
      <w:ind w:firstLine="720"/>
    </w:pPr>
    <w:rPr>
      <w:szCs w:val="20"/>
    </w:rPr>
  </w:style>
  <w:style w:type="paragraph" w:styleId="NormalWeb">
    <w:name w:val="Normal (Web)"/>
    <w:basedOn w:val="Normal"/>
    <w:uiPriority w:val="99"/>
    <w:unhideWhenUsed/>
    <w:rsid w:val="009E48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9917-8F43-4476-976B-425572BC659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25</ap:Pages>
  <ap:Words>7036</ap:Words>
  <ap:Characters>40109</ap:Characters>
  <ap:Application>Microsoft Office Word</ap:Application>
  <ap:DocSecurity>0</ap:DocSecurity>
  <ap:Lines>334</ap:Lines>
  <ap:Paragraphs>94</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47051</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2020-05-29T13:40:27Z</dcterms:created>
  <dcterms:modified xsi:type="dcterms:W3CDTF">2020-05-29T13:40:27Z</dcterms:modified>
</cp:coreProperties>
</file>