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582D" w:rsidR="00CE0977" w:rsidP="00CE0977" w:rsidRDefault="00CE0977" w14:paraId="260E4218" w14:textId="5A199840">
      <w:pPr>
        <w:tabs>
          <w:tab w:val="center" w:pos="4680"/>
          <w:tab w:val="right" w:pos="9360"/>
        </w:tabs>
      </w:pPr>
      <w:r w:rsidRPr="006C582D">
        <w:t>ALJ/SCL/</w:t>
      </w:r>
      <w:r w:rsidR="009039F0">
        <w:t>avs</w:t>
      </w:r>
      <w:r w:rsidRPr="006C582D">
        <w:tab/>
      </w:r>
      <w:r w:rsidRPr="007E4B28">
        <w:rPr>
          <w:rFonts w:ascii="Arial" w:hAnsi="Arial" w:cs="Arial"/>
          <w:b/>
          <w:sz w:val="28"/>
          <w:szCs w:val="28"/>
        </w:rPr>
        <w:t>PROPOSED DECISION</w:t>
      </w:r>
      <w:r w:rsidRPr="006C582D">
        <w:tab/>
      </w:r>
      <w:r w:rsidRPr="006C582D">
        <w:rPr>
          <w:b/>
        </w:rPr>
        <w:t>Agenda ID #</w:t>
      </w:r>
      <w:r w:rsidR="00681530">
        <w:rPr>
          <w:b/>
        </w:rPr>
        <w:t>18498</w:t>
      </w:r>
      <w:r w:rsidR="007E4B28">
        <w:rPr>
          <w:b/>
        </w:rPr>
        <w:t xml:space="preserve"> (Rev. 1) </w:t>
      </w:r>
    </w:p>
    <w:p w:rsidR="00CE0977" w:rsidP="00CE0977" w:rsidRDefault="009039F0" w14:paraId="0C0A68AA" w14:textId="7A12D725">
      <w:pPr>
        <w:jc w:val="right"/>
        <w:rPr>
          <w:b/>
        </w:rPr>
      </w:pPr>
      <w:r>
        <w:rPr>
          <w:b/>
        </w:rPr>
        <w:t>Ratesetting</w:t>
      </w:r>
    </w:p>
    <w:p w:rsidRPr="006C582D" w:rsidR="00B9264E" w:rsidP="00CE0977" w:rsidRDefault="00B9264E" w14:paraId="3FD4AE23" w14:textId="734ACC0C">
      <w:pPr>
        <w:jc w:val="right"/>
        <w:rPr>
          <w:b/>
        </w:rPr>
      </w:pPr>
      <w:r>
        <w:rPr>
          <w:b/>
        </w:rPr>
        <w:t>7/16/</w:t>
      </w:r>
      <w:proofErr w:type="gramStart"/>
      <w:r>
        <w:rPr>
          <w:b/>
        </w:rPr>
        <w:t>20  Item</w:t>
      </w:r>
      <w:proofErr w:type="gramEnd"/>
      <w:r>
        <w:rPr>
          <w:b/>
        </w:rPr>
        <w:t xml:space="preserve"> 11</w:t>
      </w:r>
    </w:p>
    <w:p w:rsidRPr="006C582D" w:rsidR="00CE0977" w:rsidP="006C582D" w:rsidRDefault="006C582D" w14:paraId="012A9783" w14:textId="294F6831">
      <w:pPr>
        <w:tabs>
          <w:tab w:val="left" w:pos="1672"/>
        </w:tabs>
        <w:suppressAutoHyphens/>
      </w:pPr>
      <w:r>
        <w:tab/>
      </w:r>
    </w:p>
    <w:p w:rsidRPr="006C582D" w:rsidR="00EF1A50" w:rsidP="00CE0977" w:rsidRDefault="00EF1A50" w14:paraId="230033AC" w14:textId="493B409D">
      <w:pPr>
        <w:suppressAutoHyphens/>
        <w:spacing w:line="360" w:lineRule="auto"/>
      </w:pPr>
      <w:r w:rsidRPr="006C582D">
        <w:t>Decision ______</w:t>
      </w:r>
      <w:r w:rsidRPr="006C582D" w:rsidR="000A0ACC">
        <w:t>_________</w:t>
      </w:r>
    </w:p>
    <w:p w:rsidRPr="006C582D" w:rsidR="00EF1A50" w:rsidRDefault="00EF1A50" w14:paraId="59CB1F74" w14:textId="77777777">
      <w:pPr>
        <w:suppressAutoHyphens/>
      </w:pPr>
    </w:p>
    <w:p w:rsidRPr="006C582D" w:rsidR="00EF1A50" w:rsidRDefault="00EF1A50" w14:paraId="60829A67" w14:textId="77777777">
      <w:pPr>
        <w:pStyle w:val="titlebar"/>
        <w:rPr>
          <w:sz w:val="24"/>
        </w:rPr>
      </w:pPr>
      <w:r w:rsidRPr="006C582D">
        <w:rPr>
          <w:sz w:val="24"/>
        </w:rPr>
        <w:t xml:space="preserve">BEFORE THE PUBLIC UTILITIES COMMISSION OF THE STATE OF </w:t>
      </w:r>
      <w:smartTag w:uri="urn:schemas-microsoft-com:office:smarttags" w:element="place">
        <w:smartTag w:uri="urn:schemas-microsoft-com:office:smarttags" w:element="State">
          <w:smartTag w:uri="urn:schemas-microsoft-com:office:smarttags" w:element="Street">
            <w:smartTag w:uri="urn:schemas-microsoft-com:office:smarttags" w:element="address">
              <w:r w:rsidRPr="006C582D">
                <w:rPr>
                  <w:sz w:val="24"/>
                </w:rPr>
                <w:t>CALIFORNIA</w:t>
              </w:r>
            </w:smartTag>
          </w:smartTag>
        </w:smartTag>
      </w:smartTag>
    </w:p>
    <w:p w:rsidRPr="006C582D" w:rsidR="00EF1A50" w:rsidRDefault="00EF1A50" w14:paraId="0D6A4587" w14:textId="77777777">
      <w:pPr>
        <w:suppressAutoHyphens/>
      </w:pPr>
    </w:p>
    <w:tbl>
      <w:tblPr>
        <w:tblW w:w="9558" w:type="dxa"/>
        <w:tblLayout w:type="fixed"/>
        <w:tblLook w:val="0000" w:firstRow="0" w:lastRow="0" w:firstColumn="0" w:lastColumn="0" w:noHBand="0" w:noVBand="0"/>
      </w:tblPr>
      <w:tblGrid>
        <w:gridCol w:w="5310"/>
        <w:gridCol w:w="4248"/>
      </w:tblGrid>
      <w:tr w:rsidRPr="006C582D" w:rsidR="003143EF" w:rsidTr="00F8354E" w14:paraId="2182B33D" w14:textId="77777777">
        <w:tc>
          <w:tcPr>
            <w:tcW w:w="5310" w:type="dxa"/>
            <w:tcBorders>
              <w:bottom w:val="single" w:color="auto" w:sz="6" w:space="0"/>
              <w:right w:val="single" w:color="auto" w:sz="6" w:space="0"/>
            </w:tcBorders>
          </w:tcPr>
          <w:p w:rsidRPr="006C582D" w:rsidR="003143EF" w:rsidP="003143EF" w:rsidRDefault="00BA748D" w14:paraId="40F9F2EE" w14:textId="618E703C">
            <w:pPr>
              <w:tabs>
                <w:tab w:val="left" w:pos="2160"/>
                <w:tab w:val="left" w:pos="3600"/>
              </w:tabs>
            </w:pPr>
            <w:bookmarkStart w:name="_Toc370798910" w:id="0"/>
            <w:r w:rsidRPr="006C582D">
              <w:t>Application of Hudson Fiber Network Inc. for a Certificate of Public Convenience and Necessity to Provide Full Facilities-Based and Resold Competitive Local Exchange and Interexchange Services.</w:t>
            </w:r>
          </w:p>
          <w:p w:rsidRPr="006C582D" w:rsidR="003143EF" w:rsidP="00D0594F" w:rsidRDefault="003143EF" w14:paraId="4FE978B7" w14:textId="77777777">
            <w:pPr>
              <w:tabs>
                <w:tab w:val="left" w:pos="2160"/>
                <w:tab w:val="left" w:pos="3600"/>
              </w:tabs>
            </w:pPr>
          </w:p>
        </w:tc>
        <w:tc>
          <w:tcPr>
            <w:tcW w:w="4248" w:type="dxa"/>
            <w:tcBorders>
              <w:left w:val="nil"/>
            </w:tcBorders>
          </w:tcPr>
          <w:p w:rsidRPr="006C582D" w:rsidR="003143EF" w:rsidP="003143EF" w:rsidRDefault="003143EF" w14:paraId="4AC8DFAB" w14:textId="77777777">
            <w:pPr>
              <w:jc w:val="center"/>
            </w:pPr>
          </w:p>
          <w:p w:rsidRPr="006C582D" w:rsidR="003143EF" w:rsidP="003143EF" w:rsidRDefault="003143EF" w14:paraId="17397F23" w14:textId="77777777">
            <w:pPr>
              <w:jc w:val="center"/>
            </w:pPr>
          </w:p>
          <w:p w:rsidRPr="006C582D" w:rsidR="003143EF" w:rsidP="003143EF" w:rsidRDefault="003143EF" w14:paraId="13CF174B" w14:textId="39113A14">
            <w:pPr>
              <w:jc w:val="center"/>
            </w:pPr>
            <w:r w:rsidRPr="006C582D">
              <w:t>Application A.</w:t>
            </w:r>
            <w:r w:rsidRPr="006C582D" w:rsidR="00BA748D">
              <w:t>19-09-004</w:t>
            </w:r>
          </w:p>
          <w:p w:rsidRPr="006C582D" w:rsidR="003143EF" w:rsidP="003143EF" w:rsidRDefault="003143EF" w14:paraId="0ABD46DB" w14:textId="77777777">
            <w:pPr>
              <w:jc w:val="center"/>
            </w:pPr>
          </w:p>
          <w:p w:rsidRPr="006C582D" w:rsidR="003143EF" w:rsidP="008D6DAA" w:rsidRDefault="003143EF" w14:paraId="1A53F24A" w14:textId="77777777">
            <w:pPr>
              <w:jc w:val="center"/>
            </w:pPr>
          </w:p>
        </w:tc>
      </w:tr>
    </w:tbl>
    <w:p w:rsidR="008D6DAA" w:rsidP="008D6DAA" w:rsidRDefault="008D6DAA" w14:paraId="2E22E109" w14:textId="09412B53">
      <w:pPr>
        <w:suppressAutoHyphens/>
      </w:pPr>
    </w:p>
    <w:p w:rsidR="00C6795F" w:rsidP="008D6DAA" w:rsidRDefault="00C6795F" w14:paraId="2427CBFF" w14:textId="184750A7">
      <w:pPr>
        <w:suppressAutoHyphens/>
      </w:pPr>
    </w:p>
    <w:p w:rsidR="00570154" w:rsidP="008D6DAA" w:rsidRDefault="00570154" w14:paraId="02EDCEC1" w14:textId="78218728">
      <w:pPr>
        <w:suppressAutoHyphens/>
      </w:pPr>
    </w:p>
    <w:p w:rsidR="00570154" w:rsidP="008D6DAA" w:rsidRDefault="00570154" w14:paraId="394B0534" w14:textId="0E1371D6">
      <w:pPr>
        <w:suppressAutoHyphens/>
      </w:pPr>
    </w:p>
    <w:p w:rsidRPr="00570154" w:rsidR="00570154" w:rsidP="00570154" w:rsidRDefault="00570154" w14:paraId="1B02DF55" w14:textId="509DCB8F">
      <w:pPr>
        <w:suppressAutoHyphens/>
        <w:jc w:val="center"/>
        <w:rPr>
          <w:szCs w:val="26"/>
        </w:rPr>
      </w:pPr>
      <w:r w:rsidRPr="00570154">
        <w:rPr>
          <w:rFonts w:ascii="Helvetica" w:hAnsi="Helvetica"/>
          <w:b/>
          <w:szCs w:val="26"/>
        </w:rPr>
        <w:t>DECISION GRANTING HUDSON FIBER NETWORK INC. A CERTIFICATE OF PUBLIC CONVENIENCE AND NECESSITY IN ORDER TO PROVIDE FULL FACILITIES</w:t>
      </w:r>
      <w:r w:rsidRPr="00570154">
        <w:rPr>
          <w:rFonts w:ascii="Helvetica" w:hAnsi="Helvetica"/>
          <w:b/>
          <w:szCs w:val="26"/>
        </w:rPr>
        <w:noBreakHyphen/>
        <w:t>BASED AND RESOLD COMPETITIVE LOCAL EXCHANGE SERVICE AND NON-DOMINANT INTEREXCHANGE SERVICE</w:t>
      </w:r>
    </w:p>
    <w:p w:rsidR="00C6795F" w:rsidP="008D6DAA" w:rsidRDefault="00C6795F" w14:paraId="473DEE9E" w14:textId="2DF7FA18">
      <w:pPr>
        <w:suppressAutoHyphens/>
      </w:pPr>
    </w:p>
    <w:p w:rsidR="00C6795F" w:rsidP="008D6DAA" w:rsidRDefault="00C6795F" w14:paraId="60E0A77E" w14:textId="77777777">
      <w:pPr>
        <w:suppressAutoHyphens/>
        <w:sectPr w:rsidR="00C6795F">
          <w:headerReference w:type="default" r:id="rId8"/>
          <w:footerReference w:type="even" r:id="rId9"/>
          <w:footerReference w:type="default" r:id="rId10"/>
          <w:footerReference w:type="first" r:id="rId11"/>
          <w:footnotePr>
            <w:numRestart w:val="eachSect"/>
          </w:footnotePr>
          <w:pgSz w:w="12240" w:h="15840" w:code="1"/>
          <w:pgMar w:top="1152" w:right="1440" w:bottom="1440" w:left="1440" w:header="720" w:footer="720" w:gutter="0"/>
          <w:pgNumType w:start="1"/>
          <w:cols w:space="720"/>
          <w:titlePg/>
        </w:sectPr>
      </w:pPr>
    </w:p>
    <w:p w:rsidR="00C6795F" w:rsidP="00C41052" w:rsidRDefault="00C41052" w14:paraId="1D422444" w14:textId="4A6CF9AD">
      <w:pPr>
        <w:suppressAutoHyphens/>
        <w:jc w:val="center"/>
        <w:rPr>
          <w:b/>
          <w:bCs/>
        </w:rPr>
      </w:pPr>
      <w:r w:rsidRPr="00C41052">
        <w:rPr>
          <w:b/>
          <w:bCs/>
        </w:rPr>
        <w:lastRenderedPageBreak/>
        <w:t>TABLE OF CONTENTS</w:t>
      </w:r>
    </w:p>
    <w:p w:rsidR="00C41052" w:rsidP="00C41052" w:rsidRDefault="00C41052" w14:paraId="51B33D42" w14:textId="6441FDE4">
      <w:pPr>
        <w:suppressAutoHyphens/>
        <w:jc w:val="center"/>
        <w:rPr>
          <w:b/>
          <w:bCs/>
        </w:rPr>
      </w:pPr>
    </w:p>
    <w:p w:rsidRPr="00C41052" w:rsidR="00C6795F" w:rsidP="008D6DAA" w:rsidRDefault="00C41052" w14:paraId="049EAD48" w14:textId="348F7FB8">
      <w:pPr>
        <w:suppressAutoHyphens/>
        <w:rPr>
          <w:b/>
          <w:bCs/>
        </w:rPr>
      </w:pPr>
      <w:r w:rsidRPr="00C41052">
        <w:rPr>
          <w:b/>
          <w:bCs/>
        </w:rPr>
        <w:t>Title</w:t>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r>
      <w:r w:rsidRPr="00C41052">
        <w:rPr>
          <w:b/>
          <w:bCs/>
        </w:rPr>
        <w:tab/>
        <w:t>Page</w:t>
      </w:r>
    </w:p>
    <w:p w:rsidR="00C41052" w:rsidP="008D6DAA" w:rsidRDefault="00C41052" w14:paraId="00238160" w14:textId="6D26F6F2">
      <w:pPr>
        <w:suppressAutoHyphens/>
      </w:pPr>
    </w:p>
    <w:p w:rsidR="00E019F4" w:rsidP="00E019F4" w:rsidRDefault="00E019F4" w14:paraId="6EC98DE5" w14:textId="41E9B05C">
      <w:pPr>
        <w:pStyle w:val="TOC1"/>
        <w:rPr>
          <w:rFonts w:asciiTheme="minorHAnsi" w:hAnsiTheme="minorHAnsi" w:eastAsiaTheme="minorEastAsia" w:cstheme="minorBidi"/>
          <w:noProof/>
          <w:sz w:val="22"/>
          <w:szCs w:val="22"/>
        </w:rPr>
      </w:pPr>
      <w:r>
        <w:fldChar w:fldCharType="begin"/>
      </w:r>
      <w:r>
        <w:instrText xml:space="preserve"> TOC \o "2-3" \h \z \t "Heading 1,1,main,1,mainex,1" </w:instrText>
      </w:r>
      <w:r>
        <w:fldChar w:fldCharType="separate"/>
      </w:r>
      <w:hyperlink w:history="1" w:anchor="_Toc41483953">
        <w:r w:rsidRPr="00D96372">
          <w:rPr>
            <w:rStyle w:val="Hyperlink"/>
            <w:noProof/>
          </w:rPr>
          <w:t xml:space="preserve">DECISION </w:t>
        </w:r>
        <w:r w:rsidRPr="00D96372">
          <w:rPr>
            <w:rStyle w:val="Hyperlink"/>
            <w:caps/>
            <w:noProof/>
          </w:rPr>
          <w:t>GRANTING Hudson Fiber Network</w:t>
        </w:r>
        <w:r w:rsidRPr="00D96372">
          <w:rPr>
            <w:rStyle w:val="Hyperlink"/>
            <w:noProof/>
          </w:rPr>
          <w:t xml:space="preserve"> INC. A CERTIFICATE OF PUBLIC CONVENIENCE AND NECESSITY IN ORDER TO PROVIDE FULL FACILITIES</w:t>
        </w:r>
        <w:r w:rsidRPr="00D96372">
          <w:rPr>
            <w:rStyle w:val="Hyperlink"/>
            <w:noProof/>
          </w:rPr>
          <w:noBreakHyphen/>
          <w:t>BASED AND RESOLD COMPETITIVE LOCAL EXCHANGE SERVICE AND NON-DOMINANT INTEREXCHANGE SERVICE</w:t>
        </w:r>
        <w:r>
          <w:rPr>
            <w:noProof/>
            <w:webHidden/>
          </w:rPr>
          <w:tab/>
        </w:r>
        <w:r>
          <w:rPr>
            <w:noProof/>
            <w:webHidden/>
          </w:rPr>
          <w:fldChar w:fldCharType="begin"/>
        </w:r>
        <w:r>
          <w:rPr>
            <w:noProof/>
            <w:webHidden/>
          </w:rPr>
          <w:instrText xml:space="preserve"> PAGEREF _Toc41483953 \h </w:instrText>
        </w:r>
        <w:r>
          <w:rPr>
            <w:noProof/>
            <w:webHidden/>
          </w:rPr>
        </w:r>
        <w:r>
          <w:rPr>
            <w:noProof/>
            <w:webHidden/>
          </w:rPr>
          <w:fldChar w:fldCharType="separate"/>
        </w:r>
        <w:r w:rsidR="00B24607">
          <w:rPr>
            <w:noProof/>
            <w:webHidden/>
          </w:rPr>
          <w:t>1</w:t>
        </w:r>
        <w:r>
          <w:rPr>
            <w:noProof/>
            <w:webHidden/>
          </w:rPr>
          <w:fldChar w:fldCharType="end"/>
        </w:r>
      </w:hyperlink>
    </w:p>
    <w:p w:rsidR="00E019F4" w:rsidP="00E019F4" w:rsidRDefault="003371D2" w14:paraId="45557E41" w14:textId="6399C447">
      <w:pPr>
        <w:pStyle w:val="TOC1"/>
        <w:rPr>
          <w:rFonts w:asciiTheme="minorHAnsi" w:hAnsiTheme="minorHAnsi" w:eastAsiaTheme="minorEastAsia" w:cstheme="minorBidi"/>
          <w:noProof/>
          <w:sz w:val="22"/>
          <w:szCs w:val="22"/>
        </w:rPr>
      </w:pPr>
      <w:hyperlink w:history="1" w:anchor="_Toc41483954">
        <w:r w:rsidRPr="00D96372" w:rsidR="00E019F4">
          <w:rPr>
            <w:rStyle w:val="Hyperlink"/>
            <w:noProof/>
          </w:rPr>
          <w:t>Summary</w:t>
        </w:r>
        <w:r w:rsidR="00E019F4">
          <w:rPr>
            <w:noProof/>
            <w:webHidden/>
          </w:rPr>
          <w:tab/>
        </w:r>
        <w:r w:rsidR="00E019F4">
          <w:rPr>
            <w:noProof/>
            <w:webHidden/>
          </w:rPr>
          <w:fldChar w:fldCharType="begin"/>
        </w:r>
        <w:r w:rsidR="00E019F4">
          <w:rPr>
            <w:noProof/>
            <w:webHidden/>
          </w:rPr>
          <w:instrText xml:space="preserve"> PAGEREF _Toc41483954 \h </w:instrText>
        </w:r>
        <w:r w:rsidR="00E019F4">
          <w:rPr>
            <w:noProof/>
            <w:webHidden/>
          </w:rPr>
        </w:r>
        <w:r w:rsidR="00E019F4">
          <w:rPr>
            <w:noProof/>
            <w:webHidden/>
          </w:rPr>
          <w:fldChar w:fldCharType="separate"/>
        </w:r>
        <w:r w:rsidR="00B24607">
          <w:rPr>
            <w:noProof/>
            <w:webHidden/>
          </w:rPr>
          <w:t>1</w:t>
        </w:r>
        <w:r w:rsidR="00E019F4">
          <w:rPr>
            <w:noProof/>
            <w:webHidden/>
          </w:rPr>
          <w:fldChar w:fldCharType="end"/>
        </w:r>
      </w:hyperlink>
    </w:p>
    <w:p w:rsidR="00E019F4" w:rsidP="00E019F4" w:rsidRDefault="003371D2" w14:paraId="7BD96B63" w14:textId="65C418D9">
      <w:pPr>
        <w:pStyle w:val="TOC1"/>
        <w:rPr>
          <w:rFonts w:asciiTheme="minorHAnsi" w:hAnsiTheme="minorHAnsi" w:eastAsiaTheme="minorEastAsia" w:cstheme="minorBidi"/>
          <w:noProof/>
          <w:sz w:val="22"/>
          <w:szCs w:val="22"/>
        </w:rPr>
      </w:pPr>
      <w:hyperlink w:history="1" w:anchor="_Toc41483955">
        <w:r w:rsidRPr="00D96372" w:rsidR="00E019F4">
          <w:rPr>
            <w:rStyle w:val="Hyperlink"/>
            <w:noProof/>
          </w:rPr>
          <w:t>1.</w:t>
        </w:r>
        <w:r w:rsidR="00E019F4">
          <w:rPr>
            <w:rStyle w:val="Hyperlink"/>
            <w:noProof/>
          </w:rPr>
          <w:t xml:space="preserve">  </w:t>
        </w:r>
        <w:r w:rsidRPr="00D96372" w:rsidR="00E019F4">
          <w:rPr>
            <w:rStyle w:val="Hyperlink"/>
            <w:noProof/>
          </w:rPr>
          <w:t>Background</w:t>
        </w:r>
        <w:r w:rsidR="00E019F4">
          <w:rPr>
            <w:noProof/>
            <w:webHidden/>
          </w:rPr>
          <w:tab/>
        </w:r>
        <w:r w:rsidR="00E019F4">
          <w:rPr>
            <w:noProof/>
            <w:webHidden/>
          </w:rPr>
          <w:fldChar w:fldCharType="begin"/>
        </w:r>
        <w:r w:rsidR="00E019F4">
          <w:rPr>
            <w:noProof/>
            <w:webHidden/>
          </w:rPr>
          <w:instrText xml:space="preserve"> PAGEREF _Toc41483955 \h </w:instrText>
        </w:r>
        <w:r w:rsidR="00E019F4">
          <w:rPr>
            <w:noProof/>
            <w:webHidden/>
          </w:rPr>
        </w:r>
        <w:r w:rsidR="00E019F4">
          <w:rPr>
            <w:noProof/>
            <w:webHidden/>
          </w:rPr>
          <w:fldChar w:fldCharType="separate"/>
        </w:r>
        <w:r w:rsidR="00B24607">
          <w:rPr>
            <w:noProof/>
            <w:webHidden/>
          </w:rPr>
          <w:t>1</w:t>
        </w:r>
        <w:r w:rsidR="00E019F4">
          <w:rPr>
            <w:noProof/>
            <w:webHidden/>
          </w:rPr>
          <w:fldChar w:fldCharType="end"/>
        </w:r>
      </w:hyperlink>
    </w:p>
    <w:p w:rsidR="00E019F4" w:rsidP="00E019F4" w:rsidRDefault="003371D2" w14:paraId="5EF9A4C2" w14:textId="4DEAF7A3">
      <w:pPr>
        <w:pStyle w:val="TOC1"/>
        <w:rPr>
          <w:rFonts w:asciiTheme="minorHAnsi" w:hAnsiTheme="minorHAnsi" w:eastAsiaTheme="minorEastAsia" w:cstheme="minorBidi"/>
          <w:noProof/>
          <w:sz w:val="22"/>
          <w:szCs w:val="22"/>
        </w:rPr>
      </w:pPr>
      <w:hyperlink w:history="1" w:anchor="_Toc41483956">
        <w:r w:rsidRPr="00D96372" w:rsidR="00E019F4">
          <w:rPr>
            <w:rStyle w:val="Hyperlink"/>
            <w:noProof/>
          </w:rPr>
          <w:t>2.</w:t>
        </w:r>
        <w:r w:rsidR="00E019F4">
          <w:rPr>
            <w:rStyle w:val="Hyperlink"/>
            <w:noProof/>
          </w:rPr>
          <w:t xml:space="preserve">  </w:t>
        </w:r>
        <w:r w:rsidRPr="00D96372" w:rsidR="00E019F4">
          <w:rPr>
            <w:rStyle w:val="Hyperlink"/>
            <w:noProof/>
          </w:rPr>
          <w:t>Jurisdiction</w:t>
        </w:r>
        <w:r w:rsidR="00E019F4">
          <w:rPr>
            <w:noProof/>
            <w:webHidden/>
          </w:rPr>
          <w:tab/>
        </w:r>
        <w:r w:rsidR="00E019F4">
          <w:rPr>
            <w:noProof/>
            <w:webHidden/>
          </w:rPr>
          <w:fldChar w:fldCharType="begin"/>
        </w:r>
        <w:r w:rsidR="00E019F4">
          <w:rPr>
            <w:noProof/>
            <w:webHidden/>
          </w:rPr>
          <w:instrText xml:space="preserve"> PAGEREF _Toc41483956 \h </w:instrText>
        </w:r>
        <w:r w:rsidR="00E019F4">
          <w:rPr>
            <w:noProof/>
            <w:webHidden/>
          </w:rPr>
        </w:r>
        <w:r w:rsidR="00E019F4">
          <w:rPr>
            <w:noProof/>
            <w:webHidden/>
          </w:rPr>
          <w:fldChar w:fldCharType="separate"/>
        </w:r>
        <w:r w:rsidR="00B24607">
          <w:rPr>
            <w:noProof/>
            <w:webHidden/>
          </w:rPr>
          <w:t>2</w:t>
        </w:r>
        <w:r w:rsidR="00E019F4">
          <w:rPr>
            <w:noProof/>
            <w:webHidden/>
          </w:rPr>
          <w:fldChar w:fldCharType="end"/>
        </w:r>
      </w:hyperlink>
    </w:p>
    <w:p w:rsidR="00E019F4" w:rsidP="00E019F4" w:rsidRDefault="003371D2" w14:paraId="2A32809E" w14:textId="6CE3FCCF">
      <w:pPr>
        <w:pStyle w:val="TOC1"/>
        <w:rPr>
          <w:rFonts w:asciiTheme="minorHAnsi" w:hAnsiTheme="minorHAnsi" w:eastAsiaTheme="minorEastAsia" w:cstheme="minorBidi"/>
          <w:noProof/>
          <w:sz w:val="22"/>
          <w:szCs w:val="22"/>
        </w:rPr>
      </w:pPr>
      <w:hyperlink w:history="1" w:anchor="_Toc41483957">
        <w:r w:rsidRPr="00D96372" w:rsidR="00E019F4">
          <w:rPr>
            <w:rStyle w:val="Hyperlink"/>
            <w:noProof/>
          </w:rPr>
          <w:t>2.</w:t>
        </w:r>
        <w:r w:rsidR="00E019F4">
          <w:rPr>
            <w:rStyle w:val="Hyperlink"/>
            <w:noProof/>
          </w:rPr>
          <w:t xml:space="preserve">  </w:t>
        </w:r>
        <w:r w:rsidRPr="00D96372" w:rsidR="00E019F4">
          <w:rPr>
            <w:rStyle w:val="Hyperlink"/>
            <w:noProof/>
          </w:rPr>
          <w:t>California Environmental Quality Act (CEQA)</w:t>
        </w:r>
        <w:r w:rsidR="00E019F4">
          <w:rPr>
            <w:noProof/>
            <w:webHidden/>
          </w:rPr>
          <w:tab/>
        </w:r>
        <w:r w:rsidR="00E019F4">
          <w:rPr>
            <w:noProof/>
            <w:webHidden/>
          </w:rPr>
          <w:fldChar w:fldCharType="begin"/>
        </w:r>
        <w:r w:rsidR="00E019F4">
          <w:rPr>
            <w:noProof/>
            <w:webHidden/>
          </w:rPr>
          <w:instrText xml:space="preserve"> PAGEREF _Toc41483957 \h </w:instrText>
        </w:r>
        <w:r w:rsidR="00E019F4">
          <w:rPr>
            <w:noProof/>
            <w:webHidden/>
          </w:rPr>
        </w:r>
        <w:r w:rsidR="00E019F4">
          <w:rPr>
            <w:noProof/>
            <w:webHidden/>
          </w:rPr>
          <w:fldChar w:fldCharType="separate"/>
        </w:r>
        <w:r w:rsidR="00B24607">
          <w:rPr>
            <w:noProof/>
            <w:webHidden/>
          </w:rPr>
          <w:t>3</w:t>
        </w:r>
        <w:r w:rsidR="00E019F4">
          <w:rPr>
            <w:noProof/>
            <w:webHidden/>
          </w:rPr>
          <w:fldChar w:fldCharType="end"/>
        </w:r>
      </w:hyperlink>
    </w:p>
    <w:p w:rsidR="00E019F4" w:rsidP="00E019F4" w:rsidRDefault="003371D2" w14:paraId="6E7CF494" w14:textId="56B6F03C">
      <w:pPr>
        <w:pStyle w:val="TOC1"/>
        <w:rPr>
          <w:rFonts w:asciiTheme="minorHAnsi" w:hAnsiTheme="minorHAnsi" w:eastAsiaTheme="minorEastAsia" w:cstheme="minorBidi"/>
          <w:noProof/>
          <w:sz w:val="22"/>
          <w:szCs w:val="22"/>
        </w:rPr>
      </w:pPr>
      <w:hyperlink w:history="1" w:anchor="_Toc41483958">
        <w:r w:rsidRPr="00D96372" w:rsidR="00E019F4">
          <w:rPr>
            <w:rStyle w:val="Hyperlink"/>
            <w:noProof/>
          </w:rPr>
          <w:t>3.</w:t>
        </w:r>
        <w:r w:rsidR="00E019F4">
          <w:rPr>
            <w:rStyle w:val="Hyperlink"/>
            <w:noProof/>
          </w:rPr>
          <w:t xml:space="preserve">  </w:t>
        </w:r>
        <w:r w:rsidRPr="00D96372" w:rsidR="00E019F4">
          <w:rPr>
            <w:rStyle w:val="Hyperlink"/>
            <w:noProof/>
          </w:rPr>
          <w:t>Financial Qualifications</w:t>
        </w:r>
        <w:r w:rsidR="00E019F4">
          <w:rPr>
            <w:noProof/>
            <w:webHidden/>
          </w:rPr>
          <w:tab/>
        </w:r>
        <w:r w:rsidR="00E019F4">
          <w:rPr>
            <w:noProof/>
            <w:webHidden/>
          </w:rPr>
          <w:fldChar w:fldCharType="begin"/>
        </w:r>
        <w:r w:rsidR="00E019F4">
          <w:rPr>
            <w:noProof/>
            <w:webHidden/>
          </w:rPr>
          <w:instrText xml:space="preserve"> PAGEREF _Toc41483958 \h </w:instrText>
        </w:r>
        <w:r w:rsidR="00E019F4">
          <w:rPr>
            <w:noProof/>
            <w:webHidden/>
          </w:rPr>
        </w:r>
        <w:r w:rsidR="00E019F4">
          <w:rPr>
            <w:noProof/>
            <w:webHidden/>
          </w:rPr>
          <w:fldChar w:fldCharType="separate"/>
        </w:r>
        <w:r w:rsidR="00B24607">
          <w:rPr>
            <w:noProof/>
            <w:webHidden/>
          </w:rPr>
          <w:t>6</w:t>
        </w:r>
        <w:r w:rsidR="00E019F4">
          <w:rPr>
            <w:noProof/>
            <w:webHidden/>
          </w:rPr>
          <w:fldChar w:fldCharType="end"/>
        </w:r>
      </w:hyperlink>
    </w:p>
    <w:p w:rsidR="00E019F4" w:rsidP="00E019F4" w:rsidRDefault="003371D2" w14:paraId="4ABFC109" w14:textId="642CFCB8">
      <w:pPr>
        <w:pStyle w:val="TOC1"/>
        <w:rPr>
          <w:rFonts w:asciiTheme="minorHAnsi" w:hAnsiTheme="minorHAnsi" w:eastAsiaTheme="minorEastAsia" w:cstheme="minorBidi"/>
          <w:noProof/>
          <w:sz w:val="22"/>
          <w:szCs w:val="22"/>
        </w:rPr>
      </w:pPr>
      <w:hyperlink w:history="1" w:anchor="_Toc41483959">
        <w:r w:rsidRPr="00D96372" w:rsidR="00E019F4">
          <w:rPr>
            <w:rStyle w:val="Hyperlink"/>
            <w:noProof/>
          </w:rPr>
          <w:t>4.</w:t>
        </w:r>
        <w:r w:rsidR="00E019F4">
          <w:rPr>
            <w:rStyle w:val="Hyperlink"/>
            <w:noProof/>
          </w:rPr>
          <w:t xml:space="preserve">  </w:t>
        </w:r>
        <w:r w:rsidRPr="00D96372" w:rsidR="00E019F4">
          <w:rPr>
            <w:rStyle w:val="Hyperlink"/>
            <w:noProof/>
          </w:rPr>
          <w:t>Technical Qualifications</w:t>
        </w:r>
        <w:r w:rsidR="00E019F4">
          <w:rPr>
            <w:noProof/>
            <w:webHidden/>
          </w:rPr>
          <w:tab/>
        </w:r>
        <w:r w:rsidR="00E019F4">
          <w:rPr>
            <w:noProof/>
            <w:webHidden/>
          </w:rPr>
          <w:fldChar w:fldCharType="begin"/>
        </w:r>
        <w:r w:rsidR="00E019F4">
          <w:rPr>
            <w:noProof/>
            <w:webHidden/>
          </w:rPr>
          <w:instrText xml:space="preserve"> PAGEREF _Toc41483959 \h </w:instrText>
        </w:r>
        <w:r w:rsidR="00E019F4">
          <w:rPr>
            <w:noProof/>
            <w:webHidden/>
          </w:rPr>
        </w:r>
        <w:r w:rsidR="00E019F4">
          <w:rPr>
            <w:noProof/>
            <w:webHidden/>
          </w:rPr>
          <w:fldChar w:fldCharType="separate"/>
        </w:r>
        <w:r w:rsidR="00B24607">
          <w:rPr>
            <w:noProof/>
            <w:webHidden/>
          </w:rPr>
          <w:t>7</w:t>
        </w:r>
        <w:r w:rsidR="00E019F4">
          <w:rPr>
            <w:noProof/>
            <w:webHidden/>
          </w:rPr>
          <w:fldChar w:fldCharType="end"/>
        </w:r>
      </w:hyperlink>
    </w:p>
    <w:p w:rsidR="00E019F4" w:rsidP="00E019F4" w:rsidRDefault="003371D2" w14:paraId="395D4612" w14:textId="5F6C277F">
      <w:pPr>
        <w:pStyle w:val="TOC1"/>
        <w:rPr>
          <w:rFonts w:asciiTheme="minorHAnsi" w:hAnsiTheme="minorHAnsi" w:eastAsiaTheme="minorEastAsia" w:cstheme="minorBidi"/>
          <w:noProof/>
          <w:sz w:val="22"/>
          <w:szCs w:val="22"/>
        </w:rPr>
      </w:pPr>
      <w:hyperlink w:history="1" w:anchor="_Toc41483960">
        <w:r w:rsidRPr="00D96372" w:rsidR="00E019F4">
          <w:rPr>
            <w:rStyle w:val="Hyperlink"/>
            <w:noProof/>
          </w:rPr>
          <w:t>5.</w:t>
        </w:r>
        <w:r w:rsidR="00E019F4">
          <w:rPr>
            <w:rStyle w:val="Hyperlink"/>
            <w:noProof/>
          </w:rPr>
          <w:t xml:space="preserve">  </w:t>
        </w:r>
        <w:r w:rsidRPr="00D96372" w:rsidR="00E019F4">
          <w:rPr>
            <w:rStyle w:val="Hyperlink"/>
            <w:noProof/>
          </w:rPr>
          <w:t>Tariffs</w:t>
        </w:r>
        <w:r w:rsidR="00E019F4">
          <w:rPr>
            <w:noProof/>
            <w:webHidden/>
          </w:rPr>
          <w:tab/>
        </w:r>
        <w:r w:rsidR="00E019F4">
          <w:rPr>
            <w:noProof/>
            <w:webHidden/>
          </w:rPr>
          <w:fldChar w:fldCharType="begin"/>
        </w:r>
        <w:r w:rsidR="00E019F4">
          <w:rPr>
            <w:noProof/>
            <w:webHidden/>
          </w:rPr>
          <w:instrText xml:space="preserve"> PAGEREF _Toc41483960 \h </w:instrText>
        </w:r>
        <w:r w:rsidR="00E019F4">
          <w:rPr>
            <w:noProof/>
            <w:webHidden/>
          </w:rPr>
        </w:r>
        <w:r w:rsidR="00E019F4">
          <w:rPr>
            <w:noProof/>
            <w:webHidden/>
          </w:rPr>
          <w:fldChar w:fldCharType="separate"/>
        </w:r>
        <w:r w:rsidR="00B24607">
          <w:rPr>
            <w:noProof/>
            <w:webHidden/>
          </w:rPr>
          <w:t>9</w:t>
        </w:r>
        <w:r w:rsidR="00E019F4">
          <w:rPr>
            <w:noProof/>
            <w:webHidden/>
          </w:rPr>
          <w:fldChar w:fldCharType="end"/>
        </w:r>
      </w:hyperlink>
    </w:p>
    <w:p w:rsidR="00E019F4" w:rsidP="00E019F4" w:rsidRDefault="003371D2" w14:paraId="4A55E52C" w14:textId="10F38CB3">
      <w:pPr>
        <w:pStyle w:val="TOC1"/>
        <w:rPr>
          <w:rFonts w:asciiTheme="minorHAnsi" w:hAnsiTheme="minorHAnsi" w:eastAsiaTheme="minorEastAsia" w:cstheme="minorBidi"/>
          <w:noProof/>
          <w:sz w:val="22"/>
          <w:szCs w:val="22"/>
        </w:rPr>
      </w:pPr>
      <w:hyperlink w:history="1" w:anchor="_Toc41483961">
        <w:r w:rsidRPr="00D96372" w:rsidR="00E019F4">
          <w:rPr>
            <w:rStyle w:val="Hyperlink"/>
            <w:noProof/>
          </w:rPr>
          <w:t>6.</w:t>
        </w:r>
        <w:r w:rsidR="00E019F4">
          <w:rPr>
            <w:rStyle w:val="Hyperlink"/>
            <w:noProof/>
          </w:rPr>
          <w:t xml:space="preserve">  </w:t>
        </w:r>
        <w:r w:rsidRPr="00D96372" w:rsidR="00E019F4">
          <w:rPr>
            <w:rStyle w:val="Hyperlink"/>
            <w:noProof/>
          </w:rPr>
          <w:t>Map of Service Territory</w:t>
        </w:r>
        <w:r w:rsidR="00E019F4">
          <w:rPr>
            <w:noProof/>
            <w:webHidden/>
          </w:rPr>
          <w:tab/>
        </w:r>
        <w:r w:rsidR="00E019F4">
          <w:rPr>
            <w:noProof/>
            <w:webHidden/>
          </w:rPr>
          <w:fldChar w:fldCharType="begin"/>
        </w:r>
        <w:r w:rsidR="00E019F4">
          <w:rPr>
            <w:noProof/>
            <w:webHidden/>
          </w:rPr>
          <w:instrText xml:space="preserve"> PAGEREF _Toc41483961 \h </w:instrText>
        </w:r>
        <w:r w:rsidR="00E019F4">
          <w:rPr>
            <w:noProof/>
            <w:webHidden/>
          </w:rPr>
        </w:r>
        <w:r w:rsidR="00E019F4">
          <w:rPr>
            <w:noProof/>
            <w:webHidden/>
          </w:rPr>
          <w:fldChar w:fldCharType="separate"/>
        </w:r>
        <w:r w:rsidR="00B24607">
          <w:rPr>
            <w:noProof/>
            <w:webHidden/>
          </w:rPr>
          <w:t>9</w:t>
        </w:r>
        <w:r w:rsidR="00E019F4">
          <w:rPr>
            <w:noProof/>
            <w:webHidden/>
          </w:rPr>
          <w:fldChar w:fldCharType="end"/>
        </w:r>
      </w:hyperlink>
    </w:p>
    <w:p w:rsidR="00E019F4" w:rsidP="00E019F4" w:rsidRDefault="00B24607" w14:paraId="5C45B182" w14:textId="0EBA87B0">
      <w:pPr>
        <w:pStyle w:val="TOC1"/>
        <w:rPr>
          <w:rFonts w:asciiTheme="minorHAnsi" w:hAnsiTheme="minorHAnsi" w:eastAsiaTheme="minorEastAsia" w:cstheme="minorBidi"/>
          <w:noProof/>
          <w:sz w:val="22"/>
          <w:szCs w:val="22"/>
        </w:rPr>
      </w:pPr>
      <w:hyperlink w:history="1" w:anchor="_Toc41483962">
        <w:r w:rsidRPr="00D96372" w:rsidR="00E019F4">
          <w:rPr>
            <w:rStyle w:val="Hyperlink"/>
            <w:noProof/>
          </w:rPr>
          <w:t>7.</w:t>
        </w:r>
        <w:r w:rsidR="00E019F4">
          <w:rPr>
            <w:rStyle w:val="Hyperlink"/>
            <w:noProof/>
          </w:rPr>
          <w:t xml:space="preserve">  </w:t>
        </w:r>
        <w:r w:rsidRPr="00D96372" w:rsidR="00E019F4">
          <w:rPr>
            <w:rStyle w:val="Hyperlink"/>
            <w:noProof/>
          </w:rPr>
          <w:t>Rule 3.1(i) Statement</w:t>
        </w:r>
        <w:r w:rsidR="00E019F4">
          <w:rPr>
            <w:rStyle w:val="Hyperlink"/>
            <w:noProof/>
          </w:rPr>
          <w:tab/>
        </w:r>
        <w:r w:rsidR="00E019F4">
          <w:rPr>
            <w:noProof/>
            <w:webHidden/>
          </w:rPr>
          <w:fldChar w:fldCharType="begin"/>
        </w:r>
        <w:r w:rsidR="00E019F4">
          <w:rPr>
            <w:noProof/>
            <w:webHidden/>
          </w:rPr>
          <w:instrText xml:space="preserve"> PAGEREF _Toc41483962 \h </w:instrText>
        </w:r>
        <w:r w:rsidR="00E019F4">
          <w:rPr>
            <w:noProof/>
            <w:webHidden/>
          </w:rPr>
        </w:r>
        <w:r w:rsidR="00E019F4">
          <w:rPr>
            <w:noProof/>
            <w:webHidden/>
          </w:rPr>
          <w:fldChar w:fldCharType="separate"/>
        </w:r>
        <w:r>
          <w:rPr>
            <w:noProof/>
            <w:webHidden/>
          </w:rPr>
          <w:t>10</w:t>
        </w:r>
        <w:r w:rsidR="00E019F4">
          <w:rPr>
            <w:noProof/>
            <w:webHidden/>
          </w:rPr>
          <w:fldChar w:fldCharType="end"/>
        </w:r>
      </w:hyperlink>
    </w:p>
    <w:p w:rsidR="00E019F4" w:rsidP="00E019F4" w:rsidRDefault="003371D2" w14:paraId="78B7B0F9" w14:textId="4EE648B2">
      <w:pPr>
        <w:pStyle w:val="TOC1"/>
        <w:rPr>
          <w:rFonts w:asciiTheme="minorHAnsi" w:hAnsiTheme="minorHAnsi" w:eastAsiaTheme="minorEastAsia" w:cstheme="minorBidi"/>
          <w:noProof/>
          <w:sz w:val="22"/>
          <w:szCs w:val="22"/>
        </w:rPr>
      </w:pPr>
      <w:hyperlink w:history="1" w:anchor="_Toc41483963">
        <w:r w:rsidRPr="00D96372" w:rsidR="00E019F4">
          <w:rPr>
            <w:rStyle w:val="Hyperlink"/>
            <w:noProof/>
          </w:rPr>
          <w:t>8.</w:t>
        </w:r>
        <w:r w:rsidR="00E019F4">
          <w:rPr>
            <w:rStyle w:val="Hyperlink"/>
            <w:noProof/>
          </w:rPr>
          <w:t xml:space="preserve">  </w:t>
        </w:r>
        <w:r w:rsidRPr="00D96372" w:rsidR="00E019F4">
          <w:rPr>
            <w:rStyle w:val="Hyperlink"/>
            <w:noProof/>
          </w:rPr>
          <w:t>Expected Customer Base</w:t>
        </w:r>
        <w:r w:rsidR="00E019F4">
          <w:rPr>
            <w:noProof/>
            <w:webHidden/>
          </w:rPr>
          <w:tab/>
        </w:r>
        <w:r w:rsidR="00E019F4">
          <w:rPr>
            <w:noProof/>
            <w:webHidden/>
          </w:rPr>
          <w:fldChar w:fldCharType="begin"/>
        </w:r>
        <w:r w:rsidR="00E019F4">
          <w:rPr>
            <w:noProof/>
            <w:webHidden/>
          </w:rPr>
          <w:instrText xml:space="preserve"> PAGEREF _Toc41483963 \h </w:instrText>
        </w:r>
        <w:r w:rsidR="00E019F4">
          <w:rPr>
            <w:noProof/>
            <w:webHidden/>
          </w:rPr>
        </w:r>
        <w:r w:rsidR="00E019F4">
          <w:rPr>
            <w:noProof/>
            <w:webHidden/>
          </w:rPr>
          <w:fldChar w:fldCharType="separate"/>
        </w:r>
        <w:r w:rsidR="00B24607">
          <w:rPr>
            <w:noProof/>
            <w:webHidden/>
          </w:rPr>
          <w:t>10</w:t>
        </w:r>
        <w:r w:rsidR="00E019F4">
          <w:rPr>
            <w:noProof/>
            <w:webHidden/>
          </w:rPr>
          <w:fldChar w:fldCharType="end"/>
        </w:r>
      </w:hyperlink>
    </w:p>
    <w:p w:rsidR="00E019F4" w:rsidP="00E019F4" w:rsidRDefault="003371D2" w14:paraId="3A0D3E1D" w14:textId="033F8915">
      <w:pPr>
        <w:pStyle w:val="TOC1"/>
        <w:rPr>
          <w:rFonts w:asciiTheme="minorHAnsi" w:hAnsiTheme="minorHAnsi" w:eastAsiaTheme="minorEastAsia" w:cstheme="minorBidi"/>
          <w:noProof/>
          <w:sz w:val="22"/>
          <w:szCs w:val="22"/>
        </w:rPr>
      </w:pPr>
      <w:hyperlink w:history="1" w:anchor="_Toc41483964">
        <w:r w:rsidRPr="00D96372" w:rsidR="00E019F4">
          <w:rPr>
            <w:rStyle w:val="Hyperlink"/>
            <w:noProof/>
          </w:rPr>
          <w:t>9.</w:t>
        </w:r>
        <w:r w:rsidR="00E019F4">
          <w:rPr>
            <w:rStyle w:val="Hyperlink"/>
            <w:noProof/>
          </w:rPr>
          <w:t xml:space="preserve">  </w:t>
        </w:r>
        <w:r w:rsidRPr="00D96372" w:rsidR="00E019F4">
          <w:rPr>
            <w:rStyle w:val="Hyperlink"/>
            <w:noProof/>
          </w:rPr>
          <w:t>Request for Treatment as a  Non-dominant Carrier</w:t>
        </w:r>
        <w:r w:rsidR="00E019F4">
          <w:rPr>
            <w:noProof/>
            <w:webHidden/>
          </w:rPr>
          <w:tab/>
        </w:r>
        <w:r w:rsidR="00E019F4">
          <w:rPr>
            <w:noProof/>
            <w:webHidden/>
          </w:rPr>
          <w:fldChar w:fldCharType="begin"/>
        </w:r>
        <w:r w:rsidR="00E019F4">
          <w:rPr>
            <w:noProof/>
            <w:webHidden/>
          </w:rPr>
          <w:instrText xml:space="preserve"> PAGEREF _Toc41483964 \h </w:instrText>
        </w:r>
        <w:r w:rsidR="00E019F4">
          <w:rPr>
            <w:noProof/>
            <w:webHidden/>
          </w:rPr>
        </w:r>
        <w:r w:rsidR="00E019F4">
          <w:rPr>
            <w:noProof/>
            <w:webHidden/>
          </w:rPr>
          <w:fldChar w:fldCharType="separate"/>
        </w:r>
        <w:r w:rsidR="00B24607">
          <w:rPr>
            <w:noProof/>
            <w:webHidden/>
          </w:rPr>
          <w:t>10</w:t>
        </w:r>
        <w:r w:rsidR="00E019F4">
          <w:rPr>
            <w:noProof/>
            <w:webHidden/>
          </w:rPr>
          <w:fldChar w:fldCharType="end"/>
        </w:r>
      </w:hyperlink>
    </w:p>
    <w:p w:rsidR="00E019F4" w:rsidP="00E019F4" w:rsidRDefault="00B24607" w14:paraId="2914A98A" w14:textId="02EEAC94">
      <w:pPr>
        <w:pStyle w:val="TOC1"/>
        <w:rPr>
          <w:rFonts w:asciiTheme="minorHAnsi" w:hAnsiTheme="minorHAnsi" w:eastAsiaTheme="minorEastAsia" w:cstheme="minorBidi"/>
          <w:noProof/>
          <w:sz w:val="22"/>
          <w:szCs w:val="22"/>
        </w:rPr>
      </w:pPr>
      <w:hyperlink w:history="1" w:anchor="_Toc41483965">
        <w:r w:rsidRPr="00D96372" w:rsidR="00E019F4">
          <w:rPr>
            <w:rStyle w:val="Hyperlink"/>
            <w:noProof/>
          </w:rPr>
          <w:t>10.</w:t>
        </w:r>
        <w:r w:rsidR="00E019F4">
          <w:rPr>
            <w:rStyle w:val="Hyperlink"/>
            <w:noProof/>
          </w:rPr>
          <w:t xml:space="preserve">  </w:t>
        </w:r>
        <w:r w:rsidRPr="00D96372" w:rsidR="00E019F4">
          <w:rPr>
            <w:rStyle w:val="Hyperlink"/>
            <w:noProof/>
          </w:rPr>
          <w:t>Safety Considerations</w:t>
        </w:r>
        <w:r w:rsidR="00E019F4">
          <w:rPr>
            <w:noProof/>
            <w:webHidden/>
          </w:rPr>
          <w:tab/>
        </w:r>
        <w:r w:rsidR="00E019F4">
          <w:rPr>
            <w:noProof/>
            <w:webHidden/>
          </w:rPr>
          <w:fldChar w:fldCharType="begin"/>
        </w:r>
        <w:r w:rsidR="00E019F4">
          <w:rPr>
            <w:noProof/>
            <w:webHidden/>
          </w:rPr>
          <w:instrText xml:space="preserve"> PAGEREF _Toc41483965 \h </w:instrText>
        </w:r>
        <w:r w:rsidR="00E019F4">
          <w:rPr>
            <w:noProof/>
            <w:webHidden/>
          </w:rPr>
        </w:r>
        <w:r w:rsidR="00E019F4">
          <w:rPr>
            <w:noProof/>
            <w:webHidden/>
          </w:rPr>
          <w:fldChar w:fldCharType="separate"/>
        </w:r>
        <w:r>
          <w:rPr>
            <w:noProof/>
            <w:webHidden/>
          </w:rPr>
          <w:t>11</w:t>
        </w:r>
        <w:r w:rsidR="00E019F4">
          <w:rPr>
            <w:noProof/>
            <w:webHidden/>
          </w:rPr>
          <w:fldChar w:fldCharType="end"/>
        </w:r>
      </w:hyperlink>
    </w:p>
    <w:p w:rsidR="00E019F4" w:rsidP="00E019F4" w:rsidRDefault="003371D2" w14:paraId="18B8E628" w14:textId="5EBC931D">
      <w:pPr>
        <w:pStyle w:val="TOC1"/>
        <w:rPr>
          <w:rFonts w:asciiTheme="minorHAnsi" w:hAnsiTheme="minorHAnsi" w:eastAsiaTheme="minorEastAsia" w:cstheme="minorBidi"/>
          <w:noProof/>
          <w:sz w:val="22"/>
          <w:szCs w:val="22"/>
        </w:rPr>
      </w:pPr>
      <w:hyperlink w:history="1" w:anchor="_Toc41483966">
        <w:r w:rsidRPr="00D96372" w:rsidR="00E019F4">
          <w:rPr>
            <w:rStyle w:val="Hyperlink"/>
            <w:noProof/>
          </w:rPr>
          <w:t>11.</w:t>
        </w:r>
        <w:r w:rsidR="00E019F4">
          <w:rPr>
            <w:rStyle w:val="Hyperlink"/>
            <w:noProof/>
          </w:rPr>
          <w:t xml:space="preserve">  </w:t>
        </w:r>
        <w:r w:rsidRPr="00D96372" w:rsidR="00E019F4">
          <w:rPr>
            <w:rStyle w:val="Hyperlink"/>
            <w:noProof/>
          </w:rPr>
          <w:t>Conclusion</w:t>
        </w:r>
        <w:r w:rsidR="00E019F4">
          <w:rPr>
            <w:noProof/>
            <w:webHidden/>
          </w:rPr>
          <w:tab/>
        </w:r>
        <w:r w:rsidR="00E019F4">
          <w:rPr>
            <w:noProof/>
            <w:webHidden/>
          </w:rPr>
          <w:fldChar w:fldCharType="begin"/>
        </w:r>
        <w:r w:rsidR="00E019F4">
          <w:rPr>
            <w:noProof/>
            <w:webHidden/>
          </w:rPr>
          <w:instrText xml:space="preserve"> PAGEREF _Toc41483966 \h </w:instrText>
        </w:r>
        <w:r w:rsidR="00E019F4">
          <w:rPr>
            <w:noProof/>
            <w:webHidden/>
          </w:rPr>
        </w:r>
        <w:r w:rsidR="00E019F4">
          <w:rPr>
            <w:noProof/>
            <w:webHidden/>
          </w:rPr>
          <w:fldChar w:fldCharType="separate"/>
        </w:r>
        <w:r w:rsidR="00B24607">
          <w:rPr>
            <w:noProof/>
            <w:webHidden/>
          </w:rPr>
          <w:t>11</w:t>
        </w:r>
        <w:r w:rsidR="00E019F4">
          <w:rPr>
            <w:noProof/>
            <w:webHidden/>
          </w:rPr>
          <w:fldChar w:fldCharType="end"/>
        </w:r>
      </w:hyperlink>
    </w:p>
    <w:p w:rsidR="00E019F4" w:rsidP="00E019F4" w:rsidRDefault="003371D2" w14:paraId="086249E7" w14:textId="4853A768">
      <w:pPr>
        <w:pStyle w:val="TOC1"/>
        <w:rPr>
          <w:rFonts w:asciiTheme="minorHAnsi" w:hAnsiTheme="minorHAnsi" w:eastAsiaTheme="minorEastAsia" w:cstheme="minorBidi"/>
          <w:noProof/>
          <w:sz w:val="22"/>
          <w:szCs w:val="22"/>
        </w:rPr>
      </w:pPr>
      <w:hyperlink w:history="1" w:anchor="_Toc41483967">
        <w:r w:rsidRPr="00D96372" w:rsidR="00E019F4">
          <w:rPr>
            <w:rStyle w:val="Hyperlink"/>
            <w:noProof/>
          </w:rPr>
          <w:t>12.</w:t>
        </w:r>
        <w:r w:rsidR="00E019F4">
          <w:rPr>
            <w:rStyle w:val="Hyperlink"/>
            <w:noProof/>
          </w:rPr>
          <w:t xml:space="preserve">  </w:t>
        </w:r>
        <w:r w:rsidRPr="00D96372" w:rsidR="00E019F4">
          <w:rPr>
            <w:rStyle w:val="Hyperlink"/>
            <w:noProof/>
          </w:rPr>
          <w:t>Request to File Under Seal</w:t>
        </w:r>
        <w:r w:rsidR="00E019F4">
          <w:rPr>
            <w:noProof/>
            <w:webHidden/>
          </w:rPr>
          <w:tab/>
        </w:r>
        <w:r w:rsidR="00E019F4">
          <w:rPr>
            <w:noProof/>
            <w:webHidden/>
          </w:rPr>
          <w:fldChar w:fldCharType="begin"/>
        </w:r>
        <w:r w:rsidR="00E019F4">
          <w:rPr>
            <w:noProof/>
            <w:webHidden/>
          </w:rPr>
          <w:instrText xml:space="preserve"> PAGEREF _Toc41483967 \h </w:instrText>
        </w:r>
        <w:r w:rsidR="00E019F4">
          <w:rPr>
            <w:noProof/>
            <w:webHidden/>
          </w:rPr>
        </w:r>
        <w:r w:rsidR="00E019F4">
          <w:rPr>
            <w:noProof/>
            <w:webHidden/>
          </w:rPr>
          <w:fldChar w:fldCharType="separate"/>
        </w:r>
        <w:r w:rsidR="00B24607">
          <w:rPr>
            <w:noProof/>
            <w:webHidden/>
          </w:rPr>
          <w:t>12</w:t>
        </w:r>
        <w:r w:rsidR="00E019F4">
          <w:rPr>
            <w:noProof/>
            <w:webHidden/>
          </w:rPr>
          <w:fldChar w:fldCharType="end"/>
        </w:r>
      </w:hyperlink>
    </w:p>
    <w:p w:rsidR="00E019F4" w:rsidP="00E019F4" w:rsidRDefault="00B24607" w14:paraId="3DB9CD54" w14:textId="195F5261">
      <w:pPr>
        <w:pStyle w:val="TOC1"/>
        <w:rPr>
          <w:rFonts w:asciiTheme="minorHAnsi" w:hAnsiTheme="minorHAnsi" w:eastAsiaTheme="minorEastAsia" w:cstheme="minorBidi"/>
          <w:noProof/>
          <w:sz w:val="22"/>
          <w:szCs w:val="22"/>
        </w:rPr>
      </w:pPr>
      <w:hyperlink w:history="1" w:anchor="_Toc41483968">
        <w:r w:rsidRPr="00D96372" w:rsidR="00E019F4">
          <w:rPr>
            <w:rStyle w:val="Hyperlink"/>
            <w:noProof/>
          </w:rPr>
          <w:t>13.</w:t>
        </w:r>
        <w:r w:rsidR="00E019F4">
          <w:rPr>
            <w:rStyle w:val="Hyperlink"/>
            <w:noProof/>
          </w:rPr>
          <w:t xml:space="preserve">  </w:t>
        </w:r>
        <w:r w:rsidRPr="00D96372" w:rsidR="00E019F4">
          <w:rPr>
            <w:rStyle w:val="Hyperlink"/>
            <w:noProof/>
          </w:rPr>
          <w:t>Categorization and Need for Hearings</w:t>
        </w:r>
        <w:r w:rsidR="00E019F4">
          <w:rPr>
            <w:noProof/>
            <w:webHidden/>
          </w:rPr>
          <w:tab/>
        </w:r>
        <w:r w:rsidR="00E019F4">
          <w:rPr>
            <w:noProof/>
            <w:webHidden/>
          </w:rPr>
          <w:fldChar w:fldCharType="begin"/>
        </w:r>
        <w:r w:rsidR="00E019F4">
          <w:rPr>
            <w:noProof/>
            <w:webHidden/>
          </w:rPr>
          <w:instrText xml:space="preserve"> PAGEREF _Toc41483968 \h </w:instrText>
        </w:r>
        <w:r w:rsidR="00E019F4">
          <w:rPr>
            <w:noProof/>
            <w:webHidden/>
          </w:rPr>
        </w:r>
        <w:r w:rsidR="00E019F4">
          <w:rPr>
            <w:noProof/>
            <w:webHidden/>
          </w:rPr>
          <w:fldChar w:fldCharType="separate"/>
        </w:r>
        <w:r>
          <w:rPr>
            <w:noProof/>
            <w:webHidden/>
          </w:rPr>
          <w:t>13</w:t>
        </w:r>
        <w:r w:rsidR="00E019F4">
          <w:rPr>
            <w:noProof/>
            <w:webHidden/>
          </w:rPr>
          <w:fldChar w:fldCharType="end"/>
        </w:r>
      </w:hyperlink>
    </w:p>
    <w:p w:rsidR="00E019F4" w:rsidP="00E019F4" w:rsidRDefault="00B24607" w14:paraId="1C06E204" w14:textId="78E817F2">
      <w:pPr>
        <w:pStyle w:val="TOC1"/>
        <w:rPr>
          <w:rFonts w:asciiTheme="minorHAnsi" w:hAnsiTheme="minorHAnsi" w:eastAsiaTheme="minorEastAsia" w:cstheme="minorBidi"/>
          <w:noProof/>
          <w:sz w:val="22"/>
          <w:szCs w:val="22"/>
        </w:rPr>
      </w:pPr>
      <w:hyperlink w:history="1" w:anchor="_Toc41483969">
        <w:r w:rsidRPr="00D96372" w:rsidR="00E019F4">
          <w:rPr>
            <w:rStyle w:val="Hyperlink"/>
            <w:noProof/>
          </w:rPr>
          <w:t>14.</w:t>
        </w:r>
        <w:r w:rsidR="00E019F4">
          <w:rPr>
            <w:rStyle w:val="Hyperlink"/>
            <w:noProof/>
          </w:rPr>
          <w:t xml:space="preserve">  </w:t>
        </w:r>
        <w:r w:rsidRPr="00D96372" w:rsidR="00E019F4">
          <w:rPr>
            <w:rStyle w:val="Hyperlink"/>
            <w:noProof/>
          </w:rPr>
          <w:t>Comments on Draft Decision</w:t>
        </w:r>
        <w:r w:rsidR="00E019F4">
          <w:rPr>
            <w:noProof/>
            <w:webHidden/>
          </w:rPr>
          <w:tab/>
        </w:r>
        <w:r w:rsidR="00E019F4">
          <w:rPr>
            <w:noProof/>
            <w:webHidden/>
          </w:rPr>
          <w:fldChar w:fldCharType="begin"/>
        </w:r>
        <w:r w:rsidR="00E019F4">
          <w:rPr>
            <w:noProof/>
            <w:webHidden/>
          </w:rPr>
          <w:instrText xml:space="preserve"> PAGEREF _Toc41483969 \h </w:instrText>
        </w:r>
        <w:r w:rsidR="00E019F4">
          <w:rPr>
            <w:noProof/>
            <w:webHidden/>
          </w:rPr>
        </w:r>
        <w:r w:rsidR="00E019F4">
          <w:rPr>
            <w:noProof/>
            <w:webHidden/>
          </w:rPr>
          <w:fldChar w:fldCharType="separate"/>
        </w:r>
        <w:r>
          <w:rPr>
            <w:noProof/>
            <w:webHidden/>
          </w:rPr>
          <w:t>13</w:t>
        </w:r>
        <w:r w:rsidR="00E019F4">
          <w:rPr>
            <w:noProof/>
            <w:webHidden/>
          </w:rPr>
          <w:fldChar w:fldCharType="end"/>
        </w:r>
      </w:hyperlink>
    </w:p>
    <w:p w:rsidR="00E019F4" w:rsidP="00E019F4" w:rsidRDefault="003371D2" w14:paraId="4F196667" w14:textId="2AD5722E">
      <w:pPr>
        <w:pStyle w:val="TOC1"/>
        <w:rPr>
          <w:rFonts w:asciiTheme="minorHAnsi" w:hAnsiTheme="minorHAnsi" w:eastAsiaTheme="minorEastAsia" w:cstheme="minorBidi"/>
          <w:noProof/>
          <w:sz w:val="22"/>
          <w:szCs w:val="22"/>
        </w:rPr>
      </w:pPr>
      <w:hyperlink w:history="1" w:anchor="_Toc41483970">
        <w:r w:rsidRPr="00D96372" w:rsidR="00E019F4">
          <w:rPr>
            <w:rStyle w:val="Hyperlink"/>
            <w:noProof/>
          </w:rPr>
          <w:t>15.</w:t>
        </w:r>
        <w:r w:rsidR="00E019F4">
          <w:rPr>
            <w:rStyle w:val="Hyperlink"/>
            <w:noProof/>
          </w:rPr>
          <w:t xml:space="preserve">  </w:t>
        </w:r>
        <w:r w:rsidRPr="00D96372" w:rsidR="00E019F4">
          <w:rPr>
            <w:rStyle w:val="Hyperlink"/>
            <w:noProof/>
          </w:rPr>
          <w:t>Assignment of Proceeding</w:t>
        </w:r>
        <w:r w:rsidR="00E019F4">
          <w:rPr>
            <w:noProof/>
            <w:webHidden/>
          </w:rPr>
          <w:tab/>
        </w:r>
        <w:r w:rsidR="00E019F4">
          <w:rPr>
            <w:noProof/>
            <w:webHidden/>
          </w:rPr>
          <w:fldChar w:fldCharType="begin"/>
        </w:r>
        <w:r w:rsidR="00E019F4">
          <w:rPr>
            <w:noProof/>
            <w:webHidden/>
          </w:rPr>
          <w:instrText xml:space="preserve"> PAGEREF _Toc41483970 \h </w:instrText>
        </w:r>
        <w:r w:rsidR="00E019F4">
          <w:rPr>
            <w:noProof/>
            <w:webHidden/>
          </w:rPr>
        </w:r>
        <w:r w:rsidR="00E019F4">
          <w:rPr>
            <w:noProof/>
            <w:webHidden/>
          </w:rPr>
          <w:fldChar w:fldCharType="separate"/>
        </w:r>
        <w:r w:rsidR="00B24607">
          <w:rPr>
            <w:noProof/>
            <w:webHidden/>
          </w:rPr>
          <w:t>13</w:t>
        </w:r>
        <w:r w:rsidR="00E019F4">
          <w:rPr>
            <w:noProof/>
            <w:webHidden/>
          </w:rPr>
          <w:fldChar w:fldCharType="end"/>
        </w:r>
      </w:hyperlink>
    </w:p>
    <w:p w:rsidR="00E019F4" w:rsidP="00E019F4" w:rsidRDefault="003371D2" w14:paraId="1C7A6B0A" w14:textId="24AFB5FB">
      <w:pPr>
        <w:pStyle w:val="TOC1"/>
        <w:rPr>
          <w:rFonts w:asciiTheme="minorHAnsi" w:hAnsiTheme="minorHAnsi" w:eastAsiaTheme="minorEastAsia" w:cstheme="minorBidi"/>
          <w:noProof/>
          <w:sz w:val="22"/>
          <w:szCs w:val="22"/>
        </w:rPr>
      </w:pPr>
      <w:hyperlink w:history="1" w:anchor="_Toc41483971">
        <w:r w:rsidRPr="00D96372" w:rsidR="00E019F4">
          <w:rPr>
            <w:rStyle w:val="Hyperlink"/>
            <w:noProof/>
          </w:rPr>
          <w:t>Findings of Fact</w:t>
        </w:r>
        <w:r w:rsidR="00E019F4">
          <w:rPr>
            <w:noProof/>
            <w:webHidden/>
          </w:rPr>
          <w:tab/>
        </w:r>
        <w:r w:rsidR="00E019F4">
          <w:rPr>
            <w:noProof/>
            <w:webHidden/>
          </w:rPr>
          <w:fldChar w:fldCharType="begin"/>
        </w:r>
        <w:r w:rsidR="00E019F4">
          <w:rPr>
            <w:noProof/>
            <w:webHidden/>
          </w:rPr>
          <w:instrText xml:space="preserve"> PAGEREF _Toc41483971 \h </w:instrText>
        </w:r>
        <w:r w:rsidR="00E019F4">
          <w:rPr>
            <w:noProof/>
            <w:webHidden/>
          </w:rPr>
        </w:r>
        <w:r w:rsidR="00E019F4">
          <w:rPr>
            <w:noProof/>
            <w:webHidden/>
          </w:rPr>
          <w:fldChar w:fldCharType="separate"/>
        </w:r>
        <w:r w:rsidR="00B24607">
          <w:rPr>
            <w:noProof/>
            <w:webHidden/>
          </w:rPr>
          <w:t>13</w:t>
        </w:r>
        <w:r w:rsidR="00E019F4">
          <w:rPr>
            <w:noProof/>
            <w:webHidden/>
          </w:rPr>
          <w:fldChar w:fldCharType="end"/>
        </w:r>
      </w:hyperlink>
    </w:p>
    <w:p w:rsidR="00E019F4" w:rsidP="00E019F4" w:rsidRDefault="003371D2" w14:paraId="1F692E82" w14:textId="0B191610">
      <w:pPr>
        <w:pStyle w:val="TOC1"/>
        <w:rPr>
          <w:rFonts w:asciiTheme="minorHAnsi" w:hAnsiTheme="minorHAnsi" w:eastAsiaTheme="minorEastAsia" w:cstheme="minorBidi"/>
          <w:noProof/>
          <w:sz w:val="22"/>
          <w:szCs w:val="22"/>
        </w:rPr>
      </w:pPr>
      <w:hyperlink w:history="1" w:anchor="_Toc41483972">
        <w:r w:rsidRPr="00D96372" w:rsidR="00E019F4">
          <w:rPr>
            <w:rStyle w:val="Hyperlink"/>
            <w:noProof/>
          </w:rPr>
          <w:t>Conclusions of Law</w:t>
        </w:r>
        <w:r w:rsidR="00E019F4">
          <w:rPr>
            <w:noProof/>
            <w:webHidden/>
          </w:rPr>
          <w:tab/>
        </w:r>
        <w:r w:rsidR="00E019F4">
          <w:rPr>
            <w:noProof/>
            <w:webHidden/>
          </w:rPr>
          <w:fldChar w:fldCharType="begin"/>
        </w:r>
        <w:r w:rsidR="00E019F4">
          <w:rPr>
            <w:noProof/>
            <w:webHidden/>
          </w:rPr>
          <w:instrText xml:space="preserve"> PAGEREF _Toc41483972 \h </w:instrText>
        </w:r>
        <w:r w:rsidR="00E019F4">
          <w:rPr>
            <w:noProof/>
            <w:webHidden/>
          </w:rPr>
        </w:r>
        <w:r w:rsidR="00E019F4">
          <w:rPr>
            <w:noProof/>
            <w:webHidden/>
          </w:rPr>
          <w:fldChar w:fldCharType="separate"/>
        </w:r>
        <w:r w:rsidR="00B24607">
          <w:rPr>
            <w:noProof/>
            <w:webHidden/>
          </w:rPr>
          <w:t>15</w:t>
        </w:r>
        <w:r w:rsidR="00E019F4">
          <w:rPr>
            <w:noProof/>
            <w:webHidden/>
          </w:rPr>
          <w:fldChar w:fldCharType="end"/>
        </w:r>
      </w:hyperlink>
    </w:p>
    <w:p w:rsidR="00E019F4" w:rsidP="00E019F4" w:rsidRDefault="003371D2" w14:paraId="2129FCD5" w14:textId="540EF9FC">
      <w:pPr>
        <w:pStyle w:val="TOC1"/>
        <w:rPr>
          <w:rFonts w:asciiTheme="minorHAnsi" w:hAnsiTheme="minorHAnsi" w:eastAsiaTheme="minorEastAsia" w:cstheme="minorBidi"/>
          <w:noProof/>
          <w:sz w:val="22"/>
          <w:szCs w:val="22"/>
        </w:rPr>
      </w:pPr>
      <w:hyperlink w:history="1" w:anchor="_Toc41483973">
        <w:r w:rsidRPr="00D96372" w:rsidR="00E019F4">
          <w:rPr>
            <w:rStyle w:val="Hyperlink"/>
            <w:noProof/>
          </w:rPr>
          <w:t>ORDER</w:t>
        </w:r>
        <w:r w:rsidR="00E019F4">
          <w:rPr>
            <w:noProof/>
            <w:webHidden/>
          </w:rPr>
          <w:tab/>
        </w:r>
        <w:r w:rsidR="00E019F4">
          <w:rPr>
            <w:noProof/>
            <w:webHidden/>
          </w:rPr>
          <w:fldChar w:fldCharType="begin"/>
        </w:r>
        <w:r w:rsidR="00E019F4">
          <w:rPr>
            <w:noProof/>
            <w:webHidden/>
          </w:rPr>
          <w:instrText xml:space="preserve"> PAGEREF _Toc41483973 \h </w:instrText>
        </w:r>
        <w:r w:rsidR="00E019F4">
          <w:rPr>
            <w:noProof/>
            <w:webHidden/>
          </w:rPr>
        </w:r>
        <w:r w:rsidR="00E019F4">
          <w:rPr>
            <w:noProof/>
            <w:webHidden/>
          </w:rPr>
          <w:fldChar w:fldCharType="separate"/>
        </w:r>
        <w:r w:rsidR="00B24607">
          <w:rPr>
            <w:noProof/>
            <w:webHidden/>
          </w:rPr>
          <w:t>16</w:t>
        </w:r>
        <w:r w:rsidR="00E019F4">
          <w:rPr>
            <w:noProof/>
            <w:webHidden/>
          </w:rPr>
          <w:fldChar w:fldCharType="end"/>
        </w:r>
      </w:hyperlink>
    </w:p>
    <w:p w:rsidR="00C41052" w:rsidP="008D6DAA" w:rsidRDefault="00E019F4" w14:paraId="0ADC8F2A" w14:textId="62D5356B">
      <w:pPr>
        <w:suppressAutoHyphens/>
      </w:pPr>
      <w:r>
        <w:fldChar w:fldCharType="end"/>
      </w:r>
    </w:p>
    <w:p w:rsidR="00C6795F" w:rsidP="008D6DAA" w:rsidRDefault="00C6795F" w14:paraId="45993868" w14:textId="2215CCB8">
      <w:pPr>
        <w:suppressAutoHyphens/>
      </w:pPr>
    </w:p>
    <w:p w:rsidRPr="006C582D" w:rsidR="00C6795F" w:rsidP="008D6DAA" w:rsidRDefault="00C6795F" w14:paraId="395B67A4" w14:textId="77777777">
      <w:pPr>
        <w:suppressAutoHyphens/>
      </w:pPr>
    </w:p>
    <w:p w:rsidR="00C6795F" w:rsidP="008D6DAA" w:rsidRDefault="00C6795F" w14:paraId="74077F96" w14:textId="77777777">
      <w:pPr>
        <w:sectPr w:rsidR="00C6795F" w:rsidSect="00570154">
          <w:headerReference w:type="first" r:id="rId12"/>
          <w:footerReference w:type="first" r:id="rId13"/>
          <w:footnotePr>
            <w:numRestart w:val="eachSect"/>
          </w:footnotePr>
          <w:pgSz w:w="12240" w:h="15840" w:code="1"/>
          <w:pgMar w:top="1152" w:right="1440" w:bottom="1440" w:left="1440" w:header="720" w:footer="720" w:gutter="0"/>
          <w:pgNumType w:fmt="lowerRoman" w:start="1"/>
          <w:cols w:space="720"/>
          <w:titlePg/>
        </w:sectPr>
      </w:pPr>
    </w:p>
    <w:p w:rsidRPr="006C582D" w:rsidR="008D6DAA" w:rsidP="008D6DAA" w:rsidRDefault="008D6DAA" w14:paraId="60FDEE5B" w14:textId="384AEAEF">
      <w:pPr>
        <w:pStyle w:val="main"/>
      </w:pPr>
      <w:bookmarkStart w:name="_Toc41483953" w:id="1"/>
      <w:r w:rsidRPr="006C582D">
        <w:lastRenderedPageBreak/>
        <w:t xml:space="preserve">DECISION </w:t>
      </w:r>
      <w:r w:rsidRPr="006C582D">
        <w:rPr>
          <w:caps/>
        </w:rPr>
        <w:t xml:space="preserve">GRANTING </w:t>
      </w:r>
      <w:r w:rsidRPr="006C582D" w:rsidR="00BA748D">
        <w:rPr>
          <w:caps/>
        </w:rPr>
        <w:t>Hudson Fiber Network</w:t>
      </w:r>
      <w:r w:rsidRPr="006C582D" w:rsidR="00BA748D">
        <w:t xml:space="preserve"> </w:t>
      </w:r>
      <w:r w:rsidRPr="006C582D" w:rsidR="00044955">
        <w:t>INC.</w:t>
      </w:r>
      <w:r w:rsidRPr="006C582D" w:rsidR="00BA748D">
        <w:t xml:space="preserve"> </w:t>
      </w:r>
      <w:r w:rsidRPr="006C582D">
        <w:t xml:space="preserve">A CERTIFICATE OF PUBLIC CONVENIENCE AND NECESSITY IN ORDER TO </w:t>
      </w:r>
      <w:r w:rsidR="002F1600">
        <w:t xml:space="preserve">PROVIDE </w:t>
      </w:r>
      <w:r w:rsidRPr="006C582D" w:rsidR="003143EF">
        <w:t>FULL</w:t>
      </w:r>
      <w:r w:rsidRPr="006C582D">
        <w:t xml:space="preserve"> FACILITIES</w:t>
      </w:r>
      <w:r w:rsidRPr="006C582D" w:rsidR="00D312EE">
        <w:noBreakHyphen/>
      </w:r>
      <w:r w:rsidRPr="006C582D">
        <w:t>BASED</w:t>
      </w:r>
      <w:r w:rsidRPr="006C582D" w:rsidR="00F246A3">
        <w:t xml:space="preserve"> </w:t>
      </w:r>
      <w:r w:rsidRPr="006C582D" w:rsidR="0034688B">
        <w:t>AND</w:t>
      </w:r>
      <w:r w:rsidRPr="006C582D" w:rsidR="00F246A3">
        <w:t xml:space="preserve"> RESOLD</w:t>
      </w:r>
      <w:r w:rsidRPr="006C582D" w:rsidR="00BA748D">
        <w:t xml:space="preserve"> </w:t>
      </w:r>
      <w:r w:rsidRPr="006C582D" w:rsidR="00FA3BB2">
        <w:t xml:space="preserve">COMPETITIVE </w:t>
      </w:r>
      <w:r w:rsidRPr="006C582D">
        <w:t>LOCAL EXCHANGE SERVICE</w:t>
      </w:r>
      <w:r w:rsidRPr="006C582D" w:rsidR="0069569B">
        <w:t xml:space="preserve"> </w:t>
      </w:r>
      <w:r w:rsidRPr="006C582D" w:rsidR="00C025C0">
        <w:t>AND</w:t>
      </w:r>
      <w:r w:rsidRPr="006C582D" w:rsidR="005559AA">
        <w:t xml:space="preserve"> </w:t>
      </w:r>
      <w:r w:rsidR="00F06A3F">
        <w:t xml:space="preserve">NON-DOMINANT </w:t>
      </w:r>
      <w:r w:rsidRPr="006C582D" w:rsidR="0069569B">
        <w:t>INTEREXCHANGE SERVICE</w:t>
      </w:r>
      <w:bookmarkEnd w:id="1"/>
    </w:p>
    <w:p w:rsidRPr="006C582D" w:rsidR="003A3B55" w:rsidP="003A3B55" w:rsidRDefault="003A3B55" w14:paraId="08ADF347" w14:textId="77777777">
      <w:pPr>
        <w:pStyle w:val="main"/>
      </w:pPr>
    </w:p>
    <w:p w:rsidRPr="006C582D" w:rsidR="00EF1A50" w:rsidP="00EE10AE" w:rsidRDefault="00EF1A50" w14:paraId="145A9295" w14:textId="77777777">
      <w:pPr>
        <w:pStyle w:val="Heading1"/>
        <w:numPr>
          <w:ilvl w:val="0"/>
          <w:numId w:val="0"/>
        </w:numPr>
      </w:pPr>
      <w:bookmarkStart w:name="_Toc335049167" w:id="2"/>
      <w:bookmarkStart w:name="_Toc41483954" w:id="3"/>
      <w:r w:rsidRPr="006C582D">
        <w:t>Summary</w:t>
      </w:r>
      <w:bookmarkEnd w:id="0"/>
      <w:bookmarkEnd w:id="2"/>
      <w:bookmarkEnd w:id="3"/>
    </w:p>
    <w:p w:rsidRPr="006C582D" w:rsidR="00EF1A50" w:rsidRDefault="00514C0A" w14:paraId="71B622E9" w14:textId="1BC4C571">
      <w:pPr>
        <w:pStyle w:val="standard"/>
      </w:pPr>
      <w:r w:rsidRPr="006C582D">
        <w:t xml:space="preserve">Pursuant to Public Utilities Code </w:t>
      </w:r>
      <w:r w:rsidRPr="006C582D">
        <w:rPr>
          <w:rFonts w:cs="Arial"/>
        </w:rPr>
        <w:t>§</w:t>
      </w:r>
      <w:r w:rsidRPr="006C582D" w:rsidR="00DE6AF6">
        <w:rPr>
          <w:rFonts w:cs="Arial"/>
        </w:rPr>
        <w:t> </w:t>
      </w:r>
      <w:r w:rsidRPr="006C582D">
        <w:t>1001,</w:t>
      </w:r>
      <w:r w:rsidRPr="006C582D" w:rsidR="00EF1A50">
        <w:t xml:space="preserve"> we grant </w:t>
      </w:r>
      <w:r w:rsidRPr="006C582D" w:rsidR="00886EBB">
        <w:t>Hudson Fiber Network Inc</w:t>
      </w:r>
      <w:r w:rsidRPr="006C582D" w:rsidR="00044955">
        <w:t>.</w:t>
      </w:r>
      <w:r w:rsidRPr="006C582D" w:rsidR="00886EBB">
        <w:t xml:space="preserve"> </w:t>
      </w:r>
      <w:r w:rsidRPr="006C582D" w:rsidR="0032232E">
        <w:t xml:space="preserve">a </w:t>
      </w:r>
      <w:r w:rsidRPr="006C582D" w:rsidR="00CE5196">
        <w:t>certificate of public convenience and necessity</w:t>
      </w:r>
      <w:r w:rsidRPr="006C582D" w:rsidR="00AA2589">
        <w:t xml:space="preserve"> </w:t>
      </w:r>
      <w:r w:rsidRPr="006C582D" w:rsidR="0032232E">
        <w:t xml:space="preserve">to </w:t>
      </w:r>
      <w:r w:rsidRPr="006C582D" w:rsidR="003A05C8">
        <w:t xml:space="preserve">provide </w:t>
      </w:r>
      <w:r w:rsidRPr="006C582D" w:rsidR="006E5FFD">
        <w:t>full facilities</w:t>
      </w:r>
      <w:r w:rsidRPr="006C582D" w:rsidR="006E5FFD">
        <w:noBreakHyphen/>
        <w:t xml:space="preserve">based </w:t>
      </w:r>
      <w:r w:rsidRPr="006C582D" w:rsidR="00886EBB">
        <w:t>and</w:t>
      </w:r>
      <w:r w:rsidRPr="006C582D" w:rsidR="006E5FFD">
        <w:t xml:space="preserve"> resold</w:t>
      </w:r>
      <w:r w:rsidRPr="006C582D" w:rsidR="006E5FFD">
        <w:rPr>
          <w:b/>
        </w:rPr>
        <w:t xml:space="preserve"> </w:t>
      </w:r>
      <w:r w:rsidRPr="006C582D" w:rsidR="00CD2F5C">
        <w:t>competitive</w:t>
      </w:r>
      <w:r w:rsidRPr="006C582D" w:rsidR="00886EBB">
        <w:t xml:space="preserve"> </w:t>
      </w:r>
      <w:r w:rsidRPr="006C582D" w:rsidR="00FD3454">
        <w:t xml:space="preserve">local exchange </w:t>
      </w:r>
      <w:r w:rsidR="00140F99">
        <w:t xml:space="preserve">telecommunications </w:t>
      </w:r>
      <w:r w:rsidRPr="006C582D" w:rsidR="00FD3454">
        <w:t>service</w:t>
      </w:r>
      <w:r w:rsidRPr="006C582D" w:rsidR="00FD3454">
        <w:rPr>
          <w:b/>
        </w:rPr>
        <w:t xml:space="preserve"> </w:t>
      </w:r>
      <w:r w:rsidRPr="00547ECF" w:rsidR="00886EBB">
        <w:rPr>
          <w:bCs/>
        </w:rPr>
        <w:t>and</w:t>
      </w:r>
      <w:r w:rsidRPr="00547ECF" w:rsidR="005559AA">
        <w:rPr>
          <w:bCs/>
        </w:rPr>
        <w:t xml:space="preserve"> </w:t>
      </w:r>
      <w:r w:rsidRPr="006C582D" w:rsidR="00FE6A62">
        <w:rPr>
          <w:bCs/>
        </w:rPr>
        <w:t>non-dominant</w:t>
      </w:r>
      <w:r w:rsidRPr="006C582D" w:rsidR="00FE6A62">
        <w:t xml:space="preserve"> </w:t>
      </w:r>
      <w:r w:rsidRPr="006C582D" w:rsidR="00FD3454">
        <w:t>interexchange service in California</w:t>
      </w:r>
      <w:r w:rsidRPr="006C582D" w:rsidR="00FD3454">
        <w:rPr>
          <w:b/>
        </w:rPr>
        <w:t xml:space="preserve"> </w:t>
      </w:r>
      <w:r w:rsidRPr="006C582D">
        <w:t xml:space="preserve">subject to </w:t>
      </w:r>
      <w:r w:rsidRPr="006C582D" w:rsidR="00EF1A50">
        <w:t xml:space="preserve">the terms and conditions set forth </w:t>
      </w:r>
      <w:r w:rsidRPr="006C582D" w:rsidR="00831BF9">
        <w:t xml:space="preserve">in the </w:t>
      </w:r>
      <w:r w:rsidRPr="006C582D" w:rsidR="00E2653F">
        <w:t>Ordering Paragraphs</w:t>
      </w:r>
      <w:r w:rsidRPr="006C582D" w:rsidR="00EF1A50">
        <w:t>.</w:t>
      </w:r>
    </w:p>
    <w:p w:rsidRPr="006C582D" w:rsidR="006C6D90" w:rsidRDefault="006C6D90" w14:paraId="73663B1A" w14:textId="77777777">
      <w:pPr>
        <w:pStyle w:val="standard"/>
      </w:pPr>
      <w:r w:rsidRPr="006C582D">
        <w:t>This proceeding is closed.</w:t>
      </w:r>
    </w:p>
    <w:p w:rsidRPr="006C582D" w:rsidR="00EF1A50" w:rsidP="00574DCC" w:rsidRDefault="00EF1A50" w14:paraId="33F65B64" w14:textId="77777777">
      <w:pPr>
        <w:pStyle w:val="Heading1"/>
        <w:tabs>
          <w:tab w:val="clear" w:pos="720"/>
        </w:tabs>
        <w:spacing w:before="0"/>
        <w:ind w:left="360" w:hanging="360"/>
      </w:pPr>
      <w:bookmarkStart w:name="_Toc335049168" w:id="4"/>
      <w:bookmarkStart w:name="_Toc41483955" w:id="5"/>
      <w:r w:rsidRPr="006C582D">
        <w:t>Background</w:t>
      </w:r>
      <w:bookmarkEnd w:id="4"/>
      <w:bookmarkEnd w:id="5"/>
    </w:p>
    <w:p w:rsidRPr="006C582D" w:rsidR="00000540" w:rsidP="00000540" w:rsidRDefault="003A05C8" w14:paraId="0D1CEA6A" w14:textId="5FDA7E72">
      <w:pPr>
        <w:pStyle w:val="standard"/>
      </w:pPr>
      <w:r w:rsidRPr="006C582D">
        <w:t xml:space="preserve">On </w:t>
      </w:r>
      <w:r w:rsidRPr="006C582D" w:rsidR="00781B9D">
        <w:t>September 4, 2019</w:t>
      </w:r>
      <w:r w:rsidRPr="006C582D">
        <w:t>,</w:t>
      </w:r>
      <w:r w:rsidRPr="006C582D" w:rsidR="00B83BA0">
        <w:t xml:space="preserve"> </w:t>
      </w:r>
      <w:r w:rsidRPr="006C582D" w:rsidR="00781B9D">
        <w:t>Hudson Fiber Network Inc. (Hudson)</w:t>
      </w:r>
      <w:r w:rsidRPr="006C582D" w:rsidR="001917AF">
        <w:rPr>
          <w:b/>
        </w:rPr>
        <w:t xml:space="preserve">, </w:t>
      </w:r>
      <w:r w:rsidRPr="006C582D" w:rsidR="001917AF">
        <w:t xml:space="preserve">a corporation authorized to </w:t>
      </w:r>
      <w:r w:rsidRPr="006C582D" w:rsidR="00C76EAB">
        <w:t>do</w:t>
      </w:r>
      <w:r w:rsidRPr="006C582D" w:rsidR="00AA2589">
        <w:t xml:space="preserve"> business</w:t>
      </w:r>
      <w:r w:rsidRPr="006C582D" w:rsidR="001917AF">
        <w:t xml:space="preserve"> in California</w:t>
      </w:r>
      <w:r w:rsidRPr="006C582D" w:rsidR="004D6A10">
        <w:t xml:space="preserve"> </w:t>
      </w:r>
      <w:r w:rsidRPr="006C582D">
        <w:t xml:space="preserve">filed an application </w:t>
      </w:r>
      <w:r w:rsidRPr="006C582D" w:rsidR="0032232E">
        <w:t xml:space="preserve">for </w:t>
      </w:r>
      <w:r w:rsidRPr="006C582D" w:rsidR="00EC29C5">
        <w:t xml:space="preserve">a </w:t>
      </w:r>
      <w:r w:rsidRPr="006C582D" w:rsidR="00CE5196">
        <w:t>certificate of public convenience and necessity (</w:t>
      </w:r>
      <w:r w:rsidRPr="006C582D" w:rsidR="0032232E">
        <w:t>CPCN</w:t>
      </w:r>
      <w:r w:rsidRPr="006C582D" w:rsidR="00CE5196">
        <w:t>)</w:t>
      </w:r>
      <w:r w:rsidRPr="006C582D" w:rsidR="00EC29C5">
        <w:t xml:space="preserve"> to provide </w:t>
      </w:r>
      <w:r w:rsidRPr="006C582D" w:rsidR="00E45C21">
        <w:t>full facilities</w:t>
      </w:r>
      <w:r w:rsidRPr="006C582D" w:rsidR="00E45C21">
        <w:noBreakHyphen/>
        <w:t xml:space="preserve">based </w:t>
      </w:r>
      <w:r w:rsidRPr="006C582D" w:rsidR="00781B9D">
        <w:t>and</w:t>
      </w:r>
      <w:r w:rsidRPr="006C582D" w:rsidR="00E45C21">
        <w:t xml:space="preserve"> resold competitive</w:t>
      </w:r>
      <w:r w:rsidRPr="006C582D" w:rsidR="00781B9D">
        <w:t xml:space="preserve"> </w:t>
      </w:r>
      <w:r w:rsidRPr="006C582D" w:rsidR="00E45C21">
        <w:t xml:space="preserve">local exchange </w:t>
      </w:r>
      <w:r w:rsidR="00140F99">
        <w:t xml:space="preserve">telecommunications </w:t>
      </w:r>
      <w:r w:rsidRPr="006C582D" w:rsidR="00E45C21">
        <w:t xml:space="preserve">service </w:t>
      </w:r>
      <w:r w:rsidRPr="006C582D" w:rsidR="00781B9D">
        <w:t>and</w:t>
      </w:r>
      <w:r w:rsidRPr="006C582D" w:rsidR="00E45C21">
        <w:t xml:space="preserve"> </w:t>
      </w:r>
      <w:r w:rsidRPr="006C582D" w:rsidR="00FE6A62">
        <w:rPr>
          <w:bCs/>
        </w:rPr>
        <w:t>non-dominant</w:t>
      </w:r>
      <w:r w:rsidRPr="006C582D" w:rsidR="00FE6A62">
        <w:t xml:space="preserve"> </w:t>
      </w:r>
      <w:r w:rsidRPr="006C582D" w:rsidR="00E45C21">
        <w:t xml:space="preserve">interexchange </w:t>
      </w:r>
      <w:r w:rsidRPr="006C582D" w:rsidR="00AA3FFE">
        <w:t xml:space="preserve">service in the service </w:t>
      </w:r>
      <w:r w:rsidRPr="006C582D" w:rsidR="0060486D">
        <w:t xml:space="preserve">territories </w:t>
      </w:r>
      <w:r w:rsidRPr="006C582D" w:rsidR="00AA3FFE">
        <w:t xml:space="preserve">of </w:t>
      </w:r>
      <w:r w:rsidRPr="006C582D" w:rsidR="00CE5196">
        <w:t>Pacific Bell Telephone</w:t>
      </w:r>
      <w:r w:rsidRPr="006C582D" w:rsidR="00AA2589">
        <w:t xml:space="preserve"> Company</w:t>
      </w:r>
      <w:r w:rsidRPr="006C582D" w:rsidR="00CE5196">
        <w:t xml:space="preserve"> d/b/a AT&amp;T California (</w:t>
      </w:r>
      <w:r w:rsidRPr="006C582D" w:rsidR="00AA3FFE">
        <w:t>AT&amp;T</w:t>
      </w:r>
      <w:r w:rsidRPr="006C582D" w:rsidR="00435BEC">
        <w:t xml:space="preserve"> California</w:t>
      </w:r>
      <w:r w:rsidRPr="006C582D" w:rsidR="00CE5196">
        <w:t>)</w:t>
      </w:r>
      <w:r w:rsidRPr="006C582D" w:rsidR="00B83BA0">
        <w:t xml:space="preserve">, </w:t>
      </w:r>
      <w:r w:rsidRPr="006C582D" w:rsidR="00E94586">
        <w:t xml:space="preserve">Frontier </w:t>
      </w:r>
      <w:r w:rsidRPr="006C582D" w:rsidR="00B83BA0">
        <w:t>California Inc. (</w:t>
      </w:r>
      <w:r w:rsidRPr="006C582D" w:rsidR="00E94586">
        <w:t>Frontier</w:t>
      </w:r>
      <w:r w:rsidRPr="006C582D" w:rsidR="003A7C4E">
        <w:t xml:space="preserve"> California</w:t>
      </w:r>
      <w:r w:rsidRPr="006C582D" w:rsidR="00B83BA0">
        <w:t>)</w:t>
      </w:r>
      <w:r w:rsidR="00E81CA9">
        <w:t>,</w:t>
      </w:r>
      <w:r w:rsidRPr="006C582D" w:rsidR="005B42EA">
        <w:rPr>
          <w:rStyle w:val="FootnoteReference"/>
        </w:rPr>
        <w:footnoteReference w:id="2"/>
      </w:r>
      <w:r w:rsidRPr="006C582D" w:rsidR="00B83BA0">
        <w:t xml:space="preserve"> Citizens Telecom</w:t>
      </w:r>
      <w:r w:rsidRPr="006C582D" w:rsidR="001917AF">
        <w:t>munications Company</w:t>
      </w:r>
      <w:r w:rsidRPr="006C582D" w:rsidR="00B83BA0">
        <w:t xml:space="preserve"> of California, Inc. </w:t>
      </w:r>
      <w:r w:rsidRPr="006C582D" w:rsidR="003838A5">
        <w:t>d/b/a Frontier Communications of California (</w:t>
      </w:r>
      <w:r w:rsidRPr="006C582D" w:rsidR="003A7C4E">
        <w:t>Frontier Communications</w:t>
      </w:r>
      <w:r w:rsidRPr="006C582D" w:rsidR="003838A5">
        <w:t>)</w:t>
      </w:r>
      <w:r w:rsidRPr="006C582D" w:rsidR="00B83BA0">
        <w:t xml:space="preserve">, and </w:t>
      </w:r>
      <w:r w:rsidRPr="006C582D" w:rsidR="003A7C4E">
        <w:t>Consolidated Communications of California</w:t>
      </w:r>
      <w:r w:rsidRPr="006C582D" w:rsidR="00407BDE">
        <w:t xml:space="preserve"> Company</w:t>
      </w:r>
      <w:r w:rsidRPr="006C582D" w:rsidR="003A7C4E">
        <w:t xml:space="preserve"> </w:t>
      </w:r>
      <w:r w:rsidRPr="006C582D" w:rsidR="00B83BA0">
        <w:t>(</w:t>
      </w:r>
      <w:r w:rsidRPr="006C582D" w:rsidR="00EF4AA7">
        <w:t>Consolidated</w:t>
      </w:r>
      <w:r w:rsidRPr="006C582D" w:rsidR="00A821F7">
        <w:t xml:space="preserve"> </w:t>
      </w:r>
      <w:r w:rsidRPr="006C582D" w:rsidR="00A821F7">
        <w:lastRenderedPageBreak/>
        <w:t>Communications</w:t>
      </w:r>
      <w:r w:rsidRPr="006C582D" w:rsidR="00EF4AA7">
        <w:t xml:space="preserve">, </w:t>
      </w:r>
      <w:r w:rsidRPr="006C582D" w:rsidR="003A7C4E">
        <w:t xml:space="preserve">formerly </w:t>
      </w:r>
      <w:r w:rsidRPr="006C582D" w:rsidR="00B83BA0">
        <w:t>SureWest</w:t>
      </w:r>
      <w:r w:rsidRPr="006C582D" w:rsidR="003A7C4E">
        <w:t xml:space="preserve"> Telephone</w:t>
      </w:r>
      <w:r w:rsidRPr="006C582D" w:rsidR="003A7C4E">
        <w:rPr>
          <w:rStyle w:val="FootnoteReference"/>
        </w:rPr>
        <w:footnoteReference w:id="3"/>
      </w:r>
      <w:r w:rsidRPr="006C582D" w:rsidR="00B83BA0">
        <w:t>)</w:t>
      </w:r>
      <w:r w:rsidR="00F06A3F">
        <w:t>;</w:t>
      </w:r>
      <w:r w:rsidRPr="006C582D" w:rsidR="00FD3454">
        <w:t xml:space="preserve"> </w:t>
      </w:r>
      <w:r w:rsidRPr="006C582D" w:rsidR="00781B9D">
        <w:rPr>
          <w:bCs/>
        </w:rPr>
        <w:t>and</w:t>
      </w:r>
      <w:r w:rsidRPr="006C582D" w:rsidR="005559AA">
        <w:t xml:space="preserve"> </w:t>
      </w:r>
      <w:r w:rsidRPr="006C582D" w:rsidR="00F06A3F">
        <w:t>full facilities</w:t>
      </w:r>
      <w:r w:rsidRPr="006C582D" w:rsidR="00F06A3F">
        <w:noBreakHyphen/>
        <w:t>based and resold</w:t>
      </w:r>
      <w:r w:rsidRPr="006C582D" w:rsidR="00F06A3F">
        <w:rPr>
          <w:bCs/>
        </w:rPr>
        <w:t xml:space="preserve"> </w:t>
      </w:r>
      <w:r w:rsidRPr="006C582D" w:rsidR="00FE6A62">
        <w:rPr>
          <w:bCs/>
        </w:rPr>
        <w:t>non-dominant</w:t>
      </w:r>
      <w:r w:rsidRPr="006C582D" w:rsidR="00FE6A62">
        <w:t xml:space="preserve"> </w:t>
      </w:r>
      <w:r w:rsidRPr="006C582D" w:rsidR="00FD3454">
        <w:t>interexchange service in California</w:t>
      </w:r>
      <w:r w:rsidRPr="006C582D" w:rsidR="00000540">
        <w:t xml:space="preserve">. </w:t>
      </w:r>
    </w:p>
    <w:p w:rsidRPr="006C582D" w:rsidR="00C05B72" w:rsidP="005B35E9" w:rsidRDefault="00781B9D" w14:paraId="2959AB3E" w14:textId="59C2C825">
      <w:pPr>
        <w:pStyle w:val="standard"/>
      </w:pPr>
      <w:r w:rsidRPr="006C582D">
        <w:rPr>
          <w:bCs/>
        </w:rPr>
        <w:t>Hudson</w:t>
      </w:r>
      <w:r w:rsidRPr="006C582D" w:rsidR="00DD5C45">
        <w:t xml:space="preserve"> </w:t>
      </w:r>
      <w:r w:rsidRPr="006C582D" w:rsidR="001C5EB5">
        <w:t xml:space="preserve">proposes </w:t>
      </w:r>
      <w:r w:rsidRPr="006C582D" w:rsidR="00DD5C45">
        <w:t xml:space="preserve">to </w:t>
      </w:r>
      <w:r w:rsidRPr="006C582D" w:rsidR="00DD5C45">
        <w:rPr>
          <w:bCs/>
        </w:rPr>
        <w:t>provide</w:t>
      </w:r>
      <w:r w:rsidRPr="006C582D" w:rsidR="00DF3743">
        <w:rPr>
          <w:bCs/>
        </w:rPr>
        <w:t xml:space="preserve"> competitive </w:t>
      </w:r>
      <w:r w:rsidRPr="006C582D" w:rsidR="00D40D24">
        <w:rPr>
          <w:bCs/>
        </w:rPr>
        <w:t xml:space="preserve">local exchange </w:t>
      </w:r>
      <w:r w:rsidR="00140F99">
        <w:rPr>
          <w:bCs/>
        </w:rPr>
        <w:t xml:space="preserve">telecommunications </w:t>
      </w:r>
      <w:r w:rsidRPr="006C582D" w:rsidR="00DD5C45">
        <w:rPr>
          <w:bCs/>
        </w:rPr>
        <w:t>service</w:t>
      </w:r>
      <w:r w:rsidRPr="006C582D" w:rsidR="009524BB">
        <w:rPr>
          <w:bCs/>
        </w:rPr>
        <w:t xml:space="preserve"> and non-dominant interexchange service</w:t>
      </w:r>
      <w:r w:rsidRPr="006C582D" w:rsidR="0008163B">
        <w:rPr>
          <w:bCs/>
        </w:rPr>
        <w:t xml:space="preserve"> to </w:t>
      </w:r>
      <w:r w:rsidRPr="006C582D" w:rsidR="002641E8">
        <w:rPr>
          <w:bCs/>
        </w:rPr>
        <w:t xml:space="preserve">governmental and </w:t>
      </w:r>
      <w:r w:rsidRPr="006C582D" w:rsidR="00F623FB">
        <w:rPr>
          <w:bCs/>
        </w:rPr>
        <w:t>non-residential</w:t>
      </w:r>
      <w:r w:rsidRPr="006C582D" w:rsidR="0008163B">
        <w:rPr>
          <w:bCs/>
        </w:rPr>
        <w:t xml:space="preserve"> customers</w:t>
      </w:r>
      <w:r w:rsidRPr="006C582D" w:rsidR="009524BB">
        <w:rPr>
          <w:bCs/>
        </w:rPr>
        <w:t xml:space="preserve"> </w:t>
      </w:r>
      <w:r w:rsidRPr="006C582D" w:rsidR="005D35C5">
        <w:rPr>
          <w:bCs/>
        </w:rPr>
        <w:t>via</w:t>
      </w:r>
      <w:r w:rsidRPr="006C582D" w:rsidR="009F1CD3">
        <w:rPr>
          <w:bCs/>
        </w:rPr>
        <w:t xml:space="preserve"> fiber-fed distribution </w:t>
      </w:r>
      <w:r w:rsidRPr="006C582D" w:rsidR="00F623FB">
        <w:rPr>
          <w:bCs/>
        </w:rPr>
        <w:t>network</w:t>
      </w:r>
      <w:r w:rsidRPr="006C582D" w:rsidR="009F1CD3">
        <w:rPr>
          <w:bCs/>
        </w:rPr>
        <w:t>.</w:t>
      </w:r>
      <w:r w:rsidR="00431DBD">
        <w:rPr>
          <w:rStyle w:val="FootnoteReference"/>
          <w:bCs/>
        </w:rPr>
        <w:footnoteReference w:id="4"/>
      </w:r>
    </w:p>
    <w:p w:rsidRPr="006C582D" w:rsidR="00C05B72" w:rsidP="005B35E9" w:rsidRDefault="00781B9D" w14:paraId="700B2EFB" w14:textId="58EDE441">
      <w:pPr>
        <w:pStyle w:val="standard"/>
        <w:rPr>
          <w:bCs/>
        </w:rPr>
      </w:pPr>
      <w:r w:rsidRPr="006C582D">
        <w:rPr>
          <w:bCs/>
        </w:rPr>
        <w:t>Hudson’s</w:t>
      </w:r>
      <w:r w:rsidRPr="006C582D" w:rsidR="00EF1A50">
        <w:rPr>
          <w:bCs/>
        </w:rPr>
        <w:t xml:space="preserve"> principal place of business is located at</w:t>
      </w:r>
      <w:r w:rsidRPr="006C582D" w:rsidR="009F1CD3">
        <w:rPr>
          <w:bCs/>
        </w:rPr>
        <w:t xml:space="preserve"> 3030 Warrenville Rd., Suite 340, Lisle, Illinois 60532</w:t>
      </w:r>
      <w:r w:rsidRPr="006C582D" w:rsidR="00EF1A50">
        <w:rPr>
          <w:bCs/>
        </w:rPr>
        <w:t>.</w:t>
      </w:r>
    </w:p>
    <w:p w:rsidRPr="006C582D" w:rsidR="00333352" w:rsidP="00C05B72" w:rsidRDefault="00DB4F87" w14:paraId="78163BA1" w14:textId="5A1F746E">
      <w:pPr>
        <w:pStyle w:val="standard"/>
        <w:rPr>
          <w:bCs/>
        </w:rPr>
      </w:pPr>
      <w:r w:rsidRPr="006C582D">
        <w:rPr>
          <w:bCs/>
        </w:rPr>
        <w:t>The Application was noticed in the Commission’s Daily Calendar on September</w:t>
      </w:r>
      <w:r w:rsidRPr="006C582D" w:rsidR="009524BB">
        <w:rPr>
          <w:bCs/>
        </w:rPr>
        <w:t> 10</w:t>
      </w:r>
      <w:r w:rsidRPr="006C582D">
        <w:rPr>
          <w:bCs/>
        </w:rPr>
        <w:t xml:space="preserve">, 2019.  </w:t>
      </w:r>
      <w:r w:rsidRPr="006C582D" w:rsidR="009F1CD3">
        <w:rPr>
          <w:bCs/>
        </w:rPr>
        <w:t xml:space="preserve">No protest was filed in response to the Application.  </w:t>
      </w:r>
      <w:r w:rsidRPr="006C582D">
        <w:rPr>
          <w:bCs/>
        </w:rPr>
        <w:t>A prehearing conference was held on November 21, 2019 to discuss the issues of law and fact and determine the need for hearing and schedule for resolving the matter.</w:t>
      </w:r>
      <w:r w:rsidRPr="006C582D" w:rsidR="009F1CD3">
        <w:rPr>
          <w:bCs/>
        </w:rPr>
        <w:t xml:space="preserve">  The assigned Commissioner issued a Scoping Memo and Ruling on December </w:t>
      </w:r>
      <w:r w:rsidRPr="006C582D" w:rsidR="009524BB">
        <w:rPr>
          <w:bCs/>
        </w:rPr>
        <w:t>18</w:t>
      </w:r>
      <w:r w:rsidRPr="006C582D" w:rsidR="009F1CD3">
        <w:rPr>
          <w:bCs/>
        </w:rPr>
        <w:t xml:space="preserve">, 2019. (Scoping Memo) </w:t>
      </w:r>
    </w:p>
    <w:p w:rsidRPr="006C582D" w:rsidR="00333352" w:rsidP="00FE7941" w:rsidRDefault="002742FA" w14:paraId="07FA97C9" w14:textId="77777777">
      <w:pPr>
        <w:pStyle w:val="Heading1"/>
        <w:numPr>
          <w:ilvl w:val="0"/>
          <w:numId w:val="0"/>
        </w:numPr>
        <w:tabs>
          <w:tab w:val="left" w:pos="720"/>
        </w:tabs>
      </w:pPr>
      <w:bookmarkStart w:name="_Toc41483956" w:id="6"/>
      <w:r w:rsidRPr="006C582D">
        <w:t>2</w:t>
      </w:r>
      <w:r w:rsidRPr="006C582D" w:rsidR="00333352">
        <w:t xml:space="preserve">. </w:t>
      </w:r>
      <w:r w:rsidRPr="006C582D" w:rsidR="00333352">
        <w:tab/>
        <w:t>Jurisdiction</w:t>
      </w:r>
      <w:bookmarkEnd w:id="6"/>
    </w:p>
    <w:p w:rsidRPr="006C582D" w:rsidR="00333352" w:rsidP="00333352" w:rsidRDefault="00333352" w14:paraId="339DBD15" w14:textId="77777777">
      <w:pPr>
        <w:pStyle w:val="standard"/>
      </w:pPr>
      <w:r w:rsidRPr="006C582D">
        <w:t xml:space="preserve">Public Utilities Code </w:t>
      </w:r>
      <w:r w:rsidRPr="006C582D" w:rsidR="00EE10AE">
        <w:t xml:space="preserve">(Pub. Util. Code) § </w:t>
      </w:r>
      <w:r w:rsidRPr="006C582D">
        <w:t xml:space="preserve">216(a) defines the term “Public utility” to include a “telephone corporation,” which in turn is defined in Public Utilities Code </w:t>
      </w:r>
      <w:r w:rsidRPr="006C582D" w:rsidR="00EE10AE">
        <w:t>§ </w:t>
      </w:r>
      <w:r w:rsidRPr="006C582D">
        <w:t xml:space="preserve">234(a) as “every corporation or person owning, controlling, operating, or managing any telephone line for compensation within this state.” </w:t>
      </w:r>
    </w:p>
    <w:p w:rsidRPr="006C582D" w:rsidR="00333352" w:rsidP="00C05B72" w:rsidRDefault="002700AE" w14:paraId="456B97E9" w14:textId="246678FE">
      <w:pPr>
        <w:pStyle w:val="standard"/>
      </w:pPr>
      <w:r w:rsidRPr="006C582D">
        <w:rPr>
          <w:bCs/>
        </w:rPr>
        <w:t>Hudson</w:t>
      </w:r>
      <w:r w:rsidRPr="006C582D" w:rsidR="00333352">
        <w:rPr>
          <w:bCs/>
        </w:rPr>
        <w:t xml:space="preserve"> proposes to provide </w:t>
      </w:r>
      <w:r w:rsidRPr="006C582D">
        <w:rPr>
          <w:bCs/>
        </w:rPr>
        <w:t>point-to-point telecommunication services such as Private Line, Ethernet, Wavelength, and similar services to wholesale customers (</w:t>
      </w:r>
      <w:r w:rsidRPr="00413FFF">
        <w:rPr>
          <w:bCs/>
          <w:i/>
          <w:iCs/>
        </w:rPr>
        <w:t>e.g.,</w:t>
      </w:r>
      <w:r w:rsidRPr="006C582D">
        <w:rPr>
          <w:bCs/>
        </w:rPr>
        <w:t xml:space="preserve"> other carriers and providers), government customers, health care, </w:t>
      </w:r>
      <w:r w:rsidRPr="006C582D">
        <w:rPr>
          <w:bCs/>
        </w:rPr>
        <w:lastRenderedPageBreak/>
        <w:t>education, financial services, and other enterprise customers.</w:t>
      </w:r>
      <w:r w:rsidRPr="006C582D" w:rsidR="00333352">
        <w:t xml:space="preserve">  </w:t>
      </w:r>
      <w:r w:rsidRPr="006C582D">
        <w:rPr>
          <w:bCs/>
        </w:rPr>
        <w:t>Hudson</w:t>
      </w:r>
      <w:r w:rsidRPr="006C582D">
        <w:t xml:space="preserve"> </w:t>
      </w:r>
      <w:r w:rsidRPr="006C582D" w:rsidR="00333352">
        <w:t>is a telephone corporation and a public utility subject to our jurisdiction.</w:t>
      </w:r>
    </w:p>
    <w:p w:rsidRPr="006C582D" w:rsidR="00EF321F" w:rsidP="00413FFF" w:rsidRDefault="00EF321F" w14:paraId="6AAD5124" w14:textId="77777777">
      <w:pPr>
        <w:pStyle w:val="Heading1"/>
        <w:tabs>
          <w:tab w:val="clear" w:pos="720"/>
        </w:tabs>
        <w:spacing w:before="0"/>
        <w:ind w:left="360" w:hanging="360"/>
      </w:pPr>
      <w:bookmarkStart w:name="_Toc335049171" w:id="7"/>
      <w:bookmarkStart w:name="_Toc41483957" w:id="8"/>
      <w:r w:rsidRPr="006C582D">
        <w:t>California Environmental Quality Act (CEQA)</w:t>
      </w:r>
      <w:bookmarkEnd w:id="7"/>
      <w:bookmarkEnd w:id="8"/>
    </w:p>
    <w:p w:rsidRPr="006C582D" w:rsidR="00B971CC" w:rsidP="00B971CC" w:rsidRDefault="00B971CC" w14:paraId="7B0FAE6E" w14:textId="77777777">
      <w:pPr>
        <w:pStyle w:val="standard"/>
      </w:pPr>
      <w:r w:rsidRPr="006C582D">
        <w:t xml:space="preserve">Pursuant to CEQA and </w:t>
      </w:r>
      <w:r w:rsidRPr="006C582D" w:rsidR="00287143">
        <w:t>Rule </w:t>
      </w:r>
      <w:r w:rsidRPr="006C582D">
        <w:t>2.4</w:t>
      </w:r>
      <w:r w:rsidRPr="006C582D">
        <w:rPr>
          <w:rStyle w:val="FootnoteReference"/>
        </w:rPr>
        <w:footnoteReference w:id="5"/>
      </w:r>
      <w:r w:rsidRPr="006C582D">
        <w:t xml:space="preserve"> of the Commission</w:t>
      </w:r>
      <w:r w:rsidRPr="006C582D" w:rsidR="009E1726">
        <w:t>’</w:t>
      </w:r>
      <w:r w:rsidRPr="006C582D">
        <w:t xml:space="preserve">s Rules of Practice and Procedure, the Commission examines projects to determine any potential environmental impacts in order that adverse effects are avoided and environmental quality is restored or enhanced to the fullest extent possible under CEQA.  </w:t>
      </w:r>
    </w:p>
    <w:p w:rsidRPr="006C582D" w:rsidR="00B971CC" w:rsidP="00B971CC" w:rsidRDefault="003450D5" w14:paraId="13EE5928" w14:textId="2E29F47F">
      <w:pPr>
        <w:pStyle w:val="standard"/>
      </w:pPr>
      <w:r w:rsidRPr="006C582D">
        <w:rPr>
          <w:bCs/>
        </w:rPr>
        <w:t xml:space="preserve">The Applicant states in its Application that Hudson will initially utilize the existing fiber networks of its affiliates, </w:t>
      </w:r>
      <w:r w:rsidR="00FE6A62">
        <w:rPr>
          <w:bCs/>
        </w:rPr>
        <w:t>E</w:t>
      </w:r>
      <w:r w:rsidRPr="006C582D">
        <w:rPr>
          <w:bCs/>
        </w:rPr>
        <w:t>xteNet System, Inc. (California), LLC</w:t>
      </w:r>
      <w:r w:rsidR="00FE6A62">
        <w:rPr>
          <w:bCs/>
        </w:rPr>
        <w:t xml:space="preserve"> (U6959C)</w:t>
      </w:r>
      <w:r w:rsidRPr="006C582D">
        <w:rPr>
          <w:bCs/>
        </w:rPr>
        <w:t xml:space="preserve"> and </w:t>
      </w:r>
      <w:r w:rsidR="00FE6A62">
        <w:rPr>
          <w:bCs/>
        </w:rPr>
        <w:t>E</w:t>
      </w:r>
      <w:r w:rsidRPr="006C582D">
        <w:rPr>
          <w:bCs/>
        </w:rPr>
        <w:t>xteNet Systems, Inc.</w:t>
      </w:r>
      <w:r w:rsidR="00FE6A62">
        <w:rPr>
          <w:bCs/>
        </w:rPr>
        <w:t xml:space="preserve"> (U7367C)</w:t>
      </w:r>
      <w:r w:rsidRPr="006C582D" w:rsidR="0067399A">
        <w:rPr>
          <w:bCs/>
        </w:rPr>
        <w:t xml:space="preserve"> (ESI)</w:t>
      </w:r>
      <w:r w:rsidRPr="006C582D">
        <w:rPr>
          <w:bCs/>
        </w:rPr>
        <w:t>, along with the facilities of other companies.  Hudson does not have specific plans regarding new construction at the time of the Application.  Hudson anticipates additional facilities-based</w:t>
      </w:r>
      <w:r w:rsidRPr="006C582D" w:rsidR="002B0C6D">
        <w:rPr>
          <w:bCs/>
        </w:rPr>
        <w:t xml:space="preserve"> network construction within the service areas requested in this Application.  </w:t>
      </w:r>
      <w:r w:rsidRPr="006C582D">
        <w:rPr>
          <w:bCs/>
        </w:rPr>
        <w:t>Hudson</w:t>
      </w:r>
      <w:r w:rsidRPr="006C582D" w:rsidR="00B971CC">
        <w:t xml:space="preserve"> requests approval to utilize a procedure for </w:t>
      </w:r>
      <w:r w:rsidRPr="006C582D" w:rsidR="00EE2BDE">
        <w:rPr>
          <w:bCs/>
        </w:rPr>
        <w:t>the</w:t>
      </w:r>
      <w:r w:rsidRPr="006C582D" w:rsidR="00EE2BDE">
        <w:t xml:space="preserve"> </w:t>
      </w:r>
      <w:r w:rsidRPr="006C582D" w:rsidR="00B971CC">
        <w:t xml:space="preserve">expedited </w:t>
      </w:r>
      <w:r w:rsidRPr="006C582D" w:rsidR="0036450F">
        <w:rPr>
          <w:bCs/>
        </w:rPr>
        <w:t>21-day</w:t>
      </w:r>
      <w:r w:rsidRPr="006C582D" w:rsidR="0036450F">
        <w:t xml:space="preserve"> environmental </w:t>
      </w:r>
      <w:r w:rsidRPr="006C582D" w:rsidR="00B971CC">
        <w:t xml:space="preserve">review </w:t>
      </w:r>
      <w:r w:rsidRPr="006C582D" w:rsidR="0036450F">
        <w:rPr>
          <w:bCs/>
        </w:rPr>
        <w:t xml:space="preserve">process </w:t>
      </w:r>
      <w:r w:rsidRPr="006C582D" w:rsidR="0036450F">
        <w:t>for</w:t>
      </w:r>
      <w:r w:rsidRPr="006C582D" w:rsidR="00B971CC">
        <w:t xml:space="preserve"> its projects once it is aware of a specific site(s) in which it plans construction.  The proposed procedure</w:t>
      </w:r>
      <w:r w:rsidRPr="006C582D" w:rsidR="009C6C8F">
        <w:t xml:space="preserve"> </w:t>
      </w:r>
      <w:r w:rsidRPr="006C582D" w:rsidR="00B971CC">
        <w:t xml:space="preserve">tracks the expedited review procedure that we have approved for other carriers.  Such a process will expedite CEQA review and is appropriate for the type of construction outlined here, which will be categorically exempt.  By establishing this expedited review process, we are able to review the information on a specific project to confirm that it is categorically exempt from CEQA or </w:t>
      </w:r>
      <w:r w:rsidRPr="006C582D" w:rsidR="00555FC6">
        <w:t xml:space="preserve">to </w:t>
      </w:r>
      <w:r w:rsidRPr="006C582D" w:rsidR="00B971CC">
        <w:t xml:space="preserve">explain why further environmental review is required.  At the same time, the proposed CEQA review process will enable </w:t>
      </w:r>
      <w:r w:rsidRPr="006C582D" w:rsidR="0036450F">
        <w:rPr>
          <w:bCs/>
        </w:rPr>
        <w:t xml:space="preserve">Hudson </w:t>
      </w:r>
      <w:r w:rsidRPr="006C582D" w:rsidR="00B971CC">
        <w:t xml:space="preserve">to undertake construction of its projects in an </w:t>
      </w:r>
      <w:r w:rsidRPr="006C582D" w:rsidR="00B971CC">
        <w:lastRenderedPageBreak/>
        <w:t>efficient manner without experiencing delays caused by an unnecessarily protracted CEQA review.</w:t>
      </w:r>
    </w:p>
    <w:p w:rsidRPr="006C582D" w:rsidR="00B971CC" w:rsidP="00B971CC" w:rsidRDefault="00B971CC" w14:paraId="39DF201C" w14:textId="0BA00682">
      <w:pPr>
        <w:pStyle w:val="standard"/>
      </w:pPr>
      <w:r w:rsidRPr="006C582D">
        <w:t xml:space="preserve">Similar to the procedure approved for other carriers, the following procedure will be used to obtain Commission approval of </w:t>
      </w:r>
      <w:r w:rsidRPr="006C582D" w:rsidR="0036450F">
        <w:rPr>
          <w:bCs/>
        </w:rPr>
        <w:t>Hudson’s</w:t>
      </w:r>
      <w:r w:rsidRPr="006C582D">
        <w:t xml:space="preserve"> claimed CEQA exemptions for proposed construction projects:</w:t>
      </w:r>
    </w:p>
    <w:p w:rsidRPr="006C582D" w:rsidR="00B971CC" w:rsidP="00B9779A" w:rsidRDefault="0036450F" w14:paraId="3FDF9E13" w14:textId="7DFE1D32">
      <w:pPr>
        <w:pStyle w:val="Quote1"/>
        <w:numPr>
          <w:ilvl w:val="0"/>
          <w:numId w:val="6"/>
        </w:numPr>
        <w:tabs>
          <w:tab w:val="clear" w:pos="1440"/>
        </w:tabs>
        <w:spacing w:before="0" w:after="120"/>
        <w:ind w:left="900"/>
      </w:pPr>
      <w:r w:rsidRPr="006C582D">
        <w:rPr>
          <w:bCs/>
        </w:rPr>
        <w:t>Hudson</w:t>
      </w:r>
      <w:r w:rsidRPr="006C582D" w:rsidR="00B971CC">
        <w:t xml:space="preserve"> will provide the Commission’s Energy Division with:</w:t>
      </w:r>
    </w:p>
    <w:p w:rsidRPr="006C582D" w:rsidR="00B971CC" w:rsidP="0017680F" w:rsidRDefault="00B971CC" w14:paraId="00C018D2" w14:textId="77777777">
      <w:pPr>
        <w:pStyle w:val="Quote1"/>
        <w:numPr>
          <w:ilvl w:val="0"/>
          <w:numId w:val="6"/>
        </w:numPr>
        <w:spacing w:before="0" w:after="120"/>
        <w:ind w:right="1440"/>
      </w:pPr>
      <w:r w:rsidRPr="006C582D">
        <w:t>A detailed description of the proposed project, including:</w:t>
      </w:r>
    </w:p>
    <w:p w:rsidRPr="006C582D" w:rsidR="00B971CC" w:rsidP="008109BE" w:rsidRDefault="00B971CC" w14:paraId="6484E290" w14:textId="77777777">
      <w:pPr>
        <w:pStyle w:val="Quote1"/>
        <w:numPr>
          <w:ilvl w:val="2"/>
          <w:numId w:val="6"/>
        </w:numPr>
        <w:tabs>
          <w:tab w:val="clear" w:pos="2880"/>
        </w:tabs>
        <w:spacing w:before="0" w:after="120"/>
        <w:ind w:left="1800" w:right="1440"/>
      </w:pPr>
      <w:r w:rsidRPr="006C582D">
        <w:t>Customer(s) to be served;</w:t>
      </w:r>
    </w:p>
    <w:p w:rsidRPr="006C582D" w:rsidR="00B971CC" w:rsidP="008109BE" w:rsidRDefault="00B971CC" w14:paraId="58F4A9F2" w14:textId="77777777">
      <w:pPr>
        <w:pStyle w:val="Quote1"/>
        <w:numPr>
          <w:ilvl w:val="2"/>
          <w:numId w:val="6"/>
        </w:numPr>
        <w:tabs>
          <w:tab w:val="clear" w:pos="2880"/>
        </w:tabs>
        <w:spacing w:before="0" w:after="120"/>
        <w:ind w:left="1800" w:right="1440"/>
      </w:pPr>
      <w:r w:rsidRPr="006C582D">
        <w:t>The precise location of the proposed construction project; and</w:t>
      </w:r>
    </w:p>
    <w:p w:rsidRPr="006C582D" w:rsidR="00B971CC" w:rsidP="008109BE" w:rsidRDefault="00B971CC" w14:paraId="3D2882FA" w14:textId="77777777">
      <w:pPr>
        <w:pStyle w:val="Quote1"/>
        <w:numPr>
          <w:ilvl w:val="2"/>
          <w:numId w:val="6"/>
        </w:numPr>
        <w:tabs>
          <w:tab w:val="clear" w:pos="2880"/>
        </w:tabs>
        <w:spacing w:before="0" w:after="120"/>
        <w:ind w:left="1800" w:right="1440"/>
      </w:pPr>
      <w:r w:rsidRPr="006C582D">
        <w:t>Regional and local site maps.</w:t>
      </w:r>
    </w:p>
    <w:p w:rsidRPr="006C582D" w:rsidR="00B971CC" w:rsidP="008109BE" w:rsidRDefault="00B971CC" w14:paraId="56359765" w14:textId="77777777">
      <w:pPr>
        <w:pStyle w:val="Quote1"/>
        <w:numPr>
          <w:ilvl w:val="1"/>
          <w:numId w:val="6"/>
        </w:numPr>
        <w:tabs>
          <w:tab w:val="clear" w:pos="2160"/>
        </w:tabs>
        <w:spacing w:before="0" w:after="120"/>
        <w:ind w:left="1440" w:right="1440"/>
      </w:pPr>
      <w:r w:rsidRPr="006C582D">
        <w:t>A description of the environmental setting, to include at a minimum:</w:t>
      </w:r>
    </w:p>
    <w:p w:rsidRPr="006C582D" w:rsidR="00B971CC" w:rsidP="008109BE" w:rsidRDefault="00B971CC" w14:paraId="60FDF114" w14:textId="77777777">
      <w:pPr>
        <w:pStyle w:val="Quote1"/>
        <w:numPr>
          <w:ilvl w:val="2"/>
          <w:numId w:val="6"/>
        </w:numPr>
        <w:tabs>
          <w:tab w:val="clear" w:pos="2880"/>
        </w:tabs>
        <w:spacing w:before="0" w:after="120"/>
        <w:ind w:left="1800" w:right="1440"/>
      </w:pPr>
      <w:r w:rsidRPr="006C582D">
        <w:t>Cultural, historical, and paleontological resources;</w:t>
      </w:r>
    </w:p>
    <w:p w:rsidRPr="006C582D" w:rsidR="00B971CC" w:rsidP="008109BE" w:rsidRDefault="00B971CC" w14:paraId="091681FB" w14:textId="77777777">
      <w:pPr>
        <w:pStyle w:val="Quote1"/>
        <w:numPr>
          <w:ilvl w:val="2"/>
          <w:numId w:val="6"/>
        </w:numPr>
        <w:tabs>
          <w:tab w:val="clear" w:pos="2880"/>
        </w:tabs>
        <w:spacing w:before="0" w:after="120"/>
        <w:ind w:left="1800" w:right="1440"/>
      </w:pPr>
      <w:r w:rsidRPr="006C582D">
        <w:t>Biological resources; and</w:t>
      </w:r>
    </w:p>
    <w:p w:rsidRPr="006C582D" w:rsidR="00B971CC" w:rsidP="008109BE" w:rsidRDefault="00B971CC" w14:paraId="3F853B5F" w14:textId="77777777">
      <w:pPr>
        <w:pStyle w:val="Quote1"/>
        <w:numPr>
          <w:ilvl w:val="2"/>
          <w:numId w:val="6"/>
        </w:numPr>
        <w:tabs>
          <w:tab w:val="clear" w:pos="2880"/>
        </w:tabs>
        <w:spacing w:before="0" w:after="120"/>
        <w:ind w:left="1800" w:right="1440"/>
      </w:pPr>
      <w:r w:rsidRPr="006C582D">
        <w:t>Current land use and zoning.</w:t>
      </w:r>
    </w:p>
    <w:p w:rsidRPr="006C582D" w:rsidR="00B971CC" w:rsidP="008109BE" w:rsidRDefault="00B971CC" w14:paraId="75438666" w14:textId="77777777">
      <w:pPr>
        <w:pStyle w:val="Quote1"/>
        <w:numPr>
          <w:ilvl w:val="1"/>
          <w:numId w:val="6"/>
        </w:numPr>
        <w:tabs>
          <w:tab w:val="clear" w:pos="2160"/>
        </w:tabs>
        <w:spacing w:before="0" w:after="120"/>
        <w:ind w:left="1440" w:right="1440"/>
      </w:pPr>
      <w:r w:rsidRPr="006C582D">
        <w:t>A construction workplan, to include:</w:t>
      </w:r>
    </w:p>
    <w:p w:rsidRPr="006C582D" w:rsidR="00B971CC" w:rsidP="008109BE" w:rsidRDefault="00B971CC" w14:paraId="3A87DD8F" w14:textId="77777777">
      <w:pPr>
        <w:pStyle w:val="Quote1"/>
        <w:numPr>
          <w:ilvl w:val="2"/>
          <w:numId w:val="6"/>
        </w:numPr>
        <w:tabs>
          <w:tab w:val="clear" w:pos="2880"/>
        </w:tabs>
        <w:spacing w:before="0" w:after="120"/>
        <w:ind w:left="1710" w:right="1440" w:hanging="270"/>
      </w:pPr>
      <w:r w:rsidRPr="006C582D">
        <w:t>Commission Preconstruction Survey Checklist—Archaeological Resources;</w:t>
      </w:r>
    </w:p>
    <w:p w:rsidRPr="006C582D" w:rsidR="00B971CC" w:rsidP="008109BE" w:rsidRDefault="00B971CC" w14:paraId="094B7D03" w14:textId="77777777">
      <w:pPr>
        <w:pStyle w:val="Quote1"/>
        <w:numPr>
          <w:ilvl w:val="2"/>
          <w:numId w:val="6"/>
        </w:numPr>
        <w:tabs>
          <w:tab w:val="clear" w:pos="2880"/>
        </w:tabs>
        <w:spacing w:before="0" w:after="120"/>
        <w:ind w:left="1800" w:right="1440"/>
      </w:pPr>
      <w:r w:rsidRPr="006C582D">
        <w:t>Commission Preconstruction Survey Checklist—Biological Resources;</w:t>
      </w:r>
    </w:p>
    <w:p w:rsidRPr="006C582D" w:rsidR="00B971CC" w:rsidP="008109BE" w:rsidRDefault="00B971CC" w14:paraId="30078933" w14:textId="77777777">
      <w:pPr>
        <w:pStyle w:val="Quote1"/>
        <w:numPr>
          <w:ilvl w:val="2"/>
          <w:numId w:val="6"/>
        </w:numPr>
        <w:tabs>
          <w:tab w:val="clear" w:pos="2880"/>
        </w:tabs>
        <w:spacing w:before="0" w:after="120"/>
        <w:ind w:left="1710" w:right="1440" w:hanging="270"/>
      </w:pPr>
      <w:r w:rsidRPr="006C582D">
        <w:t>A detailed schedule of construction activities, including site restoration activities;</w:t>
      </w:r>
    </w:p>
    <w:p w:rsidRPr="006C582D" w:rsidR="00B971CC" w:rsidP="008109BE" w:rsidRDefault="00B971CC" w14:paraId="2C272A58" w14:textId="77777777">
      <w:pPr>
        <w:pStyle w:val="Quote1"/>
        <w:numPr>
          <w:ilvl w:val="2"/>
          <w:numId w:val="6"/>
        </w:numPr>
        <w:tabs>
          <w:tab w:val="clear" w:pos="2880"/>
        </w:tabs>
        <w:spacing w:before="0" w:after="120"/>
        <w:ind w:left="1710" w:right="1440" w:hanging="270"/>
      </w:pPr>
      <w:r w:rsidRPr="006C582D">
        <w:t>A description of construction/installation techniques;</w:t>
      </w:r>
    </w:p>
    <w:p w:rsidRPr="006C582D" w:rsidR="00B971CC" w:rsidP="008109BE" w:rsidRDefault="00B971CC" w14:paraId="75902A03" w14:textId="77777777">
      <w:pPr>
        <w:pStyle w:val="Quote1"/>
        <w:numPr>
          <w:ilvl w:val="2"/>
          <w:numId w:val="6"/>
        </w:numPr>
        <w:tabs>
          <w:tab w:val="clear" w:pos="2880"/>
        </w:tabs>
        <w:spacing w:before="0" w:after="120"/>
        <w:ind w:left="1710" w:right="1440" w:hanging="270"/>
      </w:pPr>
      <w:r w:rsidRPr="006C582D">
        <w:t>A list of other agencies contacted with respect to siting, land use planning, and environmental resource issues, including contact information; and</w:t>
      </w:r>
    </w:p>
    <w:p w:rsidRPr="006C582D" w:rsidR="00B971CC" w:rsidP="008109BE" w:rsidRDefault="00B971CC" w14:paraId="36A8B033" w14:textId="77777777">
      <w:pPr>
        <w:pStyle w:val="Quote1"/>
        <w:numPr>
          <w:ilvl w:val="2"/>
          <w:numId w:val="6"/>
        </w:numPr>
        <w:tabs>
          <w:tab w:val="clear" w:pos="2880"/>
        </w:tabs>
        <w:spacing w:before="0" w:after="120"/>
        <w:ind w:left="1800" w:right="1440"/>
      </w:pPr>
      <w:r w:rsidRPr="006C582D">
        <w:t>A list of permits required for the proposed project.</w:t>
      </w:r>
    </w:p>
    <w:p w:rsidRPr="006C582D" w:rsidR="00B971CC" w:rsidP="008109BE" w:rsidRDefault="00B971CC" w14:paraId="007C58CB" w14:textId="77777777">
      <w:pPr>
        <w:pStyle w:val="Quote1"/>
        <w:numPr>
          <w:ilvl w:val="1"/>
          <w:numId w:val="6"/>
        </w:numPr>
        <w:tabs>
          <w:tab w:val="clear" w:pos="2160"/>
        </w:tabs>
        <w:spacing w:before="0" w:after="120"/>
        <w:ind w:left="1440" w:right="1440"/>
      </w:pPr>
      <w:r w:rsidRPr="006C582D">
        <w:lastRenderedPageBreak/>
        <w:t>A statement of the CEQA exemption(s) applicable to the proposed project; and</w:t>
      </w:r>
    </w:p>
    <w:p w:rsidRPr="006C582D" w:rsidR="00B971CC" w:rsidP="008109BE" w:rsidRDefault="00B971CC" w14:paraId="3D670311" w14:textId="77777777">
      <w:pPr>
        <w:pStyle w:val="Quote1"/>
        <w:numPr>
          <w:ilvl w:val="1"/>
          <w:numId w:val="6"/>
        </w:numPr>
        <w:tabs>
          <w:tab w:val="clear" w:pos="2160"/>
        </w:tabs>
        <w:spacing w:before="0" w:after="120"/>
        <w:ind w:left="1440" w:right="1440"/>
      </w:pPr>
      <w:r w:rsidRPr="006C582D">
        <w:t>Documentation and factual evidence sufficient to support a finding that the claimed exemption(s) is (are) applicable.</w:t>
      </w:r>
    </w:p>
    <w:p w:rsidRPr="006C582D" w:rsidR="00B971CC" w:rsidP="008109BE" w:rsidRDefault="00B971CC" w14:paraId="33ED7A2B" w14:textId="0A88139F">
      <w:pPr>
        <w:pStyle w:val="Quote1"/>
        <w:numPr>
          <w:ilvl w:val="0"/>
          <w:numId w:val="6"/>
        </w:numPr>
        <w:tabs>
          <w:tab w:val="clear" w:pos="1440"/>
          <w:tab w:val="left" w:pos="990"/>
        </w:tabs>
        <w:spacing w:before="0" w:after="120"/>
        <w:ind w:left="990" w:hanging="450"/>
      </w:pPr>
      <w:r w:rsidRPr="006C582D">
        <w:t xml:space="preserve">The Energy Division will review </w:t>
      </w:r>
      <w:r w:rsidRPr="006C582D" w:rsidR="0036450F">
        <w:rPr>
          <w:bCs/>
        </w:rPr>
        <w:t>Hudson’s</w:t>
      </w:r>
      <w:r w:rsidRPr="006C582D" w:rsidR="008109BE">
        <w:rPr>
          <w:b/>
        </w:rPr>
        <w:t xml:space="preserve"> </w:t>
      </w:r>
      <w:r w:rsidRPr="006C582D">
        <w:t>submission for the proposed project to confirm that the claimed exemption(s) from CEQA are applicable.</w:t>
      </w:r>
    </w:p>
    <w:p w:rsidRPr="006C582D" w:rsidR="00B971CC" w:rsidP="00A75701" w:rsidRDefault="00B971CC" w14:paraId="3874A481" w14:textId="625B233D">
      <w:pPr>
        <w:pStyle w:val="Quote1"/>
        <w:numPr>
          <w:ilvl w:val="0"/>
          <w:numId w:val="6"/>
        </w:numPr>
        <w:tabs>
          <w:tab w:val="clear" w:pos="1440"/>
          <w:tab w:val="left" w:pos="990"/>
        </w:tabs>
        <w:spacing w:before="0" w:after="120"/>
        <w:ind w:left="990" w:hanging="450"/>
      </w:pPr>
      <w:r w:rsidRPr="006C582D">
        <w:t xml:space="preserve">Within 21 days from the date of </w:t>
      </w:r>
      <w:r w:rsidRPr="006C582D" w:rsidR="0036450F">
        <w:rPr>
          <w:bCs/>
        </w:rPr>
        <w:t>Hudson’s</w:t>
      </w:r>
      <w:r w:rsidRPr="006C582D">
        <w:t xml:space="preserve"> submittal, the Energy Division will issue either:</w:t>
      </w:r>
    </w:p>
    <w:p w:rsidRPr="006C582D" w:rsidR="00B971CC" w:rsidP="00B9779A" w:rsidRDefault="00B971CC" w14:paraId="6DD7BD61" w14:textId="77777777">
      <w:pPr>
        <w:pStyle w:val="Quote1"/>
        <w:numPr>
          <w:ilvl w:val="1"/>
          <w:numId w:val="6"/>
        </w:numPr>
        <w:tabs>
          <w:tab w:val="clear" w:pos="2160"/>
        </w:tabs>
        <w:spacing w:before="0" w:after="120"/>
        <w:ind w:left="1440" w:right="1440"/>
      </w:pPr>
      <w:r w:rsidRPr="006C582D">
        <w:t>A Notice to Proceed (NTP) and file a Notice of Exemption with the State Clearinghouse, Office of Planning and Research, or</w:t>
      </w:r>
    </w:p>
    <w:p w:rsidRPr="006C582D" w:rsidR="00B971CC" w:rsidP="00B9779A" w:rsidRDefault="00B971CC" w14:paraId="08892E40" w14:textId="77777777">
      <w:pPr>
        <w:pStyle w:val="Quote1"/>
        <w:numPr>
          <w:ilvl w:val="1"/>
          <w:numId w:val="6"/>
        </w:numPr>
        <w:tabs>
          <w:tab w:val="clear" w:pos="2160"/>
        </w:tabs>
        <w:spacing w:before="0" w:after="120"/>
        <w:ind w:left="1440" w:right="1440"/>
      </w:pPr>
      <w:r w:rsidRPr="006C582D">
        <w:t>A letter of denial stating the specific reasons why the claimed exemption(s) are not applicable to the proposed project.</w:t>
      </w:r>
    </w:p>
    <w:p w:rsidRPr="006C582D" w:rsidR="00B971CC" w:rsidP="001B38F6" w:rsidRDefault="00B971CC" w14:paraId="11BFF20B" w14:textId="77777777">
      <w:pPr>
        <w:pStyle w:val="standard"/>
        <w:keepNext/>
        <w:keepLines/>
        <w:spacing w:after="120" w:line="240" w:lineRule="auto"/>
        <w:ind w:right="1440"/>
      </w:pPr>
      <w:r w:rsidRPr="006C582D">
        <w:t>We have reviewed the application and Supplement and find that:</w:t>
      </w:r>
    </w:p>
    <w:p w:rsidRPr="006C582D" w:rsidR="00B971CC" w:rsidP="001B38F6" w:rsidRDefault="0036450F" w14:paraId="0BB54A98" w14:textId="50505430">
      <w:pPr>
        <w:pStyle w:val="Quote1"/>
        <w:keepNext/>
        <w:keepLines/>
        <w:numPr>
          <w:ilvl w:val="0"/>
          <w:numId w:val="6"/>
        </w:numPr>
        <w:tabs>
          <w:tab w:val="clear" w:pos="1440"/>
        </w:tabs>
        <w:spacing w:before="0" w:after="120"/>
        <w:ind w:left="1080" w:right="1440"/>
      </w:pPr>
      <w:r w:rsidRPr="006C582D">
        <w:rPr>
          <w:bCs/>
        </w:rPr>
        <w:t>Hudson’s</w:t>
      </w:r>
      <w:r w:rsidRPr="006C582D" w:rsidR="00B971CC">
        <w:t xml:space="preserve"> proposed facilities</w:t>
      </w:r>
      <w:r w:rsidRPr="006C582D" w:rsidR="00D312EE">
        <w:noBreakHyphen/>
      </w:r>
      <w:r w:rsidRPr="006C582D" w:rsidR="00B971CC">
        <w:t>based project activities are very limited;</w:t>
      </w:r>
    </w:p>
    <w:p w:rsidRPr="006C582D" w:rsidR="00B971CC" w:rsidP="001B38F6" w:rsidRDefault="00B971CC" w14:paraId="44FB5E58" w14:textId="77777777">
      <w:pPr>
        <w:pStyle w:val="Quote1"/>
        <w:numPr>
          <w:ilvl w:val="0"/>
          <w:numId w:val="6"/>
        </w:numPr>
        <w:tabs>
          <w:tab w:val="clear" w:pos="1440"/>
        </w:tabs>
        <w:spacing w:before="0" w:after="120"/>
        <w:ind w:left="1080" w:right="1440"/>
      </w:pPr>
      <w:r w:rsidRPr="006C582D">
        <w:t>These activities would in almost all circumstances be very likely to qualify for an exemption from CEQA; and</w:t>
      </w:r>
    </w:p>
    <w:p w:rsidRPr="006C582D" w:rsidR="00B971CC" w:rsidP="001B38F6" w:rsidRDefault="00B971CC" w14:paraId="7A5F277D" w14:textId="3F6B9CEE">
      <w:pPr>
        <w:pStyle w:val="Quote1"/>
        <w:numPr>
          <w:ilvl w:val="0"/>
          <w:numId w:val="6"/>
        </w:numPr>
        <w:tabs>
          <w:tab w:val="clear" w:pos="1440"/>
        </w:tabs>
        <w:spacing w:before="0" w:after="120"/>
        <w:ind w:left="1080" w:right="1440"/>
      </w:pPr>
      <w:r w:rsidRPr="006C582D">
        <w:t xml:space="preserve">The proposed process for reviewing the applicability of CEQA exemptions to </w:t>
      </w:r>
      <w:r w:rsidRPr="006C582D" w:rsidR="00A2545D">
        <w:rPr>
          <w:bCs/>
        </w:rPr>
        <w:t>Hudson’s</w:t>
      </w:r>
      <w:r w:rsidRPr="006C582D">
        <w:t xml:space="preserve"> facilities</w:t>
      </w:r>
      <w:r w:rsidRPr="006C582D" w:rsidR="00D312EE">
        <w:noBreakHyphen/>
      </w:r>
      <w:r w:rsidRPr="006C582D">
        <w:t xml:space="preserve">based projects is not only adequate for the Commission’s purposes as CEQA Lead Agency, but is also in the public interest because it enables </w:t>
      </w:r>
      <w:r w:rsidRPr="006C582D" w:rsidR="00A2545D">
        <w:rPr>
          <w:bCs/>
        </w:rPr>
        <w:t>Hudson’s</w:t>
      </w:r>
      <w:r w:rsidRPr="006C582D" w:rsidR="001917AF">
        <w:t xml:space="preserve"> </w:t>
      </w:r>
      <w:r w:rsidRPr="006C582D">
        <w:t>to respond in a timely manner to requests for service without the delay or burden of a full CEQA review when such review is unnecessary.</w:t>
      </w:r>
    </w:p>
    <w:p w:rsidRPr="006C582D" w:rsidR="00B971CC" w:rsidP="00B971CC" w:rsidRDefault="00B971CC" w14:paraId="2F7AD83A" w14:textId="46C978B9">
      <w:pPr>
        <w:pStyle w:val="standard"/>
      </w:pPr>
      <w:r w:rsidRPr="006C582D">
        <w:t xml:space="preserve">We therefore approve </w:t>
      </w:r>
      <w:r w:rsidRPr="006C582D" w:rsidR="00A2545D">
        <w:rPr>
          <w:bCs/>
        </w:rPr>
        <w:t>Hudson’s</w:t>
      </w:r>
      <w:r w:rsidRPr="006C582D">
        <w:rPr>
          <w:b/>
        </w:rPr>
        <w:t xml:space="preserve"> </w:t>
      </w:r>
      <w:r w:rsidRPr="006C582D">
        <w:t xml:space="preserve">proposed process for Commission review of claimed CEQA exemptions for construction projects undertaken pursuant to </w:t>
      </w:r>
      <w:r w:rsidRPr="006C582D" w:rsidR="00A2545D">
        <w:rPr>
          <w:bCs/>
        </w:rPr>
        <w:t>Hudson’s</w:t>
      </w:r>
      <w:r w:rsidRPr="006C582D" w:rsidR="009C6C8F">
        <w:t xml:space="preserve"> </w:t>
      </w:r>
      <w:r w:rsidRPr="006C582D">
        <w:t>full facilities</w:t>
      </w:r>
      <w:r w:rsidRPr="006C582D" w:rsidR="00D312EE">
        <w:noBreakHyphen/>
      </w:r>
      <w:r w:rsidRPr="006C582D">
        <w:t xml:space="preserve">based authority, based on the specific facts of this case </w:t>
      </w:r>
      <w:r w:rsidRPr="006C582D">
        <w:lastRenderedPageBreak/>
        <w:t>with the following modifications related to the Commission’s Energy Division review and approval or disapproval of the proposed exemptions.</w:t>
      </w:r>
    </w:p>
    <w:p w:rsidRPr="006C582D" w:rsidR="00B971CC" w:rsidP="00496A27" w:rsidRDefault="00B971CC" w14:paraId="16C5FF9E" w14:textId="2F46D539">
      <w:pPr>
        <w:pStyle w:val="standard"/>
      </w:pPr>
      <w:r w:rsidRPr="006C582D">
        <w:t xml:space="preserve">If the Energy Division disapproves </w:t>
      </w:r>
      <w:r w:rsidRPr="006C582D" w:rsidR="00A2545D">
        <w:rPr>
          <w:bCs/>
        </w:rPr>
        <w:t>Hudson’s</w:t>
      </w:r>
      <w:r w:rsidRPr="006C582D" w:rsidR="009C6C8F">
        <w:t xml:space="preserve"> </w:t>
      </w:r>
      <w:r w:rsidRPr="006C582D" w:rsidR="003B65BD">
        <w:t>claimed CEQA exemption(s)</w:t>
      </w:r>
      <w:r w:rsidRPr="006C582D">
        <w:t xml:space="preserve"> and issues a letter of denial to </w:t>
      </w:r>
      <w:r w:rsidRPr="006C582D" w:rsidR="00A2545D">
        <w:rPr>
          <w:bCs/>
        </w:rPr>
        <w:t>Hudson</w:t>
      </w:r>
      <w:r w:rsidRPr="006C582D">
        <w:t xml:space="preserve">, </w:t>
      </w:r>
      <w:r w:rsidRPr="006C582D" w:rsidR="00A2545D">
        <w:rPr>
          <w:bCs/>
        </w:rPr>
        <w:t>Hudson</w:t>
      </w:r>
      <w:r w:rsidRPr="006C582D" w:rsidR="009F49D8">
        <w:t xml:space="preserve"> </w:t>
      </w:r>
      <w:r w:rsidRPr="006C582D" w:rsidR="005A2F5D">
        <w:t xml:space="preserve">must </w:t>
      </w:r>
      <w:r w:rsidRPr="006C582D">
        <w:t>either re</w:t>
      </w:r>
      <w:r w:rsidRPr="006C582D" w:rsidR="00D312EE">
        <w:noBreakHyphen/>
      </w:r>
      <w:r w:rsidRPr="006C582D">
        <w:t>design the specific project and facilities and then reapply for a finding of exemption from CEQA, or file a formal application with the Commission seeking the requisite approval and full CEQA review, before commencing any construction activities.</w:t>
      </w:r>
    </w:p>
    <w:p w:rsidRPr="006C582D" w:rsidR="00B971CC" w:rsidP="00B971CC" w:rsidRDefault="005823B5" w14:paraId="44EBFC02" w14:textId="5814A1DF">
      <w:pPr>
        <w:pStyle w:val="standard"/>
      </w:pPr>
      <w:r w:rsidRPr="006C582D">
        <w:rPr>
          <w:bCs/>
        </w:rPr>
        <w:t>Hudson</w:t>
      </w:r>
      <w:r w:rsidRPr="006C582D" w:rsidR="00B971CC">
        <w:rPr>
          <w:b/>
        </w:rPr>
        <w:t xml:space="preserve"> </w:t>
      </w:r>
      <w:r w:rsidRPr="006C582D" w:rsidR="00B971CC">
        <w:t>shall not perform any full facilities</w:t>
      </w:r>
      <w:r w:rsidRPr="006C582D" w:rsidR="00D312EE">
        <w:noBreakHyphen/>
      </w:r>
      <w:r w:rsidRPr="006C582D" w:rsidR="00B971CC">
        <w:t>based construction activities without first obtaining an NTP from the Energy Division or authorization by the Commission after the requisite environmental review.</w:t>
      </w:r>
    </w:p>
    <w:p w:rsidRPr="006C582D" w:rsidR="00B971CC" w:rsidP="00563D04" w:rsidRDefault="00B971CC" w14:paraId="2C2FA7A1" w14:textId="77777777">
      <w:pPr>
        <w:pStyle w:val="standard"/>
      </w:pPr>
      <w:r w:rsidRPr="006C582D">
        <w:t xml:space="preserve">We have previously determined that the public convenience and necessity require that competition be allowed in the provision of competitive local exchange service, </w:t>
      </w:r>
      <w:r w:rsidRPr="006C582D" w:rsidR="003B65BD">
        <w:t>Rul</w:t>
      </w:r>
      <w:r w:rsidRPr="006C582D" w:rsidR="00681350">
        <w:t>e</w:t>
      </w:r>
      <w:r w:rsidRPr="006C582D" w:rsidR="003B65BD">
        <w:t xml:space="preserve">making </w:t>
      </w:r>
      <w:r w:rsidRPr="006C582D">
        <w:t>95</w:t>
      </w:r>
      <w:r w:rsidRPr="006C582D" w:rsidR="00D312EE">
        <w:noBreakHyphen/>
      </w:r>
      <w:r w:rsidRPr="006C582D">
        <w:t>04</w:t>
      </w:r>
      <w:r w:rsidRPr="006C582D" w:rsidR="00D312EE">
        <w:noBreakHyphen/>
      </w:r>
      <w:r w:rsidRPr="006C582D">
        <w:t>043/</w:t>
      </w:r>
      <w:r w:rsidRPr="006C582D" w:rsidR="00681350">
        <w:t xml:space="preserve">Investigation </w:t>
      </w:r>
      <w:r w:rsidRPr="006C582D">
        <w:t>95</w:t>
      </w:r>
      <w:r w:rsidRPr="006C582D" w:rsidR="00D312EE">
        <w:noBreakHyphen/>
      </w:r>
      <w:r w:rsidRPr="006C582D">
        <w:t>04</w:t>
      </w:r>
      <w:r w:rsidRPr="006C582D" w:rsidR="00D312EE">
        <w:noBreakHyphen/>
      </w:r>
      <w:r w:rsidRPr="006C582D">
        <w:t>044.  Granting this application will benefit the public interest by expanding the availability of technologically advanced telecommunications services within the state.</w:t>
      </w:r>
    </w:p>
    <w:p w:rsidRPr="006C582D" w:rsidR="00EF1A50" w:rsidP="001B38F6" w:rsidRDefault="00EF1A50" w14:paraId="3B3E893B" w14:textId="77777777">
      <w:pPr>
        <w:pStyle w:val="Heading1"/>
        <w:keepNext/>
        <w:tabs>
          <w:tab w:val="clear" w:pos="720"/>
        </w:tabs>
        <w:spacing w:before="0"/>
        <w:ind w:left="360" w:hanging="360"/>
      </w:pPr>
      <w:bookmarkStart w:name="_Toc335049172" w:id="9"/>
      <w:bookmarkStart w:name="_Toc41483958" w:id="10"/>
      <w:r w:rsidRPr="006C582D">
        <w:t>Financial Qualifications</w:t>
      </w:r>
      <w:bookmarkEnd w:id="9"/>
      <w:bookmarkEnd w:id="10"/>
    </w:p>
    <w:p w:rsidRPr="006C582D" w:rsidR="00EF321F" w:rsidP="00563D04" w:rsidRDefault="00C05B72" w14:paraId="692369AF" w14:textId="7EF7D364">
      <w:pPr>
        <w:pStyle w:val="standard"/>
      </w:pPr>
      <w:r w:rsidRPr="006C582D">
        <w:rPr>
          <w:rStyle w:val="PageNumber"/>
        </w:rPr>
        <w:t>To be granted a CPCN</w:t>
      </w:r>
      <w:r w:rsidRPr="006C582D">
        <w:t xml:space="preserve">, an applicant for authority to provide </w:t>
      </w:r>
      <w:r w:rsidRPr="006C582D" w:rsidR="00E45C21">
        <w:t>(full facilities</w:t>
      </w:r>
      <w:r w:rsidRPr="006C582D" w:rsidR="00E45C21">
        <w:noBreakHyphen/>
        <w:t xml:space="preserve">based </w:t>
      </w:r>
      <w:r w:rsidRPr="006C582D" w:rsidR="0067399A">
        <w:t>and</w:t>
      </w:r>
      <w:r w:rsidRPr="006C582D" w:rsidR="00E45C21">
        <w:t xml:space="preserve"> resold</w:t>
      </w:r>
      <w:r w:rsidRPr="006C582D" w:rsidR="00E45C21">
        <w:rPr>
          <w:b/>
        </w:rPr>
        <w:t xml:space="preserve"> </w:t>
      </w:r>
      <w:r w:rsidRPr="006C582D" w:rsidR="00E45C21">
        <w:t>competitive local exchange services</w:t>
      </w:r>
      <w:r w:rsidRPr="006C582D" w:rsidR="00E45C21">
        <w:rPr>
          <w:b/>
        </w:rPr>
        <w:t xml:space="preserve"> </w:t>
      </w:r>
      <w:r w:rsidRPr="006C582D" w:rsidR="0067399A">
        <w:rPr>
          <w:bCs/>
        </w:rPr>
        <w:t>and</w:t>
      </w:r>
      <w:r w:rsidRPr="006C582D" w:rsidR="00E45C21">
        <w:rPr>
          <w:bCs/>
        </w:rPr>
        <w:t xml:space="preserve"> i</w:t>
      </w:r>
      <w:r w:rsidRPr="006C582D" w:rsidR="00E45C21">
        <w:t xml:space="preserve">nterexchange services </w:t>
      </w:r>
      <w:r w:rsidRPr="006C582D">
        <w:t>must demonstrate that it has a minimum of $100,000 cash or cash equivalent</w:t>
      </w:r>
      <w:r w:rsidRPr="006C582D" w:rsidR="0083182C">
        <w:t>, reasonably liquid and readily available</w:t>
      </w:r>
      <w:r w:rsidRPr="006C582D">
        <w:t xml:space="preserve"> to meet the firm’s start</w:t>
      </w:r>
      <w:r w:rsidRPr="006C582D" w:rsidR="00D312EE">
        <w:noBreakHyphen/>
      </w:r>
      <w:r w:rsidRPr="006C582D">
        <w:t>up expenses.</w:t>
      </w:r>
      <w:r w:rsidRPr="006C582D">
        <w:rPr>
          <w:rStyle w:val="FootnoteReference"/>
        </w:rPr>
        <w:footnoteReference w:id="6"/>
      </w:r>
      <w:r w:rsidRPr="006C582D">
        <w:t xml:space="preserve">  An applicant must also demonstrate that it has sufficient additional resources to cover all deposits required by local exchange carriers and</w:t>
      </w:r>
      <w:r w:rsidRPr="006C582D" w:rsidR="00CF06A0">
        <w:t>/</w:t>
      </w:r>
      <w:r w:rsidRPr="006C582D" w:rsidR="00CF06A0">
        <w:rPr>
          <w:rStyle w:val="PageNumber"/>
        </w:rPr>
        <w:t xml:space="preserve">or </w:t>
      </w:r>
      <w:r w:rsidRPr="006C582D" w:rsidR="00CF06A0">
        <w:rPr>
          <w:rStyle w:val="PageNumber"/>
        </w:rPr>
        <w:lastRenderedPageBreak/>
        <w:t>interexchange carriers</w:t>
      </w:r>
      <w:r w:rsidRPr="006C582D">
        <w:t xml:space="preserve"> in order to provide the proposed service.</w:t>
      </w:r>
      <w:r w:rsidRPr="006C582D">
        <w:rPr>
          <w:rStyle w:val="FootnoteReference"/>
        </w:rPr>
        <w:footnoteReference w:id="7"/>
      </w:r>
      <w:r w:rsidRPr="006C582D">
        <w:t xml:space="preserve">  </w:t>
      </w:r>
      <w:r w:rsidRPr="006C582D" w:rsidR="00B46CAC">
        <w:t xml:space="preserve">In the application, </w:t>
      </w:r>
      <w:r w:rsidRPr="006C582D" w:rsidR="0067399A">
        <w:rPr>
          <w:bCs/>
        </w:rPr>
        <w:t>Hudson</w:t>
      </w:r>
      <w:r w:rsidRPr="006C582D" w:rsidR="003B5B96">
        <w:t xml:space="preserve"> provide</w:t>
      </w:r>
      <w:r w:rsidRPr="006C582D" w:rsidR="000B303D">
        <w:t>d</w:t>
      </w:r>
      <w:r w:rsidRPr="006C582D" w:rsidR="003B5B96">
        <w:t xml:space="preserve"> </w:t>
      </w:r>
      <w:r w:rsidRPr="006C582D" w:rsidR="0067399A">
        <w:rPr>
          <w:bCs/>
        </w:rPr>
        <w:t>a guaranty letter issued by its parent company, ESI,</w:t>
      </w:r>
      <w:r w:rsidRPr="006C582D" w:rsidR="002E688F">
        <w:rPr>
          <w:rStyle w:val="FootnoteReference"/>
          <w:bCs/>
        </w:rPr>
        <w:footnoteReference w:id="8"/>
      </w:r>
      <w:r w:rsidRPr="006C582D" w:rsidR="009C03D7">
        <w:rPr>
          <w:bCs/>
        </w:rPr>
        <w:t xml:space="preserve"> that $100,000</w:t>
      </w:r>
      <w:r w:rsidRPr="006C582D" w:rsidR="002E688F">
        <w:rPr>
          <w:bCs/>
        </w:rPr>
        <w:t xml:space="preserve">, </w:t>
      </w:r>
      <w:r w:rsidRPr="006C582D" w:rsidR="009C03D7">
        <w:rPr>
          <w:bCs/>
        </w:rPr>
        <w:t xml:space="preserve">plus </w:t>
      </w:r>
      <w:r w:rsidRPr="006C582D" w:rsidR="002E688F">
        <w:rPr>
          <w:bCs/>
        </w:rPr>
        <w:t>$25,000</w:t>
      </w:r>
      <w:r w:rsidRPr="006C582D" w:rsidR="009C03D7">
        <w:rPr>
          <w:bCs/>
        </w:rPr>
        <w:t xml:space="preserve"> </w:t>
      </w:r>
      <w:r w:rsidRPr="006C582D" w:rsidR="002E688F">
        <w:rPr>
          <w:bCs/>
        </w:rPr>
        <w:t xml:space="preserve">for the deposit that Hudson will need to pay to established carriers in order to operate, </w:t>
      </w:r>
      <w:r w:rsidRPr="006C582D" w:rsidR="009C03D7">
        <w:rPr>
          <w:bCs/>
        </w:rPr>
        <w:t>would</w:t>
      </w:r>
      <w:r w:rsidRPr="006C582D" w:rsidR="009C03D7">
        <w:t xml:space="preserve"> be </w:t>
      </w:r>
      <w:r w:rsidRPr="006C582D" w:rsidR="00C26DEF">
        <w:t xml:space="preserve">available to </w:t>
      </w:r>
      <w:r w:rsidRPr="006C582D" w:rsidR="002E688F">
        <w:rPr>
          <w:rFonts w:ascii="Palatino Linotype" w:hAnsi="Palatino Linotype"/>
          <w:bCs/>
          <w:szCs w:val="26"/>
        </w:rPr>
        <w:t xml:space="preserve">Hudson </w:t>
      </w:r>
      <w:r w:rsidRPr="006C582D" w:rsidR="00C26DEF">
        <w:t>for one year following certification</w:t>
      </w:r>
      <w:r w:rsidRPr="006C582D" w:rsidR="00926B28">
        <w:t xml:space="preserve">.  </w:t>
      </w:r>
      <w:r w:rsidRPr="006C582D" w:rsidR="00405FBB">
        <w:t xml:space="preserve">Since </w:t>
      </w:r>
      <w:r w:rsidRPr="006C582D" w:rsidR="006F707F">
        <w:rPr>
          <w:bCs/>
        </w:rPr>
        <w:t>Hudson</w:t>
      </w:r>
      <w:r w:rsidRPr="006C582D" w:rsidR="00A53795">
        <w:t xml:space="preserve"> </w:t>
      </w:r>
      <w:r w:rsidRPr="006C582D" w:rsidR="00591632">
        <w:t>has provided documentation that</w:t>
      </w:r>
      <w:r w:rsidRPr="006C582D" w:rsidR="007B46C9">
        <w:t xml:space="preserve"> </w:t>
      </w:r>
      <w:r w:rsidRPr="006C582D" w:rsidR="003B5B96">
        <w:t xml:space="preserve">it </w:t>
      </w:r>
      <w:r w:rsidRPr="006C582D" w:rsidR="00A53795">
        <w:t>possesses a minimum of $100,000</w:t>
      </w:r>
      <w:r w:rsidRPr="006C582D" w:rsidR="0083182C">
        <w:t xml:space="preserve"> </w:t>
      </w:r>
      <w:r w:rsidRPr="006C582D" w:rsidR="00A53795">
        <w:t>that is reasonably liquid and available</w:t>
      </w:r>
      <w:r w:rsidRPr="006C582D" w:rsidR="00405FBB">
        <w:t>, it</w:t>
      </w:r>
      <w:r w:rsidRPr="006C582D" w:rsidR="00EF321F">
        <w:t xml:space="preserve"> has demonstrated that it has sufficient funds to meet its start</w:t>
      </w:r>
      <w:r w:rsidRPr="006C582D" w:rsidR="00D312EE">
        <w:noBreakHyphen/>
      </w:r>
      <w:r w:rsidRPr="006C582D" w:rsidR="00EF321F">
        <w:t>up expenses</w:t>
      </w:r>
      <w:r w:rsidRPr="006C582D" w:rsidR="00405FBB">
        <w:t xml:space="preserve"> and has fulfilled this requirement</w:t>
      </w:r>
      <w:r w:rsidRPr="006C582D" w:rsidR="00EF321F">
        <w:t>.</w:t>
      </w:r>
      <w:r w:rsidRPr="006C582D" w:rsidR="0083182C">
        <w:t xml:space="preserve">  The </w:t>
      </w:r>
      <w:r w:rsidRPr="006C582D" w:rsidR="006F707F">
        <w:rPr>
          <w:bCs/>
        </w:rPr>
        <w:t>Hudson’s</w:t>
      </w:r>
      <w:r w:rsidRPr="006C582D" w:rsidR="0083182C">
        <w:t xml:space="preserve"> financial documentation will be subject to verification and review by the Commission for one year to ensure that such funds are available.</w:t>
      </w:r>
    </w:p>
    <w:p w:rsidRPr="006C582D" w:rsidR="00EF1A50" w:rsidP="00353DE3" w:rsidRDefault="00EF1A50" w14:paraId="4F029A34" w14:textId="77777777">
      <w:pPr>
        <w:pStyle w:val="Heading1"/>
        <w:keepNext/>
        <w:tabs>
          <w:tab w:val="clear" w:pos="720"/>
        </w:tabs>
        <w:spacing w:before="0"/>
        <w:ind w:left="360" w:hanging="360"/>
      </w:pPr>
      <w:bookmarkStart w:name="_Toc335049173" w:id="11"/>
      <w:bookmarkStart w:name="_Toc41483959" w:id="12"/>
      <w:r w:rsidRPr="006C582D">
        <w:t>Technical Qualifications</w:t>
      </w:r>
      <w:bookmarkEnd w:id="11"/>
      <w:bookmarkEnd w:id="12"/>
      <w:r w:rsidRPr="006C582D">
        <w:t xml:space="preserve"> </w:t>
      </w:r>
    </w:p>
    <w:p w:rsidRPr="006C582D" w:rsidR="00EF1A50" w:rsidP="00400039" w:rsidRDefault="00EF1A50" w14:paraId="31E298E7" w14:textId="3FFA6C1C">
      <w:pPr>
        <w:pStyle w:val="standard"/>
      </w:pPr>
      <w:r w:rsidRPr="006C582D">
        <w:t xml:space="preserve">To be granted a CPCN for authority to provide </w:t>
      </w:r>
      <w:r w:rsidRPr="006C582D" w:rsidR="00840173">
        <w:t xml:space="preserve">competitive </w:t>
      </w:r>
      <w:r w:rsidRPr="006C582D">
        <w:t xml:space="preserve">local exchange </w:t>
      </w:r>
      <w:r w:rsidRPr="006C582D" w:rsidR="0065191B">
        <w:t xml:space="preserve">and interexchange </w:t>
      </w:r>
      <w:r w:rsidRPr="006C582D">
        <w:t xml:space="preserve">service, an </w:t>
      </w:r>
      <w:r w:rsidRPr="006C582D" w:rsidR="00166D2D">
        <w:t>applicant</w:t>
      </w:r>
      <w:r w:rsidRPr="006C582D">
        <w:t xml:space="preserve"> must make a reasonable showing of </w:t>
      </w:r>
      <w:r w:rsidRPr="006C582D" w:rsidR="00520E6A">
        <w:t xml:space="preserve">managerial and </w:t>
      </w:r>
      <w:r w:rsidRPr="006C582D">
        <w:t>technical expertise in telecommunications or a related business.</w:t>
      </w:r>
      <w:r w:rsidRPr="006C582D" w:rsidR="00BA5594">
        <w:rPr>
          <w:rStyle w:val="FootnoteReference"/>
        </w:rPr>
        <w:footnoteReference w:id="9"/>
      </w:r>
      <w:r w:rsidRPr="006C582D">
        <w:t xml:space="preserve">  </w:t>
      </w:r>
      <w:r w:rsidRPr="006C582D" w:rsidR="002F05EC">
        <w:rPr>
          <w:bCs/>
        </w:rPr>
        <w:t>Hudson</w:t>
      </w:r>
      <w:r w:rsidRPr="006C582D" w:rsidR="0060486D">
        <w:t xml:space="preserve"> </w:t>
      </w:r>
      <w:r w:rsidRPr="006C582D">
        <w:t>supplied biographical information on its management</w:t>
      </w:r>
      <w:r w:rsidRPr="006C582D" w:rsidR="00FB7E02">
        <w:t xml:space="preserve"> in Exhibit</w:t>
      </w:r>
      <w:r w:rsidRPr="006C582D" w:rsidR="00A527EB">
        <w:t> </w:t>
      </w:r>
      <w:r w:rsidRPr="006C582D" w:rsidR="002F05EC">
        <w:t>I</w:t>
      </w:r>
      <w:r w:rsidRPr="006C582D" w:rsidR="006262A6">
        <w:t xml:space="preserve"> </w:t>
      </w:r>
      <w:r w:rsidRPr="006C582D" w:rsidR="00FB7E02">
        <w:t>to its application</w:t>
      </w:r>
      <w:r w:rsidRPr="006C582D">
        <w:t xml:space="preserve"> that </w:t>
      </w:r>
      <w:r w:rsidRPr="006C582D" w:rsidR="00FB7E02">
        <w:t>demonstrate</w:t>
      </w:r>
      <w:r w:rsidRPr="006C582D" w:rsidR="00065B01">
        <w:t>s</w:t>
      </w:r>
      <w:r w:rsidRPr="006C582D" w:rsidR="00FB7E02">
        <w:t xml:space="preserve"> </w:t>
      </w:r>
      <w:r w:rsidRPr="006C582D">
        <w:t>it has sufficient expertise and training to operate as a telecommunications provider.</w:t>
      </w:r>
    </w:p>
    <w:p w:rsidRPr="006C582D" w:rsidR="0039283C" w:rsidP="00400039" w:rsidRDefault="00400039" w14:paraId="5D10B1DB" w14:textId="2AA5EFB4">
      <w:pPr>
        <w:autoSpaceDE w:val="0"/>
        <w:autoSpaceDN w:val="0"/>
        <w:adjustRightInd w:val="0"/>
        <w:spacing w:line="360" w:lineRule="auto"/>
        <w:ind w:firstLine="720"/>
        <w:rPr>
          <w:rFonts w:ascii="Palatino Linotype" w:hAnsi="Palatino Linotype"/>
          <w:b/>
          <w:szCs w:val="26"/>
        </w:rPr>
      </w:pPr>
      <w:r w:rsidRPr="006C582D">
        <w:t xml:space="preserve">In its </w:t>
      </w:r>
      <w:r w:rsidRPr="006C582D" w:rsidR="00514C0A">
        <w:t>application</w:t>
      </w:r>
      <w:r w:rsidRPr="006C582D">
        <w:t xml:space="preserve">, </w:t>
      </w:r>
      <w:r w:rsidRPr="006C582D" w:rsidR="002F05EC">
        <w:rPr>
          <w:bCs/>
        </w:rPr>
        <w:t>Hudson</w:t>
      </w:r>
      <w:r w:rsidRPr="006C582D" w:rsidR="00EF1A50">
        <w:t xml:space="preserve"> </w:t>
      </w:r>
      <w:r w:rsidRPr="006C582D" w:rsidR="00714E78">
        <w:t>verified</w:t>
      </w:r>
      <w:r w:rsidRPr="006C582D" w:rsidR="00B46CAC">
        <w:t xml:space="preserve"> </w:t>
      </w:r>
      <w:r w:rsidRPr="006C582D" w:rsidR="00EF1A50">
        <w:t xml:space="preserve">that no one associated with or employed by </w:t>
      </w:r>
      <w:r w:rsidRPr="006C582D" w:rsidR="002F05EC">
        <w:rPr>
          <w:bCs/>
        </w:rPr>
        <w:t>Hudson</w:t>
      </w:r>
      <w:r w:rsidRPr="006C582D" w:rsidR="00EF1A50">
        <w:t xml:space="preserve"> as an affiliate, officer, director, partner, or owner of more </w:t>
      </w:r>
      <w:r w:rsidRPr="006C582D" w:rsidR="00EF1A50">
        <w:lastRenderedPageBreak/>
        <w:t>than 10</w:t>
      </w:r>
      <w:r w:rsidRPr="006C582D" w:rsidR="008F50E0">
        <w:t xml:space="preserve"> percent</w:t>
      </w:r>
      <w:r w:rsidRPr="006C582D" w:rsidR="00EF1A50">
        <w:t xml:space="preserve"> of </w:t>
      </w:r>
      <w:r w:rsidRPr="006C582D" w:rsidR="002F05EC">
        <w:rPr>
          <w:bCs/>
        </w:rPr>
        <w:t>Hudson,</w:t>
      </w:r>
      <w:r w:rsidRPr="006C582D" w:rsidR="00913079">
        <w:rPr>
          <w:rFonts w:ascii="Palatino Linotype" w:hAnsi="Palatino Linotype"/>
          <w:szCs w:val="26"/>
        </w:rPr>
        <w:t xml:space="preserve"> or anyone acting in a management capacity for </w:t>
      </w:r>
      <w:r w:rsidRPr="006C582D" w:rsidR="002F05EC">
        <w:rPr>
          <w:bCs/>
        </w:rPr>
        <w:t>Hudson</w:t>
      </w:r>
      <w:r w:rsidRPr="006C582D" w:rsidR="004F13D6">
        <w:rPr>
          <w:rFonts w:ascii="Palatino Linotype" w:hAnsi="Palatino Linotype"/>
          <w:b/>
          <w:szCs w:val="26"/>
        </w:rPr>
        <w:t>:</w:t>
      </w:r>
    </w:p>
    <w:p w:rsidRPr="006C582D" w:rsidR="0039283C" w:rsidP="00353DE3" w:rsidRDefault="0039283C" w14:paraId="6483F386" w14:textId="77777777">
      <w:pPr>
        <w:pStyle w:val="ListParagraph"/>
        <w:autoSpaceDE w:val="0"/>
        <w:autoSpaceDN w:val="0"/>
        <w:adjustRightInd w:val="0"/>
        <w:spacing w:after="120"/>
        <w:ind w:right="1440"/>
        <w:contextualSpacing w:val="0"/>
      </w:pPr>
      <w:r w:rsidRPr="006C582D">
        <w:t xml:space="preserve">(a) </w:t>
      </w:r>
      <w:r w:rsidRPr="006C582D" w:rsidR="004F13D6">
        <w:t xml:space="preserve">held one of these positions with a company that filed for bankruptcy; (b) been personally found liable, or held one of these positions with a company that has been found liable, for fraud, dishonesty, failure to disclose, or misrepresentations to consumers or others; (c) been convicted of a felony; (d) been </w:t>
      </w:r>
      <w:r w:rsidRPr="006C582D" w:rsidR="00270FF7">
        <w:t xml:space="preserve">(to his/her knowledge) </w:t>
      </w:r>
      <w:r w:rsidRPr="006C582D" w:rsidR="004F13D6">
        <w:t xml:space="preserve">the subject of a criminal referral by judge or public agency; (e) had a telecommunications license or operating authority denied, suspended, revoked, or limited in any jurisdiction; (f) personally entered into a settlement, or held one of these positions with a company that has entered into settlement of criminal or civil claims involving violations of </w:t>
      </w:r>
      <w:r w:rsidRPr="006C582D" w:rsidR="008F50E0">
        <w:t xml:space="preserve">§§ </w:t>
      </w:r>
      <w:r w:rsidRPr="006C582D" w:rsidR="004F13D6">
        <w:t xml:space="preserve">17000 et seq., </w:t>
      </w:r>
      <w:r w:rsidRPr="006C582D" w:rsidR="008F50E0">
        <w:t>§§ </w:t>
      </w:r>
      <w:r w:rsidRPr="006C582D" w:rsidR="004F13D6">
        <w:t xml:space="preserve">17200 et seq., or </w:t>
      </w:r>
      <w:r w:rsidRPr="006C582D" w:rsidR="008F50E0">
        <w:t xml:space="preserve">§§ </w:t>
      </w:r>
      <w:r w:rsidRPr="006C582D" w:rsidR="004F13D6">
        <w:t>17500 et seq. of the California Business &amp; Professions Code, or of any other statute, regulation, or decisional law relating to fraud, dishonesty, failure to disclose, or misrepresentations to consumers or others; or (g) been found to have violated any statute, law, or rule pertaining to public utilities or other regulated industries;</w:t>
      </w:r>
      <w:r w:rsidRPr="006C582D" w:rsidR="00F11F31">
        <w:t xml:space="preserve"> or</w:t>
      </w:r>
      <w:r w:rsidRPr="006C582D" w:rsidR="004F13D6">
        <w:t xml:space="preserve"> (h) entered into any settlement agreements or made any voluntary payments or agreed to any other type of monetary forfeitures in resolution of any action by any regulatory body, agency, or attorney general</w:t>
      </w:r>
      <w:r w:rsidRPr="006C582D" w:rsidR="00DB246D">
        <w:t>.</w:t>
      </w:r>
      <w:r w:rsidRPr="006C582D" w:rsidR="00991DDA">
        <w:rPr>
          <w:rStyle w:val="FootnoteReference"/>
        </w:rPr>
        <w:footnoteReference w:id="10"/>
      </w:r>
      <w:r w:rsidRPr="006C582D">
        <w:t xml:space="preserve"> </w:t>
      </w:r>
    </w:p>
    <w:p w:rsidRPr="006C582D" w:rsidR="00714E78" w:rsidP="00400039" w:rsidRDefault="00DB246D" w14:paraId="020F0012" w14:textId="1AA1C000">
      <w:pPr>
        <w:autoSpaceDE w:val="0"/>
        <w:autoSpaceDN w:val="0"/>
        <w:adjustRightInd w:val="0"/>
        <w:spacing w:line="360" w:lineRule="auto"/>
        <w:ind w:firstLine="720"/>
        <w:rPr>
          <w:rFonts w:cs="BookAntiqua"/>
          <w:szCs w:val="26"/>
        </w:rPr>
      </w:pPr>
      <w:r w:rsidRPr="006C582D">
        <w:t xml:space="preserve">Also, to the best of </w:t>
      </w:r>
      <w:r w:rsidRPr="006C582D" w:rsidR="002F05EC">
        <w:rPr>
          <w:bCs/>
        </w:rPr>
        <w:t>Hudson</w:t>
      </w:r>
      <w:r w:rsidRPr="006C582D">
        <w:t xml:space="preserve">’s knowledge, neither </w:t>
      </w:r>
      <w:r w:rsidRPr="006C582D" w:rsidR="002F05EC">
        <w:rPr>
          <w:bCs/>
        </w:rPr>
        <w:t>Hudson</w:t>
      </w:r>
      <w:r w:rsidRPr="006C582D">
        <w:t xml:space="preserve">, or any affiliate, officer, director, partner, nor owner of more than 10% of </w:t>
      </w:r>
      <w:r w:rsidRPr="006C582D" w:rsidR="002F05EC">
        <w:rPr>
          <w:bCs/>
        </w:rPr>
        <w:t>Hudson</w:t>
      </w:r>
      <w:r w:rsidRPr="006C582D">
        <w:t>, or any person acting in such capacity whether or not formally appointed,</w:t>
      </w:r>
      <w:r w:rsidRPr="006C582D" w:rsidR="004F13D6">
        <w:t xml:space="preserve"> is being, or has been investigated by the Federal Communications Commission or any law enforcement or regulatory agency for failure to comply with any law, rule or order.</w:t>
      </w:r>
      <w:r w:rsidRPr="006C582D" w:rsidR="00B0375A">
        <w:rPr>
          <w:rStyle w:val="FootnoteReference"/>
          <w:rFonts w:cs="BookAntiqua"/>
          <w:szCs w:val="26"/>
        </w:rPr>
        <w:footnoteReference w:id="11"/>
      </w:r>
    </w:p>
    <w:p w:rsidRPr="006C582D" w:rsidR="00591632" w:rsidP="00400039" w:rsidRDefault="001D7047" w14:paraId="1482686A" w14:textId="66B74DDA">
      <w:pPr>
        <w:autoSpaceDE w:val="0"/>
        <w:autoSpaceDN w:val="0"/>
        <w:adjustRightInd w:val="0"/>
        <w:spacing w:line="360" w:lineRule="auto"/>
        <w:ind w:firstLine="720"/>
        <w:rPr>
          <w:rFonts w:cs="Arial"/>
        </w:rPr>
      </w:pPr>
      <w:r w:rsidRPr="006C582D">
        <w:lastRenderedPageBreak/>
        <w:t>For the above reasons</w:t>
      </w:r>
      <w:r w:rsidRPr="006C582D" w:rsidR="00591632">
        <w:t xml:space="preserve">, we find </w:t>
      </w:r>
      <w:r w:rsidRPr="006C582D" w:rsidR="00591632">
        <w:rPr>
          <w:rFonts w:cs="Arial"/>
          <w:szCs w:val="26"/>
        </w:rPr>
        <w:t xml:space="preserve">that </w:t>
      </w:r>
      <w:r w:rsidRPr="006C582D" w:rsidR="002F05EC">
        <w:rPr>
          <w:bCs/>
        </w:rPr>
        <w:t>Hudson</w:t>
      </w:r>
      <w:r w:rsidRPr="006C582D" w:rsidR="00591632">
        <w:rPr>
          <w:rFonts w:cs="Arial"/>
          <w:szCs w:val="26"/>
        </w:rPr>
        <w:t xml:space="preserve"> </w:t>
      </w:r>
      <w:r w:rsidRPr="006C582D" w:rsidR="00C448AA">
        <w:rPr>
          <w:rFonts w:cs="Arial"/>
          <w:szCs w:val="26"/>
        </w:rPr>
        <w:t xml:space="preserve">is in compliance with the </w:t>
      </w:r>
      <w:r w:rsidRPr="006C582D" w:rsidR="00BA5594">
        <w:rPr>
          <w:rFonts w:cs="Arial"/>
          <w:szCs w:val="26"/>
        </w:rPr>
        <w:t>requirements</w:t>
      </w:r>
      <w:r w:rsidRPr="006C582D" w:rsidR="00157F2D">
        <w:rPr>
          <w:rFonts w:cs="Arial"/>
          <w:szCs w:val="26"/>
        </w:rPr>
        <w:t xml:space="preserve"> of D.</w:t>
      </w:r>
      <w:r w:rsidRPr="006C582D" w:rsidR="00CD2F5C">
        <w:rPr>
          <w:rFonts w:cs="Arial"/>
          <w:szCs w:val="26"/>
        </w:rPr>
        <w:t>13</w:t>
      </w:r>
      <w:r w:rsidRPr="006C582D" w:rsidR="00D312EE">
        <w:rPr>
          <w:rFonts w:cs="Arial"/>
          <w:szCs w:val="26"/>
        </w:rPr>
        <w:noBreakHyphen/>
      </w:r>
      <w:r w:rsidRPr="006C582D" w:rsidR="00CD2F5C">
        <w:rPr>
          <w:rFonts w:cs="Arial"/>
          <w:szCs w:val="26"/>
        </w:rPr>
        <w:t>05</w:t>
      </w:r>
      <w:r w:rsidRPr="006C582D" w:rsidR="00D312EE">
        <w:rPr>
          <w:rFonts w:cs="Arial"/>
          <w:szCs w:val="26"/>
        </w:rPr>
        <w:noBreakHyphen/>
      </w:r>
      <w:r w:rsidRPr="006C582D" w:rsidR="00157F2D">
        <w:rPr>
          <w:rFonts w:cs="Arial"/>
          <w:szCs w:val="26"/>
        </w:rPr>
        <w:t>0</w:t>
      </w:r>
      <w:r w:rsidRPr="006C582D" w:rsidR="00CD2F5C">
        <w:rPr>
          <w:rFonts w:cs="Arial"/>
          <w:szCs w:val="26"/>
        </w:rPr>
        <w:t>35</w:t>
      </w:r>
      <w:r w:rsidRPr="006C582D" w:rsidR="00BA5594">
        <w:rPr>
          <w:rFonts w:cs="Arial"/>
          <w:szCs w:val="26"/>
        </w:rPr>
        <w:t>.</w:t>
      </w:r>
    </w:p>
    <w:p w:rsidRPr="006C582D" w:rsidR="00EF1A50" w:rsidP="00353DE3" w:rsidRDefault="00EF1A50" w14:paraId="69EC74FD" w14:textId="77777777">
      <w:pPr>
        <w:pStyle w:val="Heading1"/>
        <w:tabs>
          <w:tab w:val="clear" w:pos="720"/>
        </w:tabs>
        <w:spacing w:before="0"/>
        <w:ind w:left="360" w:hanging="360"/>
      </w:pPr>
      <w:bookmarkStart w:name="_Toc335049174" w:id="13"/>
      <w:bookmarkStart w:name="_Toc41483960" w:id="14"/>
      <w:r w:rsidRPr="006C582D">
        <w:t>Tariffs</w:t>
      </w:r>
      <w:bookmarkEnd w:id="13"/>
      <w:bookmarkEnd w:id="14"/>
    </w:p>
    <w:p w:rsidRPr="006C582D" w:rsidR="00245CE1" w:rsidP="007E4B28" w:rsidRDefault="00A23C5E" w14:paraId="4EB4D877" w14:textId="643A821D">
      <w:pPr>
        <w:pStyle w:val="standard"/>
        <w:rPr>
          <w:bCs/>
        </w:rPr>
      </w:pPr>
      <w:r w:rsidRPr="006C582D">
        <w:rPr>
          <w:bCs/>
        </w:rPr>
        <w:t xml:space="preserve">In its Application, </w:t>
      </w:r>
      <w:r w:rsidRPr="006C582D" w:rsidR="00E46F03">
        <w:rPr>
          <w:bCs/>
        </w:rPr>
        <w:t xml:space="preserve">Hudson </w:t>
      </w:r>
      <w:r w:rsidRPr="006C582D" w:rsidR="0083182C">
        <w:rPr>
          <w:bCs/>
        </w:rPr>
        <w:t>request</w:t>
      </w:r>
      <w:r w:rsidRPr="006C582D" w:rsidR="00F13BA2">
        <w:rPr>
          <w:bCs/>
        </w:rPr>
        <w:t>s</w:t>
      </w:r>
      <w:r w:rsidRPr="006C582D" w:rsidR="0083182C">
        <w:rPr>
          <w:bCs/>
        </w:rPr>
        <w:t xml:space="preserve"> detariffed status</w:t>
      </w:r>
      <w:r w:rsidRPr="006C582D" w:rsidR="00F13BA2">
        <w:rPr>
          <w:bCs/>
        </w:rPr>
        <w:t xml:space="preserve"> and seeks an exemption from filing a tariff pursuant to General Order (GO)</w:t>
      </w:r>
      <w:r w:rsidRPr="006C582D">
        <w:rPr>
          <w:bCs/>
        </w:rPr>
        <w:t xml:space="preserve">.  </w:t>
      </w:r>
      <w:r w:rsidRPr="006C582D" w:rsidR="00F13BA2">
        <w:rPr>
          <w:bCs/>
        </w:rPr>
        <w:t>Hudson</w:t>
      </w:r>
      <w:r w:rsidRPr="006C582D">
        <w:rPr>
          <w:bCs/>
        </w:rPr>
        <w:t xml:space="preserve"> states that it will only offer its services to </w:t>
      </w:r>
      <w:r w:rsidRPr="006C582D" w:rsidR="00F13BA2">
        <w:rPr>
          <w:bCs/>
        </w:rPr>
        <w:t>governmental and enterprise</w:t>
      </w:r>
      <w:r w:rsidRPr="006C582D">
        <w:rPr>
          <w:bCs/>
        </w:rPr>
        <w:t xml:space="preserve"> customers and does not intend to offer residential basic services; therefore, it may be exempt from tariffing requirements to file tariffs provided that </w:t>
      </w:r>
      <w:r w:rsidRPr="006C582D" w:rsidR="00F13BA2">
        <w:rPr>
          <w:bCs/>
        </w:rPr>
        <w:t>Hudson</w:t>
      </w:r>
      <w:r w:rsidRPr="006C582D">
        <w:rPr>
          <w:bCs/>
        </w:rPr>
        <w:t xml:space="preserve"> complies with the consumer protection rules identified in D.98</w:t>
      </w:r>
      <w:r w:rsidRPr="006C582D">
        <w:rPr>
          <w:bCs/>
        </w:rPr>
        <w:noBreakHyphen/>
        <w:t>08</w:t>
      </w:r>
      <w:r w:rsidRPr="006C582D">
        <w:rPr>
          <w:bCs/>
        </w:rPr>
        <w:noBreakHyphen/>
        <w:t xml:space="preserve">031 and D.07-09-019. </w:t>
      </w:r>
      <w:r w:rsidR="007E4B28">
        <w:rPr>
          <w:bCs/>
        </w:rPr>
        <w:t xml:space="preserve">Hudson </w:t>
      </w:r>
      <w:r w:rsidR="007325AC">
        <w:rPr>
          <w:bCs/>
        </w:rPr>
        <w:t xml:space="preserve">also </w:t>
      </w:r>
      <w:r w:rsidR="007E4B28">
        <w:rPr>
          <w:bCs/>
        </w:rPr>
        <w:t>states</w:t>
      </w:r>
      <w:r w:rsidRPr="007E4B28" w:rsidR="007E4B28">
        <w:rPr>
          <w:bCs/>
        </w:rPr>
        <w:t xml:space="preserve"> </w:t>
      </w:r>
      <w:r w:rsidR="007E4B28">
        <w:rPr>
          <w:bCs/>
        </w:rPr>
        <w:t>that it “</w:t>
      </w:r>
      <w:r w:rsidRPr="007E4B28" w:rsidR="007E4B28">
        <w:rPr>
          <w:bCs/>
        </w:rPr>
        <w:t>will offer its service on a non-discriminatory basis and at competitive rates, but will do</w:t>
      </w:r>
      <w:r w:rsidR="007E4B28">
        <w:rPr>
          <w:bCs/>
        </w:rPr>
        <w:t xml:space="preserve"> </w:t>
      </w:r>
      <w:r w:rsidRPr="007E4B28" w:rsidR="007E4B28">
        <w:rPr>
          <w:bCs/>
        </w:rPr>
        <w:t>so through individual case basis contracts.</w:t>
      </w:r>
      <w:r w:rsidR="007E4B28">
        <w:rPr>
          <w:bCs/>
        </w:rPr>
        <w:t>”</w:t>
      </w:r>
      <w:r w:rsidR="007E4B28">
        <w:rPr>
          <w:rStyle w:val="FootnoteReference"/>
          <w:bCs/>
        </w:rPr>
        <w:footnoteReference w:id="12"/>
      </w:r>
      <w:r w:rsidRPr="006C582D">
        <w:rPr>
          <w:bCs/>
        </w:rPr>
        <w:t xml:space="preserve"> </w:t>
      </w:r>
      <w:r w:rsidR="007E4B28">
        <w:rPr>
          <w:bCs/>
        </w:rPr>
        <w:t xml:space="preserve"> </w:t>
      </w:r>
      <w:r w:rsidRPr="006C582D">
        <w:rPr>
          <w:bCs/>
        </w:rPr>
        <w:t xml:space="preserve">In the future, if </w:t>
      </w:r>
      <w:r w:rsidRPr="006C582D" w:rsidR="00F13BA2">
        <w:rPr>
          <w:bCs/>
        </w:rPr>
        <w:t>Hudson</w:t>
      </w:r>
      <w:r w:rsidRPr="006C582D">
        <w:rPr>
          <w:bCs/>
        </w:rPr>
        <w:t xml:space="preserve"> decides to offer services that require a tariff, such as local exchange services for residential customers, </w:t>
      </w:r>
      <w:r w:rsidRPr="006C582D" w:rsidR="00F13BA2">
        <w:rPr>
          <w:bCs/>
        </w:rPr>
        <w:t>Hudson</w:t>
      </w:r>
      <w:r w:rsidRPr="006C582D">
        <w:rPr>
          <w:bCs/>
        </w:rPr>
        <w:t xml:space="preserve"> must submit proposed tariffs and/or user guides to the Communications Division via Tier 2 advice letters using the </w:t>
      </w:r>
      <w:r w:rsidRPr="006C582D" w:rsidR="00F13BA2">
        <w:rPr>
          <w:bCs/>
        </w:rPr>
        <w:t>G.O.</w:t>
      </w:r>
      <w:r w:rsidRPr="006C582D">
        <w:rPr>
          <w:bCs/>
        </w:rPr>
        <w:t xml:space="preserve"> 96-B advice letter process before initiation of service. </w:t>
      </w:r>
      <w:r w:rsidRPr="006C582D" w:rsidR="0028542B">
        <w:rPr>
          <w:iCs/>
        </w:rPr>
        <w:t xml:space="preserve">  </w:t>
      </w:r>
    </w:p>
    <w:p w:rsidRPr="006C582D" w:rsidR="001C16FA" w:rsidP="000D3A01" w:rsidRDefault="001C16FA" w14:paraId="0AE11C35" w14:textId="0E33C5B5">
      <w:pPr>
        <w:pStyle w:val="Heading1"/>
        <w:keepNext/>
        <w:tabs>
          <w:tab w:val="clear" w:pos="720"/>
        </w:tabs>
        <w:spacing w:before="0"/>
        <w:ind w:left="360" w:hanging="360"/>
      </w:pPr>
      <w:bookmarkStart w:name="_Toc335049175" w:id="15"/>
      <w:bookmarkStart w:name="_Toc41483961" w:id="16"/>
      <w:r w:rsidRPr="006C582D">
        <w:t>Map of Service Territory</w:t>
      </w:r>
      <w:bookmarkEnd w:id="15"/>
      <w:bookmarkEnd w:id="16"/>
      <w:r w:rsidRPr="006C582D" w:rsidR="00B0375A">
        <w:t xml:space="preserve"> </w:t>
      </w:r>
    </w:p>
    <w:p w:rsidRPr="006C582D" w:rsidR="001C16FA" w:rsidP="001C16FA" w:rsidRDefault="0065191B" w14:paraId="7903E1F6" w14:textId="3D578D33">
      <w:pPr>
        <w:pStyle w:val="standard"/>
      </w:pPr>
      <w:r w:rsidRPr="006C582D">
        <w:t xml:space="preserve">To be granted a CPCN for authority to provide </w:t>
      </w:r>
      <w:r w:rsidRPr="006C582D" w:rsidR="00361AC5">
        <w:t xml:space="preserve">competitive </w:t>
      </w:r>
      <w:r w:rsidRPr="006C582D">
        <w:t>local exchange service, an applicant must provide a map of the service territories it proposes to serve.</w:t>
      </w:r>
      <w:r w:rsidRPr="006C582D">
        <w:rPr>
          <w:rStyle w:val="FootnoteReference"/>
        </w:rPr>
        <w:footnoteReference w:id="13"/>
      </w:r>
      <w:r w:rsidRPr="006C582D">
        <w:t xml:space="preserve">  </w:t>
      </w:r>
      <w:r w:rsidRPr="006C582D" w:rsidR="00A1359A">
        <w:t xml:space="preserve">In </w:t>
      </w:r>
      <w:r w:rsidRPr="006C582D" w:rsidR="00C448AA">
        <w:t xml:space="preserve">its Response, </w:t>
      </w:r>
      <w:r w:rsidRPr="006C582D" w:rsidR="0028542B">
        <w:rPr>
          <w:bCs/>
        </w:rPr>
        <w:t>Hudson</w:t>
      </w:r>
      <w:r w:rsidRPr="006C582D" w:rsidR="001C16FA">
        <w:t xml:space="preserve"> </w:t>
      </w:r>
      <w:r w:rsidRPr="006C582D" w:rsidR="00B108D7">
        <w:t xml:space="preserve">provided a map of the location of its proposed </w:t>
      </w:r>
      <w:r w:rsidRPr="006C582D" w:rsidR="00157F2D">
        <w:t>service territory</w:t>
      </w:r>
      <w:r w:rsidRPr="006C582D" w:rsidR="00B108D7">
        <w:t xml:space="preserve">, in </w:t>
      </w:r>
      <w:r w:rsidRPr="006C582D" w:rsidR="001C16FA">
        <w:t>compli</w:t>
      </w:r>
      <w:r w:rsidRPr="006C582D" w:rsidR="00B108D7">
        <w:t>ance</w:t>
      </w:r>
      <w:r w:rsidRPr="006C582D" w:rsidR="001C16FA">
        <w:t xml:space="preserve"> with this requirement.</w:t>
      </w:r>
    </w:p>
    <w:p w:rsidRPr="006C582D" w:rsidR="00FB7E02" w:rsidP="000D3A01" w:rsidRDefault="0006375B" w14:paraId="250089DD" w14:textId="16C17ADD">
      <w:pPr>
        <w:pStyle w:val="Heading1"/>
        <w:keepNext/>
        <w:spacing w:before="0"/>
        <w:ind w:left="360" w:hanging="360"/>
      </w:pPr>
      <w:bookmarkStart w:name="_Toc41483962" w:id="17"/>
      <w:bookmarkStart w:name="_Toc335049176" w:id="18"/>
      <w:r w:rsidRPr="006C582D">
        <w:t>Rule</w:t>
      </w:r>
      <w:r w:rsidRPr="006C582D" w:rsidR="00011541">
        <w:t> </w:t>
      </w:r>
      <w:r w:rsidRPr="006C582D">
        <w:t>3.1(i) Statement</w:t>
      </w:r>
      <w:bookmarkEnd w:id="17"/>
      <w:r w:rsidRPr="006C582D" w:rsidR="008046CE">
        <w:t xml:space="preserve"> </w:t>
      </w:r>
      <w:bookmarkEnd w:id="18"/>
    </w:p>
    <w:p w:rsidRPr="006C582D" w:rsidR="00FB7E02" w:rsidP="00FB7E02" w:rsidRDefault="00FB7E02" w14:paraId="20B5A18E" w14:textId="68FC249F">
      <w:pPr>
        <w:pStyle w:val="standard"/>
      </w:pPr>
      <w:r w:rsidRPr="006C582D">
        <w:t>Rule</w:t>
      </w:r>
      <w:r w:rsidRPr="006C582D" w:rsidR="00011541">
        <w:t> </w:t>
      </w:r>
      <w:r w:rsidRPr="006C582D">
        <w:t>3.1(i) sets forth the requirement that a utility filing an application under Pub.</w:t>
      </w:r>
      <w:r w:rsidRPr="006C582D" w:rsidR="00011541">
        <w:t> </w:t>
      </w:r>
      <w:r w:rsidRPr="006C582D">
        <w:t>Util. Code §</w:t>
      </w:r>
      <w:r w:rsidRPr="006C582D" w:rsidR="00DE6AF6">
        <w:t> </w:t>
      </w:r>
      <w:r w:rsidRPr="006C582D">
        <w:t>1001, provide a statement regarding GO</w:t>
      </w:r>
      <w:r w:rsidRPr="006C582D" w:rsidR="00011541">
        <w:t> </w:t>
      </w:r>
      <w:r w:rsidRPr="006C582D">
        <w:t>104</w:t>
      </w:r>
      <w:r w:rsidRPr="006C582D" w:rsidR="00D312EE">
        <w:noBreakHyphen/>
      </w:r>
      <w:r w:rsidRPr="006C582D">
        <w:t>A</w:t>
      </w:r>
      <w:r w:rsidRPr="006C582D" w:rsidR="0006375B">
        <w:t>, Section</w:t>
      </w:r>
      <w:r w:rsidRPr="006C582D" w:rsidR="00011541">
        <w:t> </w:t>
      </w:r>
      <w:r w:rsidRPr="006C582D" w:rsidR="0006375B">
        <w:t>2</w:t>
      </w:r>
      <w:r w:rsidRPr="006C582D">
        <w:t xml:space="preserve">.  </w:t>
      </w:r>
      <w:r w:rsidRPr="006C582D" w:rsidR="002F4A9D">
        <w:rPr>
          <w:bCs/>
        </w:rPr>
        <w:lastRenderedPageBreak/>
        <w:t>Hudson</w:t>
      </w:r>
      <w:r w:rsidRPr="006C582D">
        <w:t xml:space="preserve"> states that it is not aware of any reportable matters pursuant to </w:t>
      </w:r>
      <w:r w:rsidR="00C41A0E">
        <w:t>GO</w:t>
      </w:r>
      <w:r w:rsidRPr="006C582D" w:rsidR="00011541">
        <w:t> </w:t>
      </w:r>
      <w:r w:rsidRPr="006C582D">
        <w:t>104</w:t>
      </w:r>
      <w:r w:rsidRPr="006C582D" w:rsidR="00D312EE">
        <w:noBreakHyphen/>
      </w:r>
      <w:r w:rsidRPr="006C582D">
        <w:t>A, Section</w:t>
      </w:r>
      <w:r w:rsidRPr="006C582D" w:rsidR="00011541">
        <w:t> </w:t>
      </w:r>
      <w:r w:rsidRPr="006C582D">
        <w:t xml:space="preserve">2.  </w:t>
      </w:r>
      <w:r w:rsidRPr="006C582D" w:rsidR="002F4A9D">
        <w:rPr>
          <w:bCs/>
        </w:rPr>
        <w:t>Hudson</w:t>
      </w:r>
      <w:r w:rsidRPr="006C582D">
        <w:t>, therefore, has nothing to report under this rule.</w:t>
      </w:r>
      <w:r w:rsidRPr="006C582D" w:rsidR="00B25D85">
        <w:t xml:space="preserve"> </w:t>
      </w:r>
      <w:r w:rsidRPr="006C582D">
        <w:t xml:space="preserve"> </w:t>
      </w:r>
    </w:p>
    <w:p w:rsidRPr="006C582D" w:rsidR="00FB7E02" w:rsidP="00FB7E02" w:rsidRDefault="00FB7E02" w14:paraId="730375E3" w14:textId="4B243A5A">
      <w:pPr>
        <w:pStyle w:val="standard"/>
      </w:pPr>
      <w:r w:rsidRPr="006C582D">
        <w:t xml:space="preserve">On a going forward basis, though, </w:t>
      </w:r>
      <w:r w:rsidRPr="006C582D" w:rsidR="002F4A9D">
        <w:rPr>
          <w:bCs/>
        </w:rPr>
        <w:t>Hudson</w:t>
      </w:r>
      <w:r w:rsidRPr="006C582D">
        <w:t xml:space="preserve"> must file all reports required of a public utility under Commission jurisdiction.</w:t>
      </w:r>
    </w:p>
    <w:p w:rsidRPr="006C582D" w:rsidR="00A94870" w:rsidP="000D3A01" w:rsidRDefault="00A94870" w14:paraId="66CE733C" w14:textId="77777777">
      <w:pPr>
        <w:pStyle w:val="Heading1"/>
        <w:keepNext/>
        <w:spacing w:before="0"/>
        <w:ind w:left="360" w:hanging="360"/>
      </w:pPr>
      <w:bookmarkStart w:name="_Toc335049177" w:id="19"/>
      <w:bookmarkStart w:name="_Toc41483963" w:id="20"/>
      <w:r w:rsidRPr="006C582D">
        <w:t>Expected Customer Base</w:t>
      </w:r>
      <w:bookmarkEnd w:id="19"/>
      <w:bookmarkEnd w:id="20"/>
    </w:p>
    <w:p w:rsidRPr="006C582D" w:rsidR="005A7C38" w:rsidP="00A64B0D" w:rsidRDefault="002F4A9D" w14:paraId="1927A2AF" w14:textId="6D67FC04">
      <w:pPr>
        <w:pStyle w:val="standard"/>
      </w:pPr>
      <w:r w:rsidRPr="006C582D">
        <w:rPr>
          <w:bCs/>
        </w:rPr>
        <w:t>Hudson</w:t>
      </w:r>
      <w:r w:rsidRPr="006C582D" w:rsidR="00A64B0D">
        <w:t xml:space="preserve"> </w:t>
      </w:r>
      <w:r w:rsidRPr="006C582D" w:rsidR="00C45D39">
        <w:t>provided its estimated customer base for the first and fifth years of operation i</w:t>
      </w:r>
      <w:r w:rsidRPr="006C582D" w:rsidR="00A94870">
        <w:t xml:space="preserve">n </w:t>
      </w:r>
      <w:r w:rsidRPr="006C582D" w:rsidR="005A7C38">
        <w:t xml:space="preserve">Exhibit </w:t>
      </w:r>
      <w:r w:rsidRPr="006C582D">
        <w:t>H</w:t>
      </w:r>
      <w:r w:rsidRPr="006C582D" w:rsidR="006262A6">
        <w:t xml:space="preserve"> </w:t>
      </w:r>
      <w:r w:rsidRPr="006C582D" w:rsidR="00D16272">
        <w:t>of its</w:t>
      </w:r>
      <w:r w:rsidRPr="006C582D" w:rsidR="00C448AA">
        <w:t xml:space="preserve"> </w:t>
      </w:r>
      <w:r w:rsidRPr="006C582D" w:rsidR="00B25D85">
        <w:t xml:space="preserve">application. </w:t>
      </w:r>
      <w:r w:rsidRPr="006C582D" w:rsidR="00C448AA">
        <w:t xml:space="preserve"> Therefore, </w:t>
      </w:r>
      <w:r w:rsidRPr="006C582D">
        <w:rPr>
          <w:bCs/>
        </w:rPr>
        <w:t>Hudson</w:t>
      </w:r>
      <w:r w:rsidRPr="006C582D" w:rsidR="00C448AA">
        <w:t xml:space="preserve"> has complied with this requirement</w:t>
      </w:r>
      <w:r w:rsidRPr="006C582D" w:rsidR="00C45D39">
        <w:t>.</w:t>
      </w:r>
    </w:p>
    <w:p w:rsidRPr="006C582D" w:rsidR="009013DE" w:rsidP="000D3A01" w:rsidRDefault="009013DE" w14:paraId="2098DDE8" w14:textId="510A3423">
      <w:pPr>
        <w:pStyle w:val="Heading1"/>
        <w:keepNext/>
        <w:spacing w:before="0"/>
        <w:ind w:left="360" w:hanging="360"/>
      </w:pPr>
      <w:bookmarkStart w:name="_Toc41483964" w:id="21"/>
      <w:r w:rsidRPr="006C582D">
        <w:t xml:space="preserve">Request for Treatment as a </w:t>
      </w:r>
      <w:r w:rsidR="00766C9B">
        <w:br/>
      </w:r>
      <w:r w:rsidRPr="006C582D">
        <w:t>Non-dominant Carrier</w:t>
      </w:r>
      <w:bookmarkEnd w:id="21"/>
    </w:p>
    <w:p w:rsidRPr="006C582D" w:rsidR="005A7C38" w:rsidP="005A7C38" w:rsidRDefault="005A7C38" w14:paraId="5E5497BB" w14:textId="0CCD9C37">
      <w:pPr>
        <w:pStyle w:val="standard"/>
      </w:pPr>
      <w:r w:rsidRPr="006C582D">
        <w:t>Applicant</w:t>
      </w:r>
      <w:r w:rsidRPr="006C582D">
        <w:rPr>
          <w:b/>
        </w:rPr>
        <w:t xml:space="preserve"> </w:t>
      </w:r>
      <w:r w:rsidRPr="006C582D">
        <w:t>requests treatment as a non</w:t>
      </w:r>
      <w:r w:rsidRPr="006C582D" w:rsidR="00D312EE">
        <w:noBreakHyphen/>
      </w:r>
      <w:r w:rsidRPr="006C582D">
        <w:t>dominant interexchange carrier, which would include exemption from the requirements of Pub.</w:t>
      </w:r>
      <w:r w:rsidRPr="006C582D" w:rsidR="00303C65">
        <w:t> </w:t>
      </w:r>
      <w:r w:rsidRPr="006C582D">
        <w:t>Util. Code</w:t>
      </w:r>
      <w:r w:rsidRPr="006C582D" w:rsidR="00303C65">
        <w:t> </w:t>
      </w:r>
      <w:r w:rsidRPr="006C582D">
        <w:t>§§ 816</w:t>
      </w:r>
      <w:r w:rsidRPr="006C582D" w:rsidR="00D312EE">
        <w:noBreakHyphen/>
      </w:r>
      <w:r w:rsidRPr="006C582D">
        <w:t>830 conce</w:t>
      </w:r>
      <w:r w:rsidRPr="006C582D" w:rsidR="00DE6AF6">
        <w:t>rning stocks and security and § </w:t>
      </w:r>
      <w:r w:rsidRPr="006C582D">
        <w:t xml:space="preserve">851 concerning the encumbrance and transfer of utility property. </w:t>
      </w:r>
      <w:r w:rsidRPr="006C582D" w:rsidR="00217D53">
        <w:t xml:space="preserve"> While the Commission has granted exemption from §§ 816</w:t>
      </w:r>
      <w:r w:rsidRPr="006C582D" w:rsidR="00E64E88">
        <w:noBreakHyphen/>
      </w:r>
      <w:r w:rsidRPr="006C582D" w:rsidR="00217D53">
        <w:t xml:space="preserve">830 to others, </w:t>
      </w:r>
      <w:r w:rsidRPr="006C582D" w:rsidR="007260B7">
        <w:t>exemption from § 851 i</w:t>
      </w:r>
      <w:r w:rsidRPr="006C582D" w:rsidR="00217D53">
        <w:t xml:space="preserve">s not </w:t>
      </w:r>
      <w:r w:rsidRPr="006C582D" w:rsidR="007260B7">
        <w:t>commonly granted</w:t>
      </w:r>
      <w:r w:rsidRPr="006C582D" w:rsidR="00217D53">
        <w:t xml:space="preserve"> and </w:t>
      </w:r>
      <w:r w:rsidRPr="006C582D" w:rsidR="007260B7">
        <w:t>an exception is not warra</w:t>
      </w:r>
      <w:r w:rsidRPr="006C582D" w:rsidR="00217D53">
        <w:t>nted here.</w:t>
      </w:r>
      <w:r w:rsidRPr="006C582D">
        <w:t xml:space="preserve"> </w:t>
      </w:r>
      <w:r w:rsidRPr="006C582D" w:rsidR="00EE2BDE">
        <w:t xml:space="preserve"> </w:t>
      </w:r>
      <w:r w:rsidRPr="006C582D">
        <w:t>The Commission detailed its rules regarding exemption of non</w:t>
      </w:r>
      <w:r w:rsidRPr="006C582D" w:rsidR="00D312EE">
        <w:noBreakHyphen/>
      </w:r>
      <w:r w:rsidRPr="006C582D">
        <w:t>dominant carriers in D.85</w:t>
      </w:r>
      <w:r w:rsidRPr="006C582D" w:rsidR="00D312EE">
        <w:noBreakHyphen/>
      </w:r>
      <w:r w:rsidRPr="006C582D">
        <w:t>01</w:t>
      </w:r>
      <w:r w:rsidRPr="006C582D" w:rsidR="00D312EE">
        <w:noBreakHyphen/>
      </w:r>
      <w:r w:rsidRPr="006C582D">
        <w:t>008, and subsequently modified in D.85</w:t>
      </w:r>
      <w:r w:rsidRPr="006C582D" w:rsidR="00D312EE">
        <w:noBreakHyphen/>
      </w:r>
      <w:r w:rsidRPr="006C582D">
        <w:t>07</w:t>
      </w:r>
      <w:r w:rsidRPr="006C582D" w:rsidR="00D312EE">
        <w:noBreakHyphen/>
      </w:r>
      <w:r w:rsidRPr="006C582D">
        <w:t>081 and D.85</w:t>
      </w:r>
      <w:r w:rsidRPr="006C582D" w:rsidR="00D312EE">
        <w:noBreakHyphen/>
      </w:r>
      <w:r w:rsidRPr="006C582D">
        <w:t>11</w:t>
      </w:r>
      <w:r w:rsidRPr="006C582D" w:rsidR="00D312EE">
        <w:noBreakHyphen/>
      </w:r>
      <w:r w:rsidRPr="006C582D">
        <w:t>044.</w:t>
      </w:r>
      <w:r w:rsidRPr="006C582D" w:rsidR="00851C98">
        <w:t xml:space="preserve">  </w:t>
      </w:r>
      <w:r w:rsidRPr="006C582D" w:rsidR="006A48FC">
        <w:t>Applicant requests to provide service to business customers only</w:t>
      </w:r>
      <w:r w:rsidRPr="006C582D" w:rsidR="007D40CA">
        <w:t xml:space="preserve">. </w:t>
      </w:r>
      <w:r w:rsidRPr="006C582D" w:rsidR="006A48FC">
        <w:t xml:space="preserve"> </w:t>
      </w:r>
      <w:r w:rsidRPr="006C582D">
        <w:t>We grant Applicant’s request for non</w:t>
      </w:r>
      <w:r w:rsidRPr="006C582D" w:rsidR="00D312EE">
        <w:noBreakHyphen/>
      </w:r>
      <w:r w:rsidRPr="006C582D">
        <w:t>dominant interexchange carrier status</w:t>
      </w:r>
      <w:r w:rsidRPr="006C582D" w:rsidR="007D40CA">
        <w:t>, which provides an exemption fr</w:t>
      </w:r>
      <w:r w:rsidRPr="006C582D" w:rsidR="00591FE5">
        <w:t>om</w:t>
      </w:r>
      <w:r w:rsidRPr="006C582D" w:rsidR="007D40CA">
        <w:t xml:space="preserve"> Pub. Util. Code §§ 816</w:t>
      </w:r>
      <w:r w:rsidRPr="006C582D" w:rsidR="007D40CA">
        <w:noBreakHyphen/>
        <w:t>830 concerning stocks and security</w:t>
      </w:r>
      <w:r w:rsidRPr="006C582D">
        <w:t xml:space="preserve">, provided that </w:t>
      </w:r>
      <w:r w:rsidRPr="006C582D" w:rsidR="008F50E0">
        <w:t>it</w:t>
      </w:r>
      <w:r w:rsidRPr="006C582D">
        <w:t xml:space="preserve"> follow</w:t>
      </w:r>
      <w:r w:rsidRPr="006C582D" w:rsidR="008F50E0">
        <w:t>s</w:t>
      </w:r>
      <w:r w:rsidRPr="006C582D">
        <w:t xml:space="preserve"> all rules detailed in the above referenced decisions.</w:t>
      </w:r>
      <w:r w:rsidRPr="006C582D" w:rsidR="004B100E">
        <w:rPr>
          <w:rStyle w:val="FootnoteReference"/>
        </w:rPr>
        <w:t xml:space="preserve"> </w:t>
      </w:r>
    </w:p>
    <w:p w:rsidRPr="006C582D" w:rsidR="00D009B5" w:rsidP="00BB7D58" w:rsidRDefault="00D009B5" w14:paraId="6E4DD4B2" w14:textId="77777777">
      <w:pPr>
        <w:pStyle w:val="Heading1"/>
        <w:tabs>
          <w:tab w:val="clear" w:pos="720"/>
        </w:tabs>
        <w:spacing w:before="0"/>
        <w:ind w:left="360" w:hanging="360"/>
      </w:pPr>
      <w:bookmarkStart w:name="_Toc41483965" w:id="22"/>
      <w:bookmarkStart w:name="_Toc335049180" w:id="23"/>
      <w:r w:rsidRPr="006C582D">
        <w:t>Safety Considerations</w:t>
      </w:r>
      <w:bookmarkEnd w:id="22"/>
    </w:p>
    <w:p w:rsidRPr="006C582D" w:rsidR="00D009B5" w:rsidP="00D009B5" w:rsidRDefault="00D009B5" w14:paraId="3AE5A2DB" w14:textId="5483AD68">
      <w:pPr>
        <w:pStyle w:val="standard"/>
      </w:pPr>
      <w:r w:rsidRPr="006C582D">
        <w:t xml:space="preserve">With the adoption of the </w:t>
      </w:r>
      <w:r w:rsidRPr="006C582D">
        <w:rPr>
          <w:i/>
        </w:rPr>
        <w:t>Safety Policy Statement of the California Public Utilities Commission</w:t>
      </w:r>
      <w:r w:rsidRPr="006C582D">
        <w:t xml:space="preserve"> on July 10, 2014, the Commission has, among other things, heightened its focus on the potential safety implications of every proceeding.  We have considered the potential safety implications here.  </w:t>
      </w:r>
      <w:r w:rsidRPr="006C582D" w:rsidR="005C41B8">
        <w:t>The Commission is</w:t>
      </w:r>
      <w:r w:rsidRPr="006C582D">
        <w:t xml:space="preserve"> </w:t>
      </w:r>
      <w:r w:rsidRPr="006C582D">
        <w:lastRenderedPageBreak/>
        <w:t xml:space="preserve">satisfied that </w:t>
      </w:r>
      <w:r w:rsidRPr="006C582D" w:rsidR="00332975">
        <w:rPr>
          <w:bCs/>
        </w:rPr>
        <w:t>Hudson</w:t>
      </w:r>
      <w:r w:rsidRPr="006C582D">
        <w:t xml:space="preserve"> will meet the Commission’s minimum safety goals and expectations of </w:t>
      </w:r>
      <w:r w:rsidRPr="006C582D" w:rsidR="00085455">
        <w:t>competitive local exchange carriers (</w:t>
      </w:r>
      <w:r w:rsidRPr="006C582D">
        <w:t>CLECs</w:t>
      </w:r>
      <w:r w:rsidRPr="006C582D" w:rsidR="00085455">
        <w:t>)</w:t>
      </w:r>
      <w:r w:rsidRPr="006C582D" w:rsidR="0050179E">
        <w:t xml:space="preserve"> because:</w:t>
      </w:r>
      <w:r w:rsidRPr="006C582D">
        <w:t xml:space="preserve"> (1) </w:t>
      </w:r>
      <w:r w:rsidRPr="006C582D" w:rsidR="00332975">
        <w:rPr>
          <w:bCs/>
        </w:rPr>
        <w:t>Hudson</w:t>
      </w:r>
      <w:r w:rsidRPr="006C582D">
        <w:t xml:space="preserve"> has taken steps to meet the financial requirements as set forth in this decision for a facilities-based CLEC, and (2) </w:t>
      </w:r>
      <w:r w:rsidRPr="006C582D" w:rsidR="00332975">
        <w:rPr>
          <w:bCs/>
        </w:rPr>
        <w:t>Hudson</w:t>
      </w:r>
      <w:r w:rsidRPr="006C582D">
        <w:t xml:space="preserve"> is a public utility that is required pursuant to Pub. Util. Code § 451 to “… furnish and maintain such adequate, efficient, just and reasonable service, instrumentalities, equipment, and facilities, including telephone facilities …  as are necessary to promote the safety, health, comfort, and convenience of its patrons, employees, and the public.”  </w:t>
      </w:r>
    </w:p>
    <w:p w:rsidRPr="006C582D" w:rsidR="005A7C38" w:rsidP="00BB7D58" w:rsidRDefault="005A7C38" w14:paraId="16A57E82" w14:textId="77777777">
      <w:pPr>
        <w:pStyle w:val="Heading1"/>
        <w:tabs>
          <w:tab w:val="clear" w:pos="720"/>
        </w:tabs>
        <w:spacing w:before="0"/>
        <w:ind w:left="360" w:hanging="360"/>
      </w:pPr>
      <w:bookmarkStart w:name="_Toc41483966" w:id="24"/>
      <w:r w:rsidRPr="006C582D">
        <w:t>Conclusion</w:t>
      </w:r>
      <w:bookmarkEnd w:id="23"/>
      <w:bookmarkEnd w:id="24"/>
    </w:p>
    <w:p w:rsidRPr="006C582D" w:rsidR="00EF1A50" w:rsidRDefault="00EF1A50" w14:paraId="65F2F79F" w14:textId="3B5E70BB">
      <w:pPr>
        <w:pStyle w:val="standard"/>
      </w:pPr>
      <w:r w:rsidRPr="006C582D">
        <w:t xml:space="preserve">We conclude that the application conforms to our rules for certification as a </w:t>
      </w:r>
      <w:r w:rsidRPr="006C582D" w:rsidR="0033076B">
        <w:t xml:space="preserve">competitive local </w:t>
      </w:r>
      <w:r w:rsidRPr="006C582D" w:rsidR="001D7047">
        <w:t xml:space="preserve">exchange and interexchange </w:t>
      </w:r>
      <w:r w:rsidRPr="006C582D" w:rsidR="0033076B">
        <w:t>carrier</w:t>
      </w:r>
      <w:r w:rsidRPr="006C582D">
        <w:t>.  Accordingly, we grant</w:t>
      </w:r>
      <w:r w:rsidRPr="006C582D" w:rsidR="00D90213">
        <w:t xml:space="preserve"> </w:t>
      </w:r>
      <w:r w:rsidRPr="006C582D">
        <w:t>a CPCN to provide</w:t>
      </w:r>
      <w:r w:rsidRPr="006C582D" w:rsidR="00356160">
        <w:t xml:space="preserve"> </w:t>
      </w:r>
      <w:r w:rsidRPr="006C582D" w:rsidR="00E45C21">
        <w:t>full facilities</w:t>
      </w:r>
      <w:r w:rsidRPr="006C582D" w:rsidR="00E45C21">
        <w:noBreakHyphen/>
        <w:t xml:space="preserve">based </w:t>
      </w:r>
      <w:r w:rsidRPr="006C582D" w:rsidR="00D90213">
        <w:t>and</w:t>
      </w:r>
      <w:r w:rsidRPr="006C582D" w:rsidR="00E45C21">
        <w:t xml:space="preserve"> resold competitive local exchange </w:t>
      </w:r>
      <w:r w:rsidR="00140F99">
        <w:t xml:space="preserve">telecommunications </w:t>
      </w:r>
      <w:r w:rsidRPr="006C582D" w:rsidR="00E45C21">
        <w:t xml:space="preserve">service </w:t>
      </w:r>
      <w:r w:rsidRPr="006C582D" w:rsidR="00AA3FFE">
        <w:t xml:space="preserve">in the service </w:t>
      </w:r>
      <w:r w:rsidRPr="006C582D" w:rsidR="00FB7E02">
        <w:t xml:space="preserve">territory </w:t>
      </w:r>
      <w:r w:rsidRPr="006C582D" w:rsidR="00AA3FFE">
        <w:t xml:space="preserve">of </w:t>
      </w:r>
      <w:r w:rsidRPr="006C582D" w:rsidR="00407BDE">
        <w:t>AT&amp;T</w:t>
      </w:r>
      <w:r w:rsidRPr="006C582D" w:rsidR="00A821F7">
        <w:t xml:space="preserve"> California</w:t>
      </w:r>
      <w:r w:rsidRPr="006C582D" w:rsidR="00AA3FFE">
        <w:t xml:space="preserve">, </w:t>
      </w:r>
      <w:r w:rsidRPr="006C582D" w:rsidR="005B42EA">
        <w:t>Frontier</w:t>
      </w:r>
      <w:r w:rsidRPr="006C582D" w:rsidR="00407BDE">
        <w:t xml:space="preserve"> </w:t>
      </w:r>
      <w:r w:rsidRPr="006C582D" w:rsidR="00EF4AA7">
        <w:t>California</w:t>
      </w:r>
      <w:r w:rsidRPr="006C582D" w:rsidR="00AA2589">
        <w:t xml:space="preserve">, </w:t>
      </w:r>
      <w:r w:rsidRPr="006C582D" w:rsidR="00EF4AA7">
        <w:t>Frontier Communication</w:t>
      </w:r>
      <w:r w:rsidRPr="006C582D" w:rsidR="00AA2589">
        <w:t xml:space="preserve">s, and </w:t>
      </w:r>
      <w:r w:rsidRPr="006C582D" w:rsidR="00EF4AA7">
        <w:t>Consolidated</w:t>
      </w:r>
      <w:r w:rsidRPr="006C582D" w:rsidR="005D1AFB">
        <w:t xml:space="preserve"> Communications</w:t>
      </w:r>
      <w:r w:rsidRPr="006C582D" w:rsidR="00EF4AA7">
        <w:t xml:space="preserve"> </w:t>
      </w:r>
      <w:r w:rsidRPr="006C582D" w:rsidR="006B06F4">
        <w:t>and</w:t>
      </w:r>
      <w:r w:rsidRPr="006C582D" w:rsidR="00407BDE">
        <w:t xml:space="preserve"> </w:t>
      </w:r>
      <w:r w:rsidR="00F06A3F">
        <w:t xml:space="preserve">non-dominant </w:t>
      </w:r>
      <w:r w:rsidRPr="006C582D" w:rsidR="00AA2589">
        <w:t xml:space="preserve">interexchange service in California </w:t>
      </w:r>
      <w:r w:rsidRPr="006C582D">
        <w:t xml:space="preserve">subject to compliance with the terms and conditions set forth </w:t>
      </w:r>
      <w:r w:rsidRPr="006C582D" w:rsidR="00017E9D">
        <w:t>in the Ordering Paragraphs</w:t>
      </w:r>
      <w:r w:rsidRPr="006C582D">
        <w:t>.</w:t>
      </w:r>
    </w:p>
    <w:p w:rsidRPr="006C582D" w:rsidR="00840173" w:rsidP="00732645" w:rsidRDefault="00333352" w14:paraId="35128A05" w14:textId="2589DB60">
      <w:pPr>
        <w:spacing w:line="360" w:lineRule="auto"/>
        <w:ind w:firstLine="720"/>
        <w:rPr>
          <w:szCs w:val="26"/>
        </w:rPr>
      </w:pPr>
      <w:r w:rsidRPr="006C582D">
        <w:rPr>
          <w:szCs w:val="26"/>
        </w:rPr>
        <w:t xml:space="preserve">The CPCN granted by this decision provides benefits to </w:t>
      </w:r>
      <w:r w:rsidRPr="006C582D" w:rsidR="0017728E">
        <w:rPr>
          <w:rFonts w:ascii="Palatino Linotype" w:hAnsi="Palatino Linotype"/>
          <w:bCs/>
          <w:szCs w:val="26"/>
        </w:rPr>
        <w:t>Hudson</w:t>
      </w:r>
      <w:r w:rsidRPr="006C582D">
        <w:rPr>
          <w:szCs w:val="26"/>
        </w:rPr>
        <w:t xml:space="preserve"> and corresponding obligations.  </w:t>
      </w:r>
      <w:r w:rsidRPr="006C582D" w:rsidR="0017728E">
        <w:rPr>
          <w:rFonts w:ascii="Palatino Linotype" w:hAnsi="Palatino Linotype"/>
          <w:bCs/>
          <w:szCs w:val="26"/>
        </w:rPr>
        <w:t>Hudson</w:t>
      </w:r>
      <w:r w:rsidRPr="006C582D">
        <w:rPr>
          <w:szCs w:val="26"/>
        </w:rPr>
        <w:t xml:space="preserve"> receives authority to operate in the prescribed service territory</w:t>
      </w:r>
      <w:r w:rsidRPr="006C582D" w:rsidR="00840173">
        <w:rPr>
          <w:szCs w:val="26"/>
        </w:rPr>
        <w:t>, and t</w:t>
      </w:r>
      <w:r w:rsidRPr="006C582D" w:rsidR="00446E49">
        <w:rPr>
          <w:szCs w:val="26"/>
        </w:rPr>
        <w:t xml:space="preserve">his authority enables </w:t>
      </w:r>
      <w:r w:rsidRPr="006C582D" w:rsidR="0017728E">
        <w:rPr>
          <w:rFonts w:ascii="Palatino Linotype" w:hAnsi="Palatino Linotype"/>
          <w:bCs/>
          <w:szCs w:val="26"/>
        </w:rPr>
        <w:t>Hudson</w:t>
      </w:r>
      <w:r w:rsidRPr="006C582D" w:rsidR="00446E49">
        <w:rPr>
          <w:szCs w:val="26"/>
        </w:rPr>
        <w:t xml:space="preserve">, pursuant to </w:t>
      </w:r>
      <w:r w:rsidR="00BB7D58">
        <w:rPr>
          <w:szCs w:val="26"/>
        </w:rPr>
        <w:t>S</w:t>
      </w:r>
      <w:r w:rsidRPr="006C582D" w:rsidR="00446E49">
        <w:rPr>
          <w:szCs w:val="26"/>
        </w:rPr>
        <w:t xml:space="preserve">ection 251 of the 1934 Communications Act, as amended by the 1996 Telecommunications Act (47 U.S.C. </w:t>
      </w:r>
      <w:r w:rsidRPr="006C582D" w:rsidR="00466C0E">
        <w:rPr>
          <w:rFonts w:ascii="Book Antiqua" w:hAnsi="Book Antiqua"/>
          <w:szCs w:val="26"/>
        </w:rPr>
        <w:t>§</w:t>
      </w:r>
      <w:r w:rsidRPr="006C582D" w:rsidR="00466C0E">
        <w:rPr>
          <w:szCs w:val="26"/>
        </w:rPr>
        <w:t xml:space="preserve"> </w:t>
      </w:r>
      <w:r w:rsidRPr="006C582D" w:rsidR="00446E49">
        <w:rPr>
          <w:szCs w:val="26"/>
        </w:rPr>
        <w:t>251) , to interconnect with telecommunications carriers.</w:t>
      </w:r>
      <w:r w:rsidRPr="006C582D" w:rsidR="00446E49">
        <w:rPr>
          <w:rStyle w:val="FootnoteReference"/>
          <w:sz w:val="26"/>
          <w:szCs w:val="26"/>
        </w:rPr>
        <w:footnoteReference w:id="14"/>
      </w:r>
      <w:r w:rsidRPr="006C582D" w:rsidR="00446E49">
        <w:rPr>
          <w:szCs w:val="26"/>
        </w:rPr>
        <w:t xml:space="preserve">  This authority also enables </w:t>
      </w:r>
      <w:r w:rsidRPr="006C582D" w:rsidR="002B3CA4">
        <w:rPr>
          <w:rFonts w:ascii="Palatino Linotype" w:hAnsi="Palatino Linotype"/>
          <w:bCs/>
          <w:szCs w:val="26"/>
        </w:rPr>
        <w:t>Hudson</w:t>
      </w:r>
      <w:r w:rsidRPr="006C582D" w:rsidR="00446E49">
        <w:rPr>
          <w:rFonts w:ascii="Palatino Linotype" w:hAnsi="Palatino Linotype"/>
          <w:b/>
          <w:szCs w:val="26"/>
        </w:rPr>
        <w:t xml:space="preserve"> </w:t>
      </w:r>
      <w:r w:rsidRPr="006C582D" w:rsidR="00446E49">
        <w:rPr>
          <w:szCs w:val="26"/>
        </w:rPr>
        <w:t xml:space="preserve">to obtain access to public rights-of-way in California as set forth in D.98-10-058, </w:t>
      </w:r>
      <w:r w:rsidRPr="006C582D" w:rsidR="00485752">
        <w:rPr>
          <w:szCs w:val="26"/>
        </w:rPr>
        <w:t xml:space="preserve">, </w:t>
      </w:r>
      <w:r w:rsidRPr="006C582D" w:rsidR="00485752">
        <w:t xml:space="preserve">and </w:t>
      </w:r>
      <w:r w:rsidRPr="006C582D" w:rsidR="00485752">
        <w:lastRenderedPageBreak/>
        <w:t xml:space="preserve">approved in </w:t>
      </w:r>
      <w:r w:rsidRPr="006C582D" w:rsidR="00485752">
        <w:rPr>
          <w:i/>
          <w:iCs/>
        </w:rPr>
        <w:t>T-Mobile West LLC v. City and County of San Francisco</w:t>
      </w:r>
      <w:r w:rsidRPr="006C582D" w:rsidR="00485752">
        <w:t>, 6 Cal. 5</w:t>
      </w:r>
      <w:r w:rsidRPr="006C582D" w:rsidR="00485752">
        <w:rPr>
          <w:vertAlign w:val="superscript"/>
        </w:rPr>
        <w:t>th</w:t>
      </w:r>
      <w:r w:rsidRPr="006C582D" w:rsidR="00485752">
        <w:t xml:space="preserve"> 1107 (2019)”-</w:t>
      </w:r>
      <w:r w:rsidRPr="006C582D" w:rsidR="00446E49">
        <w:rPr>
          <w:szCs w:val="26"/>
        </w:rPr>
        <w:t xml:space="preserve">subject to the CEQA requirements set forth in this decision.  </w:t>
      </w:r>
    </w:p>
    <w:p w:rsidRPr="006C582D" w:rsidR="00333352" w:rsidP="00732645" w:rsidRDefault="00446E49" w14:paraId="2345B3F1" w14:textId="44C40F11">
      <w:pPr>
        <w:spacing w:line="360" w:lineRule="auto"/>
        <w:ind w:firstLine="720"/>
      </w:pPr>
      <w:r w:rsidRPr="006C582D">
        <w:rPr>
          <w:szCs w:val="26"/>
        </w:rPr>
        <w:t xml:space="preserve">In return, </w:t>
      </w:r>
      <w:r w:rsidRPr="006C582D" w:rsidR="002B3CA4">
        <w:rPr>
          <w:rFonts w:ascii="Palatino Linotype" w:hAnsi="Palatino Linotype"/>
          <w:bCs/>
          <w:szCs w:val="26"/>
        </w:rPr>
        <w:t>Hudson</w:t>
      </w:r>
      <w:r w:rsidRPr="006C582D">
        <w:rPr>
          <w:rFonts w:ascii="Palatino Linotype" w:hAnsi="Palatino Linotype"/>
          <w:b/>
          <w:szCs w:val="26"/>
        </w:rPr>
        <w:t xml:space="preserve"> </w:t>
      </w:r>
      <w:r w:rsidRPr="006C582D">
        <w:rPr>
          <w:szCs w:val="26"/>
        </w:rPr>
        <w:t xml:space="preserve">is obligated to comply with all Public Utilities Code provisions, Commission rules, </w:t>
      </w:r>
      <w:r w:rsidRPr="006C582D" w:rsidR="00840173">
        <w:rPr>
          <w:szCs w:val="26"/>
        </w:rPr>
        <w:t>General Orders</w:t>
      </w:r>
      <w:r w:rsidRPr="006C582D">
        <w:rPr>
          <w:szCs w:val="26"/>
        </w:rPr>
        <w:t>, and decisions applicable to telephone corporations providing approved services. </w:t>
      </w:r>
      <w:r w:rsidRPr="006C582D">
        <w:rPr>
          <w:b/>
          <w:bCs/>
          <w:szCs w:val="26"/>
        </w:rPr>
        <w:t xml:space="preserve"> </w:t>
      </w:r>
      <w:r w:rsidRPr="006C582D" w:rsidR="00333352">
        <w:t xml:space="preserve">The applicable </w:t>
      </w:r>
      <w:r w:rsidRPr="006C582D" w:rsidR="00840173">
        <w:t>statutes</w:t>
      </w:r>
      <w:r w:rsidRPr="006C582D" w:rsidR="00333352">
        <w:t xml:space="preserve">, </w:t>
      </w:r>
      <w:r w:rsidRPr="006C582D" w:rsidR="00840173">
        <w:t>rules</w:t>
      </w:r>
      <w:r w:rsidRPr="006C582D" w:rsidR="00333352">
        <w:t xml:space="preserve">, </w:t>
      </w:r>
      <w:r w:rsidRPr="006C582D" w:rsidR="00840173">
        <w:rPr>
          <w:szCs w:val="26"/>
        </w:rPr>
        <w:t>General Orders, and decisions</w:t>
      </w:r>
      <w:r w:rsidRPr="006C582D" w:rsidR="00333352">
        <w:t xml:space="preserve"> include, but are not limited to consumer protection rules, tariffing, and reporting requirements.  Moreover, </w:t>
      </w:r>
      <w:r w:rsidRPr="006C582D" w:rsidR="002B3CA4">
        <w:rPr>
          <w:rFonts w:ascii="Palatino Linotype" w:hAnsi="Palatino Linotype"/>
          <w:bCs/>
          <w:szCs w:val="26"/>
        </w:rPr>
        <w:t>Hudson</w:t>
      </w:r>
      <w:r w:rsidRPr="006C582D" w:rsidR="00333352">
        <w:t xml:space="preserve"> is obligated to pay all Commission prescribed user fees and public purpose program surcharges as set forth in the Appendix B of this decision, to comply with CEQA, and to adhere to Pub. Util. Code </w:t>
      </w:r>
      <w:r w:rsidRPr="006C582D" w:rsidR="008F50E0">
        <w:t>§</w:t>
      </w:r>
      <w:r w:rsidRPr="006C582D" w:rsidR="00333352">
        <w:t xml:space="preserve"> 451 which states that every  public utility “…shall furnish and maintain such adequate, efficient, just, and reasonable service, instrumentalities, equipment, and facilities, including telephone facilities, as defined in </w:t>
      </w:r>
      <w:r w:rsidRPr="006C582D" w:rsidR="008F50E0">
        <w:t xml:space="preserve">§ </w:t>
      </w:r>
      <w:r w:rsidRPr="006C582D" w:rsidR="00333352">
        <w:t>54.1 of the Civil Code, as are necessary to promote the safety, health, comfort, and convenience of its patrons, employees, and the public.”</w:t>
      </w:r>
    </w:p>
    <w:p w:rsidRPr="006C582D" w:rsidR="008046CE" w:rsidP="001F2924" w:rsidRDefault="008046CE" w14:paraId="4414DB06" w14:textId="726726FF">
      <w:pPr>
        <w:pStyle w:val="Heading1"/>
        <w:keepNext/>
        <w:widowControl w:val="0"/>
        <w:tabs>
          <w:tab w:val="clear" w:pos="720"/>
        </w:tabs>
        <w:spacing w:before="0"/>
        <w:ind w:left="360" w:hanging="360"/>
      </w:pPr>
      <w:bookmarkStart w:name="_Toc335049181" w:id="25"/>
      <w:bookmarkStart w:name="_Toc41483967" w:id="26"/>
      <w:r w:rsidRPr="006C582D">
        <w:t>Request to File Under Seal</w:t>
      </w:r>
      <w:bookmarkEnd w:id="25"/>
      <w:bookmarkEnd w:id="26"/>
    </w:p>
    <w:p w:rsidRPr="006C582D" w:rsidR="008046CE" w:rsidRDefault="008046CE" w14:paraId="6F23510A" w14:textId="5AA639DA">
      <w:pPr>
        <w:pStyle w:val="standard"/>
      </w:pPr>
      <w:r w:rsidRPr="006C582D">
        <w:t xml:space="preserve">Pursuant to Rule 11.4 of the Commission’s Rules of Practice and Procedure, </w:t>
      </w:r>
      <w:r w:rsidRPr="006C582D" w:rsidR="002B3CA4">
        <w:rPr>
          <w:rFonts w:ascii="Palatino Linotype" w:hAnsi="Palatino Linotype"/>
          <w:bCs/>
          <w:szCs w:val="26"/>
        </w:rPr>
        <w:t>Hudson</w:t>
      </w:r>
      <w:r w:rsidRPr="006C582D">
        <w:t xml:space="preserve"> has filed motions for leave to file Exhibit </w:t>
      </w:r>
      <w:r w:rsidRPr="006C582D" w:rsidR="002B3CA4">
        <w:rPr>
          <w:bCs/>
        </w:rPr>
        <w:t>G, Financial Showing, and Exhibit H</w:t>
      </w:r>
      <w:r w:rsidRPr="006C582D" w:rsidR="002B3CA4">
        <w:rPr>
          <w:b/>
        </w:rPr>
        <w:t xml:space="preserve">, </w:t>
      </w:r>
      <w:r w:rsidRPr="006C582D" w:rsidR="002B3CA4">
        <w:rPr>
          <w:bCs/>
        </w:rPr>
        <w:t>Estimated Customer Base,</w:t>
      </w:r>
      <w:r w:rsidRPr="006C582D" w:rsidR="002B3CA4">
        <w:rPr>
          <w:b/>
        </w:rPr>
        <w:t xml:space="preserve"> </w:t>
      </w:r>
      <w:r w:rsidRPr="006C582D">
        <w:t xml:space="preserve">to the application as confidential materials under seal.  </w:t>
      </w:r>
      <w:r w:rsidRPr="006C582D" w:rsidR="002B3CA4">
        <w:rPr>
          <w:rFonts w:ascii="Palatino Linotype" w:hAnsi="Palatino Linotype"/>
          <w:bCs/>
          <w:szCs w:val="26"/>
        </w:rPr>
        <w:t>Hudson</w:t>
      </w:r>
      <w:r w:rsidRPr="006C582D">
        <w:t xml:space="preserve"> represents that the information is </w:t>
      </w:r>
      <w:r w:rsidRPr="006C582D">
        <w:rPr>
          <w:szCs w:val="26"/>
        </w:rPr>
        <w:t xml:space="preserve">sensitive, and disclosure could place </w:t>
      </w:r>
      <w:r w:rsidRPr="006C582D" w:rsidR="002B3CA4">
        <w:rPr>
          <w:rFonts w:ascii="Palatino Linotype" w:hAnsi="Palatino Linotype"/>
          <w:bCs/>
          <w:szCs w:val="26"/>
        </w:rPr>
        <w:t>Hudson</w:t>
      </w:r>
      <w:r w:rsidRPr="006C582D">
        <w:rPr>
          <w:szCs w:val="26"/>
        </w:rPr>
        <w:t xml:space="preserve"> at an unfair business disadvantage</w:t>
      </w:r>
      <w:r w:rsidRPr="006C582D">
        <w:t xml:space="preserve">.  We have granted similar requests in the past and do so here. </w:t>
      </w:r>
    </w:p>
    <w:p w:rsidRPr="006C582D" w:rsidR="00EF1A50" w:rsidP="001F2924" w:rsidRDefault="00EF1A50" w14:paraId="38E8E0FF" w14:textId="18FDDA06">
      <w:pPr>
        <w:pStyle w:val="Heading1"/>
        <w:keepNext/>
        <w:tabs>
          <w:tab w:val="clear" w:pos="720"/>
        </w:tabs>
        <w:spacing w:before="0"/>
        <w:ind w:left="360" w:hanging="360"/>
      </w:pPr>
      <w:bookmarkStart w:name="_Toc335049182" w:id="27"/>
      <w:bookmarkStart w:name="_Toc41483968" w:id="28"/>
      <w:r w:rsidRPr="006C582D">
        <w:t>Categorization and Need for Hearings</w:t>
      </w:r>
      <w:bookmarkEnd w:id="27"/>
      <w:bookmarkEnd w:id="28"/>
    </w:p>
    <w:p w:rsidRPr="006C582D" w:rsidR="006727F6" w:rsidP="006727F6" w:rsidRDefault="00EF1A50" w14:paraId="03C2766F" w14:textId="7380776D">
      <w:pPr>
        <w:pStyle w:val="standard"/>
        <w:rPr>
          <w:i/>
        </w:rPr>
      </w:pPr>
      <w:r w:rsidRPr="006C582D">
        <w:t>In Resolution ALJ 176</w:t>
      </w:r>
      <w:r w:rsidRPr="006C582D" w:rsidR="00D312EE">
        <w:noBreakHyphen/>
      </w:r>
      <w:r w:rsidRPr="006C582D" w:rsidR="00B83BA0">
        <w:t>3</w:t>
      </w:r>
      <w:r w:rsidRPr="006C582D" w:rsidR="006727F6">
        <w:t>446</w:t>
      </w:r>
      <w:r w:rsidRPr="006C582D" w:rsidR="00E27293">
        <w:t>,</w:t>
      </w:r>
      <w:r w:rsidRPr="006C582D">
        <w:t xml:space="preserve"> dated </w:t>
      </w:r>
      <w:r w:rsidRPr="006C582D" w:rsidR="006727F6">
        <w:t>September 26, 2019</w:t>
      </w:r>
      <w:r w:rsidRPr="006C582D" w:rsidR="00044955">
        <w:t>,</w:t>
      </w:r>
      <w:r w:rsidRPr="006C582D">
        <w:t xml:space="preserve"> the Commission preliminarily categorized this application as ratesetting, and preliminarily determined that hearings were necessary.  </w:t>
      </w:r>
      <w:r w:rsidRPr="006C582D" w:rsidR="006727F6">
        <w:t xml:space="preserve">The Scoping Memo changed this </w:t>
      </w:r>
      <w:r w:rsidRPr="006C582D" w:rsidR="006727F6">
        <w:lastRenderedPageBreak/>
        <w:t xml:space="preserve">preliminary determination and found that evidentiary hearing was not necessary. </w:t>
      </w:r>
    </w:p>
    <w:p w:rsidRPr="006C582D" w:rsidR="00EF1A50" w:rsidP="00517D90" w:rsidRDefault="00EF1A50" w14:paraId="4DC8040B" w14:textId="77777777">
      <w:pPr>
        <w:pStyle w:val="Heading1"/>
        <w:tabs>
          <w:tab w:val="clear" w:pos="720"/>
        </w:tabs>
        <w:spacing w:before="0"/>
        <w:ind w:left="360" w:hanging="360"/>
      </w:pPr>
      <w:bookmarkStart w:name="_Toc335049183" w:id="29"/>
      <w:bookmarkStart w:name="_Toc41483969" w:id="30"/>
      <w:r w:rsidRPr="006C582D">
        <w:t>Comments on Draft Decision</w:t>
      </w:r>
      <w:bookmarkEnd w:id="29"/>
      <w:bookmarkEnd w:id="30"/>
    </w:p>
    <w:p w:rsidRPr="006C582D" w:rsidR="008046CE" w:rsidP="008046CE" w:rsidRDefault="00BF3413" w14:paraId="41E3EB46" w14:textId="77777777">
      <w:pPr>
        <w:pStyle w:val="standard"/>
      </w:pPr>
      <w:r w:rsidRPr="006C582D">
        <w:t xml:space="preserve">This is an uncontested matter in which the decision grants the relief requested.  Accordingly, pursuant to </w:t>
      </w:r>
      <w:r w:rsidRPr="006C582D" w:rsidR="008F50E0">
        <w:t>§</w:t>
      </w:r>
      <w:r w:rsidRPr="006C582D" w:rsidR="00A92F57">
        <w:t> </w:t>
      </w:r>
      <w:r w:rsidRPr="006C582D">
        <w:t>311(g)(2) of the Public Utilities Code and Rule 14.6(c)(2), the otherwise applicable 30</w:t>
      </w:r>
      <w:r w:rsidRPr="006C582D" w:rsidR="00D312EE">
        <w:noBreakHyphen/>
      </w:r>
      <w:r w:rsidRPr="006C582D">
        <w:t>day period for public review and comment is waived</w:t>
      </w:r>
      <w:r w:rsidRPr="006C582D" w:rsidR="008046CE">
        <w:t>.</w:t>
      </w:r>
    </w:p>
    <w:p w:rsidRPr="006C582D" w:rsidR="00EF1A50" w:rsidP="006F3BEF" w:rsidRDefault="00795814" w14:paraId="5FC5B3A5" w14:textId="77777777">
      <w:pPr>
        <w:pStyle w:val="Heading1"/>
        <w:tabs>
          <w:tab w:val="clear" w:pos="720"/>
        </w:tabs>
        <w:spacing w:before="0"/>
        <w:ind w:left="360" w:hanging="360"/>
      </w:pPr>
      <w:bookmarkStart w:name="_Toc335049184" w:id="31"/>
      <w:bookmarkStart w:name="_Toc41483970" w:id="32"/>
      <w:r w:rsidRPr="006C582D">
        <w:t>Assignment of Proceeding</w:t>
      </w:r>
      <w:bookmarkEnd w:id="31"/>
      <w:bookmarkEnd w:id="32"/>
    </w:p>
    <w:p w:rsidRPr="006C582D" w:rsidR="00EF1A50" w:rsidRDefault="004B100E" w14:paraId="3E89AB44" w14:textId="5BEF43C4">
      <w:pPr>
        <w:pStyle w:val="standard"/>
      </w:pPr>
      <w:r w:rsidRPr="006C582D">
        <w:t xml:space="preserve">Liane M. Randolph </w:t>
      </w:r>
      <w:r w:rsidRPr="006C582D" w:rsidR="00EF1A50">
        <w:t xml:space="preserve">is the </w:t>
      </w:r>
      <w:r w:rsidRPr="006C582D" w:rsidR="00B26BFF">
        <w:t xml:space="preserve">assigned </w:t>
      </w:r>
      <w:r w:rsidRPr="006C582D" w:rsidR="00EF1A50">
        <w:t xml:space="preserve">Commissioner and </w:t>
      </w:r>
      <w:r w:rsidRPr="006C582D">
        <w:t>Scarlett Liang-Uejio</w:t>
      </w:r>
      <w:r w:rsidRPr="006C582D" w:rsidR="00EF1A50">
        <w:t xml:space="preserve"> is the assigned </w:t>
      </w:r>
      <w:r w:rsidRPr="006C582D" w:rsidR="00A52959">
        <w:t>Administrative Law Judge</w:t>
      </w:r>
      <w:r w:rsidRPr="006C582D" w:rsidR="00006662">
        <w:t xml:space="preserve"> </w:t>
      </w:r>
      <w:r w:rsidRPr="006C582D" w:rsidR="00EF1A50">
        <w:t>in this proceeding.</w:t>
      </w:r>
    </w:p>
    <w:p w:rsidRPr="006C582D" w:rsidR="00333352" w:rsidP="00733F86" w:rsidRDefault="00A94870" w14:paraId="2EDFBBDA" w14:textId="227E9849">
      <w:pPr>
        <w:pStyle w:val="Heading1"/>
        <w:numPr>
          <w:ilvl w:val="0"/>
          <w:numId w:val="0"/>
        </w:numPr>
      </w:pPr>
      <w:bookmarkStart w:name="_Toc450990219" w:id="33"/>
      <w:bookmarkStart w:name="_Toc451151266" w:id="34"/>
      <w:bookmarkStart w:name="_Toc335049185" w:id="35"/>
      <w:bookmarkStart w:name="_Toc41483971" w:id="36"/>
      <w:r w:rsidRPr="006C582D">
        <w:t>Findings of Fact</w:t>
      </w:r>
      <w:bookmarkEnd w:id="33"/>
      <w:bookmarkEnd w:id="34"/>
      <w:bookmarkEnd w:id="35"/>
      <w:bookmarkEnd w:id="36"/>
      <w:r w:rsidRPr="006C582D" w:rsidR="001917AF">
        <w:t xml:space="preserve"> </w:t>
      </w:r>
    </w:p>
    <w:p w:rsidRPr="006C582D" w:rsidR="00333352" w:rsidP="001A2352" w:rsidRDefault="00044955" w14:paraId="58366E1D" w14:textId="03236F56">
      <w:pPr>
        <w:pStyle w:val="num1"/>
        <w:numPr>
          <w:ilvl w:val="0"/>
          <w:numId w:val="15"/>
        </w:numPr>
      </w:pPr>
      <w:r w:rsidRPr="006C582D">
        <w:rPr>
          <w:rFonts w:ascii="Palatino Linotype" w:hAnsi="Palatino Linotype"/>
          <w:bCs/>
          <w:szCs w:val="26"/>
        </w:rPr>
        <w:t xml:space="preserve">Hudson </w:t>
      </w:r>
      <w:r w:rsidRPr="006C582D" w:rsidR="00333352">
        <w:rPr>
          <w:rFonts w:ascii="Palatino Linotype" w:hAnsi="Palatino Linotype"/>
          <w:szCs w:val="26"/>
        </w:rPr>
        <w:t xml:space="preserve">is a telephone corporation and a public utility as defined in Pub. Util. Code </w:t>
      </w:r>
      <w:r w:rsidRPr="006C582D" w:rsidR="008F50E0">
        <w:t xml:space="preserve">§ </w:t>
      </w:r>
      <w:r w:rsidRPr="006C582D" w:rsidR="00333352">
        <w:rPr>
          <w:rFonts w:ascii="Palatino Linotype" w:hAnsi="Palatino Linotype"/>
          <w:szCs w:val="26"/>
        </w:rPr>
        <w:t xml:space="preserve">234(a) and </w:t>
      </w:r>
      <w:r w:rsidRPr="006C582D" w:rsidR="008F50E0">
        <w:t xml:space="preserve">§ </w:t>
      </w:r>
      <w:r w:rsidRPr="006C582D" w:rsidR="00333352">
        <w:rPr>
          <w:rFonts w:ascii="Palatino Linotype" w:hAnsi="Palatino Linotype"/>
          <w:szCs w:val="26"/>
        </w:rPr>
        <w:t>216(a).</w:t>
      </w:r>
    </w:p>
    <w:p w:rsidRPr="006C582D" w:rsidR="00006662" w:rsidP="00044955" w:rsidRDefault="00044955" w14:paraId="24C2C7C2" w14:textId="1C0AB90F">
      <w:pPr>
        <w:pStyle w:val="num1"/>
        <w:numPr>
          <w:ilvl w:val="0"/>
          <w:numId w:val="15"/>
        </w:numPr>
      </w:pPr>
      <w:r w:rsidRPr="006C582D">
        <w:rPr>
          <w:rFonts w:ascii="Palatino Linotype" w:hAnsi="Palatino Linotype"/>
          <w:bCs/>
          <w:szCs w:val="26"/>
        </w:rPr>
        <w:t xml:space="preserve">Hudson’s </w:t>
      </w:r>
      <w:r w:rsidRPr="006C582D" w:rsidR="00FB7E02">
        <w:t>proposed construction activit</w:t>
      </w:r>
      <w:r w:rsidRPr="006C582D" w:rsidR="00006662">
        <w:t xml:space="preserve">ies appear to </w:t>
      </w:r>
      <w:r w:rsidRPr="006C582D" w:rsidR="00FB7E02">
        <w:t>fall within one or more CEQA categorical exemptions.</w:t>
      </w:r>
      <w:r w:rsidRPr="006C582D" w:rsidR="00006662">
        <w:t xml:space="preserve"> </w:t>
      </w:r>
    </w:p>
    <w:p w:rsidRPr="006C582D" w:rsidR="00FB7E02" w:rsidP="001A2352" w:rsidRDefault="00044955" w14:paraId="5F7632E5" w14:textId="2D8D6CD1">
      <w:pPr>
        <w:pStyle w:val="num1"/>
        <w:numPr>
          <w:ilvl w:val="0"/>
          <w:numId w:val="15"/>
        </w:numPr>
      </w:pPr>
      <w:r w:rsidRPr="006C582D">
        <w:rPr>
          <w:rFonts w:ascii="Palatino Linotype" w:hAnsi="Palatino Linotype"/>
          <w:bCs/>
          <w:szCs w:val="26"/>
        </w:rPr>
        <w:t>Hudson</w:t>
      </w:r>
      <w:r w:rsidRPr="006C582D" w:rsidR="00FB7E02">
        <w:t xml:space="preserve">’s authority to provide </w:t>
      </w:r>
      <w:r w:rsidRPr="006C582D" w:rsidR="00006662">
        <w:t>telecommunications</w:t>
      </w:r>
      <w:r w:rsidRPr="006C582D" w:rsidR="00FB7E02">
        <w:t xml:space="preserve"> services will not have a significant adverse effect upon the environment.</w:t>
      </w:r>
    </w:p>
    <w:p w:rsidRPr="006C582D" w:rsidR="0062006F" w:rsidP="001A2352" w:rsidRDefault="00044955" w14:paraId="548B57BA" w14:textId="485247E7">
      <w:pPr>
        <w:pStyle w:val="num1"/>
        <w:numPr>
          <w:ilvl w:val="0"/>
          <w:numId w:val="15"/>
        </w:numPr>
      </w:pPr>
      <w:r w:rsidRPr="006C582D">
        <w:rPr>
          <w:rFonts w:ascii="Palatino Linotype" w:hAnsi="Palatino Linotype"/>
          <w:bCs/>
          <w:szCs w:val="26"/>
        </w:rPr>
        <w:t>Hudson</w:t>
      </w:r>
      <w:r w:rsidRPr="006C582D" w:rsidR="0062006F">
        <w:t xml:space="preserve"> has a minimum of $100,000 </w:t>
      </w:r>
      <w:r w:rsidRPr="006C582D" w:rsidR="00AA2589">
        <w:t xml:space="preserve"> </w:t>
      </w:r>
      <w:r w:rsidRPr="006C582D" w:rsidR="0062006F">
        <w:t>of cash or cash equivalent that is reasonably liquid and readily available to meet its start</w:t>
      </w:r>
      <w:r w:rsidRPr="006C582D" w:rsidR="00D312EE">
        <w:noBreakHyphen/>
      </w:r>
      <w:r w:rsidRPr="006C582D" w:rsidR="0062006F">
        <w:t>up expenses.</w:t>
      </w:r>
    </w:p>
    <w:p w:rsidRPr="006C582D" w:rsidR="00FB7E02" w:rsidP="001A2352" w:rsidRDefault="00044955" w14:paraId="00B160ED" w14:textId="747CFF56">
      <w:pPr>
        <w:pStyle w:val="num1"/>
        <w:numPr>
          <w:ilvl w:val="0"/>
          <w:numId w:val="15"/>
        </w:numPr>
      </w:pPr>
      <w:r w:rsidRPr="006C582D">
        <w:rPr>
          <w:rFonts w:ascii="Palatino Linotype" w:hAnsi="Palatino Linotype"/>
          <w:bCs/>
          <w:szCs w:val="26"/>
        </w:rPr>
        <w:t>Hudson</w:t>
      </w:r>
      <w:r w:rsidRPr="006C582D" w:rsidR="00FB7E02">
        <w:t xml:space="preserve"> has additional </w:t>
      </w:r>
      <w:r w:rsidRPr="006C582D">
        <w:rPr>
          <w:rFonts w:ascii="Palatino Linotype" w:hAnsi="Palatino Linotype"/>
          <w:bCs/>
          <w:szCs w:val="26"/>
        </w:rPr>
        <w:t>$25,000</w:t>
      </w:r>
      <w:r w:rsidRPr="006C582D">
        <w:t xml:space="preserve"> </w:t>
      </w:r>
      <w:r w:rsidRPr="006C582D" w:rsidR="00FB7E02">
        <w:t xml:space="preserve">cash or cash equivalent to cover deposits that may be required by other </w:t>
      </w:r>
      <w:r w:rsidRPr="006C582D" w:rsidR="0033769B">
        <w:t>telephone corporations</w:t>
      </w:r>
      <w:r w:rsidRPr="006C582D" w:rsidR="00FB7E02">
        <w:t xml:space="preserve"> in order to provide the proposed service.</w:t>
      </w:r>
    </w:p>
    <w:p w:rsidRPr="006C582D" w:rsidR="0062006F" w:rsidP="001A2352" w:rsidRDefault="00044955" w14:paraId="2FE01C38" w14:textId="7CFD293F">
      <w:pPr>
        <w:pStyle w:val="num1"/>
        <w:numPr>
          <w:ilvl w:val="0"/>
          <w:numId w:val="15"/>
        </w:numPr>
      </w:pPr>
      <w:r w:rsidRPr="006C582D">
        <w:rPr>
          <w:rFonts w:ascii="Palatino Linotype" w:hAnsi="Palatino Linotype"/>
          <w:bCs/>
          <w:szCs w:val="26"/>
        </w:rPr>
        <w:t>Hudson’s</w:t>
      </w:r>
      <w:r w:rsidRPr="006C582D" w:rsidR="0062006F">
        <w:t xml:space="preserve"> management possesses sufficient experience</w:t>
      </w:r>
      <w:r w:rsidRPr="006C582D" w:rsidR="00520E6A">
        <w:t xml:space="preserve">, </w:t>
      </w:r>
      <w:r w:rsidRPr="006C582D" w:rsidR="0062006F">
        <w:t>knowledge</w:t>
      </w:r>
      <w:r w:rsidRPr="006C582D" w:rsidR="00520E6A">
        <w:t>, and technical expertise</w:t>
      </w:r>
      <w:r w:rsidRPr="006C582D" w:rsidR="0062006F">
        <w:t xml:space="preserve"> to provide local exchange services to the public.</w:t>
      </w:r>
    </w:p>
    <w:p w:rsidRPr="006C582D" w:rsidR="00F26A95" w:rsidP="00A6220B" w:rsidRDefault="005B3BF6" w14:paraId="43A76C0F" w14:textId="49AEDDDA">
      <w:pPr>
        <w:pStyle w:val="num1"/>
        <w:numPr>
          <w:ilvl w:val="0"/>
          <w:numId w:val="15"/>
        </w:numPr>
      </w:pPr>
      <w:r w:rsidRPr="006C582D">
        <w:t>N</w:t>
      </w:r>
      <w:r w:rsidRPr="006C582D" w:rsidR="00714E78">
        <w:t xml:space="preserve">o one associated with or employed by </w:t>
      </w:r>
      <w:r w:rsidRPr="006C582D" w:rsidR="00044955">
        <w:rPr>
          <w:rFonts w:ascii="Palatino Linotype" w:hAnsi="Palatino Linotype"/>
          <w:bCs/>
          <w:szCs w:val="26"/>
        </w:rPr>
        <w:t>Hudson</w:t>
      </w:r>
      <w:r w:rsidRPr="006C582D" w:rsidR="00714E78">
        <w:t xml:space="preserve"> as an affiliate, officer, director, partner, </w:t>
      </w:r>
      <w:r w:rsidRPr="006C582D" w:rsidR="00DA2EC4">
        <w:t xml:space="preserve">agent, </w:t>
      </w:r>
      <w:r w:rsidRPr="006C582D" w:rsidR="00714E78">
        <w:t xml:space="preserve">or owner </w:t>
      </w:r>
      <w:r w:rsidRPr="006C582D" w:rsidR="005D079F">
        <w:t xml:space="preserve">(directly or indirectly) </w:t>
      </w:r>
      <w:r w:rsidRPr="006C582D" w:rsidR="00714E78">
        <w:t>of more than 10</w:t>
      </w:r>
      <w:r w:rsidRPr="006C582D" w:rsidR="008F50E0">
        <w:t xml:space="preserve"> percent</w:t>
      </w:r>
      <w:r w:rsidRPr="006C582D" w:rsidR="00714E78">
        <w:t xml:space="preserve"> </w:t>
      </w:r>
      <w:r w:rsidRPr="006C582D" w:rsidR="00714E78">
        <w:lastRenderedPageBreak/>
        <w:t xml:space="preserve">of </w:t>
      </w:r>
      <w:r w:rsidRPr="006C582D" w:rsidR="00044955">
        <w:rPr>
          <w:rFonts w:ascii="Palatino Linotype" w:hAnsi="Palatino Linotype"/>
          <w:bCs/>
          <w:szCs w:val="26"/>
        </w:rPr>
        <w:t>Hudson</w:t>
      </w:r>
      <w:r w:rsidRPr="006C582D" w:rsidR="00E76F0E">
        <w:t xml:space="preserve">, or anyone acting in a management capacity for </w:t>
      </w:r>
      <w:r w:rsidRPr="006C582D" w:rsidR="00044955">
        <w:rPr>
          <w:rFonts w:ascii="Palatino Linotype" w:hAnsi="Palatino Linotype"/>
          <w:bCs/>
          <w:szCs w:val="26"/>
        </w:rPr>
        <w:t>Hudson</w:t>
      </w:r>
      <w:r w:rsidRPr="006C582D" w:rsidR="00DA2EC4">
        <w:rPr>
          <w:b/>
        </w:rPr>
        <w:t xml:space="preserve">: </w:t>
      </w:r>
      <w:r w:rsidRPr="006C582D" w:rsidR="00A6220B">
        <w:rPr>
          <w:szCs w:val="26"/>
        </w:rPr>
        <w:t xml:space="preserve"> (a) held one of these positions with a company that filed for bankruptcy; (b) been personally found liable, or held one of these positions with a company that has been found liable, for fraud, dishonesty, failure to disclose, or misrepresentations to consumers or others; (c) been convicted of a felony; (d) been the subject of a criminal referral by judge or public agency; (e) had a telecommunications license or operating authority denied, suspended, revoked, or limited in any jurisdiction; (f) personally entered into a settlement, or held one of these positions with a company that has entered into settlement of criminal or civil claims involving violations of </w:t>
      </w:r>
      <w:r w:rsidRPr="006C582D" w:rsidR="008F50E0">
        <w:t xml:space="preserve">§§ </w:t>
      </w:r>
      <w:r w:rsidRPr="006C582D" w:rsidR="00A6220B">
        <w:rPr>
          <w:szCs w:val="26"/>
        </w:rPr>
        <w:t xml:space="preserve">17000 </w:t>
      </w:r>
      <w:r w:rsidRPr="006C582D" w:rsidR="00A6220B">
        <w:rPr>
          <w:iCs/>
          <w:szCs w:val="26"/>
        </w:rPr>
        <w:t>et seq.,</w:t>
      </w:r>
      <w:r w:rsidRPr="006C582D" w:rsidR="00A6220B">
        <w:rPr>
          <w:i/>
          <w:iCs/>
          <w:szCs w:val="26"/>
        </w:rPr>
        <w:t xml:space="preserve"> </w:t>
      </w:r>
      <w:r w:rsidRPr="006C582D" w:rsidR="008F50E0">
        <w:t xml:space="preserve">§§ </w:t>
      </w:r>
      <w:r w:rsidRPr="006C582D" w:rsidR="00A6220B">
        <w:rPr>
          <w:szCs w:val="26"/>
        </w:rPr>
        <w:t xml:space="preserve">17200 </w:t>
      </w:r>
      <w:r w:rsidRPr="006C582D" w:rsidR="00A6220B">
        <w:rPr>
          <w:iCs/>
          <w:szCs w:val="26"/>
        </w:rPr>
        <w:t>et seq.,</w:t>
      </w:r>
      <w:r w:rsidRPr="006C582D" w:rsidR="00A6220B">
        <w:rPr>
          <w:i/>
          <w:iCs/>
          <w:szCs w:val="26"/>
        </w:rPr>
        <w:t xml:space="preserve"> </w:t>
      </w:r>
      <w:r w:rsidRPr="006C582D" w:rsidR="00A6220B">
        <w:rPr>
          <w:szCs w:val="26"/>
        </w:rPr>
        <w:t xml:space="preserve">or </w:t>
      </w:r>
      <w:r w:rsidRPr="006C582D" w:rsidR="008F50E0">
        <w:t xml:space="preserve">§§ </w:t>
      </w:r>
      <w:r w:rsidRPr="006C582D" w:rsidR="00A6220B">
        <w:rPr>
          <w:szCs w:val="26"/>
        </w:rPr>
        <w:t xml:space="preserve">17500 </w:t>
      </w:r>
      <w:r w:rsidRPr="006C582D" w:rsidR="00A6220B">
        <w:rPr>
          <w:iCs/>
          <w:szCs w:val="26"/>
        </w:rPr>
        <w:t xml:space="preserve">et seq. </w:t>
      </w:r>
      <w:r w:rsidRPr="006C582D" w:rsidR="00A6220B">
        <w:rPr>
          <w:szCs w:val="26"/>
        </w:rPr>
        <w:t>of the California Business &amp; Professions Code, or of any other statute, regulation, or decisional law relating to fraud, dishonesty, failure to disclose, or misrepresentations to consumers or others; or (g) been found to have violated any statute, law, or rule pertaining to public utilities or</w:t>
      </w:r>
      <w:r w:rsidRPr="006C582D" w:rsidR="004F13D6">
        <w:rPr>
          <w:szCs w:val="26"/>
        </w:rPr>
        <w:t xml:space="preserve"> other regulated industries; </w:t>
      </w:r>
      <w:r w:rsidRPr="006C582D" w:rsidR="009A5D3D">
        <w:rPr>
          <w:szCs w:val="26"/>
        </w:rPr>
        <w:t xml:space="preserve">or </w:t>
      </w:r>
      <w:r w:rsidRPr="006C582D" w:rsidR="00A6220B">
        <w:rPr>
          <w:szCs w:val="26"/>
        </w:rPr>
        <w:t xml:space="preserve">(h) entered into any settlement agreements or made any voluntary payments or agreed to any other type of monetary forfeitures in resolution of any action by any regulatory body, agency, </w:t>
      </w:r>
      <w:r w:rsidRPr="006C582D" w:rsidR="004F13D6">
        <w:rPr>
          <w:szCs w:val="26"/>
        </w:rPr>
        <w:t>or attorney general</w:t>
      </w:r>
      <w:r w:rsidRPr="006C582D" w:rsidR="00F26A95">
        <w:rPr>
          <w:szCs w:val="26"/>
        </w:rPr>
        <w:t>.</w:t>
      </w:r>
    </w:p>
    <w:p w:rsidRPr="006C582D" w:rsidR="00A6220B" w:rsidP="00A6220B" w:rsidRDefault="00F26A95" w14:paraId="08E94705" w14:textId="38369FEB">
      <w:pPr>
        <w:pStyle w:val="num1"/>
        <w:numPr>
          <w:ilvl w:val="0"/>
          <w:numId w:val="15"/>
        </w:numPr>
      </w:pPr>
      <w:r w:rsidRPr="006C582D">
        <w:t xml:space="preserve">To the best of </w:t>
      </w:r>
      <w:r w:rsidRPr="006C582D" w:rsidR="00044955">
        <w:rPr>
          <w:rFonts w:ascii="Palatino Linotype" w:hAnsi="Palatino Linotype"/>
          <w:bCs/>
          <w:szCs w:val="26"/>
        </w:rPr>
        <w:t>Hudson</w:t>
      </w:r>
      <w:r w:rsidRPr="006C582D">
        <w:t xml:space="preserve">’s knowledge, neither </w:t>
      </w:r>
      <w:r w:rsidRPr="006C582D" w:rsidR="00044955">
        <w:rPr>
          <w:rFonts w:ascii="Palatino Linotype" w:hAnsi="Palatino Linotype"/>
          <w:bCs/>
          <w:szCs w:val="26"/>
        </w:rPr>
        <w:t>Hudson</w:t>
      </w:r>
      <w:r w:rsidRPr="006C582D">
        <w:t>, or any affiliate, officer, director, partner, nor owner of more than 10</w:t>
      </w:r>
      <w:r w:rsidRPr="006C582D" w:rsidR="00CA0F8E">
        <w:t xml:space="preserve"> percent</w:t>
      </w:r>
      <w:r w:rsidRPr="006C582D">
        <w:t xml:space="preserve"> of </w:t>
      </w:r>
      <w:r w:rsidRPr="006C582D" w:rsidR="00044955">
        <w:rPr>
          <w:rFonts w:ascii="Palatino Linotype" w:hAnsi="Palatino Linotype"/>
          <w:bCs/>
          <w:szCs w:val="26"/>
        </w:rPr>
        <w:t>Hudson</w:t>
      </w:r>
      <w:r w:rsidRPr="006C582D">
        <w:t>, or any person acting in such capacity whether or not formally appointed, is being, or has been investigated by the Federal Communications Commission or any law enforcement or regulatory agency for failure to comply with any law, rule or order.</w:t>
      </w:r>
    </w:p>
    <w:p w:rsidRPr="006C582D" w:rsidR="000803CD" w:rsidP="000803CD" w:rsidRDefault="00C717C8" w14:paraId="293DDFB7" w14:textId="1539A82E">
      <w:pPr>
        <w:pStyle w:val="num1"/>
        <w:numPr>
          <w:ilvl w:val="0"/>
          <w:numId w:val="15"/>
        </w:numPr>
        <w:tabs>
          <w:tab w:val="clear" w:pos="-720"/>
        </w:tabs>
        <w:rPr>
          <w:rFonts w:ascii="Palatino Linotype" w:hAnsi="Palatino Linotype"/>
          <w:bCs/>
          <w:szCs w:val="26"/>
        </w:rPr>
      </w:pPr>
      <w:r w:rsidRPr="006C582D">
        <w:rPr>
          <w:rFonts w:ascii="Palatino Linotype" w:hAnsi="Palatino Linotype"/>
          <w:bCs/>
          <w:szCs w:val="26"/>
        </w:rPr>
        <w:t>Hudson</w:t>
      </w:r>
      <w:r w:rsidRPr="006C582D" w:rsidR="000803CD">
        <w:rPr>
          <w:rFonts w:ascii="Palatino Linotype" w:hAnsi="Palatino Linotype"/>
          <w:bCs/>
          <w:szCs w:val="26"/>
        </w:rPr>
        <w:t xml:space="preserve"> request</w:t>
      </w:r>
      <w:r w:rsidRPr="006C582D">
        <w:rPr>
          <w:rFonts w:ascii="Palatino Linotype" w:hAnsi="Palatino Linotype"/>
          <w:bCs/>
          <w:szCs w:val="26"/>
        </w:rPr>
        <w:t>s</w:t>
      </w:r>
      <w:r w:rsidRPr="006C582D" w:rsidR="000803CD">
        <w:rPr>
          <w:rFonts w:ascii="Palatino Linotype" w:hAnsi="Palatino Linotype"/>
          <w:bCs/>
          <w:szCs w:val="26"/>
        </w:rPr>
        <w:t xml:space="preserve"> and is eligible for exemption from tariffing requirements and must observe the consumer protection rules adopted in D.98</w:t>
      </w:r>
      <w:r w:rsidRPr="006C582D" w:rsidR="000803CD">
        <w:rPr>
          <w:rFonts w:ascii="Palatino Linotype" w:hAnsi="Palatino Linotype"/>
          <w:bCs/>
          <w:szCs w:val="26"/>
        </w:rPr>
        <w:noBreakHyphen/>
        <w:t>08</w:t>
      </w:r>
      <w:r w:rsidRPr="006C582D" w:rsidR="000803CD">
        <w:rPr>
          <w:rFonts w:ascii="Palatino Linotype" w:hAnsi="Palatino Linotype"/>
          <w:bCs/>
          <w:szCs w:val="26"/>
        </w:rPr>
        <w:noBreakHyphen/>
        <w:t>031 and D.07-09-019.</w:t>
      </w:r>
    </w:p>
    <w:p w:rsidRPr="006C582D" w:rsidR="00FE308F" w:rsidP="00105306" w:rsidRDefault="00C4638B" w14:paraId="1DD1C9BE" w14:textId="75ED3CAE">
      <w:pPr>
        <w:pStyle w:val="num1"/>
        <w:numPr>
          <w:ilvl w:val="0"/>
          <w:numId w:val="15"/>
        </w:numPr>
      </w:pPr>
      <w:r w:rsidRPr="006C582D">
        <w:rPr>
          <w:rFonts w:ascii="Palatino Linotype" w:hAnsi="Palatino Linotype"/>
          <w:bCs/>
          <w:szCs w:val="26"/>
        </w:rPr>
        <w:lastRenderedPageBreak/>
        <w:t>Hudson</w:t>
      </w:r>
      <w:r w:rsidRPr="006C582D" w:rsidR="00C92E5F">
        <w:t xml:space="preserve"> provided a map of the location of its proposed service territory.</w:t>
      </w:r>
    </w:p>
    <w:p w:rsidRPr="006C582D" w:rsidR="00105306" w:rsidP="00105306" w:rsidRDefault="00C4638B" w14:paraId="14353C71" w14:textId="35292335">
      <w:pPr>
        <w:pStyle w:val="num1"/>
        <w:numPr>
          <w:ilvl w:val="0"/>
          <w:numId w:val="15"/>
        </w:numPr>
      </w:pPr>
      <w:r w:rsidRPr="006C582D">
        <w:rPr>
          <w:rFonts w:ascii="Palatino Linotype" w:hAnsi="Palatino Linotype"/>
          <w:bCs/>
          <w:szCs w:val="26"/>
        </w:rPr>
        <w:t>Hudson</w:t>
      </w:r>
      <w:r w:rsidRPr="006C582D">
        <w:t xml:space="preserve"> </w:t>
      </w:r>
      <w:r w:rsidRPr="006C582D" w:rsidR="00FB7E02">
        <w:t>has no information to report under Rule</w:t>
      </w:r>
      <w:r w:rsidRPr="006C582D" w:rsidR="00DE6AF6">
        <w:t> </w:t>
      </w:r>
      <w:r w:rsidRPr="006C582D" w:rsidR="00FB7E02">
        <w:t>3.1(i), which requires that a utility filing an application under Pub. Util. Code §1001, provide a statement regarding compliance with GO</w:t>
      </w:r>
      <w:r w:rsidRPr="006C582D" w:rsidR="00DE6AF6">
        <w:t> </w:t>
      </w:r>
      <w:r w:rsidRPr="006C582D" w:rsidR="00FB7E02">
        <w:t>104</w:t>
      </w:r>
      <w:r w:rsidRPr="006C582D" w:rsidR="00D312EE">
        <w:noBreakHyphen/>
      </w:r>
      <w:r w:rsidRPr="006C582D" w:rsidR="00FB7E02">
        <w:t>A</w:t>
      </w:r>
      <w:r w:rsidRPr="006C582D" w:rsidR="0006375B">
        <w:t>, Section</w:t>
      </w:r>
      <w:r w:rsidRPr="006C582D" w:rsidR="00DE6AF6">
        <w:t> </w:t>
      </w:r>
      <w:r w:rsidRPr="006C582D" w:rsidR="0006375B">
        <w:t>2</w:t>
      </w:r>
      <w:r w:rsidRPr="006C582D" w:rsidR="00FB7E02">
        <w:t>.</w:t>
      </w:r>
    </w:p>
    <w:p w:rsidRPr="006C582D" w:rsidR="00105306" w:rsidP="00105306" w:rsidRDefault="00C4638B" w14:paraId="595C7A4A" w14:textId="654401B0">
      <w:pPr>
        <w:pStyle w:val="num1"/>
        <w:numPr>
          <w:ilvl w:val="0"/>
          <w:numId w:val="15"/>
        </w:numPr>
      </w:pPr>
      <w:r w:rsidRPr="006C582D">
        <w:rPr>
          <w:rFonts w:ascii="Palatino Linotype" w:hAnsi="Palatino Linotype"/>
          <w:bCs/>
          <w:szCs w:val="26"/>
        </w:rPr>
        <w:t>Hudson</w:t>
      </w:r>
      <w:r w:rsidRPr="006C582D" w:rsidR="0062006F">
        <w:t xml:space="preserve"> provided an estimate of its customer base for the first and fifth year of operation.</w:t>
      </w:r>
    </w:p>
    <w:p w:rsidRPr="006C582D" w:rsidR="008046CE" w:rsidP="00105306" w:rsidRDefault="008046CE" w14:paraId="4BCC4E69" w14:textId="359DA28D">
      <w:pPr>
        <w:pStyle w:val="num1"/>
        <w:numPr>
          <w:ilvl w:val="0"/>
          <w:numId w:val="15"/>
        </w:numPr>
      </w:pPr>
      <w:r w:rsidRPr="006C582D">
        <w:t xml:space="preserve">Pursuant to </w:t>
      </w:r>
      <w:r w:rsidRPr="006C582D" w:rsidR="00287143">
        <w:t>Rule </w:t>
      </w:r>
      <w:r w:rsidRPr="006C582D">
        <w:t xml:space="preserve">11.4, </w:t>
      </w:r>
      <w:r w:rsidRPr="006C582D" w:rsidR="00C4638B">
        <w:rPr>
          <w:rFonts w:ascii="Palatino Linotype" w:hAnsi="Palatino Linotype"/>
          <w:bCs/>
          <w:szCs w:val="26"/>
        </w:rPr>
        <w:t>Hudson</w:t>
      </w:r>
      <w:r w:rsidRPr="006C582D" w:rsidR="00E16F00">
        <w:rPr>
          <w:b/>
        </w:rPr>
        <w:t xml:space="preserve"> </w:t>
      </w:r>
      <w:r w:rsidRPr="006C582D">
        <w:t>filed motions for leave to file confidential materials under seal, including</w:t>
      </w:r>
      <w:r w:rsidRPr="006C582D" w:rsidR="00C4638B">
        <w:t xml:space="preserve"> Exhibit </w:t>
      </w:r>
      <w:r w:rsidRPr="006C582D" w:rsidR="00C4638B">
        <w:rPr>
          <w:bCs/>
        </w:rPr>
        <w:t>G, Financial Showing, and Exhibit H</w:t>
      </w:r>
      <w:r w:rsidRPr="006C582D" w:rsidR="00C4638B">
        <w:rPr>
          <w:b/>
        </w:rPr>
        <w:t xml:space="preserve">, </w:t>
      </w:r>
      <w:r w:rsidRPr="006C582D" w:rsidR="00C4638B">
        <w:rPr>
          <w:bCs/>
        </w:rPr>
        <w:t>Estimated Customer Base,</w:t>
      </w:r>
      <w:r w:rsidRPr="006C582D" w:rsidR="00C4638B">
        <w:rPr>
          <w:b/>
        </w:rPr>
        <w:t xml:space="preserve"> </w:t>
      </w:r>
      <w:r w:rsidRPr="006C582D" w:rsidR="00C4638B">
        <w:t xml:space="preserve">to the </w:t>
      </w:r>
      <w:r w:rsidRPr="006C582D" w:rsidR="000803CD">
        <w:t>A</w:t>
      </w:r>
      <w:r w:rsidRPr="006C582D" w:rsidR="00C4638B">
        <w:t>pplication.</w:t>
      </w:r>
    </w:p>
    <w:p w:rsidRPr="006C582D" w:rsidR="00A94870" w:rsidP="009B6CB1" w:rsidRDefault="00A94870" w14:paraId="77E8F0B3" w14:textId="77777777">
      <w:pPr>
        <w:pStyle w:val="Heading1"/>
        <w:numPr>
          <w:ilvl w:val="0"/>
          <w:numId w:val="0"/>
        </w:numPr>
      </w:pPr>
      <w:bookmarkStart w:name="_Toc450990220" w:id="37"/>
      <w:bookmarkStart w:name="_Toc451151267" w:id="38"/>
      <w:bookmarkStart w:name="_Toc335049186" w:id="39"/>
      <w:bookmarkStart w:name="_Toc41483972" w:id="40"/>
      <w:r w:rsidRPr="006C582D">
        <w:t>Conclusions of Law</w:t>
      </w:r>
      <w:bookmarkEnd w:id="37"/>
      <w:bookmarkEnd w:id="38"/>
      <w:bookmarkEnd w:id="39"/>
      <w:bookmarkEnd w:id="40"/>
    </w:p>
    <w:p w:rsidRPr="006C582D" w:rsidR="0047054F" w:rsidP="001A2352" w:rsidRDefault="002D0577" w14:paraId="3E670C12" w14:textId="6B4E4ABE">
      <w:pPr>
        <w:pStyle w:val="num1"/>
        <w:numPr>
          <w:ilvl w:val="0"/>
          <w:numId w:val="16"/>
        </w:numPr>
      </w:pPr>
      <w:r w:rsidRPr="006C582D">
        <w:rPr>
          <w:rFonts w:ascii="Palatino Linotype" w:hAnsi="Palatino Linotype"/>
          <w:bCs/>
          <w:szCs w:val="26"/>
        </w:rPr>
        <w:t>Hudson</w:t>
      </w:r>
      <w:r w:rsidRPr="006C582D" w:rsidR="00A94870">
        <w:t xml:space="preserve"> </w:t>
      </w:r>
      <w:r w:rsidRPr="006C582D" w:rsidR="005E1C96">
        <w:t>should be granted a</w:t>
      </w:r>
      <w:r w:rsidRPr="006C582D" w:rsidR="00F95ACC">
        <w:t xml:space="preserve"> CPCN to provide </w:t>
      </w:r>
      <w:r w:rsidRPr="006C582D" w:rsidR="000F7522">
        <w:t>full facilities</w:t>
      </w:r>
      <w:r w:rsidRPr="006C582D" w:rsidR="000F7522">
        <w:noBreakHyphen/>
        <w:t xml:space="preserve">based </w:t>
      </w:r>
      <w:r w:rsidRPr="006C582D" w:rsidR="00D90213">
        <w:rPr>
          <w:b/>
        </w:rPr>
        <w:t>and</w:t>
      </w:r>
      <w:r w:rsidRPr="006C582D" w:rsidR="000F7522">
        <w:t xml:space="preserve"> resold</w:t>
      </w:r>
      <w:r w:rsidRPr="006C582D" w:rsidR="000F7522">
        <w:rPr>
          <w:b/>
        </w:rPr>
        <w:t xml:space="preserve"> </w:t>
      </w:r>
      <w:r w:rsidRPr="006C582D" w:rsidR="000F7522">
        <w:t xml:space="preserve">competitive local exchange </w:t>
      </w:r>
      <w:r w:rsidR="00140F99">
        <w:t xml:space="preserve">telecommunications </w:t>
      </w:r>
      <w:r w:rsidRPr="006C582D" w:rsidR="000F7522">
        <w:t>service</w:t>
      </w:r>
      <w:r w:rsidRPr="006C582D" w:rsidR="000F7522">
        <w:rPr>
          <w:b/>
        </w:rPr>
        <w:t xml:space="preserve"> </w:t>
      </w:r>
      <w:r w:rsidRPr="006C582D" w:rsidR="00390FFC">
        <w:t xml:space="preserve">in the service </w:t>
      </w:r>
      <w:r w:rsidRPr="006C582D" w:rsidR="0060486D">
        <w:t xml:space="preserve">territories </w:t>
      </w:r>
      <w:r w:rsidRPr="006C582D" w:rsidR="00390FFC">
        <w:t xml:space="preserve">of </w:t>
      </w:r>
      <w:r w:rsidRPr="006C582D" w:rsidR="00BF3413">
        <w:rPr>
          <w:bCs/>
        </w:rPr>
        <w:t>AT&amp;T</w:t>
      </w:r>
      <w:r w:rsidRPr="006C582D" w:rsidR="00A821F7">
        <w:rPr>
          <w:bCs/>
        </w:rPr>
        <w:t xml:space="preserve"> California</w:t>
      </w:r>
      <w:r w:rsidRPr="006C582D" w:rsidR="00BF3413">
        <w:rPr>
          <w:bCs/>
        </w:rPr>
        <w:t xml:space="preserve">, </w:t>
      </w:r>
      <w:r w:rsidRPr="006C582D" w:rsidR="005B42EA">
        <w:rPr>
          <w:bCs/>
        </w:rPr>
        <w:t>Frontier</w:t>
      </w:r>
      <w:r w:rsidRPr="006C582D" w:rsidR="00A05702">
        <w:rPr>
          <w:bCs/>
        </w:rPr>
        <w:t xml:space="preserve"> California, Frontier Communications, Consolidated</w:t>
      </w:r>
      <w:r w:rsidRPr="006C582D" w:rsidR="005D1AFB">
        <w:rPr>
          <w:bCs/>
        </w:rPr>
        <w:t xml:space="preserve"> Communications</w:t>
      </w:r>
      <w:r w:rsidR="00F06A3F">
        <w:rPr>
          <w:bCs/>
        </w:rPr>
        <w:t>;</w:t>
      </w:r>
      <w:r w:rsidRPr="006C582D" w:rsidR="00BF3413">
        <w:rPr>
          <w:bCs/>
        </w:rPr>
        <w:t xml:space="preserve"> </w:t>
      </w:r>
      <w:r w:rsidRPr="00F06A3F" w:rsidR="00BF3413">
        <w:rPr>
          <w:bCs/>
        </w:rPr>
        <w:t>and</w:t>
      </w:r>
      <w:r w:rsidRPr="006C582D" w:rsidR="00BF3413">
        <w:rPr>
          <w:bCs/>
        </w:rPr>
        <w:t xml:space="preserve"> </w:t>
      </w:r>
      <w:r w:rsidR="00F06A3F">
        <w:rPr>
          <w:bCs/>
        </w:rPr>
        <w:t>full facilities-based and resold non</w:t>
      </w:r>
      <w:r w:rsidR="00F02F47">
        <w:rPr>
          <w:bCs/>
        </w:rPr>
        <w:noBreakHyphen/>
      </w:r>
      <w:r w:rsidR="00F06A3F">
        <w:rPr>
          <w:bCs/>
        </w:rPr>
        <w:t xml:space="preserve">dominant </w:t>
      </w:r>
      <w:r w:rsidRPr="006C582D" w:rsidR="00BF3413">
        <w:rPr>
          <w:bCs/>
        </w:rPr>
        <w:t>interexchange service in California</w:t>
      </w:r>
      <w:r w:rsidRPr="006C582D" w:rsidR="00DD4464">
        <w:rPr>
          <w:bCs/>
        </w:rPr>
        <w:t>, subject to the</w:t>
      </w:r>
      <w:r w:rsidRPr="006C582D" w:rsidR="00DD4464">
        <w:t xml:space="preserve"> terms and conditions set forth in the Ordering Paragraphs</w:t>
      </w:r>
      <w:r w:rsidRPr="006C582D" w:rsidR="0047054F">
        <w:t>.</w:t>
      </w:r>
    </w:p>
    <w:p w:rsidRPr="006C582D" w:rsidR="002B365F" w:rsidP="001A2352" w:rsidRDefault="00AA24C6" w14:paraId="1246F0EC" w14:textId="68E87462">
      <w:pPr>
        <w:pStyle w:val="num1"/>
        <w:numPr>
          <w:ilvl w:val="0"/>
          <w:numId w:val="16"/>
        </w:numPr>
      </w:pPr>
      <w:r w:rsidRPr="006C582D">
        <w:rPr>
          <w:rFonts w:ascii="Palatino Linotype" w:hAnsi="Palatino Linotype"/>
          <w:bCs/>
          <w:szCs w:val="26"/>
        </w:rPr>
        <w:t>Hudson</w:t>
      </w:r>
      <w:r w:rsidRPr="006C582D">
        <w:t xml:space="preserve"> </w:t>
      </w:r>
      <w:r w:rsidRPr="006C582D" w:rsidR="00164F0D">
        <w:t xml:space="preserve">should be allowed to use the </w:t>
      </w:r>
      <w:r w:rsidRPr="006C582D" w:rsidR="00DD447C">
        <w:t xml:space="preserve">Energy </w:t>
      </w:r>
      <w:r w:rsidRPr="006C582D" w:rsidR="00164F0D">
        <w:t>Division 21</w:t>
      </w:r>
      <w:r w:rsidRPr="006C582D" w:rsidR="00D312EE">
        <w:noBreakHyphen/>
      </w:r>
      <w:r w:rsidRPr="006C582D" w:rsidR="00164F0D">
        <w:t xml:space="preserve">day CEQA exemption process.  </w:t>
      </w:r>
    </w:p>
    <w:p w:rsidRPr="006C582D" w:rsidR="00F95ACC" w:rsidP="001A2352" w:rsidRDefault="00AA24C6" w14:paraId="69CAC591" w14:textId="76C9AB86">
      <w:pPr>
        <w:pStyle w:val="num1"/>
        <w:numPr>
          <w:ilvl w:val="0"/>
          <w:numId w:val="16"/>
        </w:numPr>
      </w:pPr>
      <w:r w:rsidRPr="006C582D">
        <w:rPr>
          <w:rFonts w:ascii="Palatino Linotype" w:hAnsi="Palatino Linotype"/>
          <w:bCs/>
          <w:szCs w:val="26"/>
        </w:rPr>
        <w:t>Hudson</w:t>
      </w:r>
      <w:r w:rsidRPr="006C582D" w:rsidR="002B365F">
        <w:t>,</w:t>
      </w:r>
      <w:r w:rsidRPr="006C582D" w:rsidR="00F95ACC">
        <w:t xml:space="preserve"> once granted a CPCN, should be subject to the applicable Commission rules, decisions, General Orders, and statutes that pertain to California public utilities</w:t>
      </w:r>
      <w:r w:rsidRPr="006C582D" w:rsidR="005D4844">
        <w:t>.</w:t>
      </w:r>
      <w:r w:rsidRPr="006C582D" w:rsidR="00E16F00">
        <w:t xml:space="preserve"> </w:t>
      </w:r>
    </w:p>
    <w:p w:rsidRPr="006C582D" w:rsidR="00C92E5F" w:rsidP="001A2352" w:rsidRDefault="0085673A" w14:paraId="230A449D" w14:textId="5AF85C69">
      <w:pPr>
        <w:pStyle w:val="num1"/>
        <w:numPr>
          <w:ilvl w:val="0"/>
          <w:numId w:val="16"/>
        </w:numPr>
      </w:pPr>
      <w:r w:rsidRPr="006C582D">
        <w:rPr>
          <w:rFonts w:ascii="Palatino Linotype" w:hAnsi="Palatino Linotype"/>
          <w:bCs/>
          <w:szCs w:val="26"/>
        </w:rPr>
        <w:t>Hudson</w:t>
      </w:r>
      <w:r w:rsidRPr="006C582D" w:rsidR="005D4844">
        <w:rPr>
          <w:b/>
        </w:rPr>
        <w:t xml:space="preserve"> </w:t>
      </w:r>
      <w:r w:rsidRPr="006C582D" w:rsidR="005D4844">
        <w:t>should be granted an exemption from the requirement to file tariffs.</w:t>
      </w:r>
    </w:p>
    <w:p w:rsidRPr="006C582D" w:rsidR="008046CE" w:rsidP="001A2352" w:rsidRDefault="0085673A" w14:paraId="5BF6F4F4" w14:textId="516163FA">
      <w:pPr>
        <w:pStyle w:val="num1"/>
        <w:numPr>
          <w:ilvl w:val="0"/>
          <w:numId w:val="16"/>
        </w:numPr>
      </w:pPr>
      <w:r w:rsidRPr="006C582D">
        <w:rPr>
          <w:rFonts w:ascii="Palatino Linotype" w:hAnsi="Palatino Linotype"/>
          <w:bCs/>
          <w:szCs w:val="26"/>
        </w:rPr>
        <w:lastRenderedPageBreak/>
        <w:t>Hudson</w:t>
      </w:r>
      <w:r w:rsidRPr="006C582D" w:rsidR="008046CE">
        <w:t xml:space="preserve">’s motion to file under seal its </w:t>
      </w:r>
      <w:r w:rsidRPr="006C582D">
        <w:t xml:space="preserve">Exhibit </w:t>
      </w:r>
      <w:r w:rsidRPr="006C582D">
        <w:rPr>
          <w:bCs/>
        </w:rPr>
        <w:t>G, Financial Showing, and Exhibit H</w:t>
      </w:r>
      <w:r w:rsidRPr="006C582D">
        <w:rPr>
          <w:b/>
        </w:rPr>
        <w:t xml:space="preserve">, </w:t>
      </w:r>
      <w:r w:rsidRPr="006C582D">
        <w:rPr>
          <w:bCs/>
        </w:rPr>
        <w:t xml:space="preserve">Estimated Customer Base, </w:t>
      </w:r>
      <w:r w:rsidRPr="006C582D" w:rsidR="008046CE">
        <w:t xml:space="preserve">to the </w:t>
      </w:r>
      <w:r w:rsidRPr="006C582D">
        <w:t>A</w:t>
      </w:r>
      <w:r w:rsidRPr="006C582D" w:rsidR="008046CE">
        <w:t xml:space="preserve">pplication, should be granted for </w:t>
      </w:r>
      <w:r w:rsidRPr="006C582D" w:rsidR="00AE5368">
        <w:t>three</w:t>
      </w:r>
      <w:r w:rsidRPr="006C582D" w:rsidR="008046CE">
        <w:t xml:space="preserve"> years.</w:t>
      </w:r>
    </w:p>
    <w:p w:rsidRPr="006C582D" w:rsidR="008046CE" w:rsidP="001A2352" w:rsidRDefault="0085673A" w14:paraId="2C201E24" w14:textId="13AEBA6F">
      <w:pPr>
        <w:pStyle w:val="num1"/>
        <w:numPr>
          <w:ilvl w:val="0"/>
          <w:numId w:val="16"/>
        </w:numPr>
      </w:pPr>
      <w:r w:rsidRPr="006C582D">
        <w:rPr>
          <w:rFonts w:ascii="Palatino Linotype" w:hAnsi="Palatino Linotype"/>
          <w:bCs/>
          <w:szCs w:val="26"/>
        </w:rPr>
        <w:t>Hudson</w:t>
      </w:r>
      <w:r w:rsidRPr="006C582D" w:rsidR="008046CE">
        <w:t xml:space="preserve"> should be granted non</w:t>
      </w:r>
      <w:r w:rsidRPr="006C582D" w:rsidR="00D312EE">
        <w:noBreakHyphen/>
      </w:r>
      <w:r w:rsidRPr="006C582D" w:rsidR="008046CE">
        <w:t>dominant carrier status, subject to Commission rules and regulations as detailed in D.85</w:t>
      </w:r>
      <w:r w:rsidRPr="006C582D" w:rsidR="00D312EE">
        <w:noBreakHyphen/>
      </w:r>
      <w:r w:rsidRPr="006C582D" w:rsidR="008046CE">
        <w:t>01</w:t>
      </w:r>
      <w:r w:rsidRPr="006C582D" w:rsidR="00D312EE">
        <w:noBreakHyphen/>
      </w:r>
      <w:r w:rsidRPr="006C582D" w:rsidR="008046CE">
        <w:t>008 and modified in D.85</w:t>
      </w:r>
      <w:r w:rsidRPr="006C582D" w:rsidR="00D312EE">
        <w:noBreakHyphen/>
      </w:r>
      <w:r w:rsidRPr="006C582D" w:rsidR="008046CE">
        <w:t>07</w:t>
      </w:r>
      <w:r w:rsidRPr="006C582D" w:rsidR="00D312EE">
        <w:noBreakHyphen/>
      </w:r>
      <w:r w:rsidRPr="006C582D" w:rsidR="008046CE">
        <w:t>081 and D.85</w:t>
      </w:r>
      <w:r w:rsidRPr="006C582D" w:rsidR="00D312EE">
        <w:noBreakHyphen/>
      </w:r>
      <w:r w:rsidRPr="006C582D" w:rsidR="008046CE">
        <w:t>11</w:t>
      </w:r>
      <w:r w:rsidRPr="006C582D" w:rsidR="00D312EE">
        <w:noBreakHyphen/>
      </w:r>
      <w:r w:rsidRPr="006C582D" w:rsidR="008046CE">
        <w:t>044.</w:t>
      </w:r>
    </w:p>
    <w:p w:rsidRPr="006C582D" w:rsidR="00A94870" w:rsidP="00A94870" w:rsidRDefault="00A94870" w14:paraId="61F22D98" w14:textId="77777777">
      <w:pPr>
        <w:pStyle w:val="mainex"/>
        <w:spacing w:after="120"/>
      </w:pPr>
      <w:bookmarkStart w:name="_Toc450990221" w:id="41"/>
      <w:bookmarkStart w:name="_Toc451151268" w:id="42"/>
      <w:bookmarkStart w:name="_Toc41483973" w:id="43"/>
      <w:bookmarkStart w:name="OLE_LINK1" w:id="44"/>
      <w:bookmarkStart w:name="OLE_LINK2" w:id="45"/>
      <w:r w:rsidRPr="006C582D">
        <w:t>ORDER</w:t>
      </w:r>
      <w:bookmarkEnd w:id="41"/>
      <w:bookmarkEnd w:id="42"/>
      <w:bookmarkEnd w:id="43"/>
    </w:p>
    <w:bookmarkEnd w:id="44"/>
    <w:bookmarkEnd w:id="45"/>
    <w:p w:rsidRPr="006C582D" w:rsidR="00500B02" w:rsidP="008D173F" w:rsidRDefault="00A94870" w14:paraId="22CC1662" w14:textId="77777777">
      <w:pPr>
        <w:pStyle w:val="standard"/>
        <w:keepNext/>
      </w:pPr>
      <w:r w:rsidRPr="006C582D">
        <w:rPr>
          <w:b/>
        </w:rPr>
        <w:t>IT IS ORDERED</w:t>
      </w:r>
      <w:r w:rsidRPr="006C582D">
        <w:t xml:space="preserve"> that:</w:t>
      </w:r>
      <w:r w:rsidRPr="006C582D" w:rsidR="00527EB4">
        <w:t xml:space="preserve"> </w:t>
      </w:r>
    </w:p>
    <w:p w:rsidRPr="006C582D" w:rsidR="0060486D" w:rsidP="001A2352" w:rsidRDefault="0060486D" w14:paraId="0A83723D" w14:textId="58658D92">
      <w:pPr>
        <w:pStyle w:val="num1"/>
        <w:numPr>
          <w:ilvl w:val="0"/>
          <w:numId w:val="17"/>
        </w:numPr>
      </w:pPr>
      <w:r w:rsidRPr="006C582D">
        <w:t xml:space="preserve">A certificate of public convenience and necessity is granted to </w:t>
      </w:r>
      <w:r w:rsidRPr="006C582D" w:rsidR="00EB4C36">
        <w:rPr>
          <w:bCs/>
        </w:rPr>
        <w:t xml:space="preserve">Hudson </w:t>
      </w:r>
      <w:r w:rsidRPr="006C582D" w:rsidR="002F1287">
        <w:rPr>
          <w:bCs/>
        </w:rPr>
        <w:t xml:space="preserve">Fiber </w:t>
      </w:r>
      <w:r w:rsidRPr="006C582D" w:rsidR="00EB4C36">
        <w:rPr>
          <w:bCs/>
        </w:rPr>
        <w:t>Network Inc.</w:t>
      </w:r>
      <w:r w:rsidRPr="006C582D">
        <w:t xml:space="preserve"> to provide </w:t>
      </w:r>
      <w:r w:rsidRPr="006C582D" w:rsidR="000F7522">
        <w:t>full facilities</w:t>
      </w:r>
      <w:r w:rsidRPr="006C582D" w:rsidR="000F7522">
        <w:noBreakHyphen/>
        <w:t xml:space="preserve">based </w:t>
      </w:r>
      <w:r w:rsidRPr="006C582D" w:rsidR="00EB4C36">
        <w:rPr>
          <w:bCs/>
        </w:rPr>
        <w:t>and</w:t>
      </w:r>
      <w:r w:rsidRPr="006C582D" w:rsidR="000F7522">
        <w:rPr>
          <w:bCs/>
        </w:rPr>
        <w:t xml:space="preserve"> </w:t>
      </w:r>
      <w:r w:rsidRPr="006C582D" w:rsidR="000F7522">
        <w:t>resold</w:t>
      </w:r>
      <w:r w:rsidRPr="006C582D" w:rsidR="000F7522">
        <w:rPr>
          <w:b/>
        </w:rPr>
        <w:t xml:space="preserve"> </w:t>
      </w:r>
      <w:r w:rsidRPr="006C582D" w:rsidR="000F7522">
        <w:t xml:space="preserve">competitive local exchange </w:t>
      </w:r>
      <w:r w:rsidR="00140F99">
        <w:t xml:space="preserve">telecommunications </w:t>
      </w:r>
      <w:r w:rsidRPr="006C582D" w:rsidR="000F7522">
        <w:t>service</w:t>
      </w:r>
      <w:r w:rsidRPr="006C582D" w:rsidR="000F7522">
        <w:rPr>
          <w:b/>
        </w:rPr>
        <w:t xml:space="preserve"> </w:t>
      </w:r>
      <w:r w:rsidRPr="006C582D" w:rsidR="00EF4AA7">
        <w:t xml:space="preserve">in the </w:t>
      </w:r>
      <w:r w:rsidRPr="006C582D">
        <w:t xml:space="preserve">territories of Pacific </w:t>
      </w:r>
      <w:r w:rsidRPr="006C582D" w:rsidR="008E4D0D">
        <w:t xml:space="preserve">Bell </w:t>
      </w:r>
      <w:r w:rsidRPr="006C582D">
        <w:t>Telephone</w:t>
      </w:r>
      <w:r w:rsidRPr="006C582D" w:rsidR="003838A5">
        <w:t xml:space="preserve"> Company d/b/a AT&amp;T California</w:t>
      </w:r>
      <w:r w:rsidRPr="006C582D">
        <w:t xml:space="preserve">, </w:t>
      </w:r>
      <w:r w:rsidRPr="006C582D" w:rsidR="005B42EA">
        <w:t xml:space="preserve">Frontier </w:t>
      </w:r>
      <w:r w:rsidRPr="006C582D" w:rsidR="00EF4AA7">
        <w:t xml:space="preserve">California Inc., </w:t>
      </w:r>
      <w:r w:rsidRPr="006C582D">
        <w:t>Citizens Telecom</w:t>
      </w:r>
      <w:r w:rsidRPr="006C582D" w:rsidR="001917AF">
        <w:t>munications Company</w:t>
      </w:r>
      <w:r w:rsidRPr="006C582D">
        <w:t xml:space="preserve"> of California, Inc.</w:t>
      </w:r>
      <w:r w:rsidRPr="006C582D" w:rsidR="003838A5">
        <w:t xml:space="preserve"> d/b/a/ Frontier Communications of California,</w:t>
      </w:r>
      <w:r w:rsidRPr="006C582D">
        <w:t xml:space="preserve"> and </w:t>
      </w:r>
      <w:r w:rsidRPr="006C582D" w:rsidR="00EF4AA7">
        <w:t>Consolidated Communications of California</w:t>
      </w:r>
      <w:r w:rsidRPr="006C582D" w:rsidR="00407BDE">
        <w:t xml:space="preserve"> Company</w:t>
      </w:r>
      <w:r w:rsidR="00140F99">
        <w:t>;</w:t>
      </w:r>
      <w:r w:rsidRPr="006C582D">
        <w:t xml:space="preserve"> </w:t>
      </w:r>
      <w:r w:rsidRPr="006C582D" w:rsidR="00EB4C36">
        <w:rPr>
          <w:bCs/>
        </w:rPr>
        <w:t>and</w:t>
      </w:r>
      <w:r w:rsidR="00F06A3F">
        <w:rPr>
          <w:bCs/>
        </w:rPr>
        <w:t xml:space="preserve"> </w:t>
      </w:r>
      <w:r w:rsidRPr="006C582D" w:rsidR="00F06A3F">
        <w:t>full facilities</w:t>
      </w:r>
      <w:r w:rsidRPr="006C582D" w:rsidR="00F06A3F">
        <w:noBreakHyphen/>
        <w:t xml:space="preserve">based </w:t>
      </w:r>
      <w:r w:rsidRPr="006C582D" w:rsidR="00F06A3F">
        <w:rPr>
          <w:bCs/>
        </w:rPr>
        <w:t xml:space="preserve">and </w:t>
      </w:r>
      <w:r w:rsidRPr="006C582D" w:rsidR="00F06A3F">
        <w:t>resold</w:t>
      </w:r>
      <w:r w:rsidR="00F06A3F">
        <w:rPr>
          <w:bCs/>
        </w:rPr>
        <w:t xml:space="preserve"> non-dominant</w:t>
      </w:r>
      <w:r w:rsidRPr="006C582D" w:rsidR="000F7522">
        <w:rPr>
          <w:bCs/>
        </w:rPr>
        <w:t xml:space="preserve"> </w:t>
      </w:r>
      <w:r w:rsidRPr="006C582D" w:rsidR="00860129">
        <w:t>interexchange service in California</w:t>
      </w:r>
      <w:r w:rsidRPr="006C582D" w:rsidR="00860129">
        <w:rPr>
          <w:b/>
        </w:rPr>
        <w:t>,</w:t>
      </w:r>
      <w:r w:rsidRPr="006C582D" w:rsidR="00860129">
        <w:t xml:space="preserve"> </w:t>
      </w:r>
      <w:r w:rsidRPr="006C582D">
        <w:t>subject to the terms and conditions set forth below.</w:t>
      </w:r>
    </w:p>
    <w:p w:rsidRPr="006C582D" w:rsidR="003838A5" w:rsidP="001A2352" w:rsidRDefault="008B4C51" w14:paraId="0C90428B" w14:textId="2640C4C5">
      <w:pPr>
        <w:pStyle w:val="num1"/>
        <w:numPr>
          <w:ilvl w:val="0"/>
          <w:numId w:val="17"/>
        </w:numPr>
      </w:pPr>
      <w:r w:rsidRPr="006C582D">
        <w:t xml:space="preserve">The corporate identification number assigned to </w:t>
      </w:r>
      <w:r w:rsidRPr="006C582D" w:rsidR="00EB4C36">
        <w:rPr>
          <w:bCs/>
        </w:rPr>
        <w:t>Hudson Network Inc.</w:t>
      </w:r>
      <w:r w:rsidRPr="006C582D" w:rsidR="005B3BF6">
        <w:t>,</w:t>
      </w:r>
      <w:r w:rsidRPr="006C582D" w:rsidR="0069121B">
        <w:t xml:space="preserve"> </w:t>
      </w:r>
      <w:r w:rsidRPr="00231BB4" w:rsidR="00B83BA0">
        <w:rPr>
          <w:bCs/>
        </w:rPr>
        <w:t>U</w:t>
      </w:r>
      <w:r w:rsidRPr="00231BB4" w:rsidR="00FE6A62">
        <w:rPr>
          <w:bCs/>
        </w:rPr>
        <w:t>7371</w:t>
      </w:r>
      <w:r w:rsidRPr="00231BB4" w:rsidR="00400039">
        <w:rPr>
          <w:bCs/>
        </w:rPr>
        <w:t>C</w:t>
      </w:r>
      <w:r w:rsidRPr="006C582D" w:rsidR="00EB4C36">
        <w:t>,</w:t>
      </w:r>
      <w:r w:rsidRPr="006C582D">
        <w:t xml:space="preserve"> </w:t>
      </w:r>
      <w:r w:rsidRPr="006C582D" w:rsidR="009170C1">
        <w:t xml:space="preserve">must </w:t>
      </w:r>
      <w:r w:rsidRPr="006C582D">
        <w:t>be included in the caption of all original filings with this Commission, and in the titles of other pleadings filed in existing cases.</w:t>
      </w:r>
    </w:p>
    <w:p w:rsidRPr="006C582D" w:rsidR="008D1C2F" w:rsidP="008D1C2F" w:rsidRDefault="002F1287" w14:paraId="15557F94" w14:textId="3ACC2009">
      <w:pPr>
        <w:pStyle w:val="num1"/>
        <w:numPr>
          <w:ilvl w:val="0"/>
          <w:numId w:val="17"/>
        </w:numPr>
      </w:pPr>
      <w:r w:rsidRPr="006C582D">
        <w:rPr>
          <w:bCs/>
        </w:rPr>
        <w:t>Hudson Fiber Network Inc.</w:t>
      </w:r>
      <w:r w:rsidRPr="006C582D" w:rsidR="008D1C2F">
        <w:t xml:space="preserve"> must file, in this docket, a written acceptance of the certificate granted in this proceeding within 30 days of the effective date of this </w:t>
      </w:r>
      <w:r w:rsidRPr="006C582D" w:rsidR="00AE637C">
        <w:t>decision</w:t>
      </w:r>
      <w:r w:rsidRPr="006C582D" w:rsidR="008D1C2F">
        <w:t>.</w:t>
      </w:r>
      <w:r w:rsidRPr="006C582D" w:rsidR="00AE637C">
        <w:t xml:space="preserve">  Written acceptance filed in this docket s not reopen the proceeding.</w:t>
      </w:r>
    </w:p>
    <w:p w:rsidRPr="006C582D" w:rsidR="00D009B5" w:rsidP="001A2352" w:rsidRDefault="00D009B5" w14:paraId="0C0C0345" w14:textId="020C2D98">
      <w:pPr>
        <w:pStyle w:val="num1"/>
        <w:numPr>
          <w:ilvl w:val="0"/>
          <w:numId w:val="17"/>
        </w:numPr>
      </w:pPr>
      <w:r w:rsidRPr="006C582D">
        <w:t xml:space="preserve">The certificate granted by this </w:t>
      </w:r>
      <w:r w:rsidRPr="006C582D" w:rsidR="00AE637C">
        <w:t xml:space="preserve">decision </w:t>
      </w:r>
      <w:r w:rsidRPr="006C582D">
        <w:t xml:space="preserve">will expire if not exercised within 12 months of the effective date of this </w:t>
      </w:r>
      <w:r w:rsidRPr="006C582D" w:rsidR="00AE637C">
        <w:t>decision</w:t>
      </w:r>
      <w:r w:rsidRPr="006C582D">
        <w:t>.</w:t>
      </w:r>
    </w:p>
    <w:p w:rsidRPr="006C582D" w:rsidR="008D1C2F" w:rsidP="001D6337" w:rsidRDefault="001D6337" w14:paraId="43E631E0" w14:textId="4EA3A5BF">
      <w:pPr>
        <w:pStyle w:val="num1"/>
        <w:numPr>
          <w:ilvl w:val="0"/>
          <w:numId w:val="17"/>
        </w:numPr>
      </w:pPr>
      <w:r w:rsidRPr="006C582D">
        <w:rPr>
          <w:bCs/>
        </w:rPr>
        <w:lastRenderedPageBreak/>
        <w:t>Hudson Fiber Network Inc.</w:t>
      </w:r>
      <w:r w:rsidRPr="006C582D" w:rsidR="008D1C2F">
        <w:t xml:space="preserve"> must notify the Director of the Communications Division of the date that local exchange service is first rendered to the public, no later than five days after service first begins</w:t>
      </w:r>
      <w:r w:rsidRPr="006C582D" w:rsidR="00B94B0A">
        <w:t xml:space="preserve">, by email to </w:t>
      </w:r>
      <w:hyperlink w:history="1" r:id="rId14">
        <w:r w:rsidRPr="00346A50" w:rsidR="00FE3FE2">
          <w:t>cdcompliance@cpuc.ca.gov</w:t>
        </w:r>
      </w:hyperlink>
      <w:r w:rsidRPr="006C582D" w:rsidR="008D1C2F">
        <w:t xml:space="preserve">. </w:t>
      </w:r>
    </w:p>
    <w:p w:rsidRPr="006C582D" w:rsidR="003838A5" w:rsidP="001A2352" w:rsidRDefault="001D6337" w14:paraId="31F3AE2D" w14:textId="3F1968B0">
      <w:pPr>
        <w:pStyle w:val="num1"/>
        <w:numPr>
          <w:ilvl w:val="0"/>
          <w:numId w:val="17"/>
        </w:numPr>
      </w:pPr>
      <w:r w:rsidRPr="00346A50">
        <w:t>Hudson Fiber Network Inc.</w:t>
      </w:r>
      <w:r w:rsidRPr="00346A50" w:rsidR="00E16F00">
        <w:t xml:space="preserve"> </w:t>
      </w:r>
      <w:r w:rsidRPr="00346A50" w:rsidR="003838A5">
        <w:t>must obtain a performance bond of at least $25,000 in accordance with Decision 13-05-035.  The performance bond must be a</w:t>
      </w:r>
      <w:r w:rsidRPr="006C582D" w:rsidR="003838A5">
        <w:rPr>
          <w:rFonts w:ascii="Palatino Linotype" w:hAnsi="Palatino Linotype"/>
          <w:szCs w:val="26"/>
        </w:rPr>
        <w:t xml:space="preserve"> </w:t>
      </w:r>
      <w:r w:rsidRPr="00346A50" w:rsidR="003838A5">
        <w:t>continuous bond (</w:t>
      </w:r>
      <w:r w:rsidRPr="00346A50" w:rsidR="003838A5">
        <w:rPr>
          <w:i/>
          <w:iCs/>
        </w:rPr>
        <w:t>i.e.,</w:t>
      </w:r>
      <w:r w:rsidRPr="00346A50" w:rsidR="003838A5">
        <w:t xml:space="preserve"> there is no termination date on the bond) issued by a</w:t>
      </w:r>
      <w:r w:rsidRPr="006C582D" w:rsidR="003838A5">
        <w:rPr>
          <w:rFonts w:ascii="Palatino Linotype" w:hAnsi="Palatino Linotype"/>
          <w:szCs w:val="26"/>
        </w:rPr>
        <w:t xml:space="preserve"> </w:t>
      </w:r>
      <w:r w:rsidRPr="00346A50" w:rsidR="003838A5">
        <w:t xml:space="preserve">corporate surety company authorized to transact surety business in California, and the Commission must be listed as the obligee on the bond.  Within five days of acceptance of </w:t>
      </w:r>
      <w:r w:rsidRPr="00346A50" w:rsidR="00860129">
        <w:t xml:space="preserve">its certificate of public convenience and necessity </w:t>
      </w:r>
      <w:r w:rsidRPr="00346A50" w:rsidR="003838A5">
        <w:t xml:space="preserve">authority, </w:t>
      </w:r>
      <w:r w:rsidRPr="00346A50">
        <w:t>Hudson Fiber Network Inc.</w:t>
      </w:r>
      <w:r w:rsidRPr="00346A50" w:rsidR="00E16F00">
        <w:t xml:space="preserve"> </w:t>
      </w:r>
      <w:r w:rsidRPr="00346A50" w:rsidR="003838A5">
        <w:t>must submit a Tier-1 advice letter to the Communications</w:t>
      </w:r>
      <w:r w:rsidRPr="00346A50" w:rsidR="00DC0BDA">
        <w:t xml:space="preserve"> Division</w:t>
      </w:r>
      <w:r w:rsidRPr="00346A50" w:rsidR="003838A5">
        <w:t xml:space="preserve">, containing a copy of the license holder’s executed bond, and submit a Tier-1 advice letter annually, but not later than </w:t>
      </w:r>
      <w:r w:rsidRPr="006E5E4A" w:rsidR="003838A5">
        <w:t>March 31,</w:t>
      </w:r>
      <w:r w:rsidRPr="00346A50" w:rsidR="003838A5">
        <w:t xml:space="preserve"> with a copy of the executed bond. </w:t>
      </w:r>
    </w:p>
    <w:p w:rsidRPr="006C582D" w:rsidR="003838A5" w:rsidP="001A2352" w:rsidRDefault="00730854" w14:paraId="6C6DC797" w14:textId="740F83F5">
      <w:pPr>
        <w:pStyle w:val="num1"/>
        <w:numPr>
          <w:ilvl w:val="0"/>
          <w:numId w:val="17"/>
        </w:numPr>
      </w:pPr>
      <w:r w:rsidRPr="00346A50">
        <w:t>Hudson Fiber Network Inc.</w:t>
      </w:r>
      <w:r w:rsidRPr="006C582D" w:rsidR="00E16F00">
        <w:t xml:space="preserve"> </w:t>
      </w:r>
      <w:r w:rsidRPr="006C582D" w:rsidR="003838A5">
        <w:t xml:space="preserve">must not allow its performance bond to lapse during any period of its operation.  Pursuant to Decision 13-05-035, the Commission may revoke a </w:t>
      </w:r>
      <w:r w:rsidRPr="006C582D" w:rsidR="00860129">
        <w:t xml:space="preserve">certificate of public convenience and necessity </w:t>
      </w:r>
      <w:r w:rsidRPr="006C582D" w:rsidR="003838A5">
        <w:t>if a carrier is more than 120 days late in providing the Communications Division a copy of its executed performance bond and the carrier has not been granted an extension of time by the Communications Division.</w:t>
      </w:r>
    </w:p>
    <w:p w:rsidRPr="006C582D" w:rsidR="008B4C51" w:rsidP="001A2352" w:rsidRDefault="006619C0" w14:paraId="4A8EE47D" w14:textId="4D981B00">
      <w:pPr>
        <w:pStyle w:val="num1"/>
        <w:numPr>
          <w:ilvl w:val="0"/>
          <w:numId w:val="17"/>
        </w:numPr>
      </w:pPr>
      <w:r w:rsidRPr="006C582D">
        <w:t>In addition to</w:t>
      </w:r>
      <w:r w:rsidRPr="006C582D" w:rsidR="008B4C51">
        <w:t xml:space="preserve"> all the requirements applicable to competitive local exchange carriers </w:t>
      </w:r>
      <w:r w:rsidRPr="006C582D" w:rsidR="005B3BF6">
        <w:t xml:space="preserve">and interexchange carriers </w:t>
      </w:r>
      <w:r w:rsidRPr="006C582D" w:rsidR="008B4C51">
        <w:t>included in Attachments B, C, and D to this decision</w:t>
      </w:r>
      <w:r w:rsidRPr="006C582D">
        <w:t xml:space="preserve">, </w:t>
      </w:r>
      <w:r w:rsidRPr="00346A50" w:rsidR="00C1345C">
        <w:t>Hudson Fiber Network Inc.</w:t>
      </w:r>
      <w:r w:rsidRPr="006C582D" w:rsidR="00165C81">
        <w:t xml:space="preserve"> </w:t>
      </w:r>
      <w:r w:rsidRPr="006C582D" w:rsidR="00111B60">
        <w:t>is</w:t>
      </w:r>
      <w:r w:rsidRPr="006C582D">
        <w:t xml:space="preserve"> subject to </w:t>
      </w:r>
      <w:r w:rsidRPr="006C582D" w:rsidR="00DD447C">
        <w:t xml:space="preserve">the Consumer Protection Rules contained in General Order 168, and </w:t>
      </w:r>
      <w:r w:rsidRPr="006C582D">
        <w:t>all applicable Commission rules, decisions, General Orders, and statutes that pertain to California public utilities</w:t>
      </w:r>
      <w:r w:rsidRPr="006C582D" w:rsidR="00DD447C">
        <w:t>.</w:t>
      </w:r>
    </w:p>
    <w:p w:rsidRPr="006C582D" w:rsidR="001A4056" w:rsidP="001A2352" w:rsidRDefault="00C1345C" w14:paraId="66E07A55" w14:textId="36753A3E">
      <w:pPr>
        <w:pStyle w:val="num1"/>
        <w:numPr>
          <w:ilvl w:val="0"/>
          <w:numId w:val="17"/>
        </w:numPr>
      </w:pPr>
      <w:r w:rsidRPr="00346A50">
        <w:lastRenderedPageBreak/>
        <w:t>Hudson Fiber Network Inc.</w:t>
      </w:r>
      <w:r w:rsidRPr="006C582D" w:rsidR="009F6A70">
        <w:t xml:space="preserve"> </w:t>
      </w:r>
      <w:r w:rsidRPr="006C582D" w:rsidR="00201EE3">
        <w:t xml:space="preserve">must pay the public purpose surcharges </w:t>
      </w:r>
      <w:r w:rsidRPr="006C582D" w:rsidR="009F6A70">
        <w:t>specified in Attachment B</w:t>
      </w:r>
      <w:r w:rsidRPr="006C582D" w:rsidR="00407BDE">
        <w:t xml:space="preserve">, and the </w:t>
      </w:r>
      <w:r w:rsidRPr="006C582D" w:rsidR="00201EE3">
        <w:t xml:space="preserve">Combined California </w:t>
      </w:r>
      <w:r w:rsidRPr="006C582D" w:rsidR="00B83BA0">
        <w:t xml:space="preserve">Public Utilities Commission </w:t>
      </w:r>
      <w:r w:rsidRPr="006C582D" w:rsidR="00201EE3">
        <w:t>Telephone Surcharge Transmittal Form must be submitted even if the amount due is $0.</w:t>
      </w:r>
      <w:r w:rsidRPr="006C582D" w:rsidR="009F6A70">
        <w:t xml:space="preserve">  </w:t>
      </w:r>
    </w:p>
    <w:p w:rsidRPr="006C582D" w:rsidR="00201EE3" w:rsidP="001A2352" w:rsidRDefault="0097660C" w14:paraId="4CC1F06F" w14:textId="31A2D032">
      <w:pPr>
        <w:pStyle w:val="num1"/>
        <w:numPr>
          <w:ilvl w:val="0"/>
          <w:numId w:val="17"/>
        </w:numPr>
      </w:pPr>
      <w:r w:rsidRPr="006C582D">
        <w:rPr>
          <w:bCs/>
        </w:rPr>
        <w:t>Hudson Fiber Network Inc.</w:t>
      </w:r>
      <w:r w:rsidRPr="006C582D" w:rsidR="00EF156C">
        <w:t xml:space="preserve"> </w:t>
      </w:r>
      <w:r w:rsidRPr="006C582D" w:rsidR="0058160C">
        <w:t>must pay a</w:t>
      </w:r>
      <w:r w:rsidRPr="006C582D" w:rsidR="000711BF">
        <w:t>n annual</w:t>
      </w:r>
      <w:r w:rsidRPr="006C582D" w:rsidR="0058160C">
        <w:t xml:space="preserve"> minimum user fee of $100 or 0.</w:t>
      </w:r>
      <w:r w:rsidRPr="006C582D" w:rsidR="00407BDE">
        <w:t>3</w:t>
      </w:r>
      <w:r w:rsidRPr="006C582D" w:rsidR="00D0216F">
        <w:t>4</w:t>
      </w:r>
      <w:r w:rsidRPr="006C582D" w:rsidR="00383472">
        <w:t xml:space="preserve"> percent</w:t>
      </w:r>
      <w:r w:rsidRPr="006C582D" w:rsidR="0058160C">
        <w:t xml:space="preserve"> of gross intrastate revenue, whichever is greater.  </w:t>
      </w:r>
      <w:r w:rsidRPr="006C582D" w:rsidR="009F6A70">
        <w:t>Under Pub</w:t>
      </w:r>
      <w:r w:rsidRPr="006C582D" w:rsidR="00AE31B2">
        <w:t xml:space="preserve">lic </w:t>
      </w:r>
      <w:r w:rsidRPr="006C582D" w:rsidR="009F6A70">
        <w:t>Util</w:t>
      </w:r>
      <w:r w:rsidRPr="006C582D" w:rsidR="00AE31B2">
        <w:t>ities</w:t>
      </w:r>
      <w:r w:rsidRPr="006C582D" w:rsidR="009F6A70">
        <w:t xml:space="preserve"> Code §</w:t>
      </w:r>
      <w:r w:rsidRPr="006C582D" w:rsidR="00DE6AF6">
        <w:t> </w:t>
      </w:r>
      <w:r w:rsidRPr="006C582D" w:rsidR="009F6A70">
        <w:t>405, carriers that are in default of reporting and submitting user fees for a period of 30</w:t>
      </w:r>
      <w:r w:rsidRPr="006C582D" w:rsidR="00DE6AF6">
        <w:t> </w:t>
      </w:r>
      <w:r w:rsidRPr="006C582D" w:rsidR="009F6A70">
        <w:t>days or more will be subject to penalties including suspension or revocation of their authority to operate in California</w:t>
      </w:r>
      <w:r w:rsidRPr="006C582D" w:rsidR="00926B28">
        <w:t xml:space="preserve">.  </w:t>
      </w:r>
    </w:p>
    <w:p w:rsidRPr="006C582D" w:rsidR="009314A7" w:rsidP="001A2352" w:rsidRDefault="00201EE3" w14:paraId="4731BF32" w14:textId="4E5CF448">
      <w:pPr>
        <w:pStyle w:val="num1"/>
        <w:numPr>
          <w:ilvl w:val="0"/>
          <w:numId w:val="17"/>
        </w:numPr>
      </w:pPr>
      <w:r w:rsidRPr="006C582D">
        <w:t xml:space="preserve">Prior to initiating service, </w:t>
      </w:r>
      <w:r w:rsidRPr="006C582D" w:rsidR="0097660C">
        <w:rPr>
          <w:bCs/>
        </w:rPr>
        <w:t>Hudson Fiber Network Inc.</w:t>
      </w:r>
      <w:r w:rsidRPr="006C582D" w:rsidR="00165C81">
        <w:t xml:space="preserve"> </w:t>
      </w:r>
      <w:r w:rsidRPr="006C582D">
        <w:t>must provide the Commission’s Consumer Affairs Branch with the name</w:t>
      </w:r>
      <w:r w:rsidRPr="006C582D" w:rsidR="000711BF">
        <w:t>(s),</w:t>
      </w:r>
      <w:r w:rsidRPr="006C582D">
        <w:t xml:space="preserve"> address</w:t>
      </w:r>
      <w:r w:rsidRPr="006C582D" w:rsidR="000711BF">
        <w:t>(es), and telephone number(s)</w:t>
      </w:r>
      <w:r w:rsidRPr="006C582D">
        <w:t xml:space="preserve"> of its designated contact person(s) for purposes of resolving consumer complaints.  This information must be updated if the name</w:t>
      </w:r>
      <w:r w:rsidRPr="006C582D" w:rsidR="000711BF">
        <w:t>(s), address(es),</w:t>
      </w:r>
      <w:r w:rsidRPr="006C582D">
        <w:t xml:space="preserve"> or telephone number</w:t>
      </w:r>
      <w:r w:rsidRPr="006C582D" w:rsidR="000711BF">
        <w:t>(s)</w:t>
      </w:r>
      <w:r w:rsidRPr="006C582D">
        <w:t xml:space="preserve"> change, or at least annually.</w:t>
      </w:r>
    </w:p>
    <w:p w:rsidRPr="006C582D" w:rsidR="009314A7" w:rsidP="00207F19" w:rsidRDefault="009314A7" w14:paraId="5A80B814" w14:textId="2A53F9B4">
      <w:pPr>
        <w:pStyle w:val="num1"/>
        <w:numPr>
          <w:ilvl w:val="0"/>
          <w:numId w:val="17"/>
        </w:numPr>
      </w:pPr>
      <w:r w:rsidRPr="006C582D">
        <w:t xml:space="preserve">Prior to initiating service, </w:t>
      </w:r>
      <w:r w:rsidRPr="006C582D" w:rsidR="0097660C">
        <w:rPr>
          <w:bCs/>
        </w:rPr>
        <w:t>Hudson Fiber Network Inc.</w:t>
      </w:r>
      <w:r w:rsidRPr="006C582D">
        <w:t xml:space="preserve"> must provide the Commission’s Communications Division with the name</w:t>
      </w:r>
      <w:r w:rsidRPr="006C582D" w:rsidR="000711BF">
        <w:t>(s),</w:t>
      </w:r>
      <w:r w:rsidRPr="006C582D">
        <w:t xml:space="preserve"> address</w:t>
      </w:r>
      <w:r w:rsidRPr="006C582D" w:rsidR="000711BF">
        <w:t xml:space="preserve">(es), and telephone number(s) </w:t>
      </w:r>
      <w:r w:rsidRPr="006C582D">
        <w:t xml:space="preserve"> of its designated regulatory/official contact person(s).  This information must be provided electronically, using the “Regulatory/Official Contact Information Update Request” found at </w:t>
      </w:r>
      <w:hyperlink w:history="1" r:id="rId15">
        <w:r w:rsidRPr="006C582D" w:rsidR="00207F19">
          <w:rPr>
            <w:rStyle w:val="Hyperlink"/>
            <w:color w:val="auto"/>
          </w:rPr>
          <w:t>http://www.cpuc.ca.gov/communications</w:t>
        </w:r>
      </w:hyperlink>
      <w:r w:rsidRPr="006C582D" w:rsidR="00207F19">
        <w:t xml:space="preserve">. </w:t>
      </w:r>
      <w:r w:rsidRPr="006C582D">
        <w:rPr>
          <w:rFonts w:ascii="Arial" w:hAnsi="Arial" w:cs="Arial"/>
          <w:sz w:val="19"/>
          <w:szCs w:val="19"/>
          <w:lang w:val="en"/>
        </w:rPr>
        <w:t xml:space="preserve"> </w:t>
      </w:r>
      <w:r w:rsidRPr="006C582D">
        <w:t>This information must be updated if the name or telephone number changes, or at least annually.</w:t>
      </w:r>
    </w:p>
    <w:p w:rsidRPr="006C582D" w:rsidR="00201EE3" w:rsidP="001A2352" w:rsidRDefault="0097660C" w14:paraId="1722CC15" w14:textId="6204E3BA">
      <w:pPr>
        <w:pStyle w:val="num1"/>
        <w:numPr>
          <w:ilvl w:val="0"/>
          <w:numId w:val="17"/>
        </w:numPr>
      </w:pPr>
      <w:r w:rsidRPr="006C582D">
        <w:rPr>
          <w:bCs/>
        </w:rPr>
        <w:t>Hudson Fiber Network Inc.</w:t>
      </w:r>
      <w:r w:rsidRPr="006C582D" w:rsidR="00165C81">
        <w:t xml:space="preserve"> </w:t>
      </w:r>
      <w:r w:rsidRPr="006C582D" w:rsidR="00201EE3">
        <w:t xml:space="preserve">must </w:t>
      </w:r>
      <w:r w:rsidRPr="006C582D" w:rsidR="001128E6">
        <w:t xml:space="preserve">submit </w:t>
      </w:r>
      <w:r w:rsidRPr="006C582D" w:rsidR="00201EE3">
        <w:t xml:space="preserve">an affiliate transaction report </w:t>
      </w:r>
      <w:r w:rsidRPr="006C582D" w:rsidR="001128E6">
        <w:t xml:space="preserve">to </w:t>
      </w:r>
      <w:r w:rsidRPr="006C582D" w:rsidR="00201EE3">
        <w:t xml:space="preserve">the Director of the Communications Division, </w:t>
      </w:r>
      <w:r w:rsidRPr="006C582D" w:rsidR="00CD17F6">
        <w:t xml:space="preserve">by email to </w:t>
      </w:r>
      <w:hyperlink w:history="1" r:id="rId16">
        <w:r w:rsidRPr="006C582D" w:rsidR="00CD17F6">
          <w:rPr>
            <w:rStyle w:val="Hyperlink"/>
            <w:color w:val="auto"/>
          </w:rPr>
          <w:t>cdcompliance@cpuc.ca.gov</w:t>
        </w:r>
      </w:hyperlink>
      <w:r w:rsidRPr="006C582D" w:rsidR="00CD17F6">
        <w:t xml:space="preserve">, </w:t>
      </w:r>
      <w:r w:rsidRPr="006C582D" w:rsidR="00201EE3">
        <w:t>in compliance with D</w:t>
      </w:r>
      <w:r w:rsidRPr="006C582D" w:rsidR="00AE31B2">
        <w:t xml:space="preserve">ecision </w:t>
      </w:r>
      <w:r w:rsidRPr="006C582D" w:rsidR="00201EE3">
        <w:t>93</w:t>
      </w:r>
      <w:r w:rsidRPr="006C582D" w:rsidR="00D312EE">
        <w:noBreakHyphen/>
      </w:r>
      <w:r w:rsidRPr="006C582D" w:rsidR="00201EE3">
        <w:t>02</w:t>
      </w:r>
      <w:r w:rsidRPr="006C582D" w:rsidR="00D312EE">
        <w:noBreakHyphen/>
      </w:r>
      <w:r w:rsidRPr="006C582D" w:rsidR="00201EE3">
        <w:t>019, on a calendar year basis using the form contained in Attachment D.</w:t>
      </w:r>
    </w:p>
    <w:p w:rsidRPr="006C582D" w:rsidR="008D1C2F" w:rsidP="00236110" w:rsidRDefault="0097660C" w14:paraId="59FC72B6" w14:textId="2EC5CF5B">
      <w:pPr>
        <w:pStyle w:val="num2"/>
        <w:numPr>
          <w:ilvl w:val="0"/>
          <w:numId w:val="17"/>
        </w:numPr>
      </w:pPr>
      <w:r w:rsidRPr="006C582D">
        <w:rPr>
          <w:bCs/>
        </w:rPr>
        <w:lastRenderedPageBreak/>
        <w:t>Hudson Fiber Network Inc.</w:t>
      </w:r>
      <w:r w:rsidRPr="006C582D" w:rsidR="00201EE3">
        <w:t xml:space="preserve"> must </w:t>
      </w:r>
      <w:r w:rsidRPr="006C582D" w:rsidR="001128E6">
        <w:t xml:space="preserve">submit </w:t>
      </w:r>
      <w:r w:rsidRPr="006C582D" w:rsidR="00201EE3">
        <w:t xml:space="preserve">an annual report </w:t>
      </w:r>
      <w:r w:rsidRPr="006C582D" w:rsidR="001128E6">
        <w:t xml:space="preserve">to </w:t>
      </w:r>
      <w:r w:rsidRPr="006C582D" w:rsidR="00201EE3">
        <w:t>the Director of the Communications Division,</w:t>
      </w:r>
      <w:r w:rsidRPr="006C582D" w:rsidR="00CD17F6">
        <w:t xml:space="preserve"> by email to </w:t>
      </w:r>
      <w:hyperlink w:history="1" r:id="rId17">
        <w:r w:rsidRPr="006C582D" w:rsidR="00FE3FE2">
          <w:rPr>
            <w:rStyle w:val="Hyperlink"/>
            <w:color w:val="auto"/>
          </w:rPr>
          <w:t>cdcompliance@cpuc.ca.gov</w:t>
        </w:r>
      </w:hyperlink>
      <w:r w:rsidRPr="006C582D" w:rsidR="00CD17F6">
        <w:rPr>
          <w:u w:val="single"/>
        </w:rPr>
        <w:t>,</w:t>
      </w:r>
      <w:r w:rsidRPr="006C582D" w:rsidR="00201EE3">
        <w:t xml:space="preserve"> in compliance with </w:t>
      </w:r>
      <w:r w:rsidRPr="006C582D" w:rsidR="00B83BA0">
        <w:t xml:space="preserve">General Order </w:t>
      </w:r>
      <w:r w:rsidRPr="006C582D" w:rsidR="00201EE3">
        <w:t>104</w:t>
      </w:r>
      <w:r w:rsidRPr="006C582D" w:rsidR="00D312EE">
        <w:noBreakHyphen/>
      </w:r>
      <w:r w:rsidRPr="006C582D" w:rsidR="00201EE3">
        <w:t>A, on a calendar</w:t>
      </w:r>
      <w:r w:rsidRPr="006C582D" w:rsidR="00D312EE">
        <w:noBreakHyphen/>
      </w:r>
      <w:r w:rsidRPr="006C582D" w:rsidR="00201EE3">
        <w:t>year basis with the information contained in Attachment C to this decision.</w:t>
      </w:r>
    </w:p>
    <w:p w:rsidRPr="006C582D" w:rsidR="004A6E28" w:rsidP="001A2352" w:rsidRDefault="00236110" w14:paraId="44C99220" w14:textId="5FED7170">
      <w:pPr>
        <w:pStyle w:val="num2"/>
        <w:numPr>
          <w:ilvl w:val="0"/>
          <w:numId w:val="17"/>
        </w:numPr>
      </w:pPr>
      <w:r w:rsidRPr="006C582D">
        <w:rPr>
          <w:bCs/>
        </w:rPr>
        <w:t>Hudson Fiber Network Inc.</w:t>
      </w:r>
      <w:r w:rsidRPr="006C582D" w:rsidR="00357772">
        <w:t xml:space="preserve"> must submit an application for expanded authority </w:t>
      </w:r>
      <w:r w:rsidRPr="006C582D" w:rsidR="00945A52">
        <w:t>to operate without</w:t>
      </w:r>
      <w:r w:rsidRPr="006C582D" w:rsidR="00357772">
        <w:t xml:space="preserve"> NDIEC </w:t>
      </w:r>
      <w:r w:rsidRPr="006C582D" w:rsidR="00945A52">
        <w:t xml:space="preserve">status </w:t>
      </w:r>
      <w:r w:rsidRPr="006C582D" w:rsidR="00357772">
        <w:t>prior to construction of full facilities</w:t>
      </w:r>
      <w:r w:rsidRPr="006C582D" w:rsidR="00295C79">
        <w:t>.</w:t>
      </w:r>
      <w:r w:rsidRPr="006C582D" w:rsidR="00357772">
        <w:t xml:space="preserve">  </w:t>
      </w:r>
    </w:p>
    <w:p w:rsidRPr="006C582D" w:rsidR="00164F0D" w:rsidP="001A2352" w:rsidRDefault="00164F0D" w14:paraId="03F79F95" w14:textId="16C4FBD1">
      <w:pPr>
        <w:pStyle w:val="num2"/>
        <w:numPr>
          <w:ilvl w:val="0"/>
          <w:numId w:val="17"/>
        </w:numPr>
      </w:pPr>
      <w:r w:rsidRPr="006C582D">
        <w:t xml:space="preserve">The staff of the Commission’s Energy Division is authorized to review, process, and act upon </w:t>
      </w:r>
      <w:r w:rsidRPr="006C582D" w:rsidR="00236110">
        <w:rPr>
          <w:bCs/>
        </w:rPr>
        <w:t xml:space="preserve">Hudson Fiber Network Inc.’s </w:t>
      </w:r>
      <w:r w:rsidRPr="006C582D">
        <w:t>requests for a determination that its full facilities</w:t>
      </w:r>
      <w:r w:rsidRPr="006C582D" w:rsidR="00D312EE">
        <w:noBreakHyphen/>
      </w:r>
      <w:r w:rsidRPr="006C582D">
        <w:t>based construction activities are exempt from the requirements of the California Environmental Quality Act.</w:t>
      </w:r>
    </w:p>
    <w:p w:rsidRPr="006C582D" w:rsidR="00164F0D" w:rsidP="001A2352" w:rsidRDefault="00164F0D" w14:paraId="4DB1D552" w14:textId="294AC0DF">
      <w:pPr>
        <w:pStyle w:val="num2"/>
        <w:numPr>
          <w:ilvl w:val="0"/>
          <w:numId w:val="17"/>
        </w:numPr>
      </w:pPr>
      <w:r w:rsidRPr="006C582D">
        <w:t xml:space="preserve">If </w:t>
      </w:r>
      <w:r w:rsidRPr="006C582D" w:rsidR="00236110">
        <w:rPr>
          <w:bCs/>
        </w:rPr>
        <w:t>Hudson Fiber Network Inc.</w:t>
      </w:r>
      <w:r w:rsidRPr="006C582D">
        <w:t xml:space="preserve"> wishes to engage in full facilities</w:t>
      </w:r>
      <w:r w:rsidRPr="006C582D" w:rsidR="00D312EE">
        <w:noBreakHyphen/>
      </w:r>
      <w:r w:rsidRPr="006C582D">
        <w:t xml:space="preserve">based construction activities and believes that these activities are exempt from California Environmental Quality Act, </w:t>
      </w:r>
      <w:r w:rsidRPr="006C582D" w:rsidR="00236110">
        <w:rPr>
          <w:bCs/>
        </w:rPr>
        <w:t>Hudson Fiber Network Inc.</w:t>
      </w:r>
      <w:r w:rsidRPr="006C582D">
        <w:t xml:space="preserve"> shall first apply to the Commission’s Energy Division staff for a determination of exemption from California Environmental Quality Act </w:t>
      </w:r>
      <w:r w:rsidRPr="006C582D" w:rsidR="00135E41">
        <w:t>by</w:t>
      </w:r>
      <w:r w:rsidRPr="006C582D">
        <w:t xml:space="preserve"> provid</w:t>
      </w:r>
      <w:r w:rsidRPr="006C582D" w:rsidR="00135E41">
        <w:t>ing</w:t>
      </w:r>
      <w:r w:rsidRPr="006C582D">
        <w:t xml:space="preserve"> the Commission’s Energy Division</w:t>
      </w:r>
      <w:r w:rsidRPr="006C582D" w:rsidR="00076B5F">
        <w:t xml:space="preserve"> (Energy Division)</w:t>
      </w:r>
      <w:r w:rsidRPr="006C582D">
        <w:t xml:space="preserve"> with:</w:t>
      </w:r>
    </w:p>
    <w:p w:rsidRPr="006C582D" w:rsidR="00164F0D" w:rsidP="001A2352" w:rsidRDefault="00164F0D" w14:paraId="3A517B7D" w14:textId="77777777">
      <w:pPr>
        <w:pStyle w:val="bullet1"/>
        <w:numPr>
          <w:ilvl w:val="1"/>
          <w:numId w:val="11"/>
        </w:numPr>
        <w:ind w:right="1440"/>
      </w:pPr>
      <w:r w:rsidRPr="006C582D">
        <w:t>A detailed description of the proposed project, including:</w:t>
      </w:r>
    </w:p>
    <w:p w:rsidRPr="006C582D" w:rsidR="00164F0D" w:rsidP="001A2352" w:rsidRDefault="00164F0D" w14:paraId="62FB35F0" w14:textId="77777777">
      <w:pPr>
        <w:pStyle w:val="bullet1"/>
        <w:numPr>
          <w:ilvl w:val="2"/>
          <w:numId w:val="11"/>
        </w:numPr>
        <w:tabs>
          <w:tab w:val="clear" w:pos="2160"/>
          <w:tab w:val="left" w:pos="1440"/>
        </w:tabs>
        <w:ind w:left="1440" w:right="1440"/>
      </w:pPr>
      <w:r w:rsidRPr="006C582D">
        <w:t>Customer(s) to be served;</w:t>
      </w:r>
    </w:p>
    <w:p w:rsidRPr="006C582D" w:rsidR="00164F0D" w:rsidP="001A2352" w:rsidRDefault="00164F0D" w14:paraId="5A51159F" w14:textId="77777777">
      <w:pPr>
        <w:pStyle w:val="bullet1"/>
        <w:numPr>
          <w:ilvl w:val="2"/>
          <w:numId w:val="11"/>
        </w:numPr>
        <w:tabs>
          <w:tab w:val="clear" w:pos="2160"/>
          <w:tab w:val="left" w:pos="1440"/>
        </w:tabs>
        <w:ind w:left="1440" w:right="1440"/>
      </w:pPr>
      <w:r w:rsidRPr="006C582D">
        <w:t>The precise location of the proposed construction project; and</w:t>
      </w:r>
    </w:p>
    <w:p w:rsidRPr="006C582D" w:rsidR="00164F0D" w:rsidP="001A2352" w:rsidRDefault="00164F0D" w14:paraId="73B76201" w14:textId="77777777">
      <w:pPr>
        <w:pStyle w:val="bullet1"/>
        <w:numPr>
          <w:ilvl w:val="2"/>
          <w:numId w:val="11"/>
        </w:numPr>
        <w:tabs>
          <w:tab w:val="clear" w:pos="2160"/>
          <w:tab w:val="left" w:pos="1440"/>
        </w:tabs>
        <w:ind w:left="1440" w:right="1440"/>
      </w:pPr>
      <w:r w:rsidRPr="006C582D">
        <w:t>Regional and local site maps.</w:t>
      </w:r>
    </w:p>
    <w:p w:rsidRPr="006C582D" w:rsidR="00164F0D" w:rsidP="001A2352" w:rsidRDefault="00164F0D" w14:paraId="5D37BA1F" w14:textId="77777777">
      <w:pPr>
        <w:pStyle w:val="bullet1"/>
        <w:numPr>
          <w:ilvl w:val="1"/>
          <w:numId w:val="11"/>
        </w:numPr>
        <w:ind w:right="1440"/>
      </w:pPr>
      <w:r w:rsidRPr="006C582D">
        <w:t>A description of the environmental setting, including at a minimum:</w:t>
      </w:r>
    </w:p>
    <w:p w:rsidRPr="006C582D" w:rsidR="00164F0D" w:rsidP="001A2352" w:rsidRDefault="00164F0D" w14:paraId="3DEC178C" w14:textId="77777777">
      <w:pPr>
        <w:pStyle w:val="bullet1"/>
        <w:numPr>
          <w:ilvl w:val="2"/>
          <w:numId w:val="11"/>
        </w:numPr>
        <w:tabs>
          <w:tab w:val="clear" w:pos="2160"/>
          <w:tab w:val="left" w:pos="1440"/>
        </w:tabs>
        <w:ind w:left="1440" w:right="1440"/>
      </w:pPr>
      <w:r w:rsidRPr="006C582D">
        <w:t>Cultural, historical, and paleontological resources;</w:t>
      </w:r>
    </w:p>
    <w:p w:rsidRPr="006C582D" w:rsidR="00164F0D" w:rsidP="001A2352" w:rsidRDefault="00164F0D" w14:paraId="255018FF" w14:textId="77777777">
      <w:pPr>
        <w:pStyle w:val="bullet1"/>
        <w:numPr>
          <w:ilvl w:val="2"/>
          <w:numId w:val="11"/>
        </w:numPr>
        <w:tabs>
          <w:tab w:val="clear" w:pos="2160"/>
          <w:tab w:val="left" w:pos="1440"/>
        </w:tabs>
        <w:ind w:left="1440" w:right="1440"/>
      </w:pPr>
      <w:r w:rsidRPr="006C582D">
        <w:t>Biological resources; and</w:t>
      </w:r>
    </w:p>
    <w:p w:rsidRPr="006C582D" w:rsidR="00164F0D" w:rsidP="001A2352" w:rsidRDefault="00164F0D" w14:paraId="0CDBBEE3" w14:textId="77777777">
      <w:pPr>
        <w:pStyle w:val="bullet1"/>
        <w:numPr>
          <w:ilvl w:val="2"/>
          <w:numId w:val="11"/>
        </w:numPr>
        <w:tabs>
          <w:tab w:val="clear" w:pos="2160"/>
          <w:tab w:val="left" w:pos="1440"/>
        </w:tabs>
        <w:ind w:left="1440" w:right="1440"/>
      </w:pPr>
      <w:r w:rsidRPr="006C582D">
        <w:t>Current land use and zoning.</w:t>
      </w:r>
    </w:p>
    <w:p w:rsidRPr="006C582D" w:rsidR="00164F0D" w:rsidP="001A2352" w:rsidRDefault="00164F0D" w14:paraId="6536D28B" w14:textId="77777777">
      <w:pPr>
        <w:pStyle w:val="bullet1"/>
        <w:numPr>
          <w:ilvl w:val="1"/>
          <w:numId w:val="11"/>
        </w:numPr>
        <w:ind w:right="1440"/>
      </w:pPr>
      <w:r w:rsidRPr="006C582D">
        <w:t>A construction workplan, including:</w:t>
      </w:r>
    </w:p>
    <w:p w:rsidRPr="006C582D" w:rsidR="00164F0D" w:rsidP="001A2352" w:rsidRDefault="00164F0D" w14:paraId="033814A9" w14:textId="77777777">
      <w:pPr>
        <w:pStyle w:val="bullet1"/>
        <w:numPr>
          <w:ilvl w:val="2"/>
          <w:numId w:val="11"/>
        </w:numPr>
        <w:tabs>
          <w:tab w:val="clear" w:pos="2160"/>
          <w:tab w:val="left" w:pos="1440"/>
        </w:tabs>
        <w:ind w:left="1440" w:right="1440"/>
      </w:pPr>
      <w:r w:rsidRPr="006C582D">
        <w:lastRenderedPageBreak/>
        <w:t>Commission Preconstruction Survey Checklist—Archaeological Resources;</w:t>
      </w:r>
    </w:p>
    <w:p w:rsidRPr="006C582D" w:rsidR="00164F0D" w:rsidP="001A2352" w:rsidRDefault="00164F0D" w14:paraId="197D5C08" w14:textId="77777777">
      <w:pPr>
        <w:pStyle w:val="bullet1"/>
        <w:numPr>
          <w:ilvl w:val="2"/>
          <w:numId w:val="11"/>
        </w:numPr>
        <w:tabs>
          <w:tab w:val="clear" w:pos="2160"/>
          <w:tab w:val="left" w:pos="1440"/>
        </w:tabs>
        <w:ind w:left="1440" w:right="1440"/>
      </w:pPr>
      <w:r w:rsidRPr="006C582D">
        <w:t>Commission Preconstruction Survey Checklist—Biological Resources;</w:t>
      </w:r>
    </w:p>
    <w:p w:rsidRPr="006C582D" w:rsidR="00164F0D" w:rsidP="001A2352" w:rsidRDefault="00164F0D" w14:paraId="79406111" w14:textId="77777777">
      <w:pPr>
        <w:pStyle w:val="bullet1"/>
        <w:numPr>
          <w:ilvl w:val="2"/>
          <w:numId w:val="11"/>
        </w:numPr>
        <w:tabs>
          <w:tab w:val="clear" w:pos="2160"/>
          <w:tab w:val="left" w:pos="1440"/>
        </w:tabs>
        <w:ind w:left="1440" w:right="1440"/>
      </w:pPr>
      <w:r w:rsidRPr="006C582D">
        <w:t>A detailed schedule of construction activities, including site restoration activities;</w:t>
      </w:r>
    </w:p>
    <w:p w:rsidRPr="006C582D" w:rsidR="00164F0D" w:rsidP="001A2352" w:rsidRDefault="00164F0D" w14:paraId="35D8C8EE" w14:textId="77777777">
      <w:pPr>
        <w:pStyle w:val="bullet1"/>
        <w:numPr>
          <w:ilvl w:val="2"/>
          <w:numId w:val="11"/>
        </w:numPr>
        <w:tabs>
          <w:tab w:val="clear" w:pos="2160"/>
          <w:tab w:val="left" w:pos="1440"/>
        </w:tabs>
        <w:ind w:left="1440" w:right="1440"/>
      </w:pPr>
      <w:r w:rsidRPr="006C582D">
        <w:t>A description of construction/installation techniques;</w:t>
      </w:r>
    </w:p>
    <w:p w:rsidRPr="006C582D" w:rsidR="00164F0D" w:rsidP="001A2352" w:rsidRDefault="00164F0D" w14:paraId="58A120C3" w14:textId="77777777">
      <w:pPr>
        <w:pStyle w:val="bullet1"/>
        <w:numPr>
          <w:ilvl w:val="2"/>
          <w:numId w:val="11"/>
        </w:numPr>
        <w:tabs>
          <w:tab w:val="clear" w:pos="2160"/>
          <w:tab w:val="left" w:pos="1440"/>
        </w:tabs>
        <w:ind w:left="1440" w:right="1440"/>
      </w:pPr>
      <w:r w:rsidRPr="006C582D">
        <w:t>A list of other agencies contacted with respect to siting, land use planning, and environmental resource issues, including contact information; and</w:t>
      </w:r>
    </w:p>
    <w:p w:rsidRPr="006C582D" w:rsidR="00164F0D" w:rsidP="001A2352" w:rsidRDefault="00164F0D" w14:paraId="3872AB90" w14:textId="77777777">
      <w:pPr>
        <w:pStyle w:val="bullet1"/>
        <w:numPr>
          <w:ilvl w:val="2"/>
          <w:numId w:val="11"/>
        </w:numPr>
        <w:tabs>
          <w:tab w:val="clear" w:pos="2160"/>
          <w:tab w:val="left" w:pos="1440"/>
        </w:tabs>
        <w:ind w:left="1440" w:right="1440"/>
      </w:pPr>
      <w:r w:rsidRPr="006C582D">
        <w:t>A list of permits required for the proposed project.</w:t>
      </w:r>
    </w:p>
    <w:p w:rsidRPr="006C582D" w:rsidR="00164F0D" w:rsidP="001A2352" w:rsidRDefault="00164F0D" w14:paraId="222C7B2C" w14:textId="77777777">
      <w:pPr>
        <w:pStyle w:val="bullet1"/>
        <w:numPr>
          <w:ilvl w:val="1"/>
          <w:numId w:val="11"/>
        </w:numPr>
        <w:ind w:right="1440"/>
      </w:pPr>
      <w:r w:rsidRPr="006C582D">
        <w:t>A statement of the California Environmental Quality Act exemption(s) claimed to apply to the proposed project; and</w:t>
      </w:r>
    </w:p>
    <w:p w:rsidRPr="006C582D" w:rsidR="00164F0D" w:rsidP="001A2352" w:rsidRDefault="00164F0D" w14:paraId="1F7E01E1" w14:textId="77777777">
      <w:pPr>
        <w:pStyle w:val="bullet1"/>
        <w:numPr>
          <w:ilvl w:val="1"/>
          <w:numId w:val="11"/>
        </w:numPr>
        <w:ind w:right="1440"/>
      </w:pPr>
      <w:r w:rsidRPr="006C582D">
        <w:t>Documentation supporting the finding of exemption from California Environmental Quality Act.</w:t>
      </w:r>
    </w:p>
    <w:p w:rsidRPr="006C582D" w:rsidR="00164F0D" w:rsidP="001A2352" w:rsidRDefault="00164F0D" w14:paraId="401AE5BC" w14:textId="65E3D536">
      <w:pPr>
        <w:pStyle w:val="bullets"/>
        <w:numPr>
          <w:ilvl w:val="1"/>
          <w:numId w:val="11"/>
        </w:numPr>
        <w:ind w:right="1440"/>
      </w:pPr>
      <w:r w:rsidRPr="006C582D">
        <w:t xml:space="preserve">The Energy Division will then review the submittal and notify </w:t>
      </w:r>
      <w:r w:rsidRPr="006C582D" w:rsidR="00E91C7C">
        <w:t>Hudson Fiber Network Inc. (Hudson)</w:t>
      </w:r>
      <w:r w:rsidRPr="006C582D">
        <w:t xml:space="preserve"> of either its approval or its denial of </w:t>
      </w:r>
      <w:r w:rsidRPr="006C582D" w:rsidR="00E91C7C">
        <w:rPr>
          <w:bCs w:val="0"/>
        </w:rPr>
        <w:t>Hudson’s</w:t>
      </w:r>
      <w:r w:rsidRPr="006C582D">
        <w:rPr>
          <w:bCs w:val="0"/>
        </w:rPr>
        <w:t xml:space="preserve"> c</w:t>
      </w:r>
      <w:r w:rsidRPr="006C582D">
        <w:t xml:space="preserve">laim for exemption from California Environmental Quality Act review within 21 days from the time that </w:t>
      </w:r>
      <w:r w:rsidRPr="006C582D" w:rsidR="00E91C7C">
        <w:rPr>
          <w:bCs w:val="0"/>
        </w:rPr>
        <w:t>Hudson’s</w:t>
      </w:r>
      <w:r w:rsidRPr="006C582D">
        <w:rPr>
          <w:bCs w:val="0"/>
        </w:rPr>
        <w:t xml:space="preserve"> s</w:t>
      </w:r>
      <w:r w:rsidRPr="006C582D">
        <w:t>ubmittal is complete.</w:t>
      </w:r>
    </w:p>
    <w:p w:rsidRPr="006C582D" w:rsidR="00135E41" w:rsidP="00135E41" w:rsidRDefault="00164F0D" w14:paraId="62EC44B2" w14:textId="3E8EA5C5">
      <w:pPr>
        <w:pStyle w:val="num2"/>
        <w:numPr>
          <w:ilvl w:val="0"/>
          <w:numId w:val="17"/>
        </w:numPr>
      </w:pPr>
      <w:r w:rsidRPr="006C582D">
        <w:t xml:space="preserve">If the Energy Division approves </w:t>
      </w:r>
      <w:r w:rsidRPr="006C582D" w:rsidR="00E91C7C">
        <w:rPr>
          <w:bCs/>
        </w:rPr>
        <w:t>Hudson Fiber Network Inc.’s</w:t>
      </w:r>
      <w:r w:rsidRPr="006C582D">
        <w:rPr>
          <w:b/>
          <w:bCs/>
        </w:rPr>
        <w:t xml:space="preserve"> </w:t>
      </w:r>
      <w:r w:rsidRPr="006C582D" w:rsidR="00790425">
        <w:t>(Hudson)</w:t>
      </w:r>
      <w:r w:rsidRPr="006C582D" w:rsidR="00790425">
        <w:rPr>
          <w:b/>
          <w:bCs/>
        </w:rPr>
        <w:t xml:space="preserve"> </w:t>
      </w:r>
      <w:r w:rsidRPr="006C582D">
        <w:t xml:space="preserve">claimed California Environmental Quality Act exemption(s), the staff </w:t>
      </w:r>
      <w:r w:rsidRPr="006C582D" w:rsidR="00135E41">
        <w:t>shall</w:t>
      </w:r>
      <w:r w:rsidRPr="006C582D">
        <w:t xml:space="preserve"> prepare a Notice to Proceed and file a Notice of Exemption with the State Clearinghouse, Office of Planning and Research.</w:t>
      </w:r>
      <w:r w:rsidRPr="006C582D" w:rsidR="00135E41">
        <w:t xml:space="preserve">  </w:t>
      </w:r>
      <w:r w:rsidRPr="006C582D">
        <w:t xml:space="preserve">If the Energy Division disapproves </w:t>
      </w:r>
      <w:r w:rsidRPr="006C582D" w:rsidR="00790425">
        <w:t>Hudson’s</w:t>
      </w:r>
      <w:r w:rsidRPr="006C582D">
        <w:rPr>
          <w:b/>
          <w:bCs/>
        </w:rPr>
        <w:t xml:space="preserve"> </w:t>
      </w:r>
      <w:r w:rsidRPr="006C582D">
        <w:t xml:space="preserve">claimed California Environmental Quality Act exemptions, the staff </w:t>
      </w:r>
      <w:r w:rsidRPr="006C582D" w:rsidR="00135E41">
        <w:t>shall</w:t>
      </w:r>
      <w:r w:rsidRPr="006C582D">
        <w:t xml:space="preserve"> issue to </w:t>
      </w:r>
      <w:r w:rsidRPr="006C582D" w:rsidR="00790425">
        <w:t>Hudson</w:t>
      </w:r>
      <w:r w:rsidRPr="006C582D">
        <w:rPr>
          <w:b/>
          <w:bCs/>
        </w:rPr>
        <w:t xml:space="preserve"> </w:t>
      </w:r>
      <w:r w:rsidRPr="006C582D">
        <w:t>a letter which states the specific reasons that the claimed California Environmental Quality Act exemptions do not apply to the proposed project.</w:t>
      </w:r>
      <w:r w:rsidRPr="006C582D" w:rsidR="00135E41">
        <w:t xml:space="preserve">  </w:t>
      </w:r>
    </w:p>
    <w:p w:rsidRPr="006C582D" w:rsidR="00164F0D" w:rsidP="00135E41" w:rsidRDefault="00164F0D" w14:paraId="1D1453FB" w14:textId="39648268">
      <w:pPr>
        <w:pStyle w:val="num2"/>
        <w:numPr>
          <w:ilvl w:val="0"/>
          <w:numId w:val="17"/>
        </w:numPr>
      </w:pPr>
      <w:r w:rsidRPr="006C582D">
        <w:t xml:space="preserve">If the Energy Division disapproves </w:t>
      </w:r>
      <w:r w:rsidRPr="006C582D" w:rsidR="005A1311">
        <w:rPr>
          <w:bCs/>
        </w:rPr>
        <w:t>Hudson Fiber Network Inc.’s</w:t>
      </w:r>
      <w:r w:rsidRPr="006C582D" w:rsidR="005A1311">
        <w:rPr>
          <w:b/>
          <w:bCs/>
        </w:rPr>
        <w:t xml:space="preserve"> </w:t>
      </w:r>
      <w:r w:rsidRPr="006C582D" w:rsidR="005A1311">
        <w:t>(Hudson)</w:t>
      </w:r>
      <w:r w:rsidRPr="006C582D" w:rsidR="005A1311">
        <w:rPr>
          <w:b/>
          <w:bCs/>
        </w:rPr>
        <w:t xml:space="preserve"> </w:t>
      </w:r>
      <w:r w:rsidRPr="006C582D" w:rsidR="00165C81">
        <w:rPr>
          <w:b/>
          <w:bCs/>
        </w:rPr>
        <w:t xml:space="preserve"> </w:t>
      </w:r>
      <w:r w:rsidRPr="006C582D">
        <w:t xml:space="preserve">claimed California Environmental Quality Act exemption(s), </w:t>
      </w:r>
      <w:r w:rsidRPr="006C582D" w:rsidR="005A1311">
        <w:t>Hudson</w:t>
      </w:r>
      <w:r w:rsidRPr="006C582D">
        <w:rPr>
          <w:b/>
          <w:bCs/>
        </w:rPr>
        <w:t xml:space="preserve"> </w:t>
      </w:r>
      <w:r w:rsidRPr="006C582D">
        <w:t xml:space="preserve">shall either </w:t>
      </w:r>
      <w:r w:rsidRPr="006C582D">
        <w:lastRenderedPageBreak/>
        <w:t>re</w:t>
      </w:r>
      <w:r w:rsidRPr="006C582D" w:rsidR="00D312EE">
        <w:noBreakHyphen/>
      </w:r>
      <w:r w:rsidRPr="006C582D">
        <w:t>design the specific project and facilities and then reapply for a finding of exemption from California Environmental Quality Act, or file a formal application with the Commission seeking the requisite approval and full California Environmental Quality Act review, before commencing any full facilities</w:t>
      </w:r>
      <w:r w:rsidRPr="006C582D" w:rsidR="00D312EE">
        <w:noBreakHyphen/>
      </w:r>
      <w:r w:rsidRPr="006C582D">
        <w:t>based construction activities.</w:t>
      </w:r>
    </w:p>
    <w:p w:rsidRPr="006C582D" w:rsidR="008046CE" w:rsidP="001A2352" w:rsidRDefault="00C84712" w14:paraId="2FE68C91" w14:textId="4B6E74AE">
      <w:pPr>
        <w:pStyle w:val="num2"/>
        <w:numPr>
          <w:ilvl w:val="0"/>
          <w:numId w:val="17"/>
        </w:numPr>
      </w:pPr>
      <w:r w:rsidRPr="006C582D">
        <w:rPr>
          <w:bCs/>
        </w:rPr>
        <w:t>Hudson Fiber Network Inc.’s</w:t>
      </w:r>
      <w:r w:rsidRPr="006C582D">
        <w:rPr>
          <w:b/>
          <w:bCs/>
        </w:rPr>
        <w:t xml:space="preserve"> </w:t>
      </w:r>
      <w:r w:rsidRPr="006C582D">
        <w:t>(Hudson)</w:t>
      </w:r>
      <w:r w:rsidRPr="006C582D" w:rsidR="00165C81">
        <w:t xml:space="preserve"> </w:t>
      </w:r>
      <w:r w:rsidRPr="006C582D" w:rsidR="008046CE">
        <w:t xml:space="preserve">motion to file under seal its </w:t>
      </w:r>
      <w:r w:rsidRPr="006C582D" w:rsidR="00F34168">
        <w:t xml:space="preserve">Exhibit </w:t>
      </w:r>
      <w:r w:rsidRPr="006C582D" w:rsidR="00F34168">
        <w:rPr>
          <w:bCs/>
        </w:rPr>
        <w:t>G, Financial Showing, and Exhibit H</w:t>
      </w:r>
      <w:r w:rsidRPr="006C582D" w:rsidR="00F34168">
        <w:rPr>
          <w:b/>
        </w:rPr>
        <w:t xml:space="preserve">, </w:t>
      </w:r>
      <w:r w:rsidRPr="006C582D" w:rsidR="00F34168">
        <w:rPr>
          <w:bCs/>
        </w:rPr>
        <w:t xml:space="preserve">Estimated Customer Base, </w:t>
      </w:r>
      <w:r w:rsidRPr="006C582D" w:rsidR="00F34168">
        <w:t xml:space="preserve">to the Application, are </w:t>
      </w:r>
      <w:r w:rsidRPr="006C582D" w:rsidR="008046CE">
        <w:t>granted</w:t>
      </w:r>
      <w:r w:rsidRPr="006C582D" w:rsidR="00860129">
        <w:t xml:space="preserve"> for a period of three years after the date of this </w:t>
      </w:r>
      <w:r w:rsidRPr="006C582D" w:rsidR="00AE637C">
        <w:t>decision</w:t>
      </w:r>
      <w:r w:rsidRPr="006C582D" w:rsidR="00860129">
        <w:t>.  During this three year period, this information shall not be publicly disclosed except on further Commission order or Administrative Law Judge ruling</w:t>
      </w:r>
      <w:r w:rsidRPr="006C582D" w:rsidR="008046CE">
        <w:t xml:space="preserve">.  If </w:t>
      </w:r>
      <w:r w:rsidRPr="006C582D">
        <w:rPr>
          <w:bCs/>
        </w:rPr>
        <w:t>Hudson</w:t>
      </w:r>
      <w:r w:rsidRPr="006C582D">
        <w:rPr>
          <w:b/>
          <w:bCs/>
        </w:rPr>
        <w:t xml:space="preserve"> </w:t>
      </w:r>
      <w:r w:rsidRPr="006C582D" w:rsidR="008046CE">
        <w:t>believes that it is necessary for this information to remain under seal for longer than t</w:t>
      </w:r>
      <w:r w:rsidRPr="006C582D" w:rsidR="00860129">
        <w:t>hree</w:t>
      </w:r>
      <w:r w:rsidRPr="006C582D" w:rsidR="008046CE">
        <w:t xml:space="preserve"> years, </w:t>
      </w:r>
      <w:r w:rsidRPr="006C582D">
        <w:rPr>
          <w:bCs/>
        </w:rPr>
        <w:t xml:space="preserve">Hudson </w:t>
      </w:r>
      <w:r w:rsidRPr="006C582D" w:rsidR="008046CE">
        <w:t xml:space="preserve">may file a new motion </w:t>
      </w:r>
      <w:r w:rsidRPr="006C582D" w:rsidR="00860129">
        <w:t xml:space="preserve">showing good cause for extending this order by no later than </w:t>
      </w:r>
      <w:r w:rsidRPr="006C582D" w:rsidR="008046CE">
        <w:t xml:space="preserve">30 days before the expiration of this </w:t>
      </w:r>
      <w:r w:rsidRPr="006C582D" w:rsidR="00602852">
        <w:t>order</w:t>
      </w:r>
      <w:r w:rsidRPr="006C582D" w:rsidR="008046CE">
        <w:t>.</w:t>
      </w:r>
    </w:p>
    <w:p w:rsidRPr="006C582D" w:rsidR="00730980" w:rsidP="001A2352" w:rsidRDefault="008D173F" w14:paraId="3AAB5BFC" w14:textId="43A2A83F">
      <w:pPr>
        <w:pStyle w:val="num2"/>
        <w:numPr>
          <w:ilvl w:val="0"/>
          <w:numId w:val="17"/>
        </w:numPr>
      </w:pPr>
      <w:r w:rsidRPr="006C582D">
        <w:t xml:space="preserve">Application </w:t>
      </w:r>
      <w:r w:rsidRPr="006C582D" w:rsidR="000C3361">
        <w:t>19-09-004</w:t>
      </w:r>
      <w:r w:rsidRPr="006C582D" w:rsidR="00730980">
        <w:t xml:space="preserve"> is closed.</w:t>
      </w:r>
    </w:p>
    <w:p w:rsidRPr="006C582D" w:rsidR="00730980" w:rsidP="00730980" w:rsidRDefault="00730980" w14:paraId="5AF4AD0F" w14:textId="77777777">
      <w:pPr>
        <w:pStyle w:val="standard"/>
      </w:pPr>
      <w:r w:rsidRPr="006C582D">
        <w:t xml:space="preserve">This </w:t>
      </w:r>
      <w:r w:rsidRPr="006C582D" w:rsidR="00AE637C">
        <w:t xml:space="preserve">decision </w:t>
      </w:r>
      <w:r w:rsidRPr="006C582D">
        <w:t>is effective today.</w:t>
      </w:r>
    </w:p>
    <w:p w:rsidRPr="006C582D" w:rsidR="00730980" w:rsidP="00730980" w:rsidRDefault="00730980" w14:paraId="77A00278" w14:textId="0D628ECD">
      <w:pPr>
        <w:pStyle w:val="standard"/>
      </w:pPr>
      <w:r w:rsidRPr="006C582D">
        <w:t>Dated _______</w:t>
      </w:r>
      <w:r w:rsidR="00832CC4">
        <w:t>________</w:t>
      </w:r>
      <w:r w:rsidRPr="006C582D">
        <w:t>__, at San Francisco, California.</w:t>
      </w:r>
    </w:p>
    <w:p w:rsidRPr="006C582D" w:rsidR="00EA203E" w:rsidP="00730980" w:rsidRDefault="00EA203E" w14:paraId="508BB69F" w14:textId="77777777">
      <w:pPr>
        <w:pStyle w:val="standard"/>
      </w:pPr>
    </w:p>
    <w:p w:rsidRPr="006C582D" w:rsidR="00730980" w:rsidP="00730980" w:rsidRDefault="00730980" w14:paraId="1AE9C383" w14:textId="77777777">
      <w:pPr>
        <w:pStyle w:val="num2"/>
        <w:sectPr w:rsidRPr="006C582D" w:rsidR="00730980" w:rsidSect="00400DAF">
          <w:headerReference w:type="default" r:id="rId18"/>
          <w:footerReference w:type="default" r:id="rId19"/>
          <w:headerReference w:type="first" r:id="rId20"/>
          <w:footerReference w:type="first" r:id="rId21"/>
          <w:footnotePr>
            <w:numRestart w:val="eachSect"/>
          </w:footnotePr>
          <w:pgSz w:w="12240" w:h="15840" w:code="1"/>
          <w:pgMar w:top="1152" w:right="1440" w:bottom="1440" w:left="1440" w:header="720" w:footer="720" w:gutter="0"/>
          <w:pgNumType w:start="2"/>
          <w:cols w:space="720"/>
          <w:titlePg/>
        </w:sectPr>
      </w:pPr>
    </w:p>
    <w:p w:rsidRPr="006C582D" w:rsidR="003C50BE" w:rsidP="003C50BE" w:rsidRDefault="003C50BE" w14:paraId="14FE3296" w14:textId="77777777">
      <w:pPr>
        <w:ind w:left="360"/>
      </w:pPr>
    </w:p>
    <w:p w:rsidRPr="006C582D" w:rsidR="00650F10" w:rsidP="00650F10" w:rsidRDefault="00650F10" w14:paraId="500493C9" w14:textId="77777777">
      <w:pPr>
        <w:jc w:val="center"/>
        <w:rPr>
          <w:rFonts w:ascii="Book Antiqua" w:hAnsi="Book Antiqua"/>
          <w:b/>
        </w:rPr>
      </w:pPr>
      <w:r w:rsidRPr="006C582D">
        <w:rPr>
          <w:rFonts w:ascii="Book Antiqua" w:hAnsi="Book Antiqua"/>
          <w:b/>
        </w:rPr>
        <w:t>ATTACHMENT A</w:t>
      </w:r>
    </w:p>
    <w:p w:rsidRPr="006C582D" w:rsidR="00650F10" w:rsidP="00650F10" w:rsidRDefault="00650F10" w14:paraId="5AA676A3" w14:textId="77777777">
      <w:pPr>
        <w:jc w:val="center"/>
        <w:rPr>
          <w:rFonts w:ascii="Book Antiqua" w:hAnsi="Book Antiqua"/>
        </w:rPr>
      </w:pPr>
    </w:p>
    <w:p w:rsidRPr="006C582D" w:rsidR="00650F10" w:rsidP="00650F10" w:rsidRDefault="00650F10" w14:paraId="3F222547" w14:textId="224B95C6">
      <w:pPr>
        <w:jc w:val="center"/>
        <w:rPr>
          <w:rFonts w:ascii="Book Antiqua" w:hAnsi="Book Antiqua"/>
        </w:rPr>
      </w:pPr>
      <w:r w:rsidRPr="006C582D">
        <w:rPr>
          <w:rFonts w:ascii="Book Antiqua" w:hAnsi="Book Antiqua"/>
        </w:rPr>
        <w:t xml:space="preserve">(This Attachment is Intentionally Left Blank) </w:t>
      </w:r>
    </w:p>
    <w:p w:rsidRPr="006C582D" w:rsidR="00650F10" w:rsidP="00650F10" w:rsidRDefault="00650F10" w14:paraId="1BFCFB5F" w14:textId="77777777">
      <w:pPr>
        <w:jc w:val="center"/>
        <w:rPr>
          <w:rFonts w:ascii="Book Antiqua" w:hAnsi="Book Antiqua"/>
          <w:b/>
        </w:rPr>
      </w:pPr>
    </w:p>
    <w:p w:rsidRPr="006C582D" w:rsidR="00650F10" w:rsidP="00650F10" w:rsidRDefault="00650F10" w14:paraId="5344388A" w14:textId="77777777">
      <w:pPr>
        <w:rPr>
          <w:rFonts w:ascii="Book Antiqua" w:hAnsi="Book Antiqua"/>
        </w:rPr>
      </w:pPr>
    </w:p>
    <w:p w:rsidRPr="006C582D" w:rsidR="00650F10" w:rsidP="00650F10" w:rsidRDefault="00650F10" w14:paraId="7B39D57B" w14:textId="77777777">
      <w:pPr>
        <w:rPr>
          <w:rFonts w:ascii="Book Antiqua" w:hAnsi="Book Antiqua"/>
        </w:rPr>
      </w:pPr>
    </w:p>
    <w:p w:rsidRPr="006C582D" w:rsidR="00650F10" w:rsidP="00650F10" w:rsidRDefault="00650F10" w14:paraId="74BFB73B" w14:textId="77777777">
      <w:pPr>
        <w:rPr>
          <w:rFonts w:ascii="Book Antiqua" w:hAnsi="Book Antiqua"/>
        </w:rPr>
      </w:pPr>
    </w:p>
    <w:p w:rsidRPr="006C582D" w:rsidR="00650F10" w:rsidP="00650F10" w:rsidRDefault="00650F10" w14:paraId="79E553D5" w14:textId="77777777">
      <w:pPr>
        <w:rPr>
          <w:rFonts w:ascii="Book Antiqua" w:hAnsi="Book Antiqua"/>
        </w:rPr>
      </w:pPr>
    </w:p>
    <w:p w:rsidRPr="006C582D" w:rsidR="00650F10" w:rsidP="00650F10" w:rsidRDefault="00650F10" w14:paraId="6DCE06E4" w14:textId="77777777">
      <w:pPr>
        <w:rPr>
          <w:rFonts w:ascii="Book Antiqua" w:hAnsi="Book Antiqua"/>
        </w:rPr>
      </w:pPr>
    </w:p>
    <w:p w:rsidRPr="006C582D" w:rsidR="00650F10" w:rsidP="00650F10" w:rsidRDefault="00650F10" w14:paraId="13EB440E" w14:textId="77777777">
      <w:pPr>
        <w:rPr>
          <w:rFonts w:ascii="Book Antiqua" w:hAnsi="Book Antiqua"/>
        </w:rPr>
      </w:pPr>
    </w:p>
    <w:p w:rsidRPr="006C582D" w:rsidR="00650F10" w:rsidP="00650F10" w:rsidRDefault="00650F10" w14:paraId="439E7DDD" w14:textId="77777777">
      <w:pPr>
        <w:rPr>
          <w:rFonts w:ascii="Book Antiqua" w:hAnsi="Book Antiqua"/>
        </w:rPr>
      </w:pPr>
    </w:p>
    <w:p w:rsidRPr="006C582D" w:rsidR="00650F10" w:rsidP="00650F10" w:rsidRDefault="00650F10" w14:paraId="324F6AA4" w14:textId="77777777">
      <w:pPr>
        <w:rPr>
          <w:rFonts w:ascii="Book Antiqua" w:hAnsi="Book Antiqua"/>
        </w:rPr>
      </w:pPr>
    </w:p>
    <w:p w:rsidRPr="006C582D" w:rsidR="00650F10" w:rsidP="00650F10" w:rsidRDefault="00650F10" w14:paraId="2BBAE9E0" w14:textId="77777777">
      <w:pPr>
        <w:rPr>
          <w:rFonts w:ascii="Book Antiqua" w:hAnsi="Book Antiqua"/>
        </w:rPr>
      </w:pPr>
    </w:p>
    <w:p w:rsidRPr="006C582D" w:rsidR="00650F10" w:rsidP="00650F10" w:rsidRDefault="00650F10" w14:paraId="3CAAF71D" w14:textId="77777777">
      <w:pPr>
        <w:rPr>
          <w:rFonts w:ascii="Book Antiqua" w:hAnsi="Book Antiqua"/>
        </w:rPr>
      </w:pPr>
    </w:p>
    <w:p w:rsidRPr="006C582D" w:rsidR="00650F10" w:rsidP="00650F10" w:rsidRDefault="00650F10" w14:paraId="05D6EAFB" w14:textId="77777777">
      <w:pPr>
        <w:rPr>
          <w:rFonts w:ascii="Book Antiqua" w:hAnsi="Book Antiqua"/>
        </w:rPr>
      </w:pPr>
    </w:p>
    <w:p w:rsidRPr="006C582D" w:rsidR="00650F10" w:rsidP="00650F10" w:rsidRDefault="00650F10" w14:paraId="210151B0" w14:textId="77777777">
      <w:pPr>
        <w:rPr>
          <w:rFonts w:ascii="Book Antiqua" w:hAnsi="Book Antiqua"/>
        </w:rPr>
      </w:pPr>
    </w:p>
    <w:p w:rsidRPr="006C582D" w:rsidR="00650F10" w:rsidP="00650F10" w:rsidRDefault="00650F10" w14:paraId="4AA790BF" w14:textId="77777777">
      <w:pPr>
        <w:rPr>
          <w:rFonts w:ascii="Book Antiqua" w:hAnsi="Book Antiqua"/>
        </w:rPr>
      </w:pPr>
    </w:p>
    <w:p w:rsidRPr="006C582D" w:rsidR="00650F10" w:rsidP="00650F10" w:rsidRDefault="00650F10" w14:paraId="1968D7FD" w14:textId="77777777">
      <w:pPr>
        <w:rPr>
          <w:rFonts w:ascii="Book Antiqua" w:hAnsi="Book Antiqua"/>
        </w:rPr>
      </w:pPr>
    </w:p>
    <w:p w:rsidRPr="006C582D" w:rsidR="00650F10" w:rsidP="00650F10" w:rsidRDefault="00650F10" w14:paraId="6632CE43" w14:textId="77777777">
      <w:pPr>
        <w:rPr>
          <w:rFonts w:ascii="Book Antiqua" w:hAnsi="Book Antiqua"/>
        </w:rPr>
      </w:pPr>
    </w:p>
    <w:p w:rsidRPr="006C582D" w:rsidR="00650F10" w:rsidP="00650F10" w:rsidRDefault="00650F10" w14:paraId="461FD9E0" w14:textId="77777777">
      <w:pPr>
        <w:rPr>
          <w:rFonts w:ascii="Book Antiqua" w:hAnsi="Book Antiqua"/>
        </w:rPr>
      </w:pPr>
    </w:p>
    <w:p w:rsidRPr="006C582D" w:rsidR="00650F10" w:rsidP="00650F10" w:rsidRDefault="00650F10" w14:paraId="4EF631AD" w14:textId="77777777">
      <w:pPr>
        <w:rPr>
          <w:rFonts w:ascii="Book Antiqua" w:hAnsi="Book Antiqua"/>
        </w:rPr>
      </w:pPr>
    </w:p>
    <w:p w:rsidRPr="006C582D" w:rsidR="00650F10" w:rsidP="00650F10" w:rsidRDefault="00650F10" w14:paraId="55DCA8BE" w14:textId="77777777">
      <w:pPr>
        <w:rPr>
          <w:rFonts w:ascii="Book Antiqua" w:hAnsi="Book Antiqua"/>
        </w:rPr>
      </w:pPr>
    </w:p>
    <w:p w:rsidRPr="006C582D" w:rsidR="00650F10" w:rsidP="00650F10" w:rsidRDefault="00650F10" w14:paraId="0D425446" w14:textId="77777777">
      <w:pPr>
        <w:rPr>
          <w:rFonts w:ascii="Book Antiqua" w:hAnsi="Book Antiqua"/>
        </w:rPr>
      </w:pPr>
    </w:p>
    <w:p w:rsidRPr="006C582D" w:rsidR="00650F10" w:rsidP="00650F10" w:rsidRDefault="00650F10" w14:paraId="44A7AD56" w14:textId="77777777">
      <w:pPr>
        <w:rPr>
          <w:rFonts w:ascii="Book Antiqua" w:hAnsi="Book Antiqua"/>
        </w:rPr>
      </w:pPr>
    </w:p>
    <w:p w:rsidRPr="006C582D" w:rsidR="00650F10" w:rsidP="00650F10" w:rsidRDefault="00650F10" w14:paraId="6FB1A703" w14:textId="77777777">
      <w:pPr>
        <w:rPr>
          <w:rFonts w:ascii="Book Antiqua" w:hAnsi="Book Antiqua"/>
        </w:rPr>
      </w:pPr>
    </w:p>
    <w:p w:rsidRPr="006C582D" w:rsidR="00650F10" w:rsidP="00650F10" w:rsidRDefault="00650F10" w14:paraId="0D611814" w14:textId="77777777">
      <w:pPr>
        <w:rPr>
          <w:rFonts w:ascii="Book Antiqua" w:hAnsi="Book Antiqua"/>
        </w:rPr>
      </w:pPr>
    </w:p>
    <w:p w:rsidRPr="006C582D" w:rsidR="00650F10" w:rsidP="00650F10" w:rsidRDefault="00650F10" w14:paraId="60E55FA6" w14:textId="77777777">
      <w:pPr>
        <w:rPr>
          <w:rFonts w:ascii="Book Antiqua" w:hAnsi="Book Antiqua"/>
        </w:rPr>
      </w:pPr>
    </w:p>
    <w:p w:rsidRPr="006C582D" w:rsidR="00650F10" w:rsidP="00650F10" w:rsidRDefault="00650F10" w14:paraId="5A935FD6" w14:textId="77777777">
      <w:pPr>
        <w:rPr>
          <w:rFonts w:ascii="Book Antiqua" w:hAnsi="Book Antiqua"/>
        </w:rPr>
      </w:pPr>
    </w:p>
    <w:p w:rsidRPr="006C582D" w:rsidR="00650F10" w:rsidP="00650F10" w:rsidRDefault="00650F10" w14:paraId="62D06A3C" w14:textId="77777777">
      <w:pPr>
        <w:rPr>
          <w:rFonts w:ascii="Book Antiqua" w:hAnsi="Book Antiqua"/>
        </w:rPr>
      </w:pPr>
    </w:p>
    <w:p w:rsidRPr="006C582D" w:rsidR="00650F10" w:rsidP="00650F10" w:rsidRDefault="00650F10" w14:paraId="7088634D" w14:textId="77777777">
      <w:pPr>
        <w:rPr>
          <w:rFonts w:ascii="Book Antiqua" w:hAnsi="Book Antiqua"/>
        </w:rPr>
      </w:pPr>
    </w:p>
    <w:p w:rsidRPr="006C582D" w:rsidR="00650F10" w:rsidP="00650F10" w:rsidRDefault="00650F10" w14:paraId="3B566334" w14:textId="77777777">
      <w:pPr>
        <w:jc w:val="center"/>
        <w:rPr>
          <w:rFonts w:ascii="Book Antiqua" w:hAnsi="Book Antiqua"/>
          <w:b/>
        </w:rPr>
      </w:pPr>
      <w:r w:rsidRPr="006C582D">
        <w:rPr>
          <w:rFonts w:ascii="Book Antiqua" w:hAnsi="Book Antiqua"/>
          <w:b/>
        </w:rPr>
        <w:t>(END OF ATTACHMENT A)</w:t>
      </w:r>
    </w:p>
    <w:p w:rsidRPr="006C582D" w:rsidR="00EF1A50" w:rsidRDefault="00EF1A50" w14:paraId="53DF7331" w14:textId="77777777">
      <w:pPr>
        <w:jc w:val="center"/>
        <w:rPr>
          <w:b/>
        </w:rPr>
      </w:pPr>
    </w:p>
    <w:p w:rsidRPr="006C582D" w:rsidR="00EF1A50" w:rsidRDefault="00EF1A50" w14:paraId="3E530F58" w14:textId="77777777">
      <w:pPr>
        <w:jc w:val="center"/>
        <w:rPr>
          <w:b/>
        </w:rPr>
      </w:pPr>
    </w:p>
    <w:p w:rsidRPr="006C582D" w:rsidR="00EF1A50" w:rsidRDefault="00EF1A50" w14:paraId="13807611" w14:textId="77777777">
      <w:pPr>
        <w:jc w:val="center"/>
        <w:rPr>
          <w:b/>
        </w:rPr>
      </w:pPr>
    </w:p>
    <w:p w:rsidRPr="006C582D" w:rsidR="00287143" w:rsidP="00A65FD0" w:rsidRDefault="00287143" w14:paraId="423E2E83" w14:textId="77777777">
      <w:pPr>
        <w:sectPr w:rsidRPr="006C582D" w:rsidR="00287143" w:rsidSect="008E4D0D">
          <w:headerReference w:type="default" r:id="rId22"/>
          <w:footerReference w:type="default" r:id="rId23"/>
          <w:headerReference w:type="first" r:id="rId24"/>
          <w:footerReference w:type="first" r:id="rId25"/>
          <w:pgSz w:w="12240" w:h="15840" w:code="1"/>
          <w:pgMar w:top="1152" w:right="1440" w:bottom="1440" w:left="1440" w:header="720" w:footer="720" w:gutter="0"/>
          <w:pgNumType w:start="1"/>
          <w:cols w:space="720"/>
        </w:sectPr>
      </w:pPr>
    </w:p>
    <w:p w:rsidRPr="006C582D" w:rsidR="00385C15" w:rsidP="00385C15" w:rsidRDefault="00385C15" w14:paraId="114B7576" w14:textId="77777777">
      <w:pPr>
        <w:spacing w:after="120"/>
        <w:jc w:val="center"/>
        <w:rPr>
          <w:b/>
        </w:rPr>
      </w:pPr>
      <w:r w:rsidRPr="006C582D">
        <w:rPr>
          <w:b/>
        </w:rPr>
        <w:lastRenderedPageBreak/>
        <w:t>ATTACHMENT B</w:t>
      </w:r>
    </w:p>
    <w:p w:rsidRPr="006C582D" w:rsidR="00385C15" w:rsidP="00385C15" w:rsidRDefault="00385C15" w14:paraId="16E5D915" w14:textId="77777777">
      <w:pPr>
        <w:spacing w:after="120"/>
        <w:jc w:val="center"/>
        <w:rPr>
          <w:b/>
        </w:rPr>
      </w:pPr>
    </w:p>
    <w:p w:rsidRPr="006C582D" w:rsidR="00385C15" w:rsidP="00385C15" w:rsidRDefault="00385C15" w14:paraId="0AC5AA5D" w14:textId="77777777">
      <w:pPr>
        <w:spacing w:after="120"/>
        <w:jc w:val="center"/>
        <w:rPr>
          <w:b/>
        </w:rPr>
      </w:pPr>
      <w:r w:rsidRPr="006C582D">
        <w:rPr>
          <w:b/>
        </w:rPr>
        <w:t>REQUIREMENTS APPLICABLE TO COMPETITIVE LOCAL EXCHANGE CARRIERS AND INTEREXCHANGE CARRIERS</w:t>
      </w:r>
    </w:p>
    <w:p w:rsidRPr="006C582D" w:rsidR="00385C15" w:rsidP="00385C15" w:rsidRDefault="00385C15" w14:paraId="5C2559F2" w14:textId="77777777"/>
    <w:p w:rsidRPr="006C582D" w:rsidR="00385C15" w:rsidP="00385C15" w:rsidRDefault="00385C15" w14:paraId="1FF8808B" w14:textId="77777777">
      <w:pPr>
        <w:pStyle w:val="num1"/>
        <w:numPr>
          <w:ilvl w:val="0"/>
          <w:numId w:val="8"/>
        </w:numPr>
        <w:tabs>
          <w:tab w:val="clear" w:pos="-720"/>
          <w:tab w:val="num" w:pos="630"/>
          <w:tab w:val="left" w:pos="720"/>
        </w:tabs>
        <w:ind w:left="0" w:firstLine="360"/>
      </w:pPr>
      <w:r w:rsidRPr="006C582D">
        <w:t>Applicant must file, in this docket with reference to this decision number,</w:t>
      </w:r>
      <w:r w:rsidRPr="006C582D">
        <w:rPr>
          <w:vertAlign w:val="superscript"/>
        </w:rPr>
        <w:footnoteReference w:id="15"/>
      </w:r>
      <w:r w:rsidRPr="006C582D">
        <w:t xml:space="preserve"> a written acceptance of the certificate granted in this proceeding within 30 days of the effective date of this order.</w:t>
      </w:r>
    </w:p>
    <w:p w:rsidRPr="006C582D" w:rsidR="00385C15" w:rsidP="00385C15" w:rsidRDefault="00385C15" w14:paraId="1B680FFE" w14:textId="77777777">
      <w:pPr>
        <w:pStyle w:val="standard"/>
        <w:numPr>
          <w:ilvl w:val="0"/>
          <w:numId w:val="8"/>
        </w:numPr>
        <w:tabs>
          <w:tab w:val="num" w:pos="0"/>
          <w:tab w:val="num" w:pos="630"/>
        </w:tabs>
        <w:ind w:left="0" w:firstLine="360"/>
      </w:pPr>
      <w:r w:rsidRPr="006C582D">
        <w:t xml:space="preserve"> The certificate granted and the authority to render service under the rates, charges, and rules authorized will expire if not exercised within 12 months of the date of this decision.</w:t>
      </w:r>
    </w:p>
    <w:p w:rsidRPr="006C582D" w:rsidR="00385C15" w:rsidP="00385C15" w:rsidRDefault="00385C15" w14:paraId="023A3F4C" w14:textId="77777777">
      <w:pPr>
        <w:pStyle w:val="num1"/>
        <w:numPr>
          <w:ilvl w:val="0"/>
          <w:numId w:val="8"/>
        </w:numPr>
        <w:tabs>
          <w:tab w:val="clear" w:pos="-720"/>
          <w:tab w:val="num" w:pos="630"/>
          <w:tab w:val="left" w:pos="720"/>
        </w:tabs>
        <w:ind w:left="0" w:firstLine="360"/>
      </w:pPr>
      <w:r w:rsidRPr="006C582D">
        <w:t>Applicant is subject to the following fees and surcharges that must be regularly remitted.  Per the instructions in Exhibit E to Decision (D.) 00</w:t>
      </w:r>
      <w:r w:rsidRPr="006C582D">
        <w:noBreakHyphen/>
        <w:t>10</w:t>
      </w:r>
      <w:r w:rsidRPr="006C582D">
        <w:noBreakHyphen/>
        <w:t>028, the Combined California PUC Telephone Surcharge Transmittal Form must be submitted even if the amount due is $0.</w:t>
      </w:r>
    </w:p>
    <w:p w:rsidRPr="006C582D" w:rsidR="00385C15" w:rsidP="00385C15" w:rsidRDefault="00385C15" w14:paraId="0F9AE6AF" w14:textId="77777777">
      <w:pPr>
        <w:pStyle w:val="Quote1"/>
        <w:spacing w:before="0" w:after="120"/>
        <w:ind w:left="1080" w:right="1440" w:hanging="360"/>
      </w:pPr>
      <w:r w:rsidRPr="006C582D">
        <w:t>a.</w:t>
      </w:r>
      <w:r w:rsidRPr="006C582D">
        <w:tab/>
        <w:t>The Universal Lifeline Telephone Service Trust Administrative Committee Fund (Pub. Util. Code § 879);</w:t>
      </w:r>
    </w:p>
    <w:p w:rsidRPr="006C582D" w:rsidR="00385C15" w:rsidP="00385C15" w:rsidRDefault="00385C15" w14:paraId="44907129" w14:textId="77777777">
      <w:pPr>
        <w:pStyle w:val="Quote1"/>
        <w:spacing w:before="0" w:after="120"/>
        <w:ind w:left="1080" w:right="1440" w:hanging="360"/>
      </w:pPr>
      <w:r w:rsidRPr="006C582D">
        <w:t>b.</w:t>
      </w:r>
      <w:r w:rsidRPr="006C582D">
        <w:tab/>
        <w:t>The California Relay Service and Communications Devices Fund (Pub. Util. Code § 2881; D.98</w:t>
      </w:r>
      <w:r w:rsidRPr="006C582D">
        <w:noBreakHyphen/>
        <w:t>12</w:t>
      </w:r>
      <w:r w:rsidRPr="006C582D">
        <w:noBreakHyphen/>
        <w:t>073);</w:t>
      </w:r>
    </w:p>
    <w:p w:rsidRPr="006C582D" w:rsidR="00385C15" w:rsidP="00385C15" w:rsidRDefault="00385C15" w14:paraId="74521B77" w14:textId="77777777">
      <w:pPr>
        <w:pStyle w:val="Quote1"/>
        <w:spacing w:before="0" w:after="120"/>
        <w:ind w:left="1080" w:right="1440" w:hanging="360"/>
      </w:pPr>
      <w:r w:rsidRPr="006C582D">
        <w:lastRenderedPageBreak/>
        <w:t>c.</w:t>
      </w:r>
      <w:r w:rsidRPr="006C582D">
        <w:tab/>
        <w:t>The California High Cost Fund</w:t>
      </w:r>
      <w:r w:rsidRPr="006C582D">
        <w:noBreakHyphen/>
        <w:t>A (Pub. Util. Code § 739.3; D.96</w:t>
      </w:r>
      <w:r w:rsidRPr="006C582D">
        <w:noBreakHyphen/>
        <w:t>10</w:t>
      </w:r>
      <w:r w:rsidRPr="006C582D">
        <w:noBreakHyphen/>
        <w:t>066, at 3</w:t>
      </w:r>
      <w:r w:rsidRPr="006C582D">
        <w:noBreakHyphen/>
        <w:t>4, App. B, Rule 1.C);</w:t>
      </w:r>
    </w:p>
    <w:p w:rsidRPr="006C582D" w:rsidR="00385C15" w:rsidP="00385C15" w:rsidRDefault="00385C15" w14:paraId="0CF4A1D0" w14:textId="77777777">
      <w:pPr>
        <w:pStyle w:val="Quote1"/>
        <w:spacing w:before="0" w:after="120"/>
        <w:ind w:left="1080" w:right="1440" w:hanging="360"/>
      </w:pPr>
      <w:r w:rsidRPr="006C582D">
        <w:t>d.</w:t>
      </w:r>
      <w:r w:rsidRPr="006C582D">
        <w:tab/>
        <w:t>The California High Cost Fund</w:t>
      </w:r>
      <w:r w:rsidRPr="006C582D">
        <w:noBreakHyphen/>
        <w:t>B (D.96</w:t>
      </w:r>
      <w:r w:rsidRPr="006C582D">
        <w:noBreakHyphen/>
        <w:t>10</w:t>
      </w:r>
      <w:r w:rsidRPr="006C582D">
        <w:noBreakHyphen/>
        <w:t>066, at 191, App. B, Rule 6.F.; D.07</w:t>
      </w:r>
      <w:r w:rsidRPr="006C582D">
        <w:noBreakHyphen/>
        <w:t>12</w:t>
      </w:r>
      <w:r w:rsidRPr="006C582D">
        <w:noBreakHyphen/>
        <w:t>054);</w:t>
      </w:r>
    </w:p>
    <w:p w:rsidRPr="006C582D" w:rsidR="00385C15" w:rsidP="00385C15" w:rsidRDefault="00385C15" w14:paraId="1FF06C86" w14:textId="77777777">
      <w:pPr>
        <w:pStyle w:val="Quote1"/>
        <w:spacing w:before="0" w:after="120"/>
        <w:ind w:left="1080" w:right="1440" w:hanging="360"/>
      </w:pPr>
      <w:r w:rsidRPr="006C582D">
        <w:t>e.</w:t>
      </w:r>
      <w:r w:rsidRPr="006C582D">
        <w:tab/>
        <w:t>The California Advanced Services Fund (D.07</w:t>
      </w:r>
      <w:r w:rsidRPr="006C582D">
        <w:noBreakHyphen/>
        <w:t>12</w:t>
      </w:r>
      <w:r w:rsidRPr="006C582D">
        <w:noBreakHyphen/>
        <w:t>054);</w:t>
      </w:r>
    </w:p>
    <w:p w:rsidRPr="006C582D" w:rsidR="00385C15" w:rsidP="00385C15" w:rsidRDefault="00385C15" w14:paraId="658020DA" w14:textId="77777777">
      <w:pPr>
        <w:pStyle w:val="Quote1"/>
        <w:spacing w:before="0" w:after="120"/>
        <w:ind w:left="1080" w:right="1440" w:hanging="360"/>
      </w:pPr>
      <w:r w:rsidRPr="006C582D">
        <w:t>f.</w:t>
      </w:r>
      <w:r w:rsidRPr="006C582D">
        <w:tab/>
        <w:t>The California Teleconnect Fund (D.96</w:t>
      </w:r>
      <w:r w:rsidRPr="006C582D">
        <w:noBreakHyphen/>
        <w:t>10</w:t>
      </w:r>
      <w:r w:rsidRPr="006C582D">
        <w:noBreakHyphen/>
        <w:t>066, at 88, App. B, Rule 8.G);</w:t>
      </w:r>
    </w:p>
    <w:p w:rsidRPr="006C582D" w:rsidR="00385C15" w:rsidP="00385C15" w:rsidRDefault="00385C15" w14:paraId="7F7932AB" w14:textId="77777777">
      <w:pPr>
        <w:pStyle w:val="Quote1"/>
        <w:spacing w:before="0" w:after="120"/>
        <w:ind w:left="1080" w:right="1440" w:hanging="360"/>
      </w:pPr>
      <w:r w:rsidRPr="006C582D">
        <w:t>g.</w:t>
      </w:r>
      <w:r w:rsidRPr="006C582D">
        <w:tab/>
        <w:t>The User Fee provided in Pub. Util. Code §§ 431</w:t>
      </w:r>
      <w:r w:rsidRPr="006C582D">
        <w:noBreakHyphen/>
        <w:t>435. The minimum annual User Fee is $100, as set forth in D.13-05-035.</w:t>
      </w:r>
    </w:p>
    <w:p w:rsidRPr="006C582D" w:rsidR="00385C15" w:rsidP="00385C15" w:rsidRDefault="00385C15" w14:paraId="6799C467" w14:textId="77777777">
      <w:pPr>
        <w:pStyle w:val="standard"/>
        <w:spacing w:after="120" w:line="240" w:lineRule="auto"/>
        <w:ind w:left="720" w:right="1440" w:firstLine="0"/>
      </w:pPr>
      <w:r w:rsidRPr="006C582D">
        <w:t>Note:  These fees change periodically.  In compliance with Resolution T</w:t>
      </w:r>
      <w:r w:rsidRPr="006C582D">
        <w:noBreakHyphen/>
        <w:t>16901, December 2, 2004, Applicant must check the joint tariff for surcharges and fees filed by Pacific Bell Telephone Company (d/b/a AT&amp;T California) and apply the current surcharge and fee amounts in that joint tariff on end</w:t>
      </w:r>
      <w:r w:rsidRPr="006C582D">
        <w:noBreakHyphen/>
        <w:t xml:space="preserve">user bills until further revised.  Current and historical surcharge rates can be found at </w:t>
      </w:r>
      <w:hyperlink w:history="1" r:id="rId26">
        <w:r w:rsidRPr="006C582D">
          <w:t>http://www.cpuc.ca.gov/General.aspx?id=1124</w:t>
        </w:r>
      </w:hyperlink>
      <w:r w:rsidRPr="006C582D">
        <w:t xml:space="preserve">. </w:t>
      </w:r>
    </w:p>
    <w:p w:rsidRPr="006C582D" w:rsidR="00385C15" w:rsidP="00385C15" w:rsidRDefault="00385C15" w14:paraId="11108E0B" w14:textId="77777777">
      <w:pPr>
        <w:pStyle w:val="standard"/>
        <w:numPr>
          <w:ilvl w:val="0"/>
          <w:numId w:val="23"/>
        </w:numPr>
        <w:spacing w:after="120" w:line="240" w:lineRule="auto"/>
        <w:ind w:right="1440"/>
      </w:pPr>
      <w:r w:rsidRPr="006C582D">
        <w:t xml:space="preserve">Carriers must report and remit CPUC telephone program surcharges online using the CPUC Telecommunications and User Fees Filing System (TUFFS).  Information and instructions for online reporting and payment of surcharges are available at </w:t>
      </w:r>
      <w:hyperlink w:history="1" r:id="rId27">
        <w:r w:rsidRPr="006C582D">
          <w:t>http://www.cpuc.ca.gov/General.aspx?id=1010</w:t>
        </w:r>
      </w:hyperlink>
      <w:r w:rsidRPr="006C582D">
        <w:t>.  To request a user ID and password for TUFFS online filing and for questions, please e</w:t>
      </w:r>
      <w:r w:rsidRPr="006C582D">
        <w:noBreakHyphen/>
        <w:t xml:space="preserve">mail Telcosurcharge@cpuc.ca.gov. </w:t>
      </w:r>
    </w:p>
    <w:p w:rsidRPr="006C582D" w:rsidR="00385C15" w:rsidP="00385C15" w:rsidRDefault="00385C15" w14:paraId="432601AE" w14:textId="77777777">
      <w:pPr>
        <w:pStyle w:val="standard"/>
        <w:numPr>
          <w:ilvl w:val="0"/>
          <w:numId w:val="23"/>
        </w:numPr>
        <w:spacing w:after="120" w:line="240" w:lineRule="auto"/>
        <w:ind w:right="1440"/>
      </w:pPr>
      <w:r w:rsidRPr="006C582D">
        <w:t xml:space="preserve">Carriers must submit and pay the PUC User Fee (see Item 3.g above) upon receiving the User Fee statement sent by the Commission Instructions for reporting and filing are available at </w:t>
      </w:r>
      <w:hyperlink w:history="1" r:id="rId28">
        <w:r w:rsidRPr="006C582D">
          <w:t>http://www.cpuc.ca.gov/General.aspx?id=1009</w:t>
        </w:r>
      </w:hyperlink>
      <w:r w:rsidRPr="006C582D">
        <w:t xml:space="preserve">.  Please send an email to userfees@cpuc.ca.gov for additional questions regarding User Fee reporting and payment. </w:t>
      </w:r>
    </w:p>
    <w:p w:rsidRPr="006C582D" w:rsidR="00385C15" w:rsidP="00385C15" w:rsidRDefault="00385C15" w14:paraId="241B4734" w14:textId="77777777">
      <w:pPr>
        <w:pStyle w:val="num1"/>
        <w:numPr>
          <w:ilvl w:val="0"/>
          <w:numId w:val="8"/>
        </w:numPr>
        <w:tabs>
          <w:tab w:val="num" w:pos="630"/>
          <w:tab w:val="num" w:pos="720"/>
        </w:tabs>
        <w:ind w:left="0" w:firstLine="360"/>
      </w:pPr>
      <w:r w:rsidRPr="006C582D">
        <w:lastRenderedPageBreak/>
        <w:t>If Applicant is a competitive local exchange carrier, the effectiveness of its future competitive local exchange carrier tariffs is subject to the requirements of General Order 96</w:t>
      </w:r>
      <w:r w:rsidRPr="006C582D">
        <w:noBreakHyphen/>
        <w:t>B and the Telecommunications Industry Rules (D.07</w:t>
      </w:r>
      <w:r w:rsidRPr="006C582D">
        <w:noBreakHyphen/>
        <w:t>09</w:t>
      </w:r>
      <w:r w:rsidRPr="006C582D">
        <w:noBreakHyphen/>
        <w:t>019).</w:t>
      </w:r>
    </w:p>
    <w:p w:rsidRPr="006C582D" w:rsidR="00385C15" w:rsidP="00385C15" w:rsidRDefault="00385C15" w14:paraId="45876B4F" w14:textId="77777777">
      <w:pPr>
        <w:pStyle w:val="num1"/>
        <w:numPr>
          <w:ilvl w:val="0"/>
          <w:numId w:val="8"/>
        </w:numPr>
        <w:tabs>
          <w:tab w:val="num" w:pos="630"/>
          <w:tab w:val="num" w:pos="720"/>
        </w:tabs>
        <w:ind w:left="0" w:firstLine="360"/>
      </w:pPr>
      <w:r w:rsidRPr="006C582D">
        <w:t>If Applicant is a non</w:t>
      </w:r>
      <w:r w:rsidRPr="006C582D">
        <w:noBreakHyphen/>
        <w:t>dominant interexchange carrier, the effectiveness of its future non</w:t>
      </w:r>
      <w:r w:rsidRPr="006C582D">
        <w:noBreakHyphen/>
        <w:t>dominant interexchange carrier tariffs is subject to the requirement of General Order 96</w:t>
      </w:r>
      <w:r w:rsidRPr="006C582D">
        <w:noBreakHyphen/>
        <w:t>B and the Telecommunications Industry Rules (D.07</w:t>
      </w:r>
      <w:r w:rsidRPr="006C582D">
        <w:noBreakHyphen/>
        <w:t>09</w:t>
      </w:r>
      <w:r w:rsidRPr="006C582D">
        <w:noBreakHyphen/>
        <w:t>019).</w:t>
      </w:r>
    </w:p>
    <w:p w:rsidRPr="006C582D" w:rsidR="00385C15" w:rsidP="00385C15" w:rsidRDefault="00385C15" w14:paraId="772C923C" w14:textId="77777777">
      <w:pPr>
        <w:pStyle w:val="num1"/>
        <w:numPr>
          <w:ilvl w:val="0"/>
          <w:numId w:val="8"/>
        </w:numPr>
        <w:tabs>
          <w:tab w:val="num" w:pos="630"/>
          <w:tab w:val="num" w:pos="720"/>
        </w:tabs>
        <w:ind w:left="0" w:firstLine="360"/>
      </w:pPr>
      <w:r w:rsidRPr="006C582D">
        <w:t xml:space="preserve"> Tariff filings must reflect all fees and surcharges to which Applicant is subject, as reflected in Item 3 above.</w:t>
      </w:r>
    </w:p>
    <w:p w:rsidRPr="006C582D" w:rsidR="00385C15" w:rsidP="00385C15" w:rsidRDefault="00385C15" w14:paraId="03F2EE27" w14:textId="77777777">
      <w:pPr>
        <w:pStyle w:val="num1"/>
        <w:numPr>
          <w:ilvl w:val="0"/>
          <w:numId w:val="8"/>
        </w:numPr>
        <w:tabs>
          <w:tab w:val="num" w:pos="630"/>
          <w:tab w:val="num" w:pos="720"/>
        </w:tabs>
        <w:ind w:left="0" w:firstLine="360"/>
      </w:pPr>
      <w:r w:rsidRPr="006C582D">
        <w:t xml:space="preserve">Applicant must obtain a performance bond of at least $25,000 in accordance with Decision 13-05-035.  The performance bond must be a continuous bond (i.e., there is no termination date on the bond) issued by a corporate surety company authorized to transact surety business in California, and the Commission must be listed as the obligee on the bond.  Within five days of acceptance of its certificate of public convenience and necessity authority, Applicant must submit a Tier-1 Advice Letter to the Communications Division, containing a copy of the license holder’s executed bond, and submit a Tier-1 advice letter annually, but not later than March 31, with a copy of the executed bond. </w:t>
      </w:r>
    </w:p>
    <w:p w:rsidRPr="006C582D" w:rsidR="00385C15" w:rsidP="00385C15" w:rsidRDefault="00385C15" w14:paraId="19A70671" w14:textId="77777777">
      <w:pPr>
        <w:pStyle w:val="num1"/>
        <w:numPr>
          <w:ilvl w:val="0"/>
          <w:numId w:val="8"/>
        </w:numPr>
        <w:tabs>
          <w:tab w:val="num" w:pos="630"/>
          <w:tab w:val="num" w:pos="720"/>
        </w:tabs>
        <w:ind w:left="0" w:firstLine="360"/>
      </w:pPr>
      <w:r w:rsidRPr="006C582D">
        <w:t>Applicant must not allow its performance bond to lapse during any period of its operation.  Pursuant to Decision 13-05-035, the Commission may revoke a certificate of public convenience and necessity if a carrier is more than 120 days late in providing the Communications Division a copy of its executed performance bond and the carrier has not been granted an extension of time by the Communications Division.</w:t>
      </w:r>
    </w:p>
    <w:p w:rsidRPr="006C582D" w:rsidR="00385C15" w:rsidP="00385C15" w:rsidRDefault="00385C15" w14:paraId="37AEE056" w14:textId="77777777">
      <w:pPr>
        <w:pStyle w:val="num1"/>
        <w:numPr>
          <w:ilvl w:val="0"/>
          <w:numId w:val="8"/>
        </w:numPr>
        <w:tabs>
          <w:tab w:val="num" w:pos="630"/>
          <w:tab w:val="num" w:pos="720"/>
        </w:tabs>
        <w:ind w:left="0" w:firstLine="360"/>
      </w:pPr>
      <w:r w:rsidRPr="006C582D">
        <w:t>Applicants providing local exchange service must submit a service area map as part of their initial tariff to the Communications Division.</w:t>
      </w:r>
    </w:p>
    <w:p w:rsidRPr="006C582D" w:rsidR="00385C15" w:rsidP="00385C15" w:rsidRDefault="00385C15" w14:paraId="4AE1216D" w14:textId="77777777">
      <w:pPr>
        <w:pStyle w:val="num1"/>
        <w:numPr>
          <w:ilvl w:val="0"/>
          <w:numId w:val="8"/>
        </w:numPr>
        <w:tabs>
          <w:tab w:val="num" w:pos="630"/>
          <w:tab w:val="num" w:pos="720"/>
        </w:tabs>
        <w:ind w:left="0" w:firstLine="360"/>
      </w:pPr>
      <w:r w:rsidRPr="006C582D">
        <w:lastRenderedPageBreak/>
        <w:t xml:space="preserve"> Prior to initiating service, Applicant must provide the Commission’s Consumer Affairs Branch with the name(s), address(es), and telephone number(s) of its designated contact person(s) for purposes of resolving consumer complaints. This information must be updated if the name(s), address(es), and telephone number(s) change, or at least annually.</w:t>
      </w:r>
    </w:p>
    <w:p w:rsidRPr="006C582D" w:rsidR="00385C15" w:rsidP="00385C15" w:rsidRDefault="00385C15" w14:paraId="39CC38CD" w14:textId="77777777">
      <w:pPr>
        <w:pStyle w:val="num1"/>
        <w:numPr>
          <w:ilvl w:val="0"/>
          <w:numId w:val="8"/>
        </w:numPr>
        <w:tabs>
          <w:tab w:val="num" w:pos="630"/>
          <w:tab w:val="num" w:pos="720"/>
        </w:tabs>
        <w:ind w:left="0" w:firstLine="360"/>
      </w:pPr>
      <w:r w:rsidRPr="006C582D">
        <w:t xml:space="preserve"> In addition, Applicant must provide the Commission’s Communications Division with the name(s), address(es), and telephone number(s) of its designated regulatory/official contact persons(s).  This information must be provided electronically, using the “Communications Utility Contact Update Form” found at </w:t>
      </w:r>
      <w:hyperlink w:history="1" r:id="rId29">
        <w:r w:rsidRPr="006C582D">
          <w:t>http://www.cpuc.ca.gov/communications</w:t>
        </w:r>
      </w:hyperlink>
      <w:r w:rsidRPr="006C582D">
        <w:t>. This information must be updated if the name(s), address(es), and telephone number(s) change, or at least annually.</w:t>
      </w:r>
    </w:p>
    <w:p w:rsidRPr="006C582D" w:rsidR="00385C15" w:rsidP="00385C15" w:rsidRDefault="00385C15" w14:paraId="6AABE105" w14:textId="77777777">
      <w:pPr>
        <w:pStyle w:val="num1"/>
        <w:numPr>
          <w:ilvl w:val="0"/>
          <w:numId w:val="8"/>
        </w:numPr>
        <w:tabs>
          <w:tab w:val="num" w:pos="630"/>
          <w:tab w:val="num" w:pos="720"/>
        </w:tabs>
        <w:ind w:left="0" w:firstLine="360"/>
      </w:pPr>
      <w:r w:rsidRPr="006C582D">
        <w:t xml:space="preserve">Applicant must notify the Director of the Communications Division, in writing submitted by email to </w:t>
      </w:r>
      <w:hyperlink w:history="1" r:id="rId30">
        <w:r w:rsidRPr="006C582D">
          <w:t>cdcompliance@cpuc.ca.gov</w:t>
        </w:r>
      </w:hyperlink>
      <w:r w:rsidRPr="006C582D">
        <w:t>, no later than five days after service first begins, of the date that local exchange service is first rendered to the public.</w:t>
      </w:r>
    </w:p>
    <w:p w:rsidRPr="006C582D" w:rsidR="00385C15" w:rsidP="00385C15" w:rsidRDefault="00385C15" w14:paraId="5EE460C5" w14:textId="77777777">
      <w:pPr>
        <w:pStyle w:val="num2"/>
        <w:numPr>
          <w:ilvl w:val="0"/>
          <w:numId w:val="8"/>
        </w:numPr>
        <w:tabs>
          <w:tab w:val="num" w:pos="630"/>
          <w:tab w:val="num" w:pos="720"/>
        </w:tabs>
        <w:ind w:left="0" w:firstLine="270"/>
      </w:pPr>
      <w:r w:rsidRPr="006C582D">
        <w:t>Applicant must keep its books and records in accordance with the Generally Accepted Accounting Principles.</w:t>
      </w:r>
    </w:p>
    <w:p w:rsidRPr="006C582D" w:rsidR="00385C15" w:rsidP="00385C15" w:rsidRDefault="00385C15" w14:paraId="7A614B3E" w14:textId="77777777">
      <w:pPr>
        <w:pStyle w:val="num1"/>
        <w:numPr>
          <w:ilvl w:val="0"/>
          <w:numId w:val="8"/>
        </w:numPr>
        <w:tabs>
          <w:tab w:val="clear" w:pos="-720"/>
          <w:tab w:val="num" w:pos="630"/>
          <w:tab w:val="left" w:pos="720"/>
        </w:tabs>
        <w:ind w:left="0" w:firstLine="270"/>
      </w:pPr>
      <w:r w:rsidRPr="006C582D">
        <w:t>In the event Applicant’s books and records are required for inspection by the Commission or its staff, it must either produce such records at the Commission’s offices or reimburse the Commission for the reasonable costs incurred in having Commission staff travel to its office.</w:t>
      </w:r>
    </w:p>
    <w:p w:rsidRPr="006C582D" w:rsidR="00385C15" w:rsidP="00385C15" w:rsidRDefault="00385C15" w14:paraId="01907606" w14:textId="77777777">
      <w:pPr>
        <w:pStyle w:val="num1"/>
        <w:numPr>
          <w:ilvl w:val="0"/>
          <w:numId w:val="8"/>
        </w:numPr>
        <w:tabs>
          <w:tab w:val="clear" w:pos="-720"/>
          <w:tab w:val="num" w:pos="630"/>
          <w:tab w:val="left" w:pos="720"/>
        </w:tabs>
        <w:ind w:left="0" w:firstLine="270"/>
      </w:pPr>
      <w:r w:rsidRPr="006C582D">
        <w:t xml:space="preserve">Applicant must submit an annual report to the Director of the Communications Division at </w:t>
      </w:r>
      <w:hyperlink w:history="1" r:id="rId31">
        <w:r w:rsidRPr="006C582D">
          <w:t>cdcompliance@cpuc.ca.gov</w:t>
        </w:r>
      </w:hyperlink>
      <w:r w:rsidRPr="006C582D">
        <w:t>, in compliance with GO 104</w:t>
      </w:r>
      <w:r w:rsidRPr="006C582D">
        <w:noBreakHyphen/>
        <w:t>A, on a calendar</w:t>
      </w:r>
      <w:r w:rsidRPr="006C582D">
        <w:noBreakHyphen/>
        <w:t>year basis with the information contained in Attachment C to this decision.</w:t>
      </w:r>
    </w:p>
    <w:p w:rsidRPr="006C582D" w:rsidR="00385C15" w:rsidP="00385C15" w:rsidRDefault="00385C15" w14:paraId="1E0C7842" w14:textId="77777777">
      <w:pPr>
        <w:pStyle w:val="num1"/>
        <w:numPr>
          <w:ilvl w:val="0"/>
          <w:numId w:val="8"/>
        </w:numPr>
        <w:tabs>
          <w:tab w:val="clear" w:pos="-720"/>
          <w:tab w:val="num" w:pos="630"/>
          <w:tab w:val="left" w:pos="720"/>
        </w:tabs>
        <w:ind w:left="0" w:firstLine="270"/>
      </w:pPr>
      <w:r w:rsidRPr="006C582D">
        <w:lastRenderedPageBreak/>
        <w:t xml:space="preserve">Applicant must submit an affiliate transaction report to the Director of the Communications Division at </w:t>
      </w:r>
      <w:hyperlink w:history="1" r:id="rId32">
        <w:r w:rsidRPr="006C582D">
          <w:t>cdcompliance@cpuc.ca.gov</w:t>
        </w:r>
      </w:hyperlink>
      <w:r w:rsidRPr="006C582D">
        <w:t>, in compliance with D.93</w:t>
      </w:r>
      <w:r w:rsidRPr="006C582D">
        <w:noBreakHyphen/>
        <w:t>02</w:t>
      </w:r>
      <w:r w:rsidRPr="006C582D">
        <w:noBreakHyphen/>
        <w:t>019, on a calendar</w:t>
      </w:r>
      <w:r w:rsidRPr="006C582D">
        <w:noBreakHyphen/>
        <w:t>year basis using the form contained in Attachment D.</w:t>
      </w:r>
    </w:p>
    <w:p w:rsidRPr="006C582D" w:rsidR="00385C15" w:rsidP="00385C15" w:rsidRDefault="00385C15" w14:paraId="5F6E38AB" w14:textId="77777777">
      <w:pPr>
        <w:pStyle w:val="num1"/>
        <w:numPr>
          <w:ilvl w:val="0"/>
          <w:numId w:val="8"/>
        </w:numPr>
        <w:tabs>
          <w:tab w:val="clear" w:pos="-720"/>
          <w:tab w:val="num" w:pos="630"/>
          <w:tab w:val="left" w:pos="720"/>
        </w:tabs>
        <w:ind w:left="0" w:firstLine="270"/>
      </w:pPr>
      <w:r w:rsidRPr="006C582D">
        <w:t>Applicant must ensure that its employees comply with the provisions of Pub. Util. Code § 2889.5 regarding solicitation of customers.</w:t>
      </w:r>
    </w:p>
    <w:p w:rsidRPr="006C582D" w:rsidR="00385C15" w:rsidP="00385C15" w:rsidRDefault="00385C15" w14:paraId="2280E269" w14:textId="77777777">
      <w:pPr>
        <w:pStyle w:val="num1"/>
        <w:numPr>
          <w:ilvl w:val="0"/>
          <w:numId w:val="8"/>
        </w:numPr>
        <w:tabs>
          <w:tab w:val="clear" w:pos="-720"/>
          <w:tab w:val="num" w:pos="630"/>
          <w:tab w:val="left" w:pos="720"/>
        </w:tabs>
        <w:ind w:left="0" w:firstLine="270"/>
      </w:pPr>
      <w:r w:rsidRPr="006C582D">
        <w:t xml:space="preserve">Within 60 days of the effective date of this order, Applicant must comply with Pub. Util. Code § 708, Employee Identification Cards, and notify the Director of the Communications Division of its compliance in writing, by email to </w:t>
      </w:r>
      <w:hyperlink w:history="1" r:id="rId33">
        <w:r w:rsidRPr="006C582D">
          <w:t>cdcompliance@cpuc.ca.gov</w:t>
        </w:r>
      </w:hyperlink>
      <w:r w:rsidRPr="006C582D">
        <w:t>.</w:t>
      </w:r>
    </w:p>
    <w:p w:rsidRPr="006C582D" w:rsidR="00385C15" w:rsidP="00385C15" w:rsidRDefault="00385C15" w14:paraId="457A8FB1" w14:textId="77777777">
      <w:pPr>
        <w:pStyle w:val="num1"/>
        <w:numPr>
          <w:ilvl w:val="0"/>
          <w:numId w:val="8"/>
        </w:numPr>
        <w:tabs>
          <w:tab w:val="clear" w:pos="-720"/>
          <w:tab w:val="num" w:pos="630"/>
          <w:tab w:val="left" w:pos="720"/>
        </w:tabs>
        <w:ind w:left="0" w:firstLine="270"/>
      </w:pPr>
      <w:r w:rsidRPr="006C582D">
        <w:t>If Applicant is 90 days or more late in submitting an annual report, or in remitting the surcharges and fee listed in #3 above, and has not received written permission from the Communications Division to file or remit late, the Communications Division must prepare for Commission consideration a resolution that revokes Applicant’s CPCN.</w:t>
      </w:r>
    </w:p>
    <w:p w:rsidRPr="006C582D" w:rsidR="00385C15" w:rsidP="00385C15" w:rsidRDefault="00385C15" w14:paraId="09E73FF6" w14:textId="77777777">
      <w:pPr>
        <w:pStyle w:val="num1"/>
        <w:numPr>
          <w:ilvl w:val="0"/>
          <w:numId w:val="8"/>
        </w:numPr>
        <w:tabs>
          <w:tab w:val="clear" w:pos="-720"/>
          <w:tab w:val="num" w:pos="630"/>
          <w:tab w:val="left" w:pos="720"/>
        </w:tabs>
        <w:ind w:left="0" w:firstLine="270"/>
      </w:pPr>
      <w:r w:rsidRPr="006C582D">
        <w:t>Applicant is exempt from Rule 3.1(b) of the Commission’s Rules of Practice and Procedure. </w:t>
      </w:r>
    </w:p>
    <w:p w:rsidRPr="006C582D" w:rsidR="00385C15" w:rsidP="00385C15" w:rsidRDefault="00385C15" w14:paraId="078D7EDC" w14:textId="77777777">
      <w:pPr>
        <w:pStyle w:val="num1"/>
        <w:numPr>
          <w:ilvl w:val="0"/>
          <w:numId w:val="8"/>
        </w:numPr>
        <w:tabs>
          <w:tab w:val="clear" w:pos="-720"/>
          <w:tab w:val="num" w:pos="630"/>
          <w:tab w:val="left" w:pos="720"/>
        </w:tabs>
        <w:ind w:left="0" w:firstLine="270"/>
      </w:pPr>
      <w:r w:rsidRPr="006C582D">
        <w:t>Applicant is exempt from Pub. Util. Code §§ 816</w:t>
      </w:r>
      <w:r w:rsidRPr="006C582D">
        <w:noBreakHyphen/>
        <w:t xml:space="preserve">830. </w:t>
      </w:r>
    </w:p>
    <w:p w:rsidRPr="006C582D" w:rsidR="00385C15" w:rsidP="00EA2F1B" w:rsidRDefault="00385C15" w14:paraId="5A488421" w14:textId="77777777">
      <w:pPr>
        <w:pStyle w:val="num1"/>
        <w:keepNext/>
        <w:keepLines/>
        <w:numPr>
          <w:ilvl w:val="0"/>
          <w:numId w:val="8"/>
        </w:numPr>
        <w:tabs>
          <w:tab w:val="clear" w:pos="-720"/>
          <w:tab w:val="num" w:pos="630"/>
          <w:tab w:val="left" w:pos="720"/>
        </w:tabs>
        <w:ind w:left="0" w:firstLine="270"/>
      </w:pPr>
      <w:r w:rsidRPr="006C582D">
        <w:t>If Applicant decides to discontinue service or file for bankruptcy, it must immediately notify the Communications Division’s Bankruptcy Coordinator.</w:t>
      </w:r>
    </w:p>
    <w:p w:rsidRPr="006C582D" w:rsidR="00385C15" w:rsidP="00EA2F1B" w:rsidRDefault="00385C15" w14:paraId="2B01C766" w14:textId="77777777">
      <w:pPr>
        <w:pStyle w:val="num1"/>
        <w:keepNext/>
        <w:keepLines/>
        <w:numPr>
          <w:ilvl w:val="0"/>
          <w:numId w:val="8"/>
        </w:numPr>
        <w:tabs>
          <w:tab w:val="clear" w:pos="-720"/>
          <w:tab w:val="num" w:pos="630"/>
          <w:tab w:val="left" w:pos="720"/>
        </w:tabs>
        <w:spacing w:line="240" w:lineRule="auto"/>
        <w:ind w:left="0" w:firstLine="270"/>
      </w:pPr>
      <w:r w:rsidRPr="006C582D">
        <w:t>Applicant must send a copy of this decision to concerned local permitting agencies no later than 30 days from the date of this order.</w:t>
      </w:r>
    </w:p>
    <w:p w:rsidRPr="006C582D" w:rsidR="00385C15" w:rsidP="00EA2F1B" w:rsidRDefault="00385C15" w14:paraId="7E4B4C9F" w14:textId="77777777">
      <w:pPr>
        <w:pStyle w:val="standard"/>
        <w:keepNext/>
        <w:keepLines/>
        <w:spacing w:line="240" w:lineRule="auto"/>
        <w:jc w:val="center"/>
      </w:pPr>
    </w:p>
    <w:p w:rsidRPr="006C582D" w:rsidR="00385C15" w:rsidP="00385C15" w:rsidRDefault="00385C15" w14:paraId="29C77549" w14:textId="77777777">
      <w:pPr>
        <w:pStyle w:val="standard"/>
        <w:spacing w:line="240" w:lineRule="auto"/>
        <w:jc w:val="center"/>
      </w:pPr>
    </w:p>
    <w:p w:rsidRPr="006C582D" w:rsidR="00385C15" w:rsidP="00385C15" w:rsidRDefault="00385C15" w14:paraId="63EB3F5E" w14:textId="77777777">
      <w:pPr>
        <w:spacing w:after="120"/>
        <w:jc w:val="center"/>
      </w:pPr>
      <w:r w:rsidRPr="006C582D">
        <w:rPr>
          <w:b/>
        </w:rPr>
        <w:t>(END OF ATTACHMENT B)</w:t>
      </w:r>
    </w:p>
    <w:p w:rsidRPr="006C582D" w:rsidR="00385C15" w:rsidP="00385C15" w:rsidRDefault="00385C15" w14:paraId="52EAEEC9" w14:textId="77777777">
      <w:pPr>
        <w:jc w:val="center"/>
      </w:pPr>
    </w:p>
    <w:p w:rsidRPr="006C582D" w:rsidR="00385C15" w:rsidP="00385C15" w:rsidRDefault="00385C15" w14:paraId="19D7759B" w14:textId="77777777">
      <w:pPr>
        <w:jc w:val="center"/>
        <w:sectPr w:rsidRPr="006C582D" w:rsidR="00385C15" w:rsidSect="008E4D0D">
          <w:headerReference w:type="default" r:id="rId34"/>
          <w:footerReference w:type="default" r:id="rId35"/>
          <w:pgSz w:w="12240" w:h="15840" w:code="1"/>
          <w:pgMar w:top="1152" w:right="1440" w:bottom="1440" w:left="1440" w:header="720" w:footer="720" w:gutter="0"/>
          <w:pgNumType w:start="1"/>
          <w:cols w:space="720"/>
        </w:sectPr>
      </w:pPr>
    </w:p>
    <w:p w:rsidRPr="006C582D" w:rsidR="00385C15" w:rsidP="00385C15" w:rsidRDefault="00385C15" w14:paraId="79C773F4" w14:textId="77777777">
      <w:pPr>
        <w:jc w:val="center"/>
      </w:pPr>
    </w:p>
    <w:p w:rsidRPr="006C582D" w:rsidR="00385C15" w:rsidP="00385C15" w:rsidRDefault="00385C15" w14:paraId="73B83DC4" w14:textId="77777777">
      <w:pPr>
        <w:jc w:val="center"/>
      </w:pPr>
    </w:p>
    <w:p w:rsidRPr="006C582D" w:rsidR="00385C15" w:rsidP="00385C15" w:rsidRDefault="00385C15" w14:paraId="7E267838" w14:textId="77777777">
      <w:pPr>
        <w:jc w:val="center"/>
      </w:pPr>
    </w:p>
    <w:p w:rsidRPr="006C582D" w:rsidR="00385C15" w:rsidP="00385C15" w:rsidRDefault="00385C15" w14:paraId="24DEEB77" w14:textId="77777777">
      <w:pPr>
        <w:jc w:val="center"/>
      </w:pPr>
    </w:p>
    <w:p w:rsidRPr="006C582D" w:rsidR="00385C15" w:rsidP="00385C15" w:rsidRDefault="00385C15" w14:paraId="16FBF618" w14:textId="77777777">
      <w:pPr>
        <w:jc w:val="center"/>
      </w:pPr>
    </w:p>
    <w:p w:rsidR="00385C15" w:rsidP="00385C15" w:rsidRDefault="00385C15" w14:paraId="5B1CC398" w14:textId="5304543A">
      <w:pPr>
        <w:jc w:val="center"/>
      </w:pPr>
    </w:p>
    <w:p w:rsidR="00542B9D" w:rsidP="00385C15" w:rsidRDefault="00542B9D" w14:paraId="682019FF" w14:textId="32923F2D">
      <w:pPr>
        <w:jc w:val="center"/>
      </w:pPr>
    </w:p>
    <w:p w:rsidR="00542B9D" w:rsidP="00385C15" w:rsidRDefault="00542B9D" w14:paraId="2F8E7EA2" w14:textId="089CEC2A">
      <w:pPr>
        <w:jc w:val="center"/>
      </w:pPr>
    </w:p>
    <w:p w:rsidR="00542B9D" w:rsidP="00385C15" w:rsidRDefault="00542B9D" w14:paraId="071CBC89" w14:textId="74798CDD">
      <w:pPr>
        <w:jc w:val="center"/>
      </w:pPr>
    </w:p>
    <w:p w:rsidR="00542B9D" w:rsidP="00385C15" w:rsidRDefault="00542B9D" w14:paraId="761DE3DB" w14:textId="73BB4636">
      <w:pPr>
        <w:jc w:val="center"/>
      </w:pPr>
    </w:p>
    <w:p w:rsidR="00542B9D" w:rsidP="00385C15" w:rsidRDefault="00542B9D" w14:paraId="728176FB" w14:textId="6BBE74A4">
      <w:pPr>
        <w:jc w:val="center"/>
      </w:pPr>
    </w:p>
    <w:p w:rsidR="00542B9D" w:rsidP="00385C15" w:rsidRDefault="00542B9D" w14:paraId="048DA25B" w14:textId="489A2A64">
      <w:pPr>
        <w:jc w:val="center"/>
      </w:pPr>
    </w:p>
    <w:p w:rsidR="00542B9D" w:rsidP="00385C15" w:rsidRDefault="00542B9D" w14:paraId="5D59140B" w14:textId="3D62E268">
      <w:pPr>
        <w:jc w:val="center"/>
      </w:pPr>
    </w:p>
    <w:p w:rsidRPr="006C582D" w:rsidR="00542B9D" w:rsidP="00385C15" w:rsidRDefault="00542B9D" w14:paraId="159485A7" w14:textId="77777777">
      <w:pPr>
        <w:jc w:val="center"/>
      </w:pPr>
    </w:p>
    <w:p w:rsidRPr="006C582D" w:rsidR="00385C15" w:rsidP="00385C15" w:rsidRDefault="00385C15" w14:paraId="798885FE" w14:textId="77777777">
      <w:pPr>
        <w:jc w:val="center"/>
      </w:pPr>
    </w:p>
    <w:p w:rsidRPr="006C582D" w:rsidR="00385C15" w:rsidP="00385C15" w:rsidRDefault="00385C15" w14:paraId="05895112" w14:textId="77777777">
      <w:pPr>
        <w:jc w:val="center"/>
      </w:pPr>
    </w:p>
    <w:p w:rsidRPr="006C582D" w:rsidR="00385C15" w:rsidP="00385C15" w:rsidRDefault="00385C15" w14:paraId="7FF7D350" w14:textId="77777777">
      <w:pPr>
        <w:jc w:val="center"/>
      </w:pPr>
    </w:p>
    <w:p w:rsidRPr="006C582D" w:rsidR="00385C15" w:rsidP="00385C15" w:rsidRDefault="00385C15" w14:paraId="6172919B" w14:textId="77777777">
      <w:pPr>
        <w:jc w:val="center"/>
      </w:pPr>
    </w:p>
    <w:p w:rsidRPr="006C582D" w:rsidR="00385C15" w:rsidP="00385C15" w:rsidRDefault="00385C15" w14:paraId="0348D6BB" w14:textId="77777777">
      <w:pPr>
        <w:jc w:val="center"/>
      </w:pPr>
      <w:r w:rsidRPr="006C582D">
        <w:rPr>
          <w:b/>
          <w:sz w:val="40"/>
          <w:szCs w:val="40"/>
        </w:rPr>
        <w:t>ATTACHMENT C</w:t>
      </w:r>
    </w:p>
    <w:p w:rsidRPr="006C582D" w:rsidR="00385C15" w:rsidP="00385C15" w:rsidRDefault="00385C15" w14:paraId="1C627B3C" w14:textId="77777777">
      <w:pPr>
        <w:jc w:val="center"/>
        <w:sectPr w:rsidRPr="006C582D" w:rsidR="00385C15" w:rsidSect="008E4D0D">
          <w:headerReference w:type="default" r:id="rId36"/>
          <w:footerReference w:type="default" r:id="rId37"/>
          <w:pgSz w:w="12240" w:h="15840" w:code="1"/>
          <w:pgMar w:top="1152" w:right="1440" w:bottom="1440" w:left="1440" w:header="720" w:footer="720" w:gutter="0"/>
          <w:pgNumType w:start="1"/>
          <w:cols w:space="720"/>
        </w:sectPr>
      </w:pPr>
    </w:p>
    <w:p w:rsidRPr="006C582D" w:rsidR="00385C15" w:rsidP="00385C15" w:rsidRDefault="00385C15" w14:paraId="091E623A" w14:textId="77777777">
      <w:pPr>
        <w:jc w:val="center"/>
      </w:pPr>
    </w:p>
    <w:p w:rsidRPr="006C582D" w:rsidR="00385C15" w:rsidP="00385C15" w:rsidRDefault="00385C15" w14:paraId="6DAB02BD" w14:textId="77777777">
      <w:pPr>
        <w:spacing w:after="120"/>
        <w:jc w:val="center"/>
        <w:rPr>
          <w:b/>
        </w:rPr>
      </w:pPr>
      <w:r w:rsidRPr="006C582D">
        <w:rPr>
          <w:b/>
        </w:rPr>
        <w:t>ATTACHMENT C</w:t>
      </w:r>
    </w:p>
    <w:p w:rsidRPr="006C582D" w:rsidR="00385C15" w:rsidP="00385C15" w:rsidRDefault="00385C15" w14:paraId="54950B4A" w14:textId="77777777">
      <w:pPr>
        <w:spacing w:after="120"/>
        <w:jc w:val="center"/>
        <w:rPr>
          <w:b/>
        </w:rPr>
      </w:pPr>
    </w:p>
    <w:p w:rsidRPr="006C582D" w:rsidR="00385C15" w:rsidP="00385C15" w:rsidRDefault="00385C15" w14:paraId="74DEEED2" w14:textId="77777777">
      <w:pPr>
        <w:spacing w:after="120"/>
        <w:jc w:val="center"/>
        <w:rPr>
          <w:b/>
        </w:rPr>
      </w:pPr>
      <w:r w:rsidRPr="006C582D">
        <w:rPr>
          <w:b/>
        </w:rPr>
        <w:t xml:space="preserve"> ANNUAL REPORT</w:t>
      </w:r>
    </w:p>
    <w:p w:rsidRPr="006C582D" w:rsidR="00385C15" w:rsidP="00385C15" w:rsidRDefault="00385C15" w14:paraId="277CDF6F" w14:textId="77777777">
      <w:r w:rsidRPr="006C582D">
        <w:t xml:space="preserve">In addition to the annual reports requirement pursuant to General Order 104-A, submit the following information electronically via email to </w:t>
      </w:r>
      <w:hyperlink w:history="1" r:id="rId38">
        <w:r w:rsidRPr="006C582D">
          <w:rPr>
            <w:rStyle w:val="Hyperlink"/>
            <w:color w:val="auto"/>
          </w:rPr>
          <w:t>cdcompliance@cpuc.ca.gov</w:t>
        </w:r>
      </w:hyperlink>
      <w:r w:rsidRPr="006C582D">
        <w:t xml:space="preserve"> no later than March 31st of the year following the calendar year for which the annual report is submitted.</w:t>
      </w:r>
    </w:p>
    <w:p w:rsidRPr="006C582D" w:rsidR="00385C15" w:rsidP="00385C15" w:rsidRDefault="00385C15" w14:paraId="7C946396" w14:textId="77777777"/>
    <w:p w:rsidRPr="006C582D" w:rsidR="00385C15" w:rsidP="00385C15" w:rsidRDefault="00385C15" w14:paraId="63BD6F85" w14:textId="77777777">
      <w:r w:rsidRPr="006C582D">
        <w:t>Failure to submit this information on time may result in a penalty as provided for in Pub. Util. Code §§ 2107 and 2108.</w:t>
      </w:r>
    </w:p>
    <w:p w:rsidRPr="006C582D" w:rsidR="00385C15" w:rsidP="00385C15" w:rsidRDefault="00385C15" w14:paraId="756C2F3C" w14:textId="77777777"/>
    <w:p w:rsidRPr="006C582D" w:rsidR="00385C15" w:rsidP="00385C15" w:rsidRDefault="00385C15" w14:paraId="525CFC8B" w14:textId="77777777">
      <w:r w:rsidRPr="006C582D">
        <w:t>Required information:</w:t>
      </w:r>
    </w:p>
    <w:p w:rsidRPr="006C582D" w:rsidR="00385C15" w:rsidP="00385C15" w:rsidRDefault="00385C15" w14:paraId="54514220" w14:textId="77777777"/>
    <w:p w:rsidRPr="006C582D" w:rsidR="00385C15" w:rsidP="00385C15" w:rsidRDefault="00385C15" w14:paraId="4C62B977" w14:textId="77777777">
      <w:pPr>
        <w:pStyle w:val="num1"/>
        <w:numPr>
          <w:ilvl w:val="0"/>
          <w:numId w:val="3"/>
        </w:numPr>
        <w:spacing w:after="60" w:line="240" w:lineRule="auto"/>
        <w:ind w:left="720" w:hanging="360"/>
      </w:pPr>
      <w:r w:rsidRPr="006C582D">
        <w:t>Exact legal name and U # of the reporting utility.</w:t>
      </w:r>
    </w:p>
    <w:p w:rsidRPr="006C582D" w:rsidR="00385C15" w:rsidP="00385C15" w:rsidRDefault="00385C15" w14:paraId="0271DD08" w14:textId="77777777">
      <w:pPr>
        <w:pStyle w:val="num1"/>
        <w:numPr>
          <w:ilvl w:val="0"/>
          <w:numId w:val="3"/>
        </w:numPr>
        <w:spacing w:after="60" w:line="240" w:lineRule="auto"/>
        <w:ind w:left="720" w:hanging="360"/>
      </w:pPr>
      <w:r w:rsidRPr="006C582D">
        <w:t>Address.</w:t>
      </w:r>
    </w:p>
    <w:p w:rsidRPr="006C582D" w:rsidR="00385C15" w:rsidP="00385C15" w:rsidRDefault="00385C15" w14:paraId="6539245E" w14:textId="77777777">
      <w:pPr>
        <w:pStyle w:val="num1"/>
        <w:numPr>
          <w:ilvl w:val="0"/>
          <w:numId w:val="3"/>
        </w:numPr>
        <w:spacing w:after="60" w:line="240" w:lineRule="auto"/>
        <w:ind w:left="720" w:hanging="360"/>
      </w:pPr>
      <w:r w:rsidRPr="006C582D">
        <w:t>Name, title, address, and telephone number of the person to be contacted concerning the reported information.</w:t>
      </w:r>
    </w:p>
    <w:p w:rsidRPr="006C582D" w:rsidR="00385C15" w:rsidP="00385C15" w:rsidRDefault="00385C15" w14:paraId="5C350749" w14:textId="77777777">
      <w:pPr>
        <w:pStyle w:val="num1"/>
        <w:numPr>
          <w:ilvl w:val="0"/>
          <w:numId w:val="3"/>
        </w:numPr>
        <w:spacing w:after="60" w:line="240" w:lineRule="auto"/>
        <w:ind w:left="720" w:hanging="360"/>
      </w:pPr>
      <w:r w:rsidRPr="006C582D">
        <w:t>Name and title of the officer having custody of the general books of account and the address of the office where such books are kept.</w:t>
      </w:r>
    </w:p>
    <w:p w:rsidRPr="006C582D" w:rsidR="00385C15" w:rsidP="00385C15" w:rsidRDefault="00385C15" w14:paraId="796563E4" w14:textId="77777777">
      <w:pPr>
        <w:pStyle w:val="num1"/>
        <w:numPr>
          <w:ilvl w:val="0"/>
          <w:numId w:val="3"/>
        </w:numPr>
        <w:spacing w:after="60" w:line="240" w:lineRule="auto"/>
        <w:ind w:left="720" w:hanging="360"/>
      </w:pPr>
      <w:r w:rsidRPr="006C582D">
        <w:t>Type of organization (e.g., corporation, partnership, sole proprietorship, etc.).</w:t>
      </w:r>
    </w:p>
    <w:p w:rsidRPr="006C582D" w:rsidR="00385C15" w:rsidP="00385C15" w:rsidRDefault="00385C15" w14:paraId="41B62301" w14:textId="77777777">
      <w:pPr>
        <w:suppressAutoHyphens/>
        <w:spacing w:after="60"/>
        <w:ind w:left="1800" w:hanging="1080"/>
      </w:pPr>
      <w:r w:rsidRPr="006C582D">
        <w:t>If incorporated, specify:</w:t>
      </w:r>
    </w:p>
    <w:p w:rsidRPr="006C582D" w:rsidR="00385C15" w:rsidP="00385C15" w:rsidRDefault="00385C15" w14:paraId="0369BCE7" w14:textId="77777777">
      <w:pPr>
        <w:ind w:left="1080" w:hanging="360"/>
      </w:pPr>
      <w:r w:rsidRPr="006C582D">
        <w:t>a.</w:t>
      </w:r>
      <w:r w:rsidRPr="006C582D">
        <w:tab/>
        <w:t>Date of filing articles of incorporation with the Secretary of State.</w:t>
      </w:r>
    </w:p>
    <w:p w:rsidRPr="006C582D" w:rsidR="00385C15" w:rsidP="00385C15" w:rsidRDefault="00385C15" w14:paraId="0A808DBD" w14:textId="77777777">
      <w:pPr>
        <w:spacing w:after="120"/>
        <w:ind w:left="1080" w:hanging="360"/>
      </w:pPr>
      <w:r w:rsidRPr="006C582D">
        <w:t>b.</w:t>
      </w:r>
      <w:r w:rsidRPr="006C582D">
        <w:tab/>
        <w:t>State in which incorporated.</w:t>
      </w:r>
    </w:p>
    <w:p w:rsidRPr="006C582D" w:rsidR="00385C15" w:rsidP="00385C15" w:rsidRDefault="00385C15" w14:paraId="00CA3866" w14:textId="77777777">
      <w:pPr>
        <w:pStyle w:val="num1"/>
        <w:numPr>
          <w:ilvl w:val="0"/>
          <w:numId w:val="3"/>
        </w:numPr>
        <w:spacing w:after="60" w:line="240" w:lineRule="auto"/>
        <w:ind w:left="720" w:hanging="360"/>
      </w:pPr>
      <w:r w:rsidRPr="006C582D">
        <w:t>Number and date of the Commission decision granting the Certificate of Public Convenience and Necessity.</w:t>
      </w:r>
    </w:p>
    <w:p w:rsidRPr="006C582D" w:rsidR="00385C15" w:rsidP="00385C15" w:rsidRDefault="00385C15" w14:paraId="68E23F06" w14:textId="77777777">
      <w:pPr>
        <w:pStyle w:val="num1"/>
        <w:numPr>
          <w:ilvl w:val="0"/>
          <w:numId w:val="3"/>
        </w:numPr>
        <w:spacing w:after="60" w:line="240" w:lineRule="auto"/>
        <w:ind w:left="720" w:hanging="360"/>
      </w:pPr>
      <w:r w:rsidRPr="006C582D">
        <w:t>Date operations were begun.</w:t>
      </w:r>
    </w:p>
    <w:p w:rsidRPr="006C582D" w:rsidR="00385C15" w:rsidP="00385C15" w:rsidRDefault="00385C15" w14:paraId="4A98BC32" w14:textId="77777777">
      <w:pPr>
        <w:pStyle w:val="num1"/>
        <w:numPr>
          <w:ilvl w:val="0"/>
          <w:numId w:val="3"/>
        </w:numPr>
        <w:spacing w:after="60" w:line="240" w:lineRule="auto"/>
        <w:ind w:left="720" w:hanging="360"/>
      </w:pPr>
      <w:r w:rsidRPr="006C582D">
        <w:t>Description of other business activities in which the utility is engaged.</w:t>
      </w:r>
    </w:p>
    <w:p w:rsidRPr="006C582D" w:rsidR="00385C15" w:rsidP="00385C15" w:rsidRDefault="00385C15" w14:paraId="6078A87F" w14:textId="77777777">
      <w:pPr>
        <w:pStyle w:val="num1"/>
        <w:numPr>
          <w:ilvl w:val="0"/>
          <w:numId w:val="3"/>
        </w:numPr>
        <w:spacing w:after="60" w:line="240" w:lineRule="auto"/>
        <w:ind w:left="720" w:hanging="360"/>
      </w:pPr>
      <w:r w:rsidRPr="006C582D">
        <w:t>List of all affiliated companies and their relationship to the utility.  State if affiliate is a:</w:t>
      </w:r>
    </w:p>
    <w:p w:rsidRPr="006C582D" w:rsidR="00385C15" w:rsidP="00385C15" w:rsidRDefault="00385C15" w14:paraId="0FE50447" w14:textId="77777777">
      <w:pPr>
        <w:ind w:left="1080" w:hanging="360"/>
      </w:pPr>
      <w:r w:rsidRPr="006C582D">
        <w:t>a.</w:t>
      </w:r>
      <w:r w:rsidRPr="006C582D">
        <w:tab/>
        <w:t>Regulated public utility.</w:t>
      </w:r>
    </w:p>
    <w:p w:rsidRPr="006C582D" w:rsidR="00385C15" w:rsidP="00385C15" w:rsidRDefault="00385C15" w14:paraId="5FE1E019" w14:textId="77777777">
      <w:pPr>
        <w:spacing w:after="120"/>
        <w:ind w:left="1080" w:hanging="360"/>
      </w:pPr>
      <w:r w:rsidRPr="006C582D">
        <w:t>b.</w:t>
      </w:r>
      <w:r w:rsidRPr="006C582D">
        <w:tab/>
        <w:t>Publicly held corporation.</w:t>
      </w:r>
    </w:p>
    <w:p w:rsidRPr="006C582D" w:rsidR="00385C15" w:rsidP="00385C15" w:rsidRDefault="00385C15" w14:paraId="775F03C8" w14:textId="77777777">
      <w:pPr>
        <w:pStyle w:val="num2"/>
        <w:numPr>
          <w:ilvl w:val="0"/>
          <w:numId w:val="9"/>
        </w:numPr>
        <w:tabs>
          <w:tab w:val="clear" w:pos="720"/>
        </w:tabs>
        <w:spacing w:after="60" w:line="240" w:lineRule="auto"/>
        <w:ind w:left="734" w:hanging="547"/>
      </w:pPr>
      <w:r w:rsidRPr="006C582D">
        <w:t>Balance sheet as of December 31st of the year for which information is submitted.</w:t>
      </w:r>
    </w:p>
    <w:p w:rsidRPr="006C582D" w:rsidR="00385C15" w:rsidP="00385C15" w:rsidRDefault="00385C15" w14:paraId="132114A8" w14:textId="77777777">
      <w:pPr>
        <w:pStyle w:val="num2"/>
        <w:numPr>
          <w:ilvl w:val="0"/>
          <w:numId w:val="9"/>
        </w:numPr>
        <w:tabs>
          <w:tab w:val="clear" w:pos="720"/>
        </w:tabs>
        <w:spacing w:after="60" w:line="240" w:lineRule="auto"/>
        <w:ind w:left="734" w:hanging="547"/>
      </w:pPr>
      <w:r w:rsidRPr="006C582D">
        <w:lastRenderedPageBreak/>
        <w:t xml:space="preserve">Income statement for </w:t>
      </w:r>
      <w:smartTag w:uri="urn:schemas-microsoft-com:office:smarttags" w:element="place">
        <w:smartTag w:uri="urn:schemas-microsoft-com:office:smarttags" w:element="State">
          <w:r w:rsidRPr="006C582D">
            <w:t>California</w:t>
          </w:r>
        </w:smartTag>
      </w:smartTag>
      <w:r w:rsidRPr="006C582D">
        <w:t xml:space="preserve"> operations for the calendar year for which information is submitted.</w:t>
      </w:r>
    </w:p>
    <w:p w:rsidRPr="006C582D" w:rsidR="00385C15" w:rsidP="00385C15" w:rsidRDefault="00385C15" w14:paraId="77223464" w14:textId="77777777">
      <w:pPr>
        <w:pStyle w:val="num2"/>
        <w:numPr>
          <w:ilvl w:val="0"/>
          <w:numId w:val="9"/>
        </w:numPr>
        <w:tabs>
          <w:tab w:val="clear" w:pos="720"/>
        </w:tabs>
        <w:spacing w:after="60" w:line="240" w:lineRule="auto"/>
        <w:ind w:left="734" w:hanging="547"/>
      </w:pPr>
      <w:r w:rsidRPr="006C582D">
        <w:t xml:space="preserve">Cash Flow statement as of December 31st of the calendar year for which information is submitted, for </w:t>
      </w:r>
      <w:smartTag w:uri="urn:schemas-microsoft-com:office:smarttags" w:element="place">
        <w:smartTag w:uri="urn:schemas-microsoft-com:office:smarttags" w:element="State">
          <w:r w:rsidRPr="006C582D">
            <w:t>California</w:t>
          </w:r>
        </w:smartTag>
      </w:smartTag>
      <w:r w:rsidRPr="006C582D">
        <w:t xml:space="preserve"> operations only.</w:t>
      </w:r>
    </w:p>
    <w:p w:rsidRPr="006C582D" w:rsidR="00385C15" w:rsidP="00385C15" w:rsidRDefault="00385C15" w14:paraId="7640C57A" w14:textId="77777777">
      <w:pPr>
        <w:pStyle w:val="num2"/>
        <w:spacing w:after="60" w:line="240" w:lineRule="auto"/>
        <w:ind w:left="734" w:firstLine="0"/>
      </w:pPr>
    </w:p>
    <w:p w:rsidRPr="006C582D" w:rsidR="00385C15" w:rsidP="00385C15" w:rsidRDefault="00385C15" w14:paraId="2DE4E1EB" w14:textId="77777777">
      <w:pPr>
        <w:spacing w:before="40" w:after="80"/>
      </w:pPr>
      <w:r w:rsidRPr="006C582D">
        <w:t>For any questions concerning this report, please send an email to cdcompliance@cpuca.ca.gov with a subject line that includes: “CD Annual Reports.”</w:t>
      </w:r>
    </w:p>
    <w:p w:rsidRPr="006C582D" w:rsidR="00385C15" w:rsidP="00385C15" w:rsidRDefault="00385C15" w14:paraId="40BBACF1" w14:textId="77777777">
      <w:pPr>
        <w:spacing w:before="40" w:after="80"/>
      </w:pPr>
    </w:p>
    <w:p w:rsidRPr="006C582D" w:rsidR="00385C15" w:rsidP="00385C15" w:rsidRDefault="00385C15" w14:paraId="7AE678B5" w14:textId="77777777">
      <w:pPr>
        <w:spacing w:before="40" w:after="80"/>
      </w:pPr>
    </w:p>
    <w:p w:rsidRPr="006C582D" w:rsidR="00385C15" w:rsidP="00385C15" w:rsidRDefault="00385C15" w14:paraId="76B1ABD1" w14:textId="77777777">
      <w:pPr>
        <w:spacing w:after="120"/>
        <w:jc w:val="center"/>
      </w:pPr>
      <w:r w:rsidRPr="006C582D">
        <w:rPr>
          <w:b/>
        </w:rPr>
        <w:t>(END OF ATTACHMENT C)</w:t>
      </w:r>
    </w:p>
    <w:p w:rsidRPr="006C582D" w:rsidR="00385C15" w:rsidP="00385C15" w:rsidRDefault="00385C15" w14:paraId="191958B4" w14:textId="77777777">
      <w:pPr>
        <w:jc w:val="center"/>
      </w:pPr>
    </w:p>
    <w:p w:rsidRPr="006C582D" w:rsidR="00385C15" w:rsidP="00385C15" w:rsidRDefault="00385C15" w14:paraId="7C6CBAE4" w14:textId="77777777">
      <w:pPr>
        <w:jc w:val="center"/>
      </w:pPr>
    </w:p>
    <w:p w:rsidRPr="006C582D" w:rsidR="00385C15" w:rsidP="00385C15" w:rsidRDefault="00385C15" w14:paraId="724AC44C" w14:textId="77777777">
      <w:pPr>
        <w:jc w:val="center"/>
        <w:sectPr w:rsidRPr="006C582D" w:rsidR="00385C15" w:rsidSect="001147F1">
          <w:headerReference w:type="default" r:id="rId39"/>
          <w:footerReference w:type="default" r:id="rId40"/>
          <w:pgSz w:w="12240" w:h="15840" w:code="1"/>
          <w:pgMar w:top="1152" w:right="1440" w:bottom="1440" w:left="1440" w:header="720" w:footer="720" w:gutter="0"/>
          <w:pgNumType w:start="1"/>
          <w:cols w:space="720"/>
        </w:sectPr>
      </w:pPr>
    </w:p>
    <w:p w:rsidRPr="006C582D" w:rsidR="00385C15" w:rsidP="00385C15" w:rsidRDefault="00385C15" w14:paraId="39598109" w14:textId="77777777">
      <w:pPr>
        <w:jc w:val="center"/>
      </w:pPr>
    </w:p>
    <w:p w:rsidRPr="006C582D" w:rsidR="00385C15" w:rsidP="00385C15" w:rsidRDefault="00385C15" w14:paraId="39B7FFA0" w14:textId="77777777">
      <w:pPr>
        <w:jc w:val="center"/>
      </w:pPr>
    </w:p>
    <w:p w:rsidRPr="006C582D" w:rsidR="00385C15" w:rsidP="00385C15" w:rsidRDefault="00385C15" w14:paraId="62D6704B" w14:textId="77777777">
      <w:pPr>
        <w:jc w:val="center"/>
      </w:pPr>
    </w:p>
    <w:p w:rsidRPr="006C582D" w:rsidR="00385C15" w:rsidP="00385C15" w:rsidRDefault="00385C15" w14:paraId="579EDEE9" w14:textId="77777777">
      <w:pPr>
        <w:jc w:val="center"/>
      </w:pPr>
    </w:p>
    <w:p w:rsidRPr="006C582D" w:rsidR="00385C15" w:rsidP="00385C15" w:rsidRDefault="00385C15" w14:paraId="04DA7F8B" w14:textId="77777777">
      <w:pPr>
        <w:jc w:val="center"/>
      </w:pPr>
    </w:p>
    <w:p w:rsidRPr="006C582D" w:rsidR="00385C15" w:rsidP="00385C15" w:rsidRDefault="00385C15" w14:paraId="4D5BA461" w14:textId="77777777">
      <w:pPr>
        <w:jc w:val="center"/>
      </w:pPr>
    </w:p>
    <w:p w:rsidRPr="006C582D" w:rsidR="00385C15" w:rsidP="00385C15" w:rsidRDefault="00385C15" w14:paraId="4FBDEF82" w14:textId="77777777">
      <w:pPr>
        <w:jc w:val="center"/>
      </w:pPr>
    </w:p>
    <w:p w:rsidRPr="006C582D" w:rsidR="00385C15" w:rsidP="00385C15" w:rsidRDefault="00385C15" w14:paraId="449A3900" w14:textId="77777777">
      <w:pPr>
        <w:jc w:val="center"/>
      </w:pPr>
    </w:p>
    <w:p w:rsidRPr="006C582D" w:rsidR="00385C15" w:rsidP="00385C15" w:rsidRDefault="00385C15" w14:paraId="6B89889E" w14:textId="77777777">
      <w:pPr>
        <w:jc w:val="center"/>
      </w:pPr>
    </w:p>
    <w:p w:rsidRPr="006C582D" w:rsidR="00385C15" w:rsidP="00385C15" w:rsidRDefault="00385C15" w14:paraId="164B0A84" w14:textId="77777777">
      <w:pPr>
        <w:jc w:val="center"/>
      </w:pPr>
    </w:p>
    <w:p w:rsidRPr="006C582D" w:rsidR="00385C15" w:rsidP="00385C15" w:rsidRDefault="00385C15" w14:paraId="57DF19D5" w14:textId="77777777">
      <w:pPr>
        <w:jc w:val="center"/>
      </w:pPr>
    </w:p>
    <w:p w:rsidRPr="006C582D" w:rsidR="00385C15" w:rsidP="00385C15" w:rsidRDefault="00385C15" w14:paraId="24EEDCD8" w14:textId="77777777">
      <w:pPr>
        <w:jc w:val="center"/>
      </w:pPr>
    </w:p>
    <w:p w:rsidRPr="006C582D" w:rsidR="00385C15" w:rsidP="00385C15" w:rsidRDefault="00385C15" w14:paraId="7A9B037C" w14:textId="77777777">
      <w:pPr>
        <w:jc w:val="center"/>
      </w:pPr>
    </w:p>
    <w:p w:rsidRPr="006C582D" w:rsidR="00385C15" w:rsidP="00385C15" w:rsidRDefault="00385C15" w14:paraId="27E1B505" w14:textId="77777777">
      <w:pPr>
        <w:jc w:val="center"/>
      </w:pPr>
    </w:p>
    <w:p w:rsidRPr="006C582D" w:rsidR="00385C15" w:rsidP="00385C15" w:rsidRDefault="00385C15" w14:paraId="18EA35CB" w14:textId="77777777">
      <w:pPr>
        <w:jc w:val="center"/>
      </w:pPr>
      <w:r w:rsidRPr="006C582D">
        <w:rPr>
          <w:b/>
          <w:sz w:val="40"/>
          <w:szCs w:val="40"/>
        </w:rPr>
        <w:t>ATTACHMENT D</w:t>
      </w:r>
    </w:p>
    <w:p w:rsidRPr="006C582D" w:rsidR="00385C15" w:rsidP="00385C15" w:rsidRDefault="00385C15" w14:paraId="6C1E7054" w14:textId="77777777">
      <w:pPr>
        <w:jc w:val="center"/>
        <w:sectPr w:rsidRPr="006C582D" w:rsidR="00385C15" w:rsidSect="001147F1">
          <w:headerReference w:type="default" r:id="rId41"/>
          <w:footerReference w:type="default" r:id="rId42"/>
          <w:pgSz w:w="12240" w:h="15840" w:code="1"/>
          <w:pgMar w:top="1152" w:right="1440" w:bottom="1440" w:left="1440" w:header="720" w:footer="720" w:gutter="0"/>
          <w:pgNumType w:start="1"/>
          <w:cols w:space="720"/>
        </w:sectPr>
      </w:pPr>
    </w:p>
    <w:p w:rsidRPr="006C582D" w:rsidR="00385C15" w:rsidP="00385C15" w:rsidRDefault="00385C15" w14:paraId="66C84092" w14:textId="77777777">
      <w:pPr>
        <w:jc w:val="center"/>
      </w:pPr>
    </w:p>
    <w:p w:rsidRPr="006C582D" w:rsidR="00385C15" w:rsidP="00385C15" w:rsidRDefault="00385C15" w14:paraId="2B621D32" w14:textId="77777777">
      <w:pPr>
        <w:spacing w:after="120"/>
        <w:jc w:val="center"/>
        <w:rPr>
          <w:b/>
        </w:rPr>
      </w:pPr>
      <w:r w:rsidRPr="006C582D">
        <w:rPr>
          <w:b/>
        </w:rPr>
        <w:t>ATTACHMENT D</w:t>
      </w:r>
    </w:p>
    <w:p w:rsidRPr="006C582D" w:rsidR="00385C15" w:rsidP="00385C15" w:rsidRDefault="00385C15" w14:paraId="6E06E02D" w14:textId="77777777">
      <w:pPr>
        <w:spacing w:after="120"/>
        <w:jc w:val="center"/>
        <w:rPr>
          <w:b/>
        </w:rPr>
      </w:pPr>
    </w:p>
    <w:p w:rsidRPr="006C582D" w:rsidR="00385C15" w:rsidP="00385C15" w:rsidRDefault="00385C15" w14:paraId="18D31676" w14:textId="77777777">
      <w:pPr>
        <w:spacing w:after="120"/>
        <w:jc w:val="center"/>
        <w:rPr>
          <w:b/>
        </w:rPr>
      </w:pPr>
      <w:r w:rsidRPr="006C582D">
        <w:rPr>
          <w:b/>
        </w:rPr>
        <w:t>CALENDAR YEAR AFFILIATE TRANSACTION REPORT</w:t>
      </w:r>
    </w:p>
    <w:p w:rsidRPr="006C582D" w:rsidR="00385C15" w:rsidP="00385C15" w:rsidRDefault="00385C15" w14:paraId="751166EF" w14:textId="77777777">
      <w:r w:rsidRPr="006C582D">
        <w:t xml:space="preserve">Submit the following information electronically via email to </w:t>
      </w:r>
      <w:hyperlink w:history="1" r:id="rId43">
        <w:r w:rsidRPr="006C582D">
          <w:rPr>
            <w:rStyle w:val="Hyperlink"/>
            <w:color w:val="auto"/>
          </w:rPr>
          <w:t>cdcompliance@cpuc.ca.gov</w:t>
        </w:r>
      </w:hyperlink>
      <w:r w:rsidRPr="006C582D">
        <w:t xml:space="preserve"> no later than May 1st of the year following the calendar year for which the annual affiliate transaction report is submitted.</w:t>
      </w:r>
    </w:p>
    <w:p w:rsidRPr="006C582D" w:rsidR="00385C15" w:rsidP="00385C15" w:rsidRDefault="00385C15" w14:paraId="37A6D643" w14:textId="77777777">
      <w:pPr>
        <w:spacing w:after="80"/>
      </w:pPr>
    </w:p>
    <w:p w:rsidRPr="006C582D" w:rsidR="00385C15" w:rsidP="00385C15" w:rsidRDefault="00385C15" w14:paraId="16769080" w14:textId="77777777">
      <w:pPr>
        <w:pStyle w:val="num1"/>
        <w:numPr>
          <w:ilvl w:val="0"/>
          <w:numId w:val="10"/>
        </w:numPr>
        <w:tabs>
          <w:tab w:val="clear" w:pos="720"/>
        </w:tabs>
        <w:ind w:left="0" w:firstLine="540"/>
      </w:pPr>
      <w:r w:rsidRPr="006C582D">
        <w:t>Each utility must list and provide the following information for each affiliated entity and regulated subsidiary that the utility had during the period covered by the Annual Affiliate Transaction Report.</w:t>
      </w:r>
    </w:p>
    <w:p w:rsidRPr="006C582D" w:rsidR="00385C15" w:rsidP="00385C15" w:rsidRDefault="00385C15" w14:paraId="5D922EE7" w14:textId="77777777">
      <w:pPr>
        <w:pStyle w:val="bullets"/>
        <w:tabs>
          <w:tab w:val="clear" w:pos="1440"/>
        </w:tabs>
        <w:ind w:left="1080" w:right="1440"/>
        <w:rPr>
          <w:bCs w:val="0"/>
        </w:rPr>
      </w:pPr>
      <w:r w:rsidRPr="006C582D">
        <w:rPr>
          <w:bCs w:val="0"/>
        </w:rPr>
        <w:t>Form of organization (e.g., corporation, partnership, joint venture, strategic alliance, etc.);</w:t>
      </w:r>
    </w:p>
    <w:p w:rsidRPr="006C582D" w:rsidR="00385C15" w:rsidP="00385C15" w:rsidRDefault="00385C15" w14:paraId="4C1E3ACB" w14:textId="77777777">
      <w:pPr>
        <w:pStyle w:val="bullets"/>
        <w:tabs>
          <w:tab w:val="clear" w:pos="1440"/>
        </w:tabs>
        <w:ind w:left="1080" w:right="1440"/>
        <w:rPr>
          <w:bCs w:val="0"/>
        </w:rPr>
      </w:pPr>
      <w:r w:rsidRPr="006C582D">
        <w:rPr>
          <w:bCs w:val="0"/>
        </w:rPr>
        <w:t>Brief description of business activities engaged in;</w:t>
      </w:r>
    </w:p>
    <w:p w:rsidRPr="006C582D" w:rsidR="00385C15" w:rsidP="00385C15" w:rsidRDefault="00385C15" w14:paraId="3EC266A5" w14:textId="77777777">
      <w:pPr>
        <w:pStyle w:val="bullets"/>
        <w:tabs>
          <w:tab w:val="clear" w:pos="1440"/>
        </w:tabs>
        <w:ind w:left="1080" w:right="1440"/>
        <w:rPr>
          <w:bCs w:val="0"/>
        </w:rPr>
      </w:pPr>
      <w:r w:rsidRPr="006C582D">
        <w:rPr>
          <w:bCs w:val="0"/>
        </w:rPr>
        <w:t>Relationship to the utility (e.g., controlling corporation, subsidiary, regulated subsidiary, affiliate);</w:t>
      </w:r>
    </w:p>
    <w:p w:rsidRPr="006C582D" w:rsidR="00385C15" w:rsidP="00385C15" w:rsidRDefault="00385C15" w14:paraId="42E8AD2B" w14:textId="77777777">
      <w:pPr>
        <w:pStyle w:val="bullets"/>
        <w:tabs>
          <w:tab w:val="clear" w:pos="1440"/>
        </w:tabs>
        <w:ind w:left="1080" w:right="1440"/>
        <w:rPr>
          <w:bCs w:val="0"/>
        </w:rPr>
      </w:pPr>
      <w:r w:rsidRPr="006C582D">
        <w:rPr>
          <w:bCs w:val="0"/>
        </w:rPr>
        <w:t>Ownership of the utility (including type and percent ownership)</w:t>
      </w:r>
    </w:p>
    <w:p w:rsidRPr="006C582D" w:rsidR="00385C15" w:rsidP="00385C15" w:rsidRDefault="00385C15" w14:paraId="734833AB" w14:textId="77777777">
      <w:pPr>
        <w:pStyle w:val="bullets"/>
        <w:tabs>
          <w:tab w:val="clear" w:pos="1440"/>
        </w:tabs>
        <w:ind w:left="1080" w:right="1440"/>
        <w:rPr>
          <w:bCs w:val="0"/>
        </w:rPr>
      </w:pPr>
      <w:r w:rsidRPr="006C582D">
        <w:rPr>
          <w:bCs w:val="0"/>
        </w:rPr>
        <w:t>Voting rights held by the utility and percent; and</w:t>
      </w:r>
    </w:p>
    <w:p w:rsidRPr="006C582D" w:rsidR="00385C15" w:rsidP="00385C15" w:rsidRDefault="00385C15" w14:paraId="33F31A49" w14:textId="77777777">
      <w:pPr>
        <w:pStyle w:val="bullets"/>
        <w:tabs>
          <w:tab w:val="clear" w:pos="1440"/>
        </w:tabs>
        <w:ind w:left="1080" w:right="1440"/>
        <w:rPr>
          <w:bCs w:val="0"/>
        </w:rPr>
      </w:pPr>
      <w:r w:rsidRPr="006C582D">
        <w:rPr>
          <w:bCs w:val="0"/>
        </w:rPr>
        <w:t>Corporate officers.</w:t>
      </w:r>
    </w:p>
    <w:p w:rsidRPr="006C582D" w:rsidR="00385C15" w:rsidP="00385C15" w:rsidRDefault="00385C15" w14:paraId="10444368" w14:textId="77777777">
      <w:pPr>
        <w:pStyle w:val="num1"/>
        <w:numPr>
          <w:ilvl w:val="0"/>
          <w:numId w:val="10"/>
        </w:numPr>
        <w:tabs>
          <w:tab w:val="clear" w:pos="720"/>
        </w:tabs>
        <w:ind w:left="0" w:firstLine="540"/>
      </w:pPr>
      <w:r w:rsidRPr="006C582D">
        <w:t>The utility must prepare and submit a corporate organization chart showing any and all corporate relationships between the utility and its affiliated entities and regulated subsidiaries in #1 above.  The chart must have the controlling corporation (if any) at the top of the chart, the utility and any subsidiaries and/or affiliates of the controlling corporation in the middle levels of the chart, and all secondary subsidiaries and affiliates (e.g., a subsidiary that in turn is owned by another subsidiary and/or affiliate) in the lower levels.  Any regulated subsidiary must be clearly noted.</w:t>
      </w:r>
    </w:p>
    <w:p w:rsidRPr="006C582D" w:rsidR="00385C15" w:rsidP="00385C15" w:rsidRDefault="00385C15" w14:paraId="25DA9AF0" w14:textId="77777777">
      <w:pPr>
        <w:pStyle w:val="num1"/>
        <w:numPr>
          <w:ilvl w:val="0"/>
          <w:numId w:val="10"/>
        </w:numPr>
        <w:tabs>
          <w:tab w:val="clear" w:pos="720"/>
        </w:tabs>
        <w:ind w:left="0" w:firstLine="540"/>
      </w:pPr>
      <w:r w:rsidRPr="006C582D">
        <w:lastRenderedPageBreak/>
        <w:t xml:space="preserve"> For a utility that has individuals who are classified as “controlling corporations” of the competitive utility, the utility must only report under the requirements of #1 and #2 above any affiliated entity that either (a) is a public utility or (b) transacts any business with the utility filing the annual report excluding the provision of tariff services.</w:t>
      </w:r>
    </w:p>
    <w:p w:rsidRPr="006C582D" w:rsidR="00385C15" w:rsidP="00385C15" w:rsidRDefault="00385C15" w14:paraId="4E76BED4" w14:textId="77777777">
      <w:pPr>
        <w:pStyle w:val="num1"/>
        <w:numPr>
          <w:ilvl w:val="0"/>
          <w:numId w:val="10"/>
        </w:numPr>
        <w:tabs>
          <w:tab w:val="clear" w:pos="720"/>
        </w:tabs>
        <w:ind w:left="0" w:firstLine="540"/>
      </w:pPr>
      <w:r w:rsidRPr="006C582D">
        <w:t xml:space="preserve"> Each annual report must be signed by a corporate officer of the utility stating under penalty of perjury under the laws of the State of </w:t>
      </w:r>
      <w:smartTag w:uri="urn:schemas-microsoft-com:office:smarttags" w:element="State">
        <w:smartTag w:uri="urn:schemas-microsoft-com:office:smarttags" w:element="place">
          <w:r w:rsidRPr="006C582D">
            <w:t>California</w:t>
          </w:r>
        </w:smartTag>
      </w:smartTag>
      <w:r w:rsidRPr="006C582D">
        <w:t xml:space="preserve"> </w:t>
      </w:r>
      <w:r w:rsidRPr="006C582D">
        <w:br/>
        <w:t>(CCP 2015.5) that the annual report is complete and accurate with no material omissions.</w:t>
      </w:r>
    </w:p>
    <w:p w:rsidRPr="006C582D" w:rsidR="00385C15" w:rsidP="00385C15" w:rsidRDefault="00385C15" w14:paraId="3C83BC75" w14:textId="77777777">
      <w:pPr>
        <w:pStyle w:val="num1"/>
        <w:numPr>
          <w:ilvl w:val="0"/>
          <w:numId w:val="10"/>
        </w:numPr>
        <w:tabs>
          <w:tab w:val="clear" w:pos="720"/>
        </w:tabs>
        <w:ind w:left="0" w:firstLine="540"/>
      </w:pPr>
      <w:r w:rsidRPr="006C582D">
        <w:t xml:space="preserve"> Any required material that a utility is unable to provide must be reasonably described and the reasons the data cannot be obtained, as well as the efforts expended to obtain the information, must be set forth in the utility’s Annual Affiliate Transaction Report and verified in accordance with Section I</w:t>
      </w:r>
      <w:r w:rsidRPr="006C582D">
        <w:noBreakHyphen/>
        <w:t>F of Decision 93</w:t>
      </w:r>
      <w:r w:rsidRPr="006C582D">
        <w:noBreakHyphen/>
        <w:t>02</w:t>
      </w:r>
      <w:r w:rsidRPr="006C582D">
        <w:noBreakHyphen/>
        <w:t>019.</w:t>
      </w:r>
    </w:p>
    <w:p w:rsidRPr="006C582D" w:rsidR="00385C15" w:rsidP="00385C15" w:rsidRDefault="00385C15" w14:paraId="24E1AE7F" w14:textId="77777777">
      <w:pPr>
        <w:pStyle w:val="num1"/>
        <w:numPr>
          <w:ilvl w:val="0"/>
          <w:numId w:val="10"/>
        </w:numPr>
        <w:tabs>
          <w:tab w:val="clear" w:pos="720"/>
        </w:tabs>
        <w:ind w:left="0" w:firstLine="540"/>
      </w:pPr>
      <w:r w:rsidRPr="006C582D">
        <w:t xml:space="preserve"> Utilities that do not have affiliated entities must submit, in lieu of the annual transaction report, an annual statement to the Commission stating that the utility had no affiliated entities during the report period.  This statement must be signed by a corporate officer of the utility, stating under penalty of perjury under the laws of the State of California (CCP 2015.5) that the annual report is complete and accurate with no material omissions.</w:t>
      </w:r>
    </w:p>
    <w:p w:rsidRPr="006C582D" w:rsidR="00385C15" w:rsidP="009E52B3" w:rsidRDefault="00385C15" w14:paraId="10F23BC1" w14:textId="77777777">
      <w:pPr>
        <w:pStyle w:val="num1"/>
        <w:keepNext/>
        <w:keepLines/>
        <w:ind w:firstLine="0"/>
      </w:pPr>
      <w:r w:rsidRPr="006C582D">
        <w:lastRenderedPageBreak/>
        <w:t>For any questions concerning this report, please send an email to cdcompliance@cpuca.ca.gov with a subject line that includes: “CD Annual Reports.”</w:t>
      </w:r>
    </w:p>
    <w:p w:rsidRPr="006C582D" w:rsidR="00385C15" w:rsidP="009E52B3" w:rsidRDefault="00385C15" w14:paraId="37EB03BA" w14:textId="77777777">
      <w:pPr>
        <w:pStyle w:val="num1"/>
        <w:keepNext/>
        <w:keepLines/>
      </w:pPr>
    </w:p>
    <w:p w:rsidRPr="006C582D" w:rsidR="00385C15" w:rsidP="009E52B3" w:rsidRDefault="00385C15" w14:paraId="4DFAC6C8" w14:textId="77777777">
      <w:pPr>
        <w:pStyle w:val="standard"/>
        <w:keepNext/>
        <w:keepLines/>
      </w:pPr>
    </w:p>
    <w:p w:rsidRPr="006C582D" w:rsidR="00385C15" w:rsidP="009E52B3" w:rsidRDefault="00385C15" w14:paraId="28A8BE79" w14:textId="77777777">
      <w:pPr>
        <w:keepNext/>
        <w:keepLines/>
        <w:spacing w:after="120"/>
        <w:jc w:val="center"/>
        <w:rPr>
          <w:b/>
        </w:rPr>
      </w:pPr>
      <w:r w:rsidRPr="006C582D">
        <w:rPr>
          <w:b/>
        </w:rPr>
        <w:t>(END OF ATTACHMENT D)</w:t>
      </w:r>
    </w:p>
    <w:p w:rsidRPr="006C582D" w:rsidR="00385C15" w:rsidP="00385C15" w:rsidRDefault="00385C15" w14:paraId="6C9FFD4C" w14:textId="77777777"/>
    <w:p w:rsidRPr="006C582D" w:rsidR="00A65FD0" w:rsidP="00A65FD0" w:rsidRDefault="00A65FD0" w14:paraId="7A5AD153" w14:textId="2A735755">
      <w:pPr>
        <w:jc w:val="center"/>
        <w:rPr>
          <w:b/>
        </w:rPr>
      </w:pPr>
    </w:p>
    <w:sectPr w:rsidRPr="006C582D" w:rsidR="00A65FD0" w:rsidSect="001147F1">
      <w:headerReference w:type="default" r:id="rId44"/>
      <w:footerReference w:type="default" r:id="rId45"/>
      <w:pgSz w:w="12240" w:h="15840" w:code="1"/>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E594" w14:textId="77777777" w:rsidR="003371D2" w:rsidRDefault="003371D2">
      <w:r>
        <w:separator/>
      </w:r>
    </w:p>
  </w:endnote>
  <w:endnote w:type="continuationSeparator" w:id="0">
    <w:p w14:paraId="6CF73972" w14:textId="77777777" w:rsidR="003371D2" w:rsidRDefault="0033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Antiqua">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869F" w14:textId="77777777" w:rsidR="00886EBB" w:rsidRDefault="00886EBB" w:rsidP="003F1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22BDE" w14:textId="77777777" w:rsidR="00886EBB" w:rsidRDefault="00886EBB" w:rsidP="00A65FD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7844" w14:textId="77777777" w:rsidR="00886EBB" w:rsidRDefault="00886EBB" w:rsidP="009E17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9AA2" w14:textId="77777777" w:rsidR="00886EBB" w:rsidRDefault="00886EBB" w:rsidP="009E1726">
    <w:pPr>
      <w:pStyle w:val="Foo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C13D" w14:textId="77777777" w:rsidR="00886EBB" w:rsidRDefault="00886EBB" w:rsidP="009E172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8234" w14:textId="77777777" w:rsidR="00886EBB" w:rsidRDefault="00886EBB" w:rsidP="0030061C">
    <w:pPr>
      <w:pStyle w:val="Foo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AE82" w14:textId="77777777" w:rsidR="00886EBB" w:rsidRPr="009E1726" w:rsidRDefault="00886EBB" w:rsidP="009E1726">
    <w:pPr>
      <w:pStyle w:val="Foo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4337" w14:textId="538E97B0" w:rsidR="00886EBB" w:rsidRPr="00084221" w:rsidRDefault="00B9264E" w:rsidP="009E1726">
    <w:pPr>
      <w:pStyle w:val="Footer"/>
      <w:tabs>
        <w:tab w:val="clear" w:pos="8640"/>
      </w:tabs>
      <w:jc w:val="left"/>
      <w:rPr>
        <w:sz w:val="20"/>
      </w:rPr>
    </w:pPr>
    <w:r w:rsidRPr="00B9264E">
      <w:rPr>
        <w:sz w:val="16"/>
        <w:szCs w:val="16"/>
      </w:rPr>
      <w:t>343777169</w:t>
    </w:r>
    <w:r w:rsidR="00886EBB">
      <w:rPr>
        <w:sz w:val="20"/>
      </w:rPr>
      <w:tab/>
    </w:r>
    <w:r w:rsidR="00886EBB">
      <w:noBreakHyphen/>
      <w:t xml:space="preserve"> </w:t>
    </w:r>
    <w:r w:rsidR="00886EBB">
      <w:rPr>
        <w:rStyle w:val="PageNumber"/>
      </w:rPr>
      <w:fldChar w:fldCharType="begin"/>
    </w:r>
    <w:r w:rsidR="00886EBB">
      <w:rPr>
        <w:rStyle w:val="PageNumber"/>
      </w:rPr>
      <w:instrText xml:space="preserve"> PAGE </w:instrText>
    </w:r>
    <w:r w:rsidR="00886EBB">
      <w:rPr>
        <w:rStyle w:val="PageNumber"/>
      </w:rPr>
      <w:fldChar w:fldCharType="separate"/>
    </w:r>
    <w:r w:rsidR="00886EBB">
      <w:rPr>
        <w:rStyle w:val="PageNumber"/>
        <w:noProof/>
      </w:rPr>
      <w:t>1</w:t>
    </w:r>
    <w:r w:rsidR="00886EBB">
      <w:rPr>
        <w:rStyle w:val="PageNumber"/>
      </w:rPr>
      <w:fldChar w:fldCharType="end"/>
    </w:r>
    <w:r w:rsidR="00886EBB">
      <w:rPr>
        <w:rStyle w:val="PageNumber"/>
      </w:rPr>
      <w:t xml:space="preserve"> </w:t>
    </w:r>
    <w:r w:rsidR="00886EBB">
      <w:rPr>
        <w:rStyle w:val="PageNumber"/>
      </w:rPr>
      <w:noBreak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DA39" w14:textId="2C723FED" w:rsidR="00C6795F" w:rsidRPr="00084221" w:rsidRDefault="00C6795F" w:rsidP="009E1726">
    <w:pPr>
      <w:pStyle w:val="Footer"/>
      <w:tabs>
        <w:tab w:val="clear" w:pos="8640"/>
      </w:tabs>
      <w:jc w:val="left"/>
      <w:rPr>
        <w:sz w:val="20"/>
      </w:rPr>
    </w:pPr>
    <w:r>
      <w:rPr>
        <w:sz w:val="20"/>
      </w:rPr>
      <w:tab/>
    </w: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8B98" w14:textId="77777777" w:rsidR="00C6795F" w:rsidRPr="009E1726" w:rsidRDefault="00C6795F" w:rsidP="009E1726">
    <w:pPr>
      <w:pStyle w:val="Foo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6428" w14:textId="00102366" w:rsidR="00C6795F" w:rsidRPr="00084221" w:rsidRDefault="00C6795F" w:rsidP="009E1726">
    <w:pPr>
      <w:pStyle w:val="Footer"/>
      <w:tabs>
        <w:tab w:val="clear" w:pos="8640"/>
      </w:tabs>
      <w:jc w:val="left"/>
      <w:rPr>
        <w:sz w:val="20"/>
      </w:rPr>
    </w:pPr>
    <w:r>
      <w:rPr>
        <w:sz w:val="20"/>
      </w:rPr>
      <w:tab/>
    </w: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noBreakHyphen/>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BBA" w14:textId="77777777" w:rsidR="00886EBB" w:rsidRDefault="00886EBB" w:rsidP="009E1726">
    <w:pPr>
      <w:pStyle w:val="Foot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C2D5" w14:textId="77777777" w:rsidR="00886EBB" w:rsidRDefault="00886EBB">
    <w:pPr>
      <w:pStyle w:val="Footer"/>
      <w:tabs>
        <w:tab w:val="clear" w:pos="4320"/>
        <w:tab w:val="center" w:pos="4680"/>
      </w:tabs>
      <w:jc w:val="left"/>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33E3" w14:textId="77777777" w:rsidR="00886EBB" w:rsidRDefault="00886EBB" w:rsidP="009E1726">
    <w:pPr>
      <w:pStyle w:val="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3B71" w14:textId="77777777" w:rsidR="003371D2" w:rsidRDefault="003371D2">
      <w:r>
        <w:separator/>
      </w:r>
    </w:p>
  </w:footnote>
  <w:footnote w:type="continuationSeparator" w:id="0">
    <w:p w14:paraId="38611FF7" w14:textId="77777777" w:rsidR="003371D2" w:rsidRDefault="003371D2">
      <w:r>
        <w:continuationSeparator/>
      </w:r>
    </w:p>
  </w:footnote>
  <w:footnote w:type="continuationNotice" w:id="1">
    <w:p w14:paraId="78F677F4" w14:textId="77777777" w:rsidR="003371D2" w:rsidRDefault="003371D2">
      <w:pPr>
        <w:rPr>
          <w:sz w:val="22"/>
        </w:rPr>
      </w:pPr>
    </w:p>
    <w:p w14:paraId="2264C900" w14:textId="77777777" w:rsidR="003371D2" w:rsidRDefault="003371D2">
      <w:pPr>
        <w:jc w:val="right"/>
        <w:rPr>
          <w:sz w:val="22"/>
        </w:rPr>
      </w:pPr>
      <w:r>
        <w:rPr>
          <w:i/>
          <w:sz w:val="22"/>
        </w:rPr>
        <w:t>Footnote continued on next page</w:t>
      </w:r>
    </w:p>
  </w:footnote>
  <w:footnote w:id="2">
    <w:p w14:paraId="3E0587D6" w14:textId="77777777" w:rsidR="00886EBB" w:rsidRPr="00E81CA9" w:rsidRDefault="00886EBB" w:rsidP="00E81CA9">
      <w:pPr>
        <w:pStyle w:val="FootnoteText"/>
        <w:spacing w:after="120"/>
        <w:rPr>
          <w:sz w:val="22"/>
          <w:szCs w:val="22"/>
          <w:highlight w:val="yellow"/>
        </w:rPr>
      </w:pPr>
      <w:r>
        <w:rPr>
          <w:rStyle w:val="FootnoteReference"/>
        </w:rPr>
        <w:footnoteRef/>
      </w:r>
      <w:r>
        <w:t xml:space="preserve"> </w:t>
      </w:r>
      <w:r w:rsidRPr="00E81CA9">
        <w:rPr>
          <w:sz w:val="22"/>
          <w:szCs w:val="22"/>
        </w:rPr>
        <w:t xml:space="preserve">Frontier California was formerly Verizon California, Inc. (Verizon).  As of April 1, 2016, Verizon’s operations in California were acquired and are now operated by Frontier California, Inc., pursuant to Decision (D.) 15-12-005.  </w:t>
      </w:r>
    </w:p>
  </w:footnote>
  <w:footnote w:id="3">
    <w:p w14:paraId="7538F5FB" w14:textId="77777777" w:rsidR="00886EBB" w:rsidRPr="00E81CA9" w:rsidRDefault="00886EBB" w:rsidP="00E81CA9">
      <w:pPr>
        <w:pStyle w:val="FootnoteText"/>
        <w:spacing w:after="120"/>
        <w:rPr>
          <w:sz w:val="22"/>
          <w:szCs w:val="22"/>
        </w:rPr>
      </w:pPr>
      <w:r w:rsidRPr="00CF0BB9">
        <w:rPr>
          <w:rStyle w:val="FootnoteReference"/>
        </w:rPr>
        <w:footnoteRef/>
      </w:r>
      <w:r w:rsidRPr="00CF0BB9">
        <w:t xml:space="preserve"> </w:t>
      </w:r>
      <w:r w:rsidRPr="00E81CA9">
        <w:rPr>
          <w:sz w:val="22"/>
          <w:szCs w:val="22"/>
        </w:rPr>
        <w:t>SureWest Telephone was acquired by Consolidated Communications Inc. in 2012, pursuant to D.12-06-004, and SureWest Telephone changed its name to Consolidated Communications of California Company as of January 1, 2016.</w:t>
      </w:r>
    </w:p>
  </w:footnote>
  <w:footnote w:id="4">
    <w:p w14:paraId="0297C4E8" w14:textId="651E86BF" w:rsidR="00431DBD" w:rsidRPr="00E81CA9" w:rsidRDefault="00431DBD" w:rsidP="00E81CA9">
      <w:pPr>
        <w:pStyle w:val="FootnoteText"/>
        <w:spacing w:after="120"/>
        <w:rPr>
          <w:sz w:val="22"/>
          <w:szCs w:val="22"/>
        </w:rPr>
      </w:pPr>
      <w:r w:rsidRPr="00E81CA9">
        <w:rPr>
          <w:rStyle w:val="FootnoteReference"/>
          <w:sz w:val="22"/>
          <w:szCs w:val="22"/>
        </w:rPr>
        <w:footnoteRef/>
      </w:r>
      <w:r w:rsidRPr="00E81CA9">
        <w:rPr>
          <w:sz w:val="22"/>
          <w:szCs w:val="22"/>
        </w:rPr>
        <w:t xml:space="preserve">  SureWest Telephone was acquired by Consolidated Communications Inc. in 2012, pursuant to D.12-06-004, and SureWest Telephone changed its name to Consolidated Communications of California Company as of January 1, 2016.</w:t>
      </w:r>
    </w:p>
  </w:footnote>
  <w:footnote w:id="5">
    <w:p w14:paraId="5D91D9E3" w14:textId="77777777" w:rsidR="00886EBB" w:rsidRPr="00413FFF" w:rsidRDefault="00886EBB" w:rsidP="00413FFF">
      <w:pPr>
        <w:pStyle w:val="FootnoteText"/>
        <w:spacing w:after="120"/>
        <w:rPr>
          <w:sz w:val="22"/>
          <w:szCs w:val="22"/>
        </w:rPr>
      </w:pPr>
      <w:r>
        <w:rPr>
          <w:rStyle w:val="FootnoteReference"/>
        </w:rPr>
        <w:footnoteRef/>
      </w:r>
      <w:r>
        <w:t xml:space="preserve">  </w:t>
      </w:r>
      <w:r w:rsidRPr="00413FFF">
        <w:rPr>
          <w:sz w:val="22"/>
          <w:szCs w:val="22"/>
        </w:rPr>
        <w:t>Unless otherwise noted, items labeled “Rule” are from the Commission’s Rules of Practice and Procedure.</w:t>
      </w:r>
    </w:p>
  </w:footnote>
  <w:footnote w:id="6">
    <w:p w14:paraId="3F60B2A1" w14:textId="77777777" w:rsidR="00886EBB" w:rsidRPr="001B38F6" w:rsidRDefault="00886EBB" w:rsidP="001B38F6">
      <w:pPr>
        <w:pStyle w:val="FootnoteText"/>
        <w:spacing w:after="120"/>
        <w:rPr>
          <w:sz w:val="22"/>
          <w:szCs w:val="22"/>
        </w:rPr>
      </w:pPr>
      <w:r>
        <w:rPr>
          <w:rStyle w:val="FootnoteReference"/>
        </w:rPr>
        <w:footnoteRef/>
      </w:r>
      <w:r>
        <w:t xml:space="preserve">  </w:t>
      </w:r>
      <w:r w:rsidRPr="001B38F6">
        <w:rPr>
          <w:sz w:val="22"/>
          <w:szCs w:val="22"/>
        </w:rPr>
        <w:t>The financial requirement for Competitive Local Exchange Carriers (CLEC) is contained in D.95</w:t>
      </w:r>
      <w:r w:rsidRPr="001B38F6">
        <w:rPr>
          <w:sz w:val="22"/>
          <w:szCs w:val="22"/>
        </w:rPr>
        <w:noBreakHyphen/>
        <w:t>12</w:t>
      </w:r>
      <w:r w:rsidRPr="001B38F6">
        <w:rPr>
          <w:sz w:val="22"/>
          <w:szCs w:val="22"/>
        </w:rPr>
        <w:noBreakHyphen/>
        <w:t>056, Appendix C.  The financial requirement for Non</w:t>
      </w:r>
      <w:r w:rsidRPr="001B38F6">
        <w:rPr>
          <w:sz w:val="22"/>
          <w:szCs w:val="22"/>
        </w:rPr>
        <w:noBreakHyphen/>
        <w:t>Dominant Interexchange Carriers (NDIEC) is contained in D.91</w:t>
      </w:r>
      <w:r w:rsidRPr="001B38F6">
        <w:rPr>
          <w:sz w:val="22"/>
          <w:szCs w:val="22"/>
        </w:rPr>
        <w:noBreakHyphen/>
        <w:t>10</w:t>
      </w:r>
      <w:r w:rsidRPr="001B38F6">
        <w:rPr>
          <w:sz w:val="22"/>
          <w:szCs w:val="22"/>
        </w:rPr>
        <w:noBreakHyphen/>
        <w:t>041.</w:t>
      </w:r>
    </w:p>
  </w:footnote>
  <w:footnote w:id="7">
    <w:p w14:paraId="7BB1AA2B" w14:textId="77777777" w:rsidR="00886EBB" w:rsidRPr="001B38F6" w:rsidRDefault="00886EBB" w:rsidP="001B38F6">
      <w:pPr>
        <w:pStyle w:val="FootnoteText"/>
        <w:spacing w:after="120"/>
        <w:rPr>
          <w:sz w:val="22"/>
          <w:szCs w:val="22"/>
        </w:rPr>
      </w:pPr>
      <w:r w:rsidRPr="001B38F6">
        <w:rPr>
          <w:rStyle w:val="FootnoteReference"/>
          <w:sz w:val="22"/>
          <w:szCs w:val="22"/>
        </w:rPr>
        <w:footnoteRef/>
      </w:r>
      <w:r w:rsidRPr="001B38F6">
        <w:rPr>
          <w:sz w:val="22"/>
          <w:szCs w:val="22"/>
        </w:rPr>
        <w:t xml:space="preserve">  The requirement for Competitive Local Carrier (CLC) applicants to demonstrate that they have additional financial resources to meet any deposits required by underlying Local Exchange Carriers (LEC) and/or IECs is set forth in D.95</w:t>
      </w:r>
      <w:r w:rsidRPr="001B38F6">
        <w:rPr>
          <w:sz w:val="22"/>
          <w:szCs w:val="22"/>
        </w:rPr>
        <w:noBreakHyphen/>
        <w:t>12</w:t>
      </w:r>
      <w:r w:rsidRPr="001B38F6">
        <w:rPr>
          <w:sz w:val="22"/>
          <w:szCs w:val="22"/>
        </w:rPr>
        <w:noBreakHyphen/>
        <w:t>056, Appendix C.  For NDIECs, the requirement is found in D.93</w:t>
      </w:r>
      <w:r w:rsidRPr="001B38F6">
        <w:rPr>
          <w:sz w:val="22"/>
          <w:szCs w:val="22"/>
        </w:rPr>
        <w:noBreakHyphen/>
        <w:t>05</w:t>
      </w:r>
      <w:r w:rsidRPr="001B38F6">
        <w:rPr>
          <w:sz w:val="22"/>
          <w:szCs w:val="22"/>
        </w:rPr>
        <w:noBreakHyphen/>
        <w:t>010.</w:t>
      </w:r>
    </w:p>
  </w:footnote>
  <w:footnote w:id="8">
    <w:p w14:paraId="30B3D26F" w14:textId="63A02212" w:rsidR="002E688F" w:rsidRPr="001B38F6" w:rsidRDefault="002E688F" w:rsidP="001B38F6">
      <w:pPr>
        <w:autoSpaceDE w:val="0"/>
        <w:autoSpaceDN w:val="0"/>
        <w:adjustRightInd w:val="0"/>
        <w:spacing w:after="120"/>
        <w:rPr>
          <w:sz w:val="22"/>
          <w:szCs w:val="22"/>
        </w:rPr>
      </w:pPr>
      <w:r w:rsidRPr="001B38F6">
        <w:rPr>
          <w:rStyle w:val="FootnoteReference"/>
          <w:sz w:val="22"/>
          <w:szCs w:val="22"/>
        </w:rPr>
        <w:footnoteRef/>
      </w:r>
      <w:r w:rsidRPr="001B38F6">
        <w:rPr>
          <w:sz w:val="22"/>
          <w:szCs w:val="22"/>
        </w:rPr>
        <w:t xml:space="preserve">  Hudson’s </w:t>
      </w:r>
      <w:r w:rsidR="001163A6" w:rsidRPr="001B38F6">
        <w:rPr>
          <w:sz w:val="22"/>
          <w:szCs w:val="22"/>
        </w:rPr>
        <w:t xml:space="preserve">December 5, 2019 </w:t>
      </w:r>
      <w:r w:rsidRPr="001B38F6">
        <w:rPr>
          <w:sz w:val="22"/>
          <w:szCs w:val="22"/>
        </w:rPr>
        <w:t xml:space="preserve">Response to Administrative Law Judge’s E-mail Ruling Directing the Filing of Additional Information, Exhibit K.  </w:t>
      </w:r>
    </w:p>
  </w:footnote>
  <w:footnote w:id="9">
    <w:p w14:paraId="69DA3219" w14:textId="259643A6" w:rsidR="00886EBB" w:rsidRPr="00353DE3" w:rsidRDefault="00886EBB" w:rsidP="00353DE3">
      <w:pPr>
        <w:pStyle w:val="FootnoteText"/>
        <w:spacing w:after="120"/>
        <w:rPr>
          <w:sz w:val="22"/>
          <w:szCs w:val="22"/>
        </w:rPr>
      </w:pPr>
      <w:r w:rsidRPr="00353DE3">
        <w:rPr>
          <w:rStyle w:val="FootnoteReference"/>
          <w:sz w:val="22"/>
          <w:szCs w:val="22"/>
        </w:rPr>
        <w:footnoteRef/>
      </w:r>
      <w:r w:rsidRPr="002E688F">
        <w:rPr>
          <w:sz w:val="26"/>
        </w:rPr>
        <w:t xml:space="preserve">  </w:t>
      </w:r>
      <w:r w:rsidRPr="00353DE3">
        <w:rPr>
          <w:sz w:val="22"/>
          <w:szCs w:val="22"/>
        </w:rPr>
        <w:t>D. 95</w:t>
      </w:r>
      <w:r w:rsidRPr="00353DE3">
        <w:rPr>
          <w:sz w:val="22"/>
          <w:szCs w:val="22"/>
        </w:rPr>
        <w:noBreakHyphen/>
        <w:t>12</w:t>
      </w:r>
      <w:r w:rsidRPr="00353DE3">
        <w:rPr>
          <w:sz w:val="22"/>
          <w:szCs w:val="22"/>
        </w:rPr>
        <w:noBreakHyphen/>
        <w:t xml:space="preserve">056 at Appendix C, Rule 4.A.  </w:t>
      </w:r>
    </w:p>
  </w:footnote>
  <w:footnote w:id="10">
    <w:p w14:paraId="72C0DA4C" w14:textId="77777777" w:rsidR="00886EBB" w:rsidRPr="00353DE3" w:rsidRDefault="00886EBB" w:rsidP="00353DE3">
      <w:pPr>
        <w:pStyle w:val="FootnoteText"/>
        <w:spacing w:after="120"/>
        <w:rPr>
          <w:sz w:val="22"/>
          <w:szCs w:val="22"/>
        </w:rPr>
      </w:pPr>
      <w:r>
        <w:rPr>
          <w:rStyle w:val="FootnoteReference"/>
        </w:rPr>
        <w:footnoteRef/>
      </w:r>
      <w:r>
        <w:t xml:space="preserve"> </w:t>
      </w:r>
      <w:r w:rsidRPr="00353DE3">
        <w:rPr>
          <w:sz w:val="22"/>
          <w:szCs w:val="22"/>
        </w:rPr>
        <w:t>These certifications are required by D.13-05-035, Ordering Paragraph 14.</w:t>
      </w:r>
    </w:p>
  </w:footnote>
  <w:footnote w:id="11">
    <w:p w14:paraId="6B83810E" w14:textId="77777777" w:rsidR="00886EBB" w:rsidRPr="00353DE3" w:rsidRDefault="00886EBB" w:rsidP="00353DE3">
      <w:pPr>
        <w:pStyle w:val="FootnoteText"/>
        <w:spacing w:after="120"/>
        <w:rPr>
          <w:sz w:val="22"/>
          <w:szCs w:val="22"/>
        </w:rPr>
      </w:pPr>
      <w:r>
        <w:rPr>
          <w:rStyle w:val="FootnoteReference"/>
        </w:rPr>
        <w:footnoteRef/>
      </w:r>
      <w:r>
        <w:t xml:space="preserve"> </w:t>
      </w:r>
      <w:r w:rsidRPr="00353DE3">
        <w:rPr>
          <w:i/>
          <w:sz w:val="22"/>
          <w:szCs w:val="22"/>
        </w:rPr>
        <w:t>Id</w:t>
      </w:r>
      <w:r w:rsidRPr="00353DE3">
        <w:rPr>
          <w:sz w:val="22"/>
          <w:szCs w:val="22"/>
        </w:rPr>
        <w:t>.</w:t>
      </w:r>
    </w:p>
  </w:footnote>
  <w:footnote w:id="12">
    <w:p w14:paraId="5D708195" w14:textId="3FBD94D8" w:rsidR="007E4B28" w:rsidRPr="001937C0" w:rsidRDefault="007E4B28" w:rsidP="001937C0">
      <w:pPr>
        <w:pStyle w:val="FootnoteText"/>
        <w:spacing w:after="120"/>
        <w:rPr>
          <w:sz w:val="22"/>
          <w:szCs w:val="22"/>
        </w:rPr>
      </w:pPr>
      <w:r>
        <w:rPr>
          <w:rStyle w:val="FootnoteReference"/>
        </w:rPr>
        <w:footnoteRef/>
      </w:r>
      <w:r>
        <w:t xml:space="preserve">  </w:t>
      </w:r>
      <w:r w:rsidRPr="001937C0">
        <w:rPr>
          <w:sz w:val="22"/>
          <w:szCs w:val="22"/>
        </w:rPr>
        <w:t>Application at 10.</w:t>
      </w:r>
    </w:p>
  </w:footnote>
  <w:footnote w:id="13">
    <w:p w14:paraId="2EFAE235" w14:textId="77777777" w:rsidR="00886EBB" w:rsidRDefault="00886EBB" w:rsidP="00766C9B">
      <w:pPr>
        <w:pStyle w:val="FootnoteText"/>
        <w:spacing w:after="120"/>
      </w:pPr>
      <w:r>
        <w:rPr>
          <w:rStyle w:val="FootnoteReference"/>
        </w:rPr>
        <w:footnoteRef/>
      </w:r>
      <w:r>
        <w:t xml:space="preserve">  </w:t>
      </w:r>
      <w:r w:rsidRPr="00766C9B">
        <w:rPr>
          <w:sz w:val="22"/>
          <w:szCs w:val="22"/>
        </w:rPr>
        <w:t>D.95</w:t>
      </w:r>
      <w:r w:rsidRPr="00766C9B">
        <w:rPr>
          <w:sz w:val="22"/>
          <w:szCs w:val="22"/>
        </w:rPr>
        <w:noBreakHyphen/>
        <w:t>12</w:t>
      </w:r>
      <w:r w:rsidRPr="00766C9B">
        <w:rPr>
          <w:sz w:val="22"/>
          <w:szCs w:val="22"/>
        </w:rPr>
        <w:noBreakHyphen/>
        <w:t>056 at Appendix C, Rule 4.E.</w:t>
      </w:r>
      <w:r>
        <w:t xml:space="preserve">  </w:t>
      </w:r>
    </w:p>
  </w:footnote>
  <w:footnote w:id="14">
    <w:p w14:paraId="42DE4E98" w14:textId="13EA2E2C" w:rsidR="00886EBB" w:rsidRDefault="00886EBB" w:rsidP="00BB7D58">
      <w:pPr>
        <w:spacing w:after="120"/>
        <w:rPr>
          <w:b/>
        </w:rPr>
      </w:pPr>
      <w:r>
        <w:rPr>
          <w:rStyle w:val="FootnoteReference"/>
        </w:rPr>
        <w:footnoteRef/>
      </w:r>
      <w:r>
        <w:t xml:space="preserve"> </w:t>
      </w:r>
      <w:r w:rsidRPr="00BB7D58">
        <w:rPr>
          <w:sz w:val="22"/>
          <w:szCs w:val="22"/>
        </w:rPr>
        <w:t xml:space="preserve">The California Public Utilities Code uses the term “telephone corporation.”  Its counterpart in federal law is a “telecommunications carrier.”  </w:t>
      </w:r>
    </w:p>
  </w:footnote>
  <w:footnote w:id="15">
    <w:p w14:paraId="50C5488A" w14:textId="77777777" w:rsidR="00886EBB" w:rsidRDefault="00886EBB" w:rsidP="00385C15">
      <w:pPr>
        <w:pStyle w:val="FootnoteText"/>
        <w:spacing w:before="120" w:after="120" w:line="2880" w:lineRule="auto"/>
        <w:rPr>
          <w:sz w:val="22"/>
          <w:szCs w:val="22"/>
        </w:rPr>
      </w:pPr>
      <w:r>
        <w:rPr>
          <w:rStyle w:val="FootnoteReference"/>
          <w:sz w:val="22"/>
          <w:szCs w:val="22"/>
        </w:rPr>
        <w:footnoteRef/>
      </w:r>
      <w:r>
        <w:rPr>
          <w:sz w:val="22"/>
          <w:szCs w:val="22"/>
        </w:rPr>
        <w:t xml:space="preserve">  Written acceptance filed in this docket does not reopen the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E826" w14:textId="7F1DE273" w:rsidR="00961510" w:rsidRDefault="00886EBB" w:rsidP="00BF103B">
    <w:pPr>
      <w:pStyle w:val="Header"/>
      <w:tabs>
        <w:tab w:val="clear" w:pos="8640"/>
      </w:tabs>
    </w:pPr>
    <w:r>
      <w:t>A.19-09-004  ALJ/SCL/</w:t>
    </w:r>
    <w:r w:rsidR="00BF103B">
      <w:t>avs</w:t>
    </w:r>
    <w:r w:rsidR="00BF103B">
      <w:tab/>
    </w:r>
    <w:r w:rsidR="00BF103B">
      <w:tab/>
    </w:r>
    <w:r w:rsidR="00BF103B">
      <w:tab/>
    </w:r>
    <w:r w:rsidR="00BF103B">
      <w:tab/>
    </w:r>
    <w:r w:rsidR="00BF103B">
      <w:tab/>
    </w:r>
    <w:r w:rsidR="00BF103B">
      <w:tab/>
    </w:r>
    <w:r w:rsidR="00BF103B">
      <w:tab/>
    </w:r>
    <w:r w:rsidR="00BF103B">
      <w:tab/>
    </w:r>
    <w:r w:rsidR="00BF103B" w:rsidRPr="00BF103B">
      <w:rPr>
        <w:b/>
        <w:bCs/>
      </w:rPr>
      <w:t>PROPOSED DECISION</w:t>
    </w:r>
    <w:r w:rsidR="00BF103B">
      <w:t xml:space="preserve"> </w:t>
    </w:r>
  </w:p>
  <w:p w14:paraId="508C205D" w14:textId="2CABAD91" w:rsidR="00BF103B" w:rsidRPr="00F92385" w:rsidRDefault="00BF103B" w:rsidP="00BF103B">
    <w:pPr>
      <w:pStyle w:val="Header"/>
      <w:rPr>
        <w:b/>
        <w:i/>
        <w:color w:val="FF0000"/>
      </w:rPr>
    </w:pPr>
    <w:r>
      <w:rPr>
        <w:i/>
        <w:color w:val="FF0000"/>
      </w:rPr>
      <w:t xml:space="preserve">[5/27/2020] </w:t>
    </w:r>
    <w:r w:rsidRPr="00F92385">
      <w:rPr>
        <w:i/>
        <w:color w:val="FF0000"/>
      </w:rPr>
      <w:t xml:space="preserve">Internal Review Draft; Subject to </w:t>
    </w:r>
    <w:r w:rsidRPr="00F92385">
      <w:rPr>
        <w:b/>
        <w:i/>
        <w:color w:val="FF0000"/>
      </w:rPr>
      <w:t>ALJ Division Review</w:t>
    </w:r>
  </w:p>
  <w:p w14:paraId="2AC27CF5" w14:textId="77777777" w:rsidR="00BF103B" w:rsidRPr="00CE0977" w:rsidRDefault="00BF103B" w:rsidP="00BF103B">
    <w:pPr>
      <w:pStyle w:val="Header"/>
      <w:rPr>
        <w:i/>
        <w:color w:val="FF0000"/>
      </w:rPr>
    </w:pPr>
    <w:r>
      <w:rPr>
        <w:b/>
        <w:color w:val="FF0000"/>
      </w:rPr>
      <w:t>CONFIDENTIAL</w:t>
    </w:r>
    <w:r w:rsidRPr="00F92385">
      <w:rPr>
        <w:b/>
        <w:color w:val="FF0000"/>
      </w:rPr>
      <w:t xml:space="preserve">; </w:t>
    </w:r>
    <w:r w:rsidRPr="00F92385">
      <w:rPr>
        <w:i/>
        <w:color w:val="FF0000"/>
      </w:rPr>
      <w:t>Deliberative Process Privilege</w:t>
    </w:r>
  </w:p>
  <w:p w14:paraId="699692D7" w14:textId="77777777" w:rsidR="00BF103B" w:rsidRDefault="00BF103B">
    <w:pPr>
      <w:pStyle w:val="Header"/>
    </w:pPr>
  </w:p>
  <w:p w14:paraId="28EFC6A9" w14:textId="419E0D60" w:rsidR="00886EBB" w:rsidRDefault="00886EBB">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8DA6"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4E294A87" w14:textId="77777777" w:rsidR="00392FD5" w:rsidRDefault="00392FD5">
    <w:pPr>
      <w:pStyle w:val="Header"/>
    </w:pPr>
  </w:p>
  <w:p w14:paraId="211CEEB8" w14:textId="77777777" w:rsidR="00392FD5" w:rsidRDefault="00392F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6B33"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69D10561" w14:textId="77777777" w:rsidR="00392FD5" w:rsidRDefault="00392FD5">
    <w:pPr>
      <w:pStyle w:val="Header"/>
    </w:pPr>
  </w:p>
  <w:p w14:paraId="12C84B15" w14:textId="77777777" w:rsidR="00392FD5" w:rsidRDefault="00392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7EB3" w14:textId="43400548" w:rsidR="00C6795F" w:rsidRDefault="00C6795F" w:rsidP="00C6795F">
    <w:pPr>
      <w:pStyle w:val="Header"/>
      <w:tabs>
        <w:tab w:val="clear" w:pos="8640"/>
      </w:tabs>
    </w:pPr>
    <w:r>
      <w:t>A.19-09-</w:t>
    </w:r>
    <w:proofErr w:type="gramStart"/>
    <w:r>
      <w:t>004  ALJ</w:t>
    </w:r>
    <w:proofErr w:type="gramEnd"/>
    <w:r>
      <w:t>/SCL/</w:t>
    </w:r>
    <w:proofErr w:type="spellStart"/>
    <w:r>
      <w:t>avs</w:t>
    </w:r>
    <w:proofErr w:type="spellEnd"/>
    <w:r>
      <w:tab/>
    </w:r>
    <w:r>
      <w:tab/>
    </w:r>
    <w:r>
      <w:tab/>
    </w:r>
    <w:r>
      <w:tab/>
    </w:r>
    <w:r w:rsidRPr="00BF103B">
      <w:rPr>
        <w:b/>
        <w:bCs/>
      </w:rPr>
      <w:t>PROPOSED DECISION</w:t>
    </w:r>
    <w:r>
      <w:t xml:space="preserve"> </w:t>
    </w:r>
    <w:r w:rsidR="00B9264E">
      <w:t>(REV. 1)</w:t>
    </w:r>
  </w:p>
  <w:p w14:paraId="05849AEF" w14:textId="77777777" w:rsidR="00C6795F" w:rsidRDefault="00C6795F" w:rsidP="00C6795F">
    <w:pPr>
      <w:pStyle w:val="Header"/>
    </w:pPr>
  </w:p>
  <w:p w14:paraId="4B386FB5" w14:textId="77777777" w:rsidR="00C6795F" w:rsidRDefault="00C6795F" w:rsidP="00C6795F">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F572" w14:textId="1E4212B4" w:rsidR="00C6795F" w:rsidRDefault="00C6795F" w:rsidP="00BF103B">
    <w:pPr>
      <w:pStyle w:val="Header"/>
      <w:tabs>
        <w:tab w:val="clear" w:pos="8640"/>
      </w:tabs>
    </w:pPr>
    <w:r>
      <w:t>A.19-09-</w:t>
    </w:r>
    <w:proofErr w:type="gramStart"/>
    <w:r>
      <w:t>004  ALJ</w:t>
    </w:r>
    <w:proofErr w:type="gramEnd"/>
    <w:r>
      <w:t>/SCL/</w:t>
    </w:r>
    <w:proofErr w:type="spellStart"/>
    <w:r>
      <w:t>avs</w:t>
    </w:r>
    <w:proofErr w:type="spellEnd"/>
    <w:r>
      <w:tab/>
    </w:r>
    <w:r>
      <w:tab/>
    </w:r>
    <w:r>
      <w:tab/>
    </w:r>
    <w:r w:rsidRPr="00BF103B">
      <w:rPr>
        <w:b/>
        <w:bCs/>
      </w:rPr>
      <w:t>PROPOSED DECISION</w:t>
    </w:r>
    <w:r w:rsidR="00A64A26">
      <w:rPr>
        <w:b/>
        <w:bCs/>
      </w:rPr>
      <w:t xml:space="preserve"> (Rev. 1)</w:t>
    </w:r>
    <w:r>
      <w:t xml:space="preserve"> </w:t>
    </w:r>
  </w:p>
  <w:p w14:paraId="7BCF8FFD" w14:textId="77777777" w:rsidR="00C6795F" w:rsidRDefault="00C6795F">
    <w:pPr>
      <w:pStyle w:val="Header"/>
    </w:pPr>
  </w:p>
  <w:p w14:paraId="64D3D5EB" w14:textId="793F1395" w:rsidR="00C6795F" w:rsidRDefault="00C6795F" w:rsidP="00C6795F">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4506" w14:textId="3B657067" w:rsidR="00C6795F" w:rsidRDefault="00C6795F" w:rsidP="00C6795F">
    <w:pPr>
      <w:pStyle w:val="Header"/>
      <w:tabs>
        <w:tab w:val="clear" w:pos="8640"/>
      </w:tabs>
    </w:pPr>
    <w:r>
      <w:t>A.19-09-</w:t>
    </w:r>
    <w:proofErr w:type="gramStart"/>
    <w:r>
      <w:t>004  ALJ</w:t>
    </w:r>
    <w:proofErr w:type="gramEnd"/>
    <w:r>
      <w:t>/SCL/</w:t>
    </w:r>
    <w:proofErr w:type="spellStart"/>
    <w:r>
      <w:t>avs</w:t>
    </w:r>
    <w:proofErr w:type="spellEnd"/>
    <w:r>
      <w:tab/>
    </w:r>
    <w:r>
      <w:tab/>
    </w:r>
    <w:r>
      <w:tab/>
    </w:r>
    <w:r>
      <w:tab/>
    </w:r>
    <w:r w:rsidRPr="00BF103B">
      <w:rPr>
        <w:b/>
        <w:bCs/>
      </w:rPr>
      <w:t>PROPOSED DECISION</w:t>
    </w:r>
    <w:r>
      <w:t xml:space="preserve"> </w:t>
    </w:r>
    <w:r w:rsidR="00D75CF3">
      <w:t>(REV. 1)</w:t>
    </w:r>
  </w:p>
  <w:p w14:paraId="21DBD617" w14:textId="77777777" w:rsidR="00C6795F" w:rsidRDefault="00C6795F" w:rsidP="00C6795F">
    <w:pPr>
      <w:pStyle w:val="Header"/>
    </w:pPr>
  </w:p>
  <w:p w14:paraId="09B10687" w14:textId="77777777" w:rsidR="00C6795F" w:rsidRDefault="00C6795F" w:rsidP="00C6795F">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9577"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548213FC" w14:textId="77777777" w:rsidR="00886EBB" w:rsidRDefault="00886EBB">
    <w:pPr>
      <w:pStyle w:val="Header"/>
    </w:pPr>
  </w:p>
  <w:p w14:paraId="1D458031" w14:textId="77777777" w:rsidR="00886EBB" w:rsidRDefault="00886E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1BDD" w14:textId="77777777" w:rsidR="00886EBB" w:rsidRDefault="00886EBB">
    <w:pPr>
      <w:pStyle w:val="Header"/>
      <w:rPr>
        <w:b/>
      </w:rPr>
    </w:pPr>
    <w:r>
      <w:tab/>
    </w:r>
  </w:p>
  <w:p w14:paraId="4BDB95E5" w14:textId="77777777" w:rsidR="00886EBB" w:rsidRDefault="00886E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F19C"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6191D854" w14:textId="77777777" w:rsidR="00392FD5" w:rsidRDefault="00392FD5">
    <w:pPr>
      <w:pStyle w:val="Header"/>
    </w:pPr>
  </w:p>
  <w:p w14:paraId="3324FB8A" w14:textId="77777777" w:rsidR="00392FD5" w:rsidRDefault="00392F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3E2F"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15B5FABC" w14:textId="77777777" w:rsidR="00392FD5" w:rsidRDefault="00392FD5">
    <w:pPr>
      <w:pStyle w:val="Header"/>
    </w:pPr>
  </w:p>
  <w:p w14:paraId="0160CACE" w14:textId="77777777" w:rsidR="00392FD5" w:rsidRDefault="00392F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BF1A" w14:textId="77777777" w:rsidR="00392FD5" w:rsidRDefault="00392FD5" w:rsidP="00392FD5">
    <w:pPr>
      <w:pStyle w:val="Header"/>
      <w:tabs>
        <w:tab w:val="clear" w:pos="8640"/>
      </w:tabs>
    </w:pPr>
    <w:r>
      <w:t>A.19-09-004  ALJ/SCL/avs</w:t>
    </w:r>
    <w:r>
      <w:tab/>
    </w:r>
    <w:r>
      <w:tab/>
    </w:r>
    <w:r>
      <w:tab/>
    </w:r>
    <w:r>
      <w:tab/>
    </w:r>
    <w:r>
      <w:tab/>
    </w:r>
    <w:r>
      <w:tab/>
    </w:r>
    <w:r>
      <w:tab/>
    </w:r>
    <w:r>
      <w:tab/>
    </w:r>
    <w:r w:rsidRPr="00BF103B">
      <w:rPr>
        <w:b/>
        <w:bCs/>
      </w:rPr>
      <w:t>PROPOSED DECISION</w:t>
    </w:r>
    <w:r>
      <w:t xml:space="preserve"> </w:t>
    </w:r>
  </w:p>
  <w:p w14:paraId="6F0421C0" w14:textId="77777777" w:rsidR="00392FD5" w:rsidRDefault="00392FD5">
    <w:pPr>
      <w:pStyle w:val="Header"/>
    </w:pPr>
  </w:p>
  <w:p w14:paraId="0C8FABE1" w14:textId="77777777" w:rsidR="00392FD5" w:rsidRDefault="0039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D3F"/>
    <w:multiLevelType w:val="hybridMultilevel"/>
    <w:tmpl w:val="58D2C710"/>
    <w:lvl w:ilvl="0" w:tplc="4F54DD50">
      <w:start w:val="1"/>
      <w:numFmt w:val="decimal"/>
      <w:pStyle w:val="Style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62E9"/>
    <w:multiLevelType w:val="singleLevel"/>
    <w:tmpl w:val="0409001F"/>
    <w:lvl w:ilvl="0">
      <w:start w:val="1"/>
      <w:numFmt w:val="decimal"/>
      <w:lvlText w:val="%1."/>
      <w:legacy w:legacy="1" w:legacySpace="144" w:legacyIndent="0"/>
      <w:lvlJc w:val="left"/>
    </w:lvl>
  </w:abstractNum>
  <w:abstractNum w:abstractNumId="2" w15:restartNumberingAfterBreak="0">
    <w:nsid w:val="11261C0B"/>
    <w:multiLevelType w:val="singleLevel"/>
    <w:tmpl w:val="17905C2E"/>
    <w:lvl w:ilvl="0">
      <w:start w:val="1"/>
      <w:numFmt w:val="decimal"/>
      <w:lvlText w:val="%1."/>
      <w:legacy w:legacy="1" w:legacySpace="144" w:legacyIndent="0"/>
      <w:lvlJc w:val="left"/>
      <w:rPr>
        <w:i w:val="0"/>
        <w:iCs/>
      </w:rPr>
    </w:lvl>
  </w:abstractNum>
  <w:abstractNum w:abstractNumId="3" w15:restartNumberingAfterBreak="0">
    <w:nsid w:val="125D3837"/>
    <w:multiLevelType w:val="multilevel"/>
    <w:tmpl w:val="E46EE110"/>
    <w:lvl w:ilvl="0">
      <w:start w:val="1"/>
      <w:numFmt w:val="decimal"/>
      <w:suff w:val="space"/>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0551D2E"/>
    <w:multiLevelType w:val="hybridMultilevel"/>
    <w:tmpl w:val="356CD3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1B0D2A"/>
    <w:multiLevelType w:val="hybridMultilevel"/>
    <w:tmpl w:val="88CA4752"/>
    <w:lvl w:ilvl="0" w:tplc="ED2C2FAC">
      <w:start w:val="1"/>
      <w:numFmt w:val="decimal"/>
      <w:lvlText w:val="%1."/>
      <w:lvlJc w:val="left"/>
      <w:pPr>
        <w:tabs>
          <w:tab w:val="num" w:pos="720"/>
        </w:tabs>
        <w:ind w:left="720" w:hanging="360"/>
      </w:pPr>
    </w:lvl>
    <w:lvl w:ilvl="1" w:tplc="49EC3B98" w:tentative="1">
      <w:start w:val="1"/>
      <w:numFmt w:val="lowerLetter"/>
      <w:lvlText w:val="%2."/>
      <w:lvlJc w:val="left"/>
      <w:pPr>
        <w:tabs>
          <w:tab w:val="num" w:pos="1440"/>
        </w:tabs>
        <w:ind w:left="1440" w:hanging="360"/>
      </w:pPr>
    </w:lvl>
    <w:lvl w:ilvl="2" w:tplc="852A3064" w:tentative="1">
      <w:start w:val="1"/>
      <w:numFmt w:val="lowerRoman"/>
      <w:lvlText w:val="%3."/>
      <w:lvlJc w:val="right"/>
      <w:pPr>
        <w:tabs>
          <w:tab w:val="num" w:pos="2160"/>
        </w:tabs>
        <w:ind w:left="2160" w:hanging="180"/>
      </w:pPr>
    </w:lvl>
    <w:lvl w:ilvl="3" w:tplc="F5765C22" w:tentative="1">
      <w:start w:val="1"/>
      <w:numFmt w:val="decimal"/>
      <w:lvlText w:val="%4."/>
      <w:lvlJc w:val="left"/>
      <w:pPr>
        <w:tabs>
          <w:tab w:val="num" w:pos="2880"/>
        </w:tabs>
        <w:ind w:left="2880" w:hanging="360"/>
      </w:pPr>
    </w:lvl>
    <w:lvl w:ilvl="4" w:tplc="0D0857D4" w:tentative="1">
      <w:start w:val="1"/>
      <w:numFmt w:val="lowerLetter"/>
      <w:lvlText w:val="%5."/>
      <w:lvlJc w:val="left"/>
      <w:pPr>
        <w:tabs>
          <w:tab w:val="num" w:pos="3600"/>
        </w:tabs>
        <w:ind w:left="3600" w:hanging="360"/>
      </w:pPr>
    </w:lvl>
    <w:lvl w:ilvl="5" w:tplc="ECECBB7E" w:tentative="1">
      <w:start w:val="1"/>
      <w:numFmt w:val="lowerRoman"/>
      <w:lvlText w:val="%6."/>
      <w:lvlJc w:val="right"/>
      <w:pPr>
        <w:tabs>
          <w:tab w:val="num" w:pos="4320"/>
        </w:tabs>
        <w:ind w:left="4320" w:hanging="180"/>
      </w:pPr>
    </w:lvl>
    <w:lvl w:ilvl="6" w:tplc="4C76B734" w:tentative="1">
      <w:start w:val="1"/>
      <w:numFmt w:val="decimal"/>
      <w:lvlText w:val="%7."/>
      <w:lvlJc w:val="left"/>
      <w:pPr>
        <w:tabs>
          <w:tab w:val="num" w:pos="5040"/>
        </w:tabs>
        <w:ind w:left="5040" w:hanging="360"/>
      </w:pPr>
    </w:lvl>
    <w:lvl w:ilvl="7" w:tplc="C50E6544" w:tentative="1">
      <w:start w:val="1"/>
      <w:numFmt w:val="lowerLetter"/>
      <w:lvlText w:val="%8."/>
      <w:lvlJc w:val="left"/>
      <w:pPr>
        <w:tabs>
          <w:tab w:val="num" w:pos="5760"/>
        </w:tabs>
        <w:ind w:left="5760" w:hanging="360"/>
      </w:pPr>
    </w:lvl>
    <w:lvl w:ilvl="8" w:tplc="59DA7B2C" w:tentative="1">
      <w:start w:val="1"/>
      <w:numFmt w:val="lowerRoman"/>
      <w:lvlText w:val="%9."/>
      <w:lvlJc w:val="right"/>
      <w:pPr>
        <w:tabs>
          <w:tab w:val="num" w:pos="6480"/>
        </w:tabs>
        <w:ind w:left="6480" w:hanging="180"/>
      </w:pPr>
    </w:lvl>
  </w:abstractNum>
  <w:abstractNum w:abstractNumId="6" w15:restartNumberingAfterBreak="0">
    <w:nsid w:val="28DF34D3"/>
    <w:multiLevelType w:val="hybridMultilevel"/>
    <w:tmpl w:val="F728783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bullet"/>
      <w:lvlText w:val="o"/>
      <w:lvlJc w:val="left"/>
      <w:pPr>
        <w:tabs>
          <w:tab w:val="num" w:pos="5040"/>
        </w:tabs>
        <w:ind w:left="5040" w:hanging="360"/>
      </w:pPr>
      <w:rPr>
        <w:rFonts w:ascii="Courier New" w:hAnsi="Courier New" w:cs="Courier New"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Symbol" w:hAnsi="Symbol" w:hint="default"/>
      </w:rPr>
    </w:lvl>
  </w:abstractNum>
  <w:abstractNum w:abstractNumId="7" w15:restartNumberingAfterBreak="0">
    <w:nsid w:val="2DD46003"/>
    <w:multiLevelType w:val="singleLevel"/>
    <w:tmpl w:val="2FB6A734"/>
    <w:lvl w:ilvl="0">
      <w:start w:val="1"/>
      <w:numFmt w:val="decimal"/>
      <w:pStyle w:val="bullet1"/>
      <w:lvlText w:val="%1."/>
      <w:legacy w:legacy="1" w:legacySpace="144" w:legacyIndent="0"/>
      <w:lvlJc w:val="left"/>
    </w:lvl>
  </w:abstractNum>
  <w:abstractNum w:abstractNumId="8" w15:restartNumberingAfterBreak="0">
    <w:nsid w:val="32B91C23"/>
    <w:multiLevelType w:val="hybridMultilevel"/>
    <w:tmpl w:val="4E30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4761A6"/>
    <w:multiLevelType w:val="singleLevel"/>
    <w:tmpl w:val="0409001F"/>
    <w:lvl w:ilvl="0">
      <w:start w:val="1"/>
      <w:numFmt w:val="decimal"/>
      <w:lvlText w:val="%1."/>
      <w:legacy w:legacy="1" w:legacySpace="144" w:legacyIndent="0"/>
      <w:lvlJc w:val="left"/>
    </w:lvl>
  </w:abstractNum>
  <w:abstractNum w:abstractNumId="10" w15:restartNumberingAfterBreak="0">
    <w:nsid w:val="407750C4"/>
    <w:multiLevelType w:val="singleLevel"/>
    <w:tmpl w:val="0409001F"/>
    <w:lvl w:ilvl="0">
      <w:start w:val="1"/>
      <w:numFmt w:val="decimal"/>
      <w:lvlText w:val="%1."/>
      <w:legacy w:legacy="1" w:legacySpace="144" w:legacyIndent="0"/>
      <w:lvlJc w:val="left"/>
    </w:lvl>
  </w:abstractNum>
  <w:abstractNum w:abstractNumId="11" w15:restartNumberingAfterBreak="0">
    <w:nsid w:val="4A235FE6"/>
    <w:multiLevelType w:val="hybridMultilevel"/>
    <w:tmpl w:val="8DDEFB9C"/>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B83F26"/>
    <w:multiLevelType w:val="hybridMultilevel"/>
    <w:tmpl w:val="38FA2ECC"/>
    <w:lvl w:ilvl="0" w:tplc="86AE2958">
      <w:start w:val="1"/>
      <w:numFmt w:val="bullet"/>
      <w:pStyle w:val="bullets"/>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8555FB"/>
    <w:multiLevelType w:val="hybridMultilevel"/>
    <w:tmpl w:val="3C167D82"/>
    <w:lvl w:ilvl="0" w:tplc="7D9C2B08">
      <w:start w:val="1"/>
      <w:numFmt w:val="decimal"/>
      <w:pStyle w:val="Heading1"/>
      <w:lvlText w:val="%1."/>
      <w:lvlJc w:val="left"/>
      <w:pPr>
        <w:tabs>
          <w:tab w:val="num" w:pos="1710"/>
        </w:tabs>
        <w:ind w:left="1710" w:hanging="360"/>
      </w:pPr>
      <w:rPr>
        <w:rFonts w:hint="default"/>
        <w:b/>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D5D2246"/>
    <w:multiLevelType w:val="singleLevel"/>
    <w:tmpl w:val="7C2ACC44"/>
    <w:lvl w:ilvl="0">
      <w:start w:val="1"/>
      <w:numFmt w:val="decimal"/>
      <w:pStyle w:val="Style1"/>
      <w:lvlText w:val="%1."/>
      <w:lvlJc w:val="left"/>
      <w:pPr>
        <w:tabs>
          <w:tab w:val="num" w:pos="72"/>
        </w:tabs>
        <w:ind w:left="288" w:hanging="288"/>
      </w:pPr>
      <w:rPr>
        <w:rFonts w:hint="default"/>
      </w:rPr>
    </w:lvl>
  </w:abstractNum>
  <w:abstractNum w:abstractNumId="15" w15:restartNumberingAfterBreak="0">
    <w:nsid w:val="548D7908"/>
    <w:multiLevelType w:val="hybridMultilevel"/>
    <w:tmpl w:val="BC963944"/>
    <w:lvl w:ilvl="0" w:tplc="887C79E4">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720367"/>
    <w:multiLevelType w:val="hybridMultilevel"/>
    <w:tmpl w:val="8EEA4890"/>
    <w:lvl w:ilvl="0" w:tplc="6952E1BC">
      <w:start w:val="1"/>
      <w:numFmt w:val="decimal"/>
      <w:pStyle w:val="Style2"/>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0902E6"/>
    <w:multiLevelType w:val="singleLevel"/>
    <w:tmpl w:val="3F6EB472"/>
    <w:lvl w:ilvl="0">
      <w:start w:val="1"/>
      <w:numFmt w:val="decimal"/>
      <w:lvlText w:val="%1."/>
      <w:legacy w:legacy="1" w:legacySpace="144" w:legacyIndent="0"/>
      <w:lvlJc w:val="left"/>
    </w:lvl>
  </w:abstractNum>
  <w:abstractNum w:abstractNumId="18" w15:restartNumberingAfterBreak="0">
    <w:nsid w:val="61EF55B1"/>
    <w:multiLevelType w:val="hybridMultilevel"/>
    <w:tmpl w:val="44A24A4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093EA4"/>
    <w:multiLevelType w:val="singleLevel"/>
    <w:tmpl w:val="E250AA46"/>
    <w:lvl w:ilvl="0">
      <w:start w:val="1"/>
      <w:numFmt w:val="decimal"/>
      <w:lvlText w:val="%1."/>
      <w:legacy w:legacy="1" w:legacySpace="0" w:legacyIndent="0"/>
      <w:lvlJc w:val="left"/>
    </w:lvl>
  </w:abstractNum>
  <w:abstractNum w:abstractNumId="20" w15:restartNumberingAfterBreak="0">
    <w:nsid w:val="78BE7108"/>
    <w:multiLevelType w:val="singleLevel"/>
    <w:tmpl w:val="BCB63E94"/>
    <w:lvl w:ilvl="0">
      <w:start w:val="1"/>
      <w:numFmt w:val="decimal"/>
      <w:lvlText w:val="%1."/>
      <w:lvlJc w:val="left"/>
      <w:pPr>
        <w:ind w:left="360" w:hanging="360"/>
      </w:pPr>
      <w:rPr>
        <w:b w:val="0"/>
      </w:rPr>
    </w:lvl>
  </w:abstractNum>
  <w:num w:numId="1">
    <w:abstractNumId w:val="7"/>
  </w:num>
  <w:num w:numId="2">
    <w:abstractNumId w:val="14"/>
  </w:num>
  <w:num w:numId="3">
    <w:abstractNumId w:val="19"/>
  </w:num>
  <w:num w:numId="4">
    <w:abstractNumId w:val="12"/>
  </w:num>
  <w:num w:numId="5">
    <w:abstractNumId w:val="4"/>
  </w:num>
  <w:num w:numId="6">
    <w:abstractNumId w:val="6"/>
  </w:num>
  <w:num w:numId="7">
    <w:abstractNumId w:val="13"/>
  </w:num>
  <w:num w:numId="8">
    <w:abstractNumId w:val="20"/>
  </w:num>
  <w:num w:numId="9">
    <w:abstractNumId w:val="11"/>
  </w:num>
  <w:num w:numId="10">
    <w:abstractNumId w:val="5"/>
  </w:num>
  <w:num w:numId="11">
    <w:abstractNumId w:val="3"/>
  </w:num>
  <w:num w:numId="12">
    <w:abstractNumId w:val="16"/>
  </w:num>
  <w:num w:numId="13">
    <w:abstractNumId w:val="0"/>
  </w:num>
  <w:num w:numId="14">
    <w:abstractNumId w:val="8"/>
  </w:num>
  <w:num w:numId="15">
    <w:abstractNumId w:val="1"/>
  </w:num>
  <w:num w:numId="16">
    <w:abstractNumId w:val="9"/>
  </w:num>
  <w:num w:numId="17">
    <w:abstractNumId w:val="2"/>
  </w:num>
  <w:num w:numId="18">
    <w:abstractNumId w:val="17"/>
  </w:num>
  <w:num w:numId="19">
    <w:abstractNumId w:val="13"/>
  </w:num>
  <w:num w:numId="20">
    <w:abstractNumId w:val="10"/>
  </w:num>
  <w:num w:numId="21">
    <w:abstractNumId w:val="18"/>
  </w:num>
  <w:num w:numId="22">
    <w:abstractNumId w:val="20"/>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3"/>
    </w:lvlOverride>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0"/>
    <w:rsid w:val="00000540"/>
    <w:rsid w:val="00001E54"/>
    <w:rsid w:val="00003F9E"/>
    <w:rsid w:val="000040E5"/>
    <w:rsid w:val="0000584B"/>
    <w:rsid w:val="00006662"/>
    <w:rsid w:val="00006FD4"/>
    <w:rsid w:val="00011541"/>
    <w:rsid w:val="00013330"/>
    <w:rsid w:val="00017CFB"/>
    <w:rsid w:val="00017E9D"/>
    <w:rsid w:val="000200E5"/>
    <w:rsid w:val="0002113C"/>
    <w:rsid w:val="00023C50"/>
    <w:rsid w:val="00024DEC"/>
    <w:rsid w:val="0002643C"/>
    <w:rsid w:val="00036033"/>
    <w:rsid w:val="00044955"/>
    <w:rsid w:val="00046B0C"/>
    <w:rsid w:val="00050A1C"/>
    <w:rsid w:val="00055E57"/>
    <w:rsid w:val="00061D07"/>
    <w:rsid w:val="0006217A"/>
    <w:rsid w:val="0006375B"/>
    <w:rsid w:val="00065B01"/>
    <w:rsid w:val="000711BF"/>
    <w:rsid w:val="00073F58"/>
    <w:rsid w:val="0007547D"/>
    <w:rsid w:val="00076B5F"/>
    <w:rsid w:val="000802C6"/>
    <w:rsid w:val="000803CD"/>
    <w:rsid w:val="0008163B"/>
    <w:rsid w:val="00084221"/>
    <w:rsid w:val="00085455"/>
    <w:rsid w:val="0008550E"/>
    <w:rsid w:val="00090F02"/>
    <w:rsid w:val="0009139C"/>
    <w:rsid w:val="00093A25"/>
    <w:rsid w:val="0009730F"/>
    <w:rsid w:val="000A0ACC"/>
    <w:rsid w:val="000A0C44"/>
    <w:rsid w:val="000A457F"/>
    <w:rsid w:val="000B303D"/>
    <w:rsid w:val="000B432A"/>
    <w:rsid w:val="000B4AC9"/>
    <w:rsid w:val="000B74CE"/>
    <w:rsid w:val="000C1067"/>
    <w:rsid w:val="000C3361"/>
    <w:rsid w:val="000C6E0C"/>
    <w:rsid w:val="000C6F80"/>
    <w:rsid w:val="000D0CF1"/>
    <w:rsid w:val="000D15A9"/>
    <w:rsid w:val="000D3A01"/>
    <w:rsid w:val="000D49A0"/>
    <w:rsid w:val="000D785A"/>
    <w:rsid w:val="000E147B"/>
    <w:rsid w:val="000E3D77"/>
    <w:rsid w:val="000E6190"/>
    <w:rsid w:val="000F4917"/>
    <w:rsid w:val="000F4B5C"/>
    <w:rsid w:val="000F51C9"/>
    <w:rsid w:val="000F7522"/>
    <w:rsid w:val="00101D64"/>
    <w:rsid w:val="00105306"/>
    <w:rsid w:val="00105472"/>
    <w:rsid w:val="00107D91"/>
    <w:rsid w:val="00111B60"/>
    <w:rsid w:val="00111C6F"/>
    <w:rsid w:val="001128E6"/>
    <w:rsid w:val="001133E2"/>
    <w:rsid w:val="001147F1"/>
    <w:rsid w:val="00115287"/>
    <w:rsid w:val="00116059"/>
    <w:rsid w:val="001163A6"/>
    <w:rsid w:val="00117438"/>
    <w:rsid w:val="001174B0"/>
    <w:rsid w:val="00117886"/>
    <w:rsid w:val="001200E4"/>
    <w:rsid w:val="00122CD6"/>
    <w:rsid w:val="00123236"/>
    <w:rsid w:val="0013003E"/>
    <w:rsid w:val="00132063"/>
    <w:rsid w:val="00132293"/>
    <w:rsid w:val="00135E41"/>
    <w:rsid w:val="00140F99"/>
    <w:rsid w:val="0014225A"/>
    <w:rsid w:val="00142AC5"/>
    <w:rsid w:val="00143AD2"/>
    <w:rsid w:val="00144D7B"/>
    <w:rsid w:val="001474A2"/>
    <w:rsid w:val="00157F2D"/>
    <w:rsid w:val="001626A5"/>
    <w:rsid w:val="00162D0E"/>
    <w:rsid w:val="00164A17"/>
    <w:rsid w:val="00164F0D"/>
    <w:rsid w:val="00165C81"/>
    <w:rsid w:val="00166D2D"/>
    <w:rsid w:val="0016730A"/>
    <w:rsid w:val="00171D16"/>
    <w:rsid w:val="00173D06"/>
    <w:rsid w:val="0017680F"/>
    <w:rsid w:val="00177269"/>
    <w:rsid w:val="0017728E"/>
    <w:rsid w:val="001774F1"/>
    <w:rsid w:val="0018048A"/>
    <w:rsid w:val="0018050B"/>
    <w:rsid w:val="00181E1D"/>
    <w:rsid w:val="00183F20"/>
    <w:rsid w:val="001917AF"/>
    <w:rsid w:val="00191DFF"/>
    <w:rsid w:val="001937C0"/>
    <w:rsid w:val="00194853"/>
    <w:rsid w:val="001A2352"/>
    <w:rsid w:val="001A2779"/>
    <w:rsid w:val="001A4056"/>
    <w:rsid w:val="001B0912"/>
    <w:rsid w:val="001B38F6"/>
    <w:rsid w:val="001B6C93"/>
    <w:rsid w:val="001B7BB7"/>
    <w:rsid w:val="001C16FA"/>
    <w:rsid w:val="001C5AA1"/>
    <w:rsid w:val="001C5EB5"/>
    <w:rsid w:val="001D58EC"/>
    <w:rsid w:val="001D6337"/>
    <w:rsid w:val="001D7047"/>
    <w:rsid w:val="001D73E2"/>
    <w:rsid w:val="001E5876"/>
    <w:rsid w:val="001F157F"/>
    <w:rsid w:val="001F22D3"/>
    <w:rsid w:val="001F2924"/>
    <w:rsid w:val="001F3951"/>
    <w:rsid w:val="001F6A48"/>
    <w:rsid w:val="00201EE3"/>
    <w:rsid w:val="00203C8B"/>
    <w:rsid w:val="0020409D"/>
    <w:rsid w:val="00204C8F"/>
    <w:rsid w:val="00205909"/>
    <w:rsid w:val="002077A2"/>
    <w:rsid w:val="00207F19"/>
    <w:rsid w:val="0021517D"/>
    <w:rsid w:val="002152C6"/>
    <w:rsid w:val="00216EE7"/>
    <w:rsid w:val="00217D53"/>
    <w:rsid w:val="00222194"/>
    <w:rsid w:val="0022506D"/>
    <w:rsid w:val="00231BB4"/>
    <w:rsid w:val="00232EDD"/>
    <w:rsid w:val="002358E2"/>
    <w:rsid w:val="00236110"/>
    <w:rsid w:val="00236C4F"/>
    <w:rsid w:val="00245CE1"/>
    <w:rsid w:val="00246004"/>
    <w:rsid w:val="00251930"/>
    <w:rsid w:val="002522D1"/>
    <w:rsid w:val="00253CD7"/>
    <w:rsid w:val="00254242"/>
    <w:rsid w:val="0026071B"/>
    <w:rsid w:val="002641E8"/>
    <w:rsid w:val="00265EE2"/>
    <w:rsid w:val="002700AE"/>
    <w:rsid w:val="00270FF7"/>
    <w:rsid w:val="0027278B"/>
    <w:rsid w:val="00272A26"/>
    <w:rsid w:val="00273A72"/>
    <w:rsid w:val="002742FA"/>
    <w:rsid w:val="002829E1"/>
    <w:rsid w:val="00283B44"/>
    <w:rsid w:val="0028542B"/>
    <w:rsid w:val="00286AED"/>
    <w:rsid w:val="00286EC6"/>
    <w:rsid w:val="00287143"/>
    <w:rsid w:val="00287553"/>
    <w:rsid w:val="00295C79"/>
    <w:rsid w:val="00296AC3"/>
    <w:rsid w:val="002975BF"/>
    <w:rsid w:val="002A04F3"/>
    <w:rsid w:val="002A0878"/>
    <w:rsid w:val="002A097C"/>
    <w:rsid w:val="002B0C6D"/>
    <w:rsid w:val="002B0C8E"/>
    <w:rsid w:val="002B365F"/>
    <w:rsid w:val="002B3CA4"/>
    <w:rsid w:val="002C0294"/>
    <w:rsid w:val="002C3910"/>
    <w:rsid w:val="002C5654"/>
    <w:rsid w:val="002C6C2B"/>
    <w:rsid w:val="002D0577"/>
    <w:rsid w:val="002D1543"/>
    <w:rsid w:val="002D2A8C"/>
    <w:rsid w:val="002D5AD5"/>
    <w:rsid w:val="002E1850"/>
    <w:rsid w:val="002E2ECB"/>
    <w:rsid w:val="002E688F"/>
    <w:rsid w:val="002E7BA6"/>
    <w:rsid w:val="002F05EC"/>
    <w:rsid w:val="002F1287"/>
    <w:rsid w:val="002F1600"/>
    <w:rsid w:val="002F225D"/>
    <w:rsid w:val="002F31C3"/>
    <w:rsid w:val="002F3810"/>
    <w:rsid w:val="002F4A9D"/>
    <w:rsid w:val="002F53D1"/>
    <w:rsid w:val="002F78E0"/>
    <w:rsid w:val="0030061C"/>
    <w:rsid w:val="00303C65"/>
    <w:rsid w:val="003110C1"/>
    <w:rsid w:val="003124BB"/>
    <w:rsid w:val="003132D3"/>
    <w:rsid w:val="003143EF"/>
    <w:rsid w:val="00317B85"/>
    <w:rsid w:val="00317D3B"/>
    <w:rsid w:val="0032232E"/>
    <w:rsid w:val="00324BDE"/>
    <w:rsid w:val="00327B1E"/>
    <w:rsid w:val="0033076B"/>
    <w:rsid w:val="00332975"/>
    <w:rsid w:val="00333352"/>
    <w:rsid w:val="003342E2"/>
    <w:rsid w:val="00335DAB"/>
    <w:rsid w:val="003371D2"/>
    <w:rsid w:val="0033769B"/>
    <w:rsid w:val="00342467"/>
    <w:rsid w:val="00342F0B"/>
    <w:rsid w:val="003450D5"/>
    <w:rsid w:val="0034688B"/>
    <w:rsid w:val="00346A50"/>
    <w:rsid w:val="003470C2"/>
    <w:rsid w:val="00350AEC"/>
    <w:rsid w:val="00353DE3"/>
    <w:rsid w:val="00356160"/>
    <w:rsid w:val="00356C0D"/>
    <w:rsid w:val="003574F8"/>
    <w:rsid w:val="00357772"/>
    <w:rsid w:val="00361AC5"/>
    <w:rsid w:val="0036450F"/>
    <w:rsid w:val="00371DEC"/>
    <w:rsid w:val="00376CDC"/>
    <w:rsid w:val="00383472"/>
    <w:rsid w:val="00383608"/>
    <w:rsid w:val="003838A5"/>
    <w:rsid w:val="00384BEB"/>
    <w:rsid w:val="00385C15"/>
    <w:rsid w:val="00390FFC"/>
    <w:rsid w:val="0039254A"/>
    <w:rsid w:val="0039283C"/>
    <w:rsid w:val="00392FD5"/>
    <w:rsid w:val="003939AE"/>
    <w:rsid w:val="003959F3"/>
    <w:rsid w:val="003A05C8"/>
    <w:rsid w:val="003A1688"/>
    <w:rsid w:val="003A2DFA"/>
    <w:rsid w:val="003A34C6"/>
    <w:rsid w:val="003A3B55"/>
    <w:rsid w:val="003A56A8"/>
    <w:rsid w:val="003A764D"/>
    <w:rsid w:val="003A7C4E"/>
    <w:rsid w:val="003A7F67"/>
    <w:rsid w:val="003B267C"/>
    <w:rsid w:val="003B3352"/>
    <w:rsid w:val="003B4FB0"/>
    <w:rsid w:val="003B5B96"/>
    <w:rsid w:val="003B65BD"/>
    <w:rsid w:val="003B7608"/>
    <w:rsid w:val="003C002F"/>
    <w:rsid w:val="003C1805"/>
    <w:rsid w:val="003C50BE"/>
    <w:rsid w:val="003C6C1F"/>
    <w:rsid w:val="003C7EC8"/>
    <w:rsid w:val="003D008B"/>
    <w:rsid w:val="003D28E4"/>
    <w:rsid w:val="003D3A0A"/>
    <w:rsid w:val="003D4435"/>
    <w:rsid w:val="003D62CF"/>
    <w:rsid w:val="003D7147"/>
    <w:rsid w:val="003D7E1A"/>
    <w:rsid w:val="003E2CC2"/>
    <w:rsid w:val="003E43EE"/>
    <w:rsid w:val="003E4564"/>
    <w:rsid w:val="003E7448"/>
    <w:rsid w:val="003E7573"/>
    <w:rsid w:val="003F1ED5"/>
    <w:rsid w:val="003F2108"/>
    <w:rsid w:val="003F4C2F"/>
    <w:rsid w:val="003F5A3F"/>
    <w:rsid w:val="003F6168"/>
    <w:rsid w:val="003F6977"/>
    <w:rsid w:val="003F74FC"/>
    <w:rsid w:val="00400039"/>
    <w:rsid w:val="00400DAF"/>
    <w:rsid w:val="00404A08"/>
    <w:rsid w:val="00405FBB"/>
    <w:rsid w:val="00407BDE"/>
    <w:rsid w:val="00412F17"/>
    <w:rsid w:val="00413780"/>
    <w:rsid w:val="00413FFF"/>
    <w:rsid w:val="00423BA3"/>
    <w:rsid w:val="00424531"/>
    <w:rsid w:val="00424C1E"/>
    <w:rsid w:val="00431DBD"/>
    <w:rsid w:val="00432CDE"/>
    <w:rsid w:val="00434722"/>
    <w:rsid w:val="004349E1"/>
    <w:rsid w:val="00435119"/>
    <w:rsid w:val="00435BEC"/>
    <w:rsid w:val="0044077F"/>
    <w:rsid w:val="00442CBB"/>
    <w:rsid w:val="00446E49"/>
    <w:rsid w:val="00450006"/>
    <w:rsid w:val="0045006F"/>
    <w:rsid w:val="004510FA"/>
    <w:rsid w:val="00451B28"/>
    <w:rsid w:val="00457966"/>
    <w:rsid w:val="004616EA"/>
    <w:rsid w:val="004630BF"/>
    <w:rsid w:val="00463899"/>
    <w:rsid w:val="00464A07"/>
    <w:rsid w:val="00466C0E"/>
    <w:rsid w:val="0047054F"/>
    <w:rsid w:val="00470671"/>
    <w:rsid w:val="00470E4A"/>
    <w:rsid w:val="00471132"/>
    <w:rsid w:val="00471F74"/>
    <w:rsid w:val="0047220F"/>
    <w:rsid w:val="004765BB"/>
    <w:rsid w:val="00480ED7"/>
    <w:rsid w:val="00484BC7"/>
    <w:rsid w:val="00485752"/>
    <w:rsid w:val="004917F2"/>
    <w:rsid w:val="00496A27"/>
    <w:rsid w:val="004A0514"/>
    <w:rsid w:val="004A1118"/>
    <w:rsid w:val="004A6E28"/>
    <w:rsid w:val="004B0767"/>
    <w:rsid w:val="004B100E"/>
    <w:rsid w:val="004B1A3F"/>
    <w:rsid w:val="004B3D96"/>
    <w:rsid w:val="004B6EE5"/>
    <w:rsid w:val="004B7B40"/>
    <w:rsid w:val="004C1949"/>
    <w:rsid w:val="004C6BC9"/>
    <w:rsid w:val="004D2593"/>
    <w:rsid w:val="004D6A10"/>
    <w:rsid w:val="004D6FB0"/>
    <w:rsid w:val="004E1715"/>
    <w:rsid w:val="004E6C6E"/>
    <w:rsid w:val="004F13D6"/>
    <w:rsid w:val="004F47BD"/>
    <w:rsid w:val="004F51F1"/>
    <w:rsid w:val="004F64FA"/>
    <w:rsid w:val="004F73EB"/>
    <w:rsid w:val="00500B02"/>
    <w:rsid w:val="0050179E"/>
    <w:rsid w:val="00506B74"/>
    <w:rsid w:val="00511F3E"/>
    <w:rsid w:val="005124CB"/>
    <w:rsid w:val="0051367A"/>
    <w:rsid w:val="00514C0A"/>
    <w:rsid w:val="00517D90"/>
    <w:rsid w:val="00520447"/>
    <w:rsid w:val="0052070D"/>
    <w:rsid w:val="00520E6A"/>
    <w:rsid w:val="00523728"/>
    <w:rsid w:val="00524CB6"/>
    <w:rsid w:val="00525037"/>
    <w:rsid w:val="00525096"/>
    <w:rsid w:val="00526507"/>
    <w:rsid w:val="00527EB4"/>
    <w:rsid w:val="0053596A"/>
    <w:rsid w:val="00537B94"/>
    <w:rsid w:val="00540D4B"/>
    <w:rsid w:val="00541C31"/>
    <w:rsid w:val="00542B9D"/>
    <w:rsid w:val="00542C0E"/>
    <w:rsid w:val="00547ECF"/>
    <w:rsid w:val="00550173"/>
    <w:rsid w:val="00551265"/>
    <w:rsid w:val="005559AA"/>
    <w:rsid w:val="00555FC6"/>
    <w:rsid w:val="005627A1"/>
    <w:rsid w:val="00562F96"/>
    <w:rsid w:val="00563D04"/>
    <w:rsid w:val="00570154"/>
    <w:rsid w:val="00573CBA"/>
    <w:rsid w:val="005746C2"/>
    <w:rsid w:val="00574DCC"/>
    <w:rsid w:val="0058160C"/>
    <w:rsid w:val="005823B5"/>
    <w:rsid w:val="005859B1"/>
    <w:rsid w:val="00590444"/>
    <w:rsid w:val="00591632"/>
    <w:rsid w:val="00591FE5"/>
    <w:rsid w:val="0059451F"/>
    <w:rsid w:val="00594C67"/>
    <w:rsid w:val="00594C76"/>
    <w:rsid w:val="0059741B"/>
    <w:rsid w:val="005A1311"/>
    <w:rsid w:val="005A2F5D"/>
    <w:rsid w:val="005A40D8"/>
    <w:rsid w:val="005A609D"/>
    <w:rsid w:val="005A7C38"/>
    <w:rsid w:val="005B0513"/>
    <w:rsid w:val="005B0CD3"/>
    <w:rsid w:val="005B1349"/>
    <w:rsid w:val="005B2559"/>
    <w:rsid w:val="005B35E9"/>
    <w:rsid w:val="005B3BF6"/>
    <w:rsid w:val="005B3E1E"/>
    <w:rsid w:val="005B42EA"/>
    <w:rsid w:val="005B4447"/>
    <w:rsid w:val="005C1E59"/>
    <w:rsid w:val="005C29B3"/>
    <w:rsid w:val="005C2E5E"/>
    <w:rsid w:val="005C3AB7"/>
    <w:rsid w:val="005C41B8"/>
    <w:rsid w:val="005C4387"/>
    <w:rsid w:val="005D0196"/>
    <w:rsid w:val="005D021E"/>
    <w:rsid w:val="005D079F"/>
    <w:rsid w:val="005D10C1"/>
    <w:rsid w:val="005D1AFB"/>
    <w:rsid w:val="005D3231"/>
    <w:rsid w:val="005D342A"/>
    <w:rsid w:val="005D35C5"/>
    <w:rsid w:val="005D3A1C"/>
    <w:rsid w:val="005D4844"/>
    <w:rsid w:val="005D5714"/>
    <w:rsid w:val="005E0CD3"/>
    <w:rsid w:val="005E1C96"/>
    <w:rsid w:val="005E3542"/>
    <w:rsid w:val="005F0100"/>
    <w:rsid w:val="005F09D5"/>
    <w:rsid w:val="005F3D70"/>
    <w:rsid w:val="00602852"/>
    <w:rsid w:val="0060309B"/>
    <w:rsid w:val="0060486D"/>
    <w:rsid w:val="00611894"/>
    <w:rsid w:val="006168D7"/>
    <w:rsid w:val="006179BB"/>
    <w:rsid w:val="0062006F"/>
    <w:rsid w:val="0062119C"/>
    <w:rsid w:val="00621FA2"/>
    <w:rsid w:val="006248BF"/>
    <w:rsid w:val="006262A6"/>
    <w:rsid w:val="00626898"/>
    <w:rsid w:val="006271B7"/>
    <w:rsid w:val="00627350"/>
    <w:rsid w:val="00627B20"/>
    <w:rsid w:val="00631BDF"/>
    <w:rsid w:val="00632870"/>
    <w:rsid w:val="00650450"/>
    <w:rsid w:val="00650F10"/>
    <w:rsid w:val="00651249"/>
    <w:rsid w:val="0065191B"/>
    <w:rsid w:val="0065432A"/>
    <w:rsid w:val="006550BA"/>
    <w:rsid w:val="00656292"/>
    <w:rsid w:val="00657D08"/>
    <w:rsid w:val="00660758"/>
    <w:rsid w:val="006619C0"/>
    <w:rsid w:val="00666014"/>
    <w:rsid w:val="00667981"/>
    <w:rsid w:val="006727F6"/>
    <w:rsid w:val="0067399A"/>
    <w:rsid w:val="00674BF5"/>
    <w:rsid w:val="00675AD9"/>
    <w:rsid w:val="00677604"/>
    <w:rsid w:val="00681350"/>
    <w:rsid w:val="00681530"/>
    <w:rsid w:val="00682390"/>
    <w:rsid w:val="006857D9"/>
    <w:rsid w:val="00687FCE"/>
    <w:rsid w:val="0069121B"/>
    <w:rsid w:val="00693509"/>
    <w:rsid w:val="00693DE8"/>
    <w:rsid w:val="0069569B"/>
    <w:rsid w:val="006958D8"/>
    <w:rsid w:val="006A0B27"/>
    <w:rsid w:val="006A1BCE"/>
    <w:rsid w:val="006A4729"/>
    <w:rsid w:val="006A48FC"/>
    <w:rsid w:val="006A65C4"/>
    <w:rsid w:val="006B06F4"/>
    <w:rsid w:val="006B2451"/>
    <w:rsid w:val="006B5F05"/>
    <w:rsid w:val="006B6F5B"/>
    <w:rsid w:val="006B7F56"/>
    <w:rsid w:val="006C140A"/>
    <w:rsid w:val="006C3FE1"/>
    <w:rsid w:val="006C582D"/>
    <w:rsid w:val="006C6D90"/>
    <w:rsid w:val="006D5467"/>
    <w:rsid w:val="006D72D1"/>
    <w:rsid w:val="006E0316"/>
    <w:rsid w:val="006E1721"/>
    <w:rsid w:val="006E2B52"/>
    <w:rsid w:val="006E4A2D"/>
    <w:rsid w:val="006E5E4A"/>
    <w:rsid w:val="006E5FFD"/>
    <w:rsid w:val="006E6382"/>
    <w:rsid w:val="006E78D4"/>
    <w:rsid w:val="006F169E"/>
    <w:rsid w:val="006F1E91"/>
    <w:rsid w:val="006F3BEF"/>
    <w:rsid w:val="006F438E"/>
    <w:rsid w:val="006F45CA"/>
    <w:rsid w:val="006F6596"/>
    <w:rsid w:val="006F698C"/>
    <w:rsid w:val="006F6F49"/>
    <w:rsid w:val="006F707F"/>
    <w:rsid w:val="007024A1"/>
    <w:rsid w:val="007029C3"/>
    <w:rsid w:val="00702CA3"/>
    <w:rsid w:val="0070320D"/>
    <w:rsid w:val="00704608"/>
    <w:rsid w:val="00707B71"/>
    <w:rsid w:val="007122DD"/>
    <w:rsid w:val="00712FBE"/>
    <w:rsid w:val="007147ED"/>
    <w:rsid w:val="00714E78"/>
    <w:rsid w:val="00720227"/>
    <w:rsid w:val="007206C2"/>
    <w:rsid w:val="00724A94"/>
    <w:rsid w:val="007260B7"/>
    <w:rsid w:val="00730854"/>
    <w:rsid w:val="00730980"/>
    <w:rsid w:val="0073139F"/>
    <w:rsid w:val="007325AC"/>
    <w:rsid w:val="00732645"/>
    <w:rsid w:val="00733F86"/>
    <w:rsid w:val="0073674F"/>
    <w:rsid w:val="007443B7"/>
    <w:rsid w:val="00747FC5"/>
    <w:rsid w:val="00750CD2"/>
    <w:rsid w:val="007526A9"/>
    <w:rsid w:val="0075371E"/>
    <w:rsid w:val="00763652"/>
    <w:rsid w:val="00764B01"/>
    <w:rsid w:val="00765648"/>
    <w:rsid w:val="00766C9B"/>
    <w:rsid w:val="00772739"/>
    <w:rsid w:val="00773926"/>
    <w:rsid w:val="00775E42"/>
    <w:rsid w:val="0078100E"/>
    <w:rsid w:val="00781B9D"/>
    <w:rsid w:val="00781DC1"/>
    <w:rsid w:val="00786D17"/>
    <w:rsid w:val="00790425"/>
    <w:rsid w:val="0079210E"/>
    <w:rsid w:val="007957E3"/>
    <w:rsid w:val="00795814"/>
    <w:rsid w:val="00797529"/>
    <w:rsid w:val="007A0DF0"/>
    <w:rsid w:val="007A34F9"/>
    <w:rsid w:val="007B10F9"/>
    <w:rsid w:val="007B3082"/>
    <w:rsid w:val="007B3D41"/>
    <w:rsid w:val="007B46C9"/>
    <w:rsid w:val="007C039D"/>
    <w:rsid w:val="007C4A47"/>
    <w:rsid w:val="007C6BC8"/>
    <w:rsid w:val="007D2701"/>
    <w:rsid w:val="007D40CA"/>
    <w:rsid w:val="007D6AB3"/>
    <w:rsid w:val="007E1B92"/>
    <w:rsid w:val="007E2A62"/>
    <w:rsid w:val="007E4B28"/>
    <w:rsid w:val="007E5F90"/>
    <w:rsid w:val="007F1BFC"/>
    <w:rsid w:val="007F20AB"/>
    <w:rsid w:val="007F41E6"/>
    <w:rsid w:val="007F6201"/>
    <w:rsid w:val="007F691C"/>
    <w:rsid w:val="008046CE"/>
    <w:rsid w:val="00804CBD"/>
    <w:rsid w:val="008105F6"/>
    <w:rsid w:val="008109BE"/>
    <w:rsid w:val="008135BE"/>
    <w:rsid w:val="0081413E"/>
    <w:rsid w:val="008169BD"/>
    <w:rsid w:val="00830343"/>
    <w:rsid w:val="0083182C"/>
    <w:rsid w:val="00831BF9"/>
    <w:rsid w:val="00832CC4"/>
    <w:rsid w:val="00833755"/>
    <w:rsid w:val="00835739"/>
    <w:rsid w:val="00836494"/>
    <w:rsid w:val="00840173"/>
    <w:rsid w:val="00840676"/>
    <w:rsid w:val="008415BA"/>
    <w:rsid w:val="00846F2F"/>
    <w:rsid w:val="00851C98"/>
    <w:rsid w:val="00855E8A"/>
    <w:rsid w:val="0085673A"/>
    <w:rsid w:val="00860129"/>
    <w:rsid w:val="0086309D"/>
    <w:rsid w:val="008639B0"/>
    <w:rsid w:val="0087067C"/>
    <w:rsid w:val="00874396"/>
    <w:rsid w:val="0088469F"/>
    <w:rsid w:val="00886EBB"/>
    <w:rsid w:val="0089008F"/>
    <w:rsid w:val="00893387"/>
    <w:rsid w:val="008946EC"/>
    <w:rsid w:val="00895872"/>
    <w:rsid w:val="008A45F2"/>
    <w:rsid w:val="008B071A"/>
    <w:rsid w:val="008B38AA"/>
    <w:rsid w:val="008B4C51"/>
    <w:rsid w:val="008B513E"/>
    <w:rsid w:val="008B5BBA"/>
    <w:rsid w:val="008B645E"/>
    <w:rsid w:val="008C2AB1"/>
    <w:rsid w:val="008C5163"/>
    <w:rsid w:val="008C51F4"/>
    <w:rsid w:val="008C5642"/>
    <w:rsid w:val="008C7CC9"/>
    <w:rsid w:val="008D173F"/>
    <w:rsid w:val="008D17A9"/>
    <w:rsid w:val="008D1C2F"/>
    <w:rsid w:val="008D264A"/>
    <w:rsid w:val="008D365B"/>
    <w:rsid w:val="008D6DAA"/>
    <w:rsid w:val="008E0884"/>
    <w:rsid w:val="008E1600"/>
    <w:rsid w:val="008E4D0D"/>
    <w:rsid w:val="008E586D"/>
    <w:rsid w:val="008E675F"/>
    <w:rsid w:val="008F20CC"/>
    <w:rsid w:val="008F50E0"/>
    <w:rsid w:val="0090090C"/>
    <w:rsid w:val="009013DE"/>
    <w:rsid w:val="009039F0"/>
    <w:rsid w:val="009066BC"/>
    <w:rsid w:val="009116F8"/>
    <w:rsid w:val="009122CF"/>
    <w:rsid w:val="00912990"/>
    <w:rsid w:val="00913079"/>
    <w:rsid w:val="00916B39"/>
    <w:rsid w:val="009170C1"/>
    <w:rsid w:val="00920C6A"/>
    <w:rsid w:val="009220C0"/>
    <w:rsid w:val="00926B28"/>
    <w:rsid w:val="00927D59"/>
    <w:rsid w:val="009314A7"/>
    <w:rsid w:val="00935A4F"/>
    <w:rsid w:val="00935D07"/>
    <w:rsid w:val="00936F7F"/>
    <w:rsid w:val="00945A52"/>
    <w:rsid w:val="00950457"/>
    <w:rsid w:val="009524BB"/>
    <w:rsid w:val="00953F45"/>
    <w:rsid w:val="009556E8"/>
    <w:rsid w:val="009576F5"/>
    <w:rsid w:val="00961510"/>
    <w:rsid w:val="00961591"/>
    <w:rsid w:val="00961FC3"/>
    <w:rsid w:val="00972472"/>
    <w:rsid w:val="0097660C"/>
    <w:rsid w:val="00976B2D"/>
    <w:rsid w:val="00990901"/>
    <w:rsid w:val="00991DDA"/>
    <w:rsid w:val="00997078"/>
    <w:rsid w:val="009A082C"/>
    <w:rsid w:val="009A0A6C"/>
    <w:rsid w:val="009A5D3D"/>
    <w:rsid w:val="009B5B08"/>
    <w:rsid w:val="009B6CB1"/>
    <w:rsid w:val="009B745A"/>
    <w:rsid w:val="009C03D7"/>
    <w:rsid w:val="009C07BF"/>
    <w:rsid w:val="009C2FA5"/>
    <w:rsid w:val="009C452A"/>
    <w:rsid w:val="009C53E5"/>
    <w:rsid w:val="009C69D0"/>
    <w:rsid w:val="009C6C8F"/>
    <w:rsid w:val="009C70F6"/>
    <w:rsid w:val="009D071F"/>
    <w:rsid w:val="009D2ECA"/>
    <w:rsid w:val="009D614B"/>
    <w:rsid w:val="009D70C6"/>
    <w:rsid w:val="009E14AE"/>
    <w:rsid w:val="009E158D"/>
    <w:rsid w:val="009E1726"/>
    <w:rsid w:val="009E1824"/>
    <w:rsid w:val="009E186E"/>
    <w:rsid w:val="009E52B3"/>
    <w:rsid w:val="009F1CD3"/>
    <w:rsid w:val="009F346F"/>
    <w:rsid w:val="009F49D8"/>
    <w:rsid w:val="009F6A70"/>
    <w:rsid w:val="009F6ABE"/>
    <w:rsid w:val="00A03B1A"/>
    <w:rsid w:val="00A05702"/>
    <w:rsid w:val="00A07012"/>
    <w:rsid w:val="00A10636"/>
    <w:rsid w:val="00A11A37"/>
    <w:rsid w:val="00A12080"/>
    <w:rsid w:val="00A1359A"/>
    <w:rsid w:val="00A13EC5"/>
    <w:rsid w:val="00A236B6"/>
    <w:rsid w:val="00A23C5E"/>
    <w:rsid w:val="00A25344"/>
    <w:rsid w:val="00A2545D"/>
    <w:rsid w:val="00A3071D"/>
    <w:rsid w:val="00A337D5"/>
    <w:rsid w:val="00A37319"/>
    <w:rsid w:val="00A377F0"/>
    <w:rsid w:val="00A527EB"/>
    <w:rsid w:val="00A52959"/>
    <w:rsid w:val="00A53795"/>
    <w:rsid w:val="00A544AC"/>
    <w:rsid w:val="00A60469"/>
    <w:rsid w:val="00A6220B"/>
    <w:rsid w:val="00A64A26"/>
    <w:rsid w:val="00A64B0D"/>
    <w:rsid w:val="00A65FD0"/>
    <w:rsid w:val="00A709A1"/>
    <w:rsid w:val="00A74ED3"/>
    <w:rsid w:val="00A75701"/>
    <w:rsid w:val="00A81E49"/>
    <w:rsid w:val="00A821F7"/>
    <w:rsid w:val="00A84AE2"/>
    <w:rsid w:val="00A92F57"/>
    <w:rsid w:val="00A94870"/>
    <w:rsid w:val="00A96932"/>
    <w:rsid w:val="00AA24C6"/>
    <w:rsid w:val="00AA2589"/>
    <w:rsid w:val="00AA2683"/>
    <w:rsid w:val="00AA3FFE"/>
    <w:rsid w:val="00AA7B2C"/>
    <w:rsid w:val="00AB0788"/>
    <w:rsid w:val="00AB1DB3"/>
    <w:rsid w:val="00AB7F00"/>
    <w:rsid w:val="00AC6E99"/>
    <w:rsid w:val="00AD2A3F"/>
    <w:rsid w:val="00AD5A5B"/>
    <w:rsid w:val="00AD69EA"/>
    <w:rsid w:val="00AD731A"/>
    <w:rsid w:val="00AE1DF9"/>
    <w:rsid w:val="00AE28EE"/>
    <w:rsid w:val="00AE31B2"/>
    <w:rsid w:val="00AE3C0C"/>
    <w:rsid w:val="00AE42AE"/>
    <w:rsid w:val="00AE5368"/>
    <w:rsid w:val="00AE637C"/>
    <w:rsid w:val="00AE7699"/>
    <w:rsid w:val="00AF01A1"/>
    <w:rsid w:val="00AF3F35"/>
    <w:rsid w:val="00AF42EA"/>
    <w:rsid w:val="00AF7822"/>
    <w:rsid w:val="00B03568"/>
    <w:rsid w:val="00B0375A"/>
    <w:rsid w:val="00B03ABE"/>
    <w:rsid w:val="00B04407"/>
    <w:rsid w:val="00B0541B"/>
    <w:rsid w:val="00B10220"/>
    <w:rsid w:val="00B108D7"/>
    <w:rsid w:val="00B1189F"/>
    <w:rsid w:val="00B12374"/>
    <w:rsid w:val="00B15CA6"/>
    <w:rsid w:val="00B17D12"/>
    <w:rsid w:val="00B2128D"/>
    <w:rsid w:val="00B22574"/>
    <w:rsid w:val="00B24607"/>
    <w:rsid w:val="00B25D85"/>
    <w:rsid w:val="00B26BFF"/>
    <w:rsid w:val="00B32D0B"/>
    <w:rsid w:val="00B35695"/>
    <w:rsid w:val="00B37D40"/>
    <w:rsid w:val="00B40C51"/>
    <w:rsid w:val="00B46CAC"/>
    <w:rsid w:val="00B521BC"/>
    <w:rsid w:val="00B55218"/>
    <w:rsid w:val="00B71B10"/>
    <w:rsid w:val="00B71BB6"/>
    <w:rsid w:val="00B76509"/>
    <w:rsid w:val="00B76E42"/>
    <w:rsid w:val="00B77B85"/>
    <w:rsid w:val="00B83BA0"/>
    <w:rsid w:val="00B90934"/>
    <w:rsid w:val="00B9264E"/>
    <w:rsid w:val="00B94B0A"/>
    <w:rsid w:val="00B971CC"/>
    <w:rsid w:val="00B9779A"/>
    <w:rsid w:val="00BA5584"/>
    <w:rsid w:val="00BA5594"/>
    <w:rsid w:val="00BA5AB4"/>
    <w:rsid w:val="00BA748D"/>
    <w:rsid w:val="00BB0FC7"/>
    <w:rsid w:val="00BB5C0A"/>
    <w:rsid w:val="00BB7D58"/>
    <w:rsid w:val="00BC01D5"/>
    <w:rsid w:val="00BC0A80"/>
    <w:rsid w:val="00BC7D2C"/>
    <w:rsid w:val="00BD35CA"/>
    <w:rsid w:val="00BE0B97"/>
    <w:rsid w:val="00BE0C86"/>
    <w:rsid w:val="00BE51C7"/>
    <w:rsid w:val="00BF103B"/>
    <w:rsid w:val="00BF3413"/>
    <w:rsid w:val="00BF518A"/>
    <w:rsid w:val="00BF53EC"/>
    <w:rsid w:val="00C025C0"/>
    <w:rsid w:val="00C05B72"/>
    <w:rsid w:val="00C10646"/>
    <w:rsid w:val="00C1345C"/>
    <w:rsid w:val="00C14271"/>
    <w:rsid w:val="00C15FD6"/>
    <w:rsid w:val="00C17912"/>
    <w:rsid w:val="00C21E05"/>
    <w:rsid w:val="00C24FD2"/>
    <w:rsid w:val="00C26DEF"/>
    <w:rsid w:val="00C279C9"/>
    <w:rsid w:val="00C34077"/>
    <w:rsid w:val="00C41052"/>
    <w:rsid w:val="00C41649"/>
    <w:rsid w:val="00C41A0E"/>
    <w:rsid w:val="00C41A2E"/>
    <w:rsid w:val="00C42182"/>
    <w:rsid w:val="00C4401E"/>
    <w:rsid w:val="00C448AA"/>
    <w:rsid w:val="00C45573"/>
    <w:rsid w:val="00C45D39"/>
    <w:rsid w:val="00C4638B"/>
    <w:rsid w:val="00C467E3"/>
    <w:rsid w:val="00C511E2"/>
    <w:rsid w:val="00C51632"/>
    <w:rsid w:val="00C54587"/>
    <w:rsid w:val="00C62700"/>
    <w:rsid w:val="00C62DD7"/>
    <w:rsid w:val="00C66764"/>
    <w:rsid w:val="00C6795F"/>
    <w:rsid w:val="00C717C8"/>
    <w:rsid w:val="00C72F70"/>
    <w:rsid w:val="00C76EAB"/>
    <w:rsid w:val="00C81BA4"/>
    <w:rsid w:val="00C828A0"/>
    <w:rsid w:val="00C842F1"/>
    <w:rsid w:val="00C84712"/>
    <w:rsid w:val="00C867DF"/>
    <w:rsid w:val="00C86872"/>
    <w:rsid w:val="00C9126D"/>
    <w:rsid w:val="00C918B5"/>
    <w:rsid w:val="00C918D9"/>
    <w:rsid w:val="00C91CE7"/>
    <w:rsid w:val="00C92E5F"/>
    <w:rsid w:val="00C95063"/>
    <w:rsid w:val="00C979CB"/>
    <w:rsid w:val="00CA0CA4"/>
    <w:rsid w:val="00CA0F8E"/>
    <w:rsid w:val="00CB1186"/>
    <w:rsid w:val="00CB1574"/>
    <w:rsid w:val="00CB159C"/>
    <w:rsid w:val="00CB2DAA"/>
    <w:rsid w:val="00CB4078"/>
    <w:rsid w:val="00CB6D41"/>
    <w:rsid w:val="00CC2B1E"/>
    <w:rsid w:val="00CC4CD0"/>
    <w:rsid w:val="00CD17F6"/>
    <w:rsid w:val="00CD2F5C"/>
    <w:rsid w:val="00CD3065"/>
    <w:rsid w:val="00CD70D9"/>
    <w:rsid w:val="00CE0977"/>
    <w:rsid w:val="00CE09FC"/>
    <w:rsid w:val="00CE1901"/>
    <w:rsid w:val="00CE3E60"/>
    <w:rsid w:val="00CE5196"/>
    <w:rsid w:val="00CE6CFB"/>
    <w:rsid w:val="00CF06A0"/>
    <w:rsid w:val="00CF0BB9"/>
    <w:rsid w:val="00D009B5"/>
    <w:rsid w:val="00D0216F"/>
    <w:rsid w:val="00D04A6A"/>
    <w:rsid w:val="00D04FD3"/>
    <w:rsid w:val="00D0594F"/>
    <w:rsid w:val="00D15DF4"/>
    <w:rsid w:val="00D15ED7"/>
    <w:rsid w:val="00D16272"/>
    <w:rsid w:val="00D17568"/>
    <w:rsid w:val="00D17B84"/>
    <w:rsid w:val="00D225BE"/>
    <w:rsid w:val="00D22FCE"/>
    <w:rsid w:val="00D27EDF"/>
    <w:rsid w:val="00D312EE"/>
    <w:rsid w:val="00D40D24"/>
    <w:rsid w:val="00D457C7"/>
    <w:rsid w:val="00D51E86"/>
    <w:rsid w:val="00D53129"/>
    <w:rsid w:val="00D651A5"/>
    <w:rsid w:val="00D7275F"/>
    <w:rsid w:val="00D7516C"/>
    <w:rsid w:val="00D75CF3"/>
    <w:rsid w:val="00D75E04"/>
    <w:rsid w:val="00D7772A"/>
    <w:rsid w:val="00D81241"/>
    <w:rsid w:val="00D82719"/>
    <w:rsid w:val="00D90213"/>
    <w:rsid w:val="00D90EFC"/>
    <w:rsid w:val="00D91B03"/>
    <w:rsid w:val="00D94606"/>
    <w:rsid w:val="00D94A6B"/>
    <w:rsid w:val="00DA0B17"/>
    <w:rsid w:val="00DA2EC4"/>
    <w:rsid w:val="00DA618D"/>
    <w:rsid w:val="00DA6EC5"/>
    <w:rsid w:val="00DB02AF"/>
    <w:rsid w:val="00DB1556"/>
    <w:rsid w:val="00DB1BD5"/>
    <w:rsid w:val="00DB246D"/>
    <w:rsid w:val="00DB29DD"/>
    <w:rsid w:val="00DB2AF2"/>
    <w:rsid w:val="00DB3019"/>
    <w:rsid w:val="00DB4F87"/>
    <w:rsid w:val="00DC0136"/>
    <w:rsid w:val="00DC0BDA"/>
    <w:rsid w:val="00DC14AD"/>
    <w:rsid w:val="00DC7FDB"/>
    <w:rsid w:val="00DD1CC8"/>
    <w:rsid w:val="00DD4464"/>
    <w:rsid w:val="00DD447C"/>
    <w:rsid w:val="00DD5C45"/>
    <w:rsid w:val="00DD68DF"/>
    <w:rsid w:val="00DD7E88"/>
    <w:rsid w:val="00DE2D3D"/>
    <w:rsid w:val="00DE42CC"/>
    <w:rsid w:val="00DE6AF6"/>
    <w:rsid w:val="00DF34E7"/>
    <w:rsid w:val="00DF3743"/>
    <w:rsid w:val="00DF6EDB"/>
    <w:rsid w:val="00E004C8"/>
    <w:rsid w:val="00E006E2"/>
    <w:rsid w:val="00E019F4"/>
    <w:rsid w:val="00E16F00"/>
    <w:rsid w:val="00E2558C"/>
    <w:rsid w:val="00E2653F"/>
    <w:rsid w:val="00E27293"/>
    <w:rsid w:val="00E275D4"/>
    <w:rsid w:val="00E37E76"/>
    <w:rsid w:val="00E409AE"/>
    <w:rsid w:val="00E42267"/>
    <w:rsid w:val="00E42E64"/>
    <w:rsid w:val="00E45C21"/>
    <w:rsid w:val="00E46F03"/>
    <w:rsid w:val="00E4723D"/>
    <w:rsid w:val="00E51F74"/>
    <w:rsid w:val="00E55EB8"/>
    <w:rsid w:val="00E56522"/>
    <w:rsid w:val="00E570F1"/>
    <w:rsid w:val="00E61A5C"/>
    <w:rsid w:val="00E61D33"/>
    <w:rsid w:val="00E6440C"/>
    <w:rsid w:val="00E64E88"/>
    <w:rsid w:val="00E76F0E"/>
    <w:rsid w:val="00E8030A"/>
    <w:rsid w:val="00E81CA9"/>
    <w:rsid w:val="00E82AF2"/>
    <w:rsid w:val="00E852AF"/>
    <w:rsid w:val="00E8653E"/>
    <w:rsid w:val="00E91C7C"/>
    <w:rsid w:val="00E92680"/>
    <w:rsid w:val="00E94586"/>
    <w:rsid w:val="00E95F8F"/>
    <w:rsid w:val="00E96D46"/>
    <w:rsid w:val="00EA0D79"/>
    <w:rsid w:val="00EA203E"/>
    <w:rsid w:val="00EA2F1B"/>
    <w:rsid w:val="00EA2F21"/>
    <w:rsid w:val="00EA3CDC"/>
    <w:rsid w:val="00EA5112"/>
    <w:rsid w:val="00EA54D2"/>
    <w:rsid w:val="00EA6D73"/>
    <w:rsid w:val="00EA7678"/>
    <w:rsid w:val="00EB2D66"/>
    <w:rsid w:val="00EB4C36"/>
    <w:rsid w:val="00EB5544"/>
    <w:rsid w:val="00EB6EFD"/>
    <w:rsid w:val="00EC06C6"/>
    <w:rsid w:val="00EC1385"/>
    <w:rsid w:val="00EC1A30"/>
    <w:rsid w:val="00EC29C5"/>
    <w:rsid w:val="00EC38FE"/>
    <w:rsid w:val="00ED3D34"/>
    <w:rsid w:val="00ED4373"/>
    <w:rsid w:val="00ED77FE"/>
    <w:rsid w:val="00EE10AE"/>
    <w:rsid w:val="00EE2BDE"/>
    <w:rsid w:val="00EE4C9E"/>
    <w:rsid w:val="00EE65E4"/>
    <w:rsid w:val="00EF0D98"/>
    <w:rsid w:val="00EF156C"/>
    <w:rsid w:val="00EF1A50"/>
    <w:rsid w:val="00EF321F"/>
    <w:rsid w:val="00EF4AA7"/>
    <w:rsid w:val="00EF5564"/>
    <w:rsid w:val="00EF5C9B"/>
    <w:rsid w:val="00EF62B5"/>
    <w:rsid w:val="00EF6B99"/>
    <w:rsid w:val="00F004CB"/>
    <w:rsid w:val="00F011C3"/>
    <w:rsid w:val="00F015E9"/>
    <w:rsid w:val="00F01817"/>
    <w:rsid w:val="00F02911"/>
    <w:rsid w:val="00F02F47"/>
    <w:rsid w:val="00F03CB5"/>
    <w:rsid w:val="00F06A3F"/>
    <w:rsid w:val="00F11F31"/>
    <w:rsid w:val="00F12D26"/>
    <w:rsid w:val="00F13BA2"/>
    <w:rsid w:val="00F23876"/>
    <w:rsid w:val="00F24180"/>
    <w:rsid w:val="00F246A3"/>
    <w:rsid w:val="00F2564E"/>
    <w:rsid w:val="00F2696B"/>
    <w:rsid w:val="00F26A95"/>
    <w:rsid w:val="00F31C67"/>
    <w:rsid w:val="00F335FC"/>
    <w:rsid w:val="00F33F1C"/>
    <w:rsid w:val="00F34168"/>
    <w:rsid w:val="00F35B99"/>
    <w:rsid w:val="00F35C88"/>
    <w:rsid w:val="00F37C57"/>
    <w:rsid w:val="00F400CC"/>
    <w:rsid w:val="00F41866"/>
    <w:rsid w:val="00F4316B"/>
    <w:rsid w:val="00F4740F"/>
    <w:rsid w:val="00F50C70"/>
    <w:rsid w:val="00F54C54"/>
    <w:rsid w:val="00F561D3"/>
    <w:rsid w:val="00F568A2"/>
    <w:rsid w:val="00F5727B"/>
    <w:rsid w:val="00F612F0"/>
    <w:rsid w:val="00F623FB"/>
    <w:rsid w:val="00F75865"/>
    <w:rsid w:val="00F82D17"/>
    <w:rsid w:val="00F83461"/>
    <w:rsid w:val="00F8354E"/>
    <w:rsid w:val="00F913C1"/>
    <w:rsid w:val="00F925FC"/>
    <w:rsid w:val="00F95ACC"/>
    <w:rsid w:val="00FA31AC"/>
    <w:rsid w:val="00FA3BB2"/>
    <w:rsid w:val="00FA59A4"/>
    <w:rsid w:val="00FA5F2C"/>
    <w:rsid w:val="00FB7E02"/>
    <w:rsid w:val="00FC3E95"/>
    <w:rsid w:val="00FC3ED3"/>
    <w:rsid w:val="00FD3454"/>
    <w:rsid w:val="00FD34D6"/>
    <w:rsid w:val="00FD446D"/>
    <w:rsid w:val="00FE308F"/>
    <w:rsid w:val="00FE36F4"/>
    <w:rsid w:val="00FE3FE2"/>
    <w:rsid w:val="00FE6A62"/>
    <w:rsid w:val="00FE7941"/>
    <w:rsid w:val="00FE7E0A"/>
    <w:rsid w:val="00FF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C32F03E"/>
  <w15:docId w15:val="{D9160F3E-CD06-4875-8951-12775DDBEF7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9B6CB1"/>
    <w:pPr>
      <w:numPr>
        <w:numId w:val="7"/>
      </w:numPr>
      <w:tabs>
        <w:tab w:val="clear" w:pos="1710"/>
        <w:tab w:val="num" w:pos="720"/>
      </w:tabs>
      <w:spacing w:before="120" w:after="120"/>
      <w:ind w:hanging="1710"/>
      <w:outlineLvl w:val="0"/>
    </w:pPr>
    <w:rPr>
      <w:rFonts w:ascii="Helvetica" w:hAnsi="Helvetica"/>
      <w:b/>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n"/>
    <w:basedOn w:val="Normal"/>
    <w:link w:val="FootnoteTextChar"/>
    <w:uiPriority w:val="99"/>
    <w:pPr>
      <w:spacing w:after="240"/>
    </w:pPr>
    <w:rPr>
      <w:sz w:val="24"/>
    </w:rPr>
  </w:style>
  <w:style w:type="character" w:styleId="FootnoteReference">
    <w:name w:val="footnote reference"/>
    <w:aliases w:val="o,fr,o1,o2,o3,o4,o5,o6,o11,o21,o7"/>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styleId="BodyText">
    <w:name w:val="Body Text"/>
    <w:basedOn w:val="Normal"/>
    <w:rPr>
      <w:rFonts w:ascii="Times New Roman" w:hAnsi="Times New Roman"/>
      <w:sz w:val="32"/>
    </w:rPr>
  </w:style>
  <w:style w:type="paragraph" w:customStyle="1" w:styleId="PageXofY">
    <w:name w:val="Page X of Y"/>
  </w:style>
  <w:style w:type="paragraph" w:customStyle="1" w:styleId="bullets">
    <w:name w:val="bullets"/>
    <w:basedOn w:val="standard"/>
    <w:pPr>
      <w:numPr>
        <w:numId w:val="4"/>
      </w:numPr>
      <w:spacing w:after="120" w:line="240" w:lineRule="auto"/>
    </w:pPr>
    <w:rPr>
      <w:bCs/>
    </w:rPr>
  </w:style>
  <w:style w:type="character" w:customStyle="1" w:styleId="standardChar">
    <w:name w:val="standard Char"/>
    <w:link w:val="standard"/>
    <w:uiPriority w:val="99"/>
    <w:rsid w:val="00563D04"/>
    <w:rPr>
      <w:rFonts w:ascii="Palatino" w:hAnsi="Palatino"/>
      <w:sz w:val="26"/>
      <w:lang w:val="en-US" w:eastAsia="en-US" w:bidi="ar-SA"/>
    </w:rPr>
  </w:style>
  <w:style w:type="character" w:customStyle="1" w:styleId="num1Char">
    <w:name w:val="num1 Char"/>
    <w:link w:val="num1"/>
    <w:rsid w:val="00A94870"/>
    <w:rPr>
      <w:rFonts w:ascii="Palatino" w:hAnsi="Palatino"/>
      <w:sz w:val="26"/>
      <w:lang w:val="en-US" w:eastAsia="en-US" w:bidi="ar-SA"/>
    </w:rPr>
  </w:style>
  <w:style w:type="paragraph" w:customStyle="1" w:styleId="bullet1">
    <w:name w:val="bullet1"/>
    <w:basedOn w:val="bullets"/>
    <w:rsid w:val="00A94870"/>
    <w:pPr>
      <w:numPr>
        <w:numId w:val="1"/>
      </w:numPr>
      <w:ind w:left="0" w:firstLine="0"/>
    </w:pPr>
  </w:style>
  <w:style w:type="character" w:customStyle="1" w:styleId="mainChar">
    <w:name w:val="main Char"/>
    <w:link w:val="main"/>
    <w:rsid w:val="003A3B55"/>
    <w:rPr>
      <w:rFonts w:ascii="Helvetica" w:hAnsi="Helvetica"/>
      <w:b/>
      <w:sz w:val="26"/>
      <w:lang w:val="en-US" w:eastAsia="en-US" w:bidi="ar-SA"/>
    </w:rPr>
  </w:style>
  <w:style w:type="character" w:styleId="Hyperlink">
    <w:name w:val="Hyperlink"/>
    <w:uiPriority w:val="99"/>
    <w:rsid w:val="003C50BE"/>
    <w:rPr>
      <w:color w:val="0000FF"/>
      <w:u w:val="single"/>
    </w:rPr>
  </w:style>
  <w:style w:type="paragraph" w:styleId="BalloonText">
    <w:name w:val="Balloon Text"/>
    <w:basedOn w:val="Normal"/>
    <w:semiHidden/>
    <w:rsid w:val="0032232E"/>
    <w:rPr>
      <w:rFonts w:ascii="Tahoma" w:hAnsi="Tahoma" w:cs="Tahoma"/>
      <w:sz w:val="16"/>
      <w:szCs w:val="16"/>
    </w:rPr>
  </w:style>
  <w:style w:type="paragraph" w:customStyle="1" w:styleId="Style1">
    <w:name w:val="Style1"/>
    <w:basedOn w:val="Heading1"/>
    <w:autoRedefine/>
    <w:rsid w:val="00F33F1C"/>
    <w:pPr>
      <w:numPr>
        <w:numId w:val="2"/>
      </w:numPr>
    </w:pPr>
  </w:style>
  <w:style w:type="paragraph" w:customStyle="1" w:styleId="Style2">
    <w:name w:val="Style2"/>
    <w:basedOn w:val="Heading1"/>
    <w:autoRedefine/>
    <w:rsid w:val="00F33F1C"/>
    <w:pPr>
      <w:numPr>
        <w:numId w:val="12"/>
      </w:numPr>
    </w:pPr>
  </w:style>
  <w:style w:type="paragraph" w:customStyle="1" w:styleId="Style3">
    <w:name w:val="Style3"/>
    <w:basedOn w:val="Heading1"/>
    <w:autoRedefine/>
    <w:rsid w:val="00303C65"/>
    <w:pPr>
      <w:spacing w:before="0" w:after="0"/>
      <w:ind w:left="1080"/>
    </w:pPr>
    <w:rPr>
      <w:rFonts w:ascii="Palatino" w:hAnsi="Palatino"/>
      <w:b w:val="0"/>
      <w:color w:val="0000FF"/>
    </w:rPr>
  </w:style>
  <w:style w:type="paragraph" w:customStyle="1" w:styleId="Style4">
    <w:name w:val="Style4"/>
    <w:basedOn w:val="Heading1"/>
    <w:autoRedefine/>
    <w:rsid w:val="00F33F1C"/>
    <w:pPr>
      <w:numPr>
        <w:numId w:val="13"/>
      </w:numPr>
    </w:pPr>
  </w:style>
  <w:style w:type="paragraph" w:customStyle="1" w:styleId="Style5">
    <w:name w:val="Style5"/>
    <w:basedOn w:val="Style3"/>
    <w:autoRedefine/>
    <w:rsid w:val="00F33F1C"/>
  </w:style>
  <w:style w:type="character" w:customStyle="1" w:styleId="Heading1Char">
    <w:name w:val="Heading 1 Char"/>
    <w:link w:val="Heading1"/>
    <w:rsid w:val="009B6CB1"/>
    <w:rPr>
      <w:rFonts w:ascii="Helvetica" w:hAnsi="Helvetica"/>
      <w:b/>
      <w:sz w:val="26"/>
    </w:rPr>
  </w:style>
  <w:style w:type="character" w:styleId="CommentReference">
    <w:name w:val="annotation reference"/>
    <w:semiHidden/>
    <w:rsid w:val="00D53129"/>
    <w:rPr>
      <w:sz w:val="16"/>
      <w:szCs w:val="16"/>
    </w:rPr>
  </w:style>
  <w:style w:type="paragraph" w:styleId="CommentText">
    <w:name w:val="annotation text"/>
    <w:basedOn w:val="Normal"/>
    <w:semiHidden/>
    <w:rsid w:val="00D53129"/>
    <w:rPr>
      <w:sz w:val="20"/>
    </w:rPr>
  </w:style>
  <w:style w:type="paragraph" w:styleId="CommentSubject">
    <w:name w:val="annotation subject"/>
    <w:basedOn w:val="CommentText"/>
    <w:next w:val="CommentText"/>
    <w:semiHidden/>
    <w:rsid w:val="00D53129"/>
    <w:rPr>
      <w:b/>
      <w:bCs/>
    </w:rPr>
  </w:style>
  <w:style w:type="paragraph" w:styleId="TOCHeading">
    <w:name w:val="TOC Heading"/>
    <w:basedOn w:val="Heading1"/>
    <w:next w:val="Normal"/>
    <w:uiPriority w:val="39"/>
    <w:semiHidden/>
    <w:unhideWhenUsed/>
    <w:qFormat/>
    <w:rsid w:val="008D173F"/>
    <w:pPr>
      <w:keepNext/>
      <w:keepLines/>
      <w:tabs>
        <w:tab w:val="clear" w:pos="720"/>
      </w:tabs>
      <w:spacing w:before="480" w:after="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E019F4"/>
    <w:pPr>
      <w:tabs>
        <w:tab w:val="right" w:leader="dot" w:pos="9350"/>
      </w:tabs>
    </w:pPr>
  </w:style>
  <w:style w:type="paragraph" w:styleId="EndnoteText">
    <w:name w:val="endnote text"/>
    <w:basedOn w:val="Normal"/>
    <w:link w:val="EndnoteTextChar"/>
    <w:rsid w:val="005B42EA"/>
    <w:rPr>
      <w:sz w:val="20"/>
    </w:rPr>
  </w:style>
  <w:style w:type="character" w:customStyle="1" w:styleId="EndnoteTextChar">
    <w:name w:val="Endnote Text Char"/>
    <w:link w:val="EndnoteText"/>
    <w:rsid w:val="005B42EA"/>
    <w:rPr>
      <w:rFonts w:ascii="Palatino" w:hAnsi="Palatino"/>
    </w:rPr>
  </w:style>
  <w:style w:type="character" w:styleId="EndnoteReference">
    <w:name w:val="endnote reference"/>
    <w:rsid w:val="005B42EA"/>
    <w:rPr>
      <w:vertAlign w:val="superscript"/>
    </w:rPr>
  </w:style>
  <w:style w:type="paragraph" w:customStyle="1" w:styleId="Default">
    <w:name w:val="Default"/>
    <w:rsid w:val="00A6220B"/>
    <w:pPr>
      <w:autoSpaceDE w:val="0"/>
      <w:autoSpaceDN w:val="0"/>
      <w:adjustRightInd w:val="0"/>
    </w:pPr>
    <w:rPr>
      <w:rFonts w:ascii="Book Antiqua" w:hAnsi="Book Antiqua" w:cs="Book Antiqua"/>
      <w:color w:val="000000"/>
      <w:sz w:val="24"/>
      <w:szCs w:val="24"/>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n Char"/>
    <w:link w:val="FootnoteText"/>
    <w:uiPriority w:val="99"/>
    <w:locked/>
    <w:rsid w:val="00EE10AE"/>
    <w:rPr>
      <w:rFonts w:ascii="Palatino" w:hAnsi="Palatino"/>
      <w:sz w:val="24"/>
    </w:rPr>
  </w:style>
  <w:style w:type="character" w:customStyle="1" w:styleId="FootnoteReferencebyTim">
    <w:name w:val="Footnote Reference by Tim"/>
    <w:rsid w:val="00EE10AE"/>
    <w:rPr>
      <w:rFonts w:ascii="Palatino" w:hAnsi="Palatino"/>
      <w:dstrike w:val="0"/>
      <w:color w:val="000000"/>
      <w:position w:val="2"/>
      <w:sz w:val="22"/>
      <w:szCs w:val="22"/>
      <w:vertAlign w:val="superscript"/>
    </w:rPr>
  </w:style>
  <w:style w:type="paragraph" w:styleId="Revision">
    <w:name w:val="Revision"/>
    <w:hidden/>
    <w:uiPriority w:val="99"/>
    <w:semiHidden/>
    <w:rsid w:val="005C29B3"/>
    <w:rPr>
      <w:rFonts w:ascii="Palatino" w:hAnsi="Palatino"/>
      <w:sz w:val="26"/>
    </w:rPr>
  </w:style>
  <w:style w:type="paragraph" w:styleId="ListParagraph">
    <w:name w:val="List Paragraph"/>
    <w:basedOn w:val="Normal"/>
    <w:uiPriority w:val="34"/>
    <w:qFormat/>
    <w:rsid w:val="003D3A0A"/>
    <w:pPr>
      <w:ind w:left="720"/>
      <w:contextualSpacing/>
    </w:pPr>
  </w:style>
  <w:style w:type="character" w:styleId="UnresolvedMention">
    <w:name w:val="Unresolved Mention"/>
    <w:basedOn w:val="DefaultParagraphFont"/>
    <w:uiPriority w:val="99"/>
    <w:semiHidden/>
    <w:unhideWhenUsed/>
    <w:rsid w:val="00CA0CA4"/>
    <w:rPr>
      <w:color w:val="605E5C"/>
      <w:shd w:val="clear" w:color="auto" w:fill="E1DFDD"/>
    </w:rPr>
  </w:style>
  <w:style w:type="character" w:customStyle="1" w:styleId="FooterChar">
    <w:name w:val="Footer Char"/>
    <w:basedOn w:val="DefaultParagraphFont"/>
    <w:link w:val="Footer"/>
    <w:rsid w:val="00385C15"/>
    <w:rPr>
      <w:rFonts w:ascii="Palatino" w:hAnsi="Palatino"/>
      <w:sz w:val="26"/>
    </w:rPr>
  </w:style>
  <w:style w:type="character" w:customStyle="1" w:styleId="HeaderChar">
    <w:name w:val="Header Char"/>
    <w:basedOn w:val="DefaultParagraphFont"/>
    <w:link w:val="Header"/>
    <w:uiPriority w:val="99"/>
    <w:rsid w:val="0087067C"/>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50271">
      <w:bodyDiv w:val="1"/>
      <w:marLeft w:val="0"/>
      <w:marRight w:val="0"/>
      <w:marTop w:val="0"/>
      <w:marBottom w:val="0"/>
      <w:divBdr>
        <w:top w:val="none" w:sz="0" w:space="0" w:color="auto"/>
        <w:left w:val="none" w:sz="0" w:space="0" w:color="auto"/>
        <w:bottom w:val="none" w:sz="0" w:space="0" w:color="auto"/>
        <w:right w:val="none" w:sz="0" w:space="0" w:color="auto"/>
      </w:divBdr>
    </w:div>
    <w:div w:id="972515066">
      <w:bodyDiv w:val="1"/>
      <w:marLeft w:val="0"/>
      <w:marRight w:val="0"/>
      <w:marTop w:val="0"/>
      <w:marBottom w:val="0"/>
      <w:divBdr>
        <w:top w:val="none" w:sz="0" w:space="0" w:color="auto"/>
        <w:left w:val="none" w:sz="0" w:space="0" w:color="auto"/>
        <w:bottom w:val="none" w:sz="0" w:space="0" w:color="auto"/>
        <w:right w:val="none" w:sz="0" w:space="0" w:color="auto"/>
      </w:divBdr>
    </w:div>
    <w:div w:id="1030106028">
      <w:bodyDiv w:val="1"/>
      <w:marLeft w:val="0"/>
      <w:marRight w:val="0"/>
      <w:marTop w:val="0"/>
      <w:marBottom w:val="0"/>
      <w:divBdr>
        <w:top w:val="none" w:sz="0" w:space="0" w:color="auto"/>
        <w:left w:val="none" w:sz="0" w:space="0" w:color="auto"/>
        <w:bottom w:val="none" w:sz="0" w:space="0" w:color="auto"/>
        <w:right w:val="none" w:sz="0" w:space="0" w:color="auto"/>
      </w:divBdr>
    </w:div>
    <w:div w:id="1046493772">
      <w:bodyDiv w:val="1"/>
      <w:marLeft w:val="0"/>
      <w:marRight w:val="0"/>
      <w:marTop w:val="0"/>
      <w:marBottom w:val="0"/>
      <w:divBdr>
        <w:top w:val="none" w:sz="0" w:space="0" w:color="auto"/>
        <w:left w:val="none" w:sz="0" w:space="0" w:color="auto"/>
        <w:bottom w:val="none" w:sz="0" w:space="0" w:color="auto"/>
        <w:right w:val="none" w:sz="0" w:space="0" w:color="auto"/>
      </w:divBdr>
    </w:div>
    <w:div w:id="1810398161">
      <w:bodyDiv w:val="1"/>
      <w:marLeft w:val="0"/>
      <w:marRight w:val="0"/>
      <w:marTop w:val="0"/>
      <w:marBottom w:val="0"/>
      <w:divBdr>
        <w:top w:val="none" w:sz="0" w:space="0" w:color="auto"/>
        <w:left w:val="none" w:sz="0" w:space="0" w:color="auto"/>
        <w:bottom w:val="none" w:sz="0" w:space="0" w:color="auto"/>
        <w:right w:val="none" w:sz="0" w:space="0" w:color="auto"/>
      </w:divBdr>
    </w:div>
    <w:div w:id="2039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yperlink" Target="http://www.cpuc.ca.gov/General.aspx?id=1124" TargetMode="External"/><Relationship Id="rId39"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7.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dcompliance@cpuc.ca.gov" TargetMode="External"/><Relationship Id="rId29" Type="http://schemas.openxmlformats.org/officeDocument/2006/relationships/hyperlink" Target="http://www.cpuc.ca.gov/commun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yperlink" Target="mailto:cdcompliance@cpuc.ca.gov" TargetMode="Externa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puc.ca.gov/communications" TargetMode="External"/><Relationship Id="rId23" Type="http://schemas.openxmlformats.org/officeDocument/2006/relationships/footer" Target="footer7.xml"/><Relationship Id="rId28" Type="http://schemas.openxmlformats.org/officeDocument/2006/relationships/hyperlink" Target="http://www.cpuc.ca.gov/General.aspx?id=1009" TargetMode="Externa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mailto:cdcompliance@cpuc.ca.gov"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dcompliance@cpuc.ca.gov" TargetMode="External"/><Relationship Id="rId22" Type="http://schemas.openxmlformats.org/officeDocument/2006/relationships/header" Target="header5.xml"/><Relationship Id="rId27" Type="http://schemas.openxmlformats.org/officeDocument/2006/relationships/hyperlink" Target="http://www.cpuc.ca.gov/General.aspx?id=1010" TargetMode="External"/><Relationship Id="rId30" Type="http://schemas.openxmlformats.org/officeDocument/2006/relationships/hyperlink" Target="mailto:cdcompliance@cpuc.ca.gov" TargetMode="External"/><Relationship Id="rId35" Type="http://schemas.openxmlformats.org/officeDocument/2006/relationships/footer" Target="footer9.xml"/><Relationship Id="rId43" Type="http://schemas.openxmlformats.org/officeDocument/2006/relationships/hyperlink" Target="mailto:cdcompliance@cpuc.ca.gov"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dcompliance@cpuc.ca.gov" TargetMode="External"/><Relationship Id="rId25" Type="http://schemas.openxmlformats.org/officeDocument/2006/relationships/footer" Target="footer8.xml"/><Relationship Id="rId33" Type="http://schemas.openxmlformats.org/officeDocument/2006/relationships/hyperlink" Target="mailto:cdcompliance@cpuc.ca.gov" TargetMode="External"/><Relationship Id="rId38" Type="http://schemas.openxmlformats.org/officeDocument/2006/relationships/hyperlink" Target="mailto:cdcompliance@cpuc.ca.gov" TargetMode="Externa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C4DB-CD79-4977-BB76-1BEF075908E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36</ap:Pages>
  <ap:Words>7264</ap:Words>
  <ap:Characters>41406</ap:Characters>
  <ap:Application>Microsoft Office Word</ap:Application>
  <ap:DocSecurity>0</ap:DocSecurity>
  <ap:Lines>345</ap:Lines>
  <ap:Paragraphs>97</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48573</ap:CharactersWithSpaces>
  <ap:SharedDoc>false</ap:SharedDoc>
  <ap:HLinks>
    <vt:vector baseType="variant" size="36">
      <vt:variant>
        <vt:i4>1507418</vt:i4>
      </vt:variant>
      <vt:variant>
        <vt:i4>15</vt:i4>
      </vt:variant>
      <vt:variant>
        <vt:i4>0</vt:i4>
      </vt:variant>
      <vt:variant>
        <vt:i4>5</vt:i4>
      </vt:variant>
      <vt:variant>
        <vt:lpwstr>http://www.cpuc.ca.gov/communications</vt:lpwstr>
      </vt:variant>
      <vt:variant>
        <vt:lpwstr/>
      </vt:variant>
      <vt:variant>
        <vt:i4>1507418</vt:i4>
      </vt:variant>
      <vt:variant>
        <vt:i4>12</vt:i4>
      </vt:variant>
      <vt:variant>
        <vt:i4>0</vt:i4>
      </vt:variant>
      <vt:variant>
        <vt:i4>5</vt:i4>
      </vt:variant>
      <vt:variant>
        <vt:lpwstr>http://www.cpuc.ca.gov/communications</vt:lpwstr>
      </vt:variant>
      <vt:variant>
        <vt:lpwstr/>
      </vt:variant>
      <vt:variant>
        <vt:i4>1704014</vt:i4>
      </vt:variant>
      <vt:variant>
        <vt:i4>9</vt:i4>
      </vt:variant>
      <vt:variant>
        <vt:i4>0</vt:i4>
      </vt:variant>
      <vt:variant>
        <vt:i4>5</vt:i4>
      </vt:variant>
      <vt:variant>
        <vt:lpwstr>mailto:Telco_surcharges@cpuc.ca.gov</vt:lpwstr>
      </vt:variant>
      <vt:variant>
        <vt:lpwstr/>
      </vt:variant>
      <vt:variant>
        <vt:i4>1507418</vt:i4>
      </vt:variant>
      <vt:variant>
        <vt:i4>6</vt:i4>
      </vt:variant>
      <vt:variant>
        <vt:i4>0</vt:i4>
      </vt:variant>
      <vt:variant>
        <vt:i4>5</vt:i4>
      </vt:variant>
      <vt:variant>
        <vt:lpwstr>http://www.cpuc.ca.gov/communications</vt:lpwstr>
      </vt:variant>
      <vt:variant>
        <vt:lpwstr/>
      </vt:variant>
      <vt:variant>
        <vt:i4>1507418</vt:i4>
      </vt:variant>
      <vt:variant>
        <vt:i4>3</vt:i4>
      </vt:variant>
      <vt:variant>
        <vt:i4>0</vt:i4>
      </vt:variant>
      <vt:variant>
        <vt:i4>5</vt:i4>
      </vt:variant>
      <vt:variant>
        <vt:lpwstr>http://www.cpuc.ca.gov/communications</vt:lpwstr>
      </vt:variant>
      <vt:variant>
        <vt:lpwstr/>
      </vt:variant>
      <vt:variant>
        <vt:i4>1507418</vt:i4>
      </vt:variant>
      <vt:variant>
        <vt:i4>0</vt:i4>
      </vt:variant>
      <vt:variant>
        <vt:i4>0</vt:i4>
      </vt:variant>
      <vt:variant>
        <vt:i4>5</vt:i4>
      </vt:variant>
      <vt:variant>
        <vt:lpwstr>http://www.cpuc.ca.gov/communications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2018-01-12T22:00:00Z</cp:lastPrinted>
  <dcterms:created xsi:type="dcterms:W3CDTF">2020-07-15T13:25:08Z</dcterms:created>
  <dcterms:modified xsi:type="dcterms:W3CDTF">2020-07-15T13:25:08Z</dcterms:modified>
</cp:coreProperties>
</file>