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821C11" w:rsidRDefault="0058620F" w14:paraId="7CF1B58F" w14:textId="22D8BD4B">
      <w:pPr>
        <w:tabs>
          <w:tab w:val="center" w:pos="4680"/>
        </w:tabs>
        <w:spacing w:line="240" w:lineRule="auto"/>
        <w:ind w:firstLine="0"/>
      </w:pPr>
      <w:r>
        <w:t>ALJ</w:t>
      </w:r>
      <w:r w:rsidR="00DA7B5D">
        <w:t>/</w:t>
      </w:r>
      <w:r>
        <w:t>PW</w:t>
      </w:r>
      <w:r w:rsidR="002410FE">
        <w:t>I</w:t>
      </w:r>
      <w:r w:rsidR="00DA7B5D">
        <w:t>/</w:t>
      </w:r>
      <w:proofErr w:type="spellStart"/>
      <w:r w:rsidR="00787F38">
        <w:t>avs</w:t>
      </w:r>
      <w:proofErr w:type="spellEnd"/>
      <w:r w:rsidR="007E0FEE">
        <w:tab/>
      </w:r>
      <w:r w:rsidR="00DA7B5D">
        <w:rPr>
          <w:rFonts w:ascii="Arial" w:hAnsi="Arial" w:cs="Arial"/>
          <w:b/>
          <w:sz w:val="32"/>
          <w:szCs w:val="32"/>
        </w:rPr>
        <w:t>PROPOSED DECISION</w:t>
      </w:r>
      <w:r w:rsidR="00DA7B5D">
        <w:tab/>
      </w:r>
      <w:r w:rsidRPr="00EE4315" w:rsidR="00DA7B5D">
        <w:rPr>
          <w:b/>
        </w:rPr>
        <w:t>Agenda ID #</w:t>
      </w:r>
      <w:r w:rsidR="001120E8">
        <w:rPr>
          <w:b/>
        </w:rPr>
        <w:t>18476</w:t>
      </w:r>
      <w:r w:rsidR="00821C11">
        <w:rPr>
          <w:b/>
        </w:rPr>
        <w:t xml:space="preserve"> (REV. 1)</w:t>
      </w:r>
    </w:p>
    <w:p w:rsidR="00DA7B5D" w:rsidP="00821C11" w:rsidRDefault="00F31C50" w14:paraId="5FCF30C3" w14:textId="443DB8F8">
      <w:pPr>
        <w:spacing w:line="240" w:lineRule="auto"/>
        <w:ind w:right="180"/>
        <w:jc w:val="right"/>
        <w:rPr>
          <w:b/>
        </w:rPr>
      </w:pPr>
      <w:r>
        <w:rPr>
          <w:b/>
        </w:rPr>
        <w:t>Rate</w:t>
      </w:r>
      <w:r w:rsidR="002410FE">
        <w:rPr>
          <w:b/>
        </w:rPr>
        <w:t>setting</w:t>
      </w:r>
    </w:p>
    <w:p w:rsidRPr="00EE4315" w:rsidR="00821C11" w:rsidP="00821C11" w:rsidRDefault="00821C11" w14:paraId="0EEDD57E" w14:textId="529E6DBC">
      <w:pPr>
        <w:spacing w:line="240" w:lineRule="auto"/>
        <w:ind w:right="180"/>
        <w:jc w:val="right"/>
        <w:rPr>
          <w:b/>
        </w:rPr>
      </w:pPr>
      <w:r>
        <w:rPr>
          <w:b/>
        </w:rPr>
        <w:t>7/16/20  Item 11</w:t>
      </w:r>
    </w:p>
    <w:p w:rsidR="00DA7B5D" w:rsidP="008F0116" w:rsidRDefault="00DA7B5D" w14:paraId="2A8E8A2C" w14:textId="77777777">
      <w:pPr>
        <w:ind w:firstLine="0"/>
      </w:pPr>
    </w:p>
    <w:p w:rsidRPr="0058620F" w:rsidR="00DA7B5D" w:rsidP="0098655A" w:rsidRDefault="00DA7B5D" w14:paraId="395791F3" w14:textId="289C99C1">
      <w:pPr>
        <w:ind w:left="1080" w:hanging="1080"/>
        <w:rPr>
          <w:bCs/>
        </w:rPr>
      </w:pPr>
      <w:r>
        <w:t xml:space="preserve">Decision </w:t>
      </w:r>
      <w:r w:rsidR="0030558B">
        <w:rPr>
          <w:b/>
          <w:u w:val="single"/>
        </w:rPr>
        <w:t>_________________</w:t>
      </w:r>
    </w:p>
    <w:p w:rsidR="00DA7B5D" w:rsidP="00BB0243" w:rsidRDefault="00DA7B5D" w14:paraId="6F86FA8E" w14:textId="77777777">
      <w:pPr>
        <w:spacing w:line="240" w:lineRule="auto"/>
        <w:jc w:val="center"/>
        <w:rPr>
          <w:u w:val="single"/>
        </w:rPr>
      </w:pPr>
    </w:p>
    <w:p w:rsidR="00DA7B5D" w:rsidP="00BB0243" w:rsidRDefault="00DA7B5D" w14:paraId="28470D4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8D521A7"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5220"/>
        <w:gridCol w:w="4130"/>
      </w:tblGrid>
      <w:tr w:rsidR="00DA7B5D" w:rsidTr="0058620F" w14:paraId="75812C90" w14:textId="77777777">
        <w:tc>
          <w:tcPr>
            <w:tcW w:w="5220" w:type="dxa"/>
            <w:tcBorders>
              <w:top w:val="nil"/>
              <w:left w:val="nil"/>
              <w:bottom w:val="single" w:color="auto" w:sz="4" w:space="0"/>
              <w:right w:val="single" w:color="auto" w:sz="4" w:space="0"/>
            </w:tcBorders>
          </w:tcPr>
          <w:p w:rsidRPr="001913CB" w:rsidR="0058620F" w:rsidP="001913CB" w:rsidRDefault="004527BE" w14:paraId="1B678F58" w14:textId="1CD4CC6C">
            <w:pPr>
              <w:tabs>
                <w:tab w:val="left" w:pos="4575"/>
              </w:tabs>
              <w:spacing w:line="240" w:lineRule="auto"/>
              <w:ind w:firstLine="0"/>
            </w:pPr>
            <w:r>
              <w:t>Application</w:t>
            </w:r>
            <w:r w:rsidR="00F31C50">
              <w:t xml:space="preserve"> of Velocity Fiber, LLC for a Certificate of Public Convenience and Necessity to Provide Full Facilities-Based and Resold Competitive Local Exchange and Interexchange Services Throughout the State of California</w:t>
            </w:r>
          </w:p>
          <w:p w:rsidRPr="00DA7B5D" w:rsidR="00BF5C36" w:rsidP="009F5524" w:rsidRDefault="00BF5C36" w14:paraId="7321532D" w14:textId="691BE224">
            <w:pPr>
              <w:spacing w:after="120" w:line="240" w:lineRule="auto"/>
              <w:ind w:right="339" w:firstLine="0"/>
              <w:rPr>
                <w:rFonts w:cs="Arial"/>
                <w:szCs w:val="26"/>
              </w:rPr>
            </w:pPr>
          </w:p>
        </w:tc>
        <w:tc>
          <w:tcPr>
            <w:tcW w:w="4130" w:type="dxa"/>
            <w:tcBorders>
              <w:top w:val="nil"/>
              <w:left w:val="single" w:color="auto" w:sz="4" w:space="0"/>
              <w:bottom w:val="nil"/>
              <w:right w:val="nil"/>
            </w:tcBorders>
            <w:vAlign w:val="center"/>
          </w:tcPr>
          <w:p w:rsidR="00DA7B5D" w:rsidP="000C1D78" w:rsidRDefault="000C1D78" w14:paraId="6C12060D" w14:textId="7EE5E654">
            <w:pPr>
              <w:spacing w:line="240" w:lineRule="auto"/>
              <w:ind w:firstLine="0"/>
              <w:jc w:val="center"/>
              <w:rPr>
                <w:rFonts w:cs="Arial"/>
                <w:szCs w:val="26"/>
              </w:rPr>
            </w:pPr>
            <w:r>
              <w:rPr>
                <w:rFonts w:cs="Arial"/>
                <w:szCs w:val="26"/>
              </w:rPr>
              <w:t>A</w:t>
            </w:r>
            <w:r w:rsidR="009F5524">
              <w:rPr>
                <w:rFonts w:cs="Arial"/>
                <w:szCs w:val="26"/>
              </w:rPr>
              <w:t xml:space="preserve">pplication </w:t>
            </w:r>
            <w:r>
              <w:rPr>
                <w:rFonts w:cs="Arial"/>
                <w:szCs w:val="26"/>
              </w:rPr>
              <w:t>20-01-014</w:t>
            </w:r>
          </w:p>
          <w:p w:rsidRPr="00DA7B5D" w:rsidR="000C1D78" w:rsidP="000C1D78" w:rsidRDefault="000C1D78" w14:paraId="492A440B" w14:textId="54C22B50">
            <w:pPr>
              <w:spacing w:line="240" w:lineRule="auto"/>
              <w:ind w:firstLine="0"/>
              <w:jc w:val="center"/>
              <w:rPr>
                <w:rFonts w:cs="Arial"/>
                <w:szCs w:val="26"/>
              </w:rPr>
            </w:pPr>
          </w:p>
        </w:tc>
      </w:tr>
    </w:tbl>
    <w:p w:rsidR="00DA7B5D" w:rsidP="008F0116" w:rsidRDefault="00DA7B5D" w14:paraId="779796F5" w14:textId="4E541670">
      <w:pPr>
        <w:spacing w:line="240" w:lineRule="auto"/>
        <w:ind w:firstLine="0"/>
        <w:rPr>
          <w:rFonts w:ascii="Arial" w:hAnsi="Arial" w:cs="Arial"/>
          <w:sz w:val="24"/>
          <w:szCs w:val="24"/>
        </w:rPr>
      </w:pPr>
    </w:p>
    <w:p w:rsidR="00A20000" w:rsidP="008F0116" w:rsidRDefault="00A20000" w14:paraId="0AEDA40D" w14:textId="70828FC4">
      <w:pPr>
        <w:spacing w:line="240" w:lineRule="auto"/>
        <w:ind w:firstLine="0"/>
        <w:rPr>
          <w:rFonts w:ascii="Arial" w:hAnsi="Arial" w:cs="Arial"/>
          <w:sz w:val="24"/>
          <w:szCs w:val="24"/>
        </w:rPr>
      </w:pPr>
    </w:p>
    <w:p w:rsidRPr="00787F38" w:rsidR="00A20000" w:rsidP="00787F38" w:rsidRDefault="00787F38" w14:paraId="642258C5" w14:textId="236B306C">
      <w:pPr>
        <w:spacing w:line="240" w:lineRule="auto"/>
        <w:ind w:firstLine="0"/>
        <w:jc w:val="center"/>
        <w:rPr>
          <w:rFonts w:ascii="Arial" w:hAnsi="Arial" w:cs="Arial"/>
          <w:szCs w:val="26"/>
        </w:rPr>
      </w:pPr>
      <w:r w:rsidRPr="00787F38">
        <w:rPr>
          <w:rFonts w:ascii="Arial" w:hAnsi="Arial" w:cs="Arial"/>
          <w:b/>
          <w:szCs w:val="26"/>
        </w:rPr>
        <w:t>DECISION GRANTING VELOCITY FIBER, LLC A CERTIFICATE OF PUBLIC CONVENIENCE AND NECESSITY TO PROVIDE FULL FACILITIES-BASED AND RESOLD COMPETITIVE LOCAL EXCHANGE SERVICE AND FULL FACILITIES-BASED RESOLD INTEREXCHANGE SERVICE</w:t>
      </w:r>
    </w:p>
    <w:p w:rsidR="00A20000" w:rsidP="008F0116" w:rsidRDefault="00A20000" w14:paraId="69D4110C" w14:textId="079EF7C4">
      <w:pPr>
        <w:spacing w:line="240" w:lineRule="auto"/>
        <w:ind w:firstLine="0"/>
        <w:rPr>
          <w:rFonts w:ascii="Arial" w:hAnsi="Arial" w:cs="Arial"/>
          <w:sz w:val="24"/>
          <w:szCs w:val="24"/>
        </w:rPr>
      </w:pPr>
    </w:p>
    <w:p w:rsidR="00A20000" w:rsidP="008F0116" w:rsidRDefault="00A20000" w14:paraId="7893DE16" w14:textId="77777777">
      <w:pPr>
        <w:spacing w:line="240" w:lineRule="auto"/>
        <w:ind w:firstLine="0"/>
        <w:rPr>
          <w:rFonts w:ascii="Arial" w:hAnsi="Arial" w:cs="Arial"/>
          <w:sz w:val="24"/>
          <w:szCs w:val="24"/>
        </w:rPr>
      </w:pPr>
    </w:p>
    <w:p w:rsidR="00A20000" w:rsidP="008F0116" w:rsidRDefault="00A20000" w14:paraId="031AE57D" w14:textId="77777777">
      <w:pPr>
        <w:spacing w:line="240" w:lineRule="auto"/>
        <w:ind w:firstLine="0"/>
        <w:rPr>
          <w:rFonts w:ascii="Arial" w:hAnsi="Arial" w:cs="Arial"/>
          <w:sz w:val="24"/>
          <w:szCs w:val="24"/>
        </w:rPr>
        <w:sectPr w:rsidR="00A20000" w:rsidSect="00821C11">
          <w:headerReference w:type="default" r:id="rId8"/>
          <w:footerReference w:type="even" r:id="rId9"/>
          <w:footerReference w:type="default" r:id="rId10"/>
          <w:headerReference w:type="first" r:id="rId11"/>
          <w:footerReference w:type="first" r:id="rId12"/>
          <w:footnotePr>
            <w:numRestart w:val="eachSect"/>
          </w:footnotePr>
          <w:pgSz w:w="12240" w:h="15840" w:code="1"/>
          <w:pgMar w:top="1152" w:right="900" w:bottom="1440" w:left="1440" w:header="720" w:footer="720" w:gutter="0"/>
          <w:pgNumType w:start="1"/>
          <w:cols w:space="720"/>
          <w:titlePg/>
        </w:sectPr>
      </w:pPr>
    </w:p>
    <w:p w:rsidRPr="009F5524" w:rsidR="00A20000" w:rsidP="009F5524" w:rsidRDefault="009F5524" w14:paraId="541FB2F1" w14:textId="47F4C4EB">
      <w:pPr>
        <w:spacing w:line="240" w:lineRule="auto"/>
        <w:ind w:firstLine="0"/>
        <w:jc w:val="center"/>
        <w:rPr>
          <w:b/>
          <w:bCs/>
        </w:rPr>
      </w:pPr>
      <w:r w:rsidRPr="009F5524">
        <w:rPr>
          <w:b/>
          <w:bCs/>
        </w:rPr>
        <w:lastRenderedPageBreak/>
        <w:t>TABLE OF CONTENTS</w:t>
      </w:r>
    </w:p>
    <w:p w:rsidR="009F5524" w:rsidP="008F0116" w:rsidRDefault="009F5524" w14:paraId="2FB05886" w14:textId="77777777">
      <w:pPr>
        <w:spacing w:line="240" w:lineRule="auto"/>
        <w:ind w:firstLine="0"/>
        <w:rPr>
          <w:b/>
          <w:bCs/>
        </w:rPr>
      </w:pPr>
    </w:p>
    <w:p w:rsidRPr="009F5524" w:rsidR="009F5524" w:rsidP="008F0116" w:rsidRDefault="009F5524" w14:paraId="04A80ACD" w14:textId="0223BA57">
      <w:pPr>
        <w:spacing w:line="240" w:lineRule="auto"/>
        <w:ind w:firstLine="0"/>
        <w:rPr>
          <w:b/>
          <w:bCs/>
        </w:rPr>
      </w:pPr>
      <w:r w:rsidRPr="009F5524">
        <w:rPr>
          <w:b/>
          <w:bCs/>
        </w:rPr>
        <w:t>Title</w:t>
      </w:r>
      <w:r w:rsidRPr="009F5524">
        <w:rPr>
          <w:b/>
          <w:bCs/>
        </w:rPr>
        <w:tab/>
      </w:r>
      <w:r w:rsidRPr="009F5524">
        <w:rPr>
          <w:b/>
          <w:bCs/>
        </w:rPr>
        <w:tab/>
      </w:r>
      <w:r w:rsidRPr="009F5524">
        <w:rPr>
          <w:b/>
          <w:bCs/>
        </w:rPr>
        <w:tab/>
      </w:r>
      <w:r w:rsidRPr="009F5524">
        <w:rPr>
          <w:b/>
          <w:bCs/>
        </w:rPr>
        <w:tab/>
      </w:r>
      <w:r w:rsidRPr="009F5524">
        <w:rPr>
          <w:b/>
          <w:bCs/>
        </w:rPr>
        <w:tab/>
      </w:r>
      <w:r w:rsidRPr="009F5524">
        <w:rPr>
          <w:b/>
          <w:bCs/>
        </w:rPr>
        <w:tab/>
      </w:r>
      <w:r w:rsidRPr="009F5524">
        <w:rPr>
          <w:b/>
          <w:bCs/>
        </w:rPr>
        <w:tab/>
      </w:r>
      <w:r w:rsidRPr="009F5524">
        <w:rPr>
          <w:b/>
          <w:bCs/>
        </w:rPr>
        <w:tab/>
      </w:r>
      <w:r w:rsidRPr="009F5524">
        <w:rPr>
          <w:b/>
          <w:bCs/>
        </w:rPr>
        <w:tab/>
      </w:r>
      <w:r w:rsidRPr="009F5524">
        <w:rPr>
          <w:b/>
          <w:bCs/>
        </w:rPr>
        <w:tab/>
      </w:r>
      <w:r w:rsidRPr="009F5524">
        <w:rPr>
          <w:b/>
          <w:bCs/>
        </w:rPr>
        <w:tab/>
      </w:r>
      <w:r w:rsidRPr="009F5524">
        <w:rPr>
          <w:b/>
          <w:bCs/>
        </w:rPr>
        <w:tab/>
        <w:t>Page</w:t>
      </w:r>
    </w:p>
    <w:p w:rsidR="009F5524" w:rsidP="008F0116" w:rsidRDefault="009F5524" w14:paraId="21F85A97" w14:textId="22AAE36E">
      <w:pPr>
        <w:spacing w:line="240" w:lineRule="auto"/>
        <w:ind w:firstLine="0"/>
      </w:pPr>
    </w:p>
    <w:p w:rsidR="00B82F8B" w:rsidP="00B82F8B" w:rsidRDefault="00B82F8B" w14:paraId="4F6182BF" w14:textId="36167BBF">
      <w:pPr>
        <w:pStyle w:val="TOC1"/>
        <w:tabs>
          <w:tab w:val="right" w:leader="dot" w:pos="9350"/>
        </w:tabs>
        <w:ind w:left="0" w:firstLine="0"/>
        <w:rPr>
          <w:rFonts w:asciiTheme="minorHAnsi" w:hAnsiTheme="minorHAnsi" w:cstheme="minorBidi"/>
          <w:noProof/>
          <w:sz w:val="22"/>
        </w:rPr>
      </w:pPr>
      <w:r>
        <w:fldChar w:fldCharType="begin"/>
      </w:r>
      <w:r>
        <w:instrText xml:space="preserve"> TOC \o "3-3" \h \z \t "Heading 1,1,Heading 2,2,Title,1,main,1,mainex,1,Style Heading 2 + Not Italic,2" </w:instrText>
      </w:r>
      <w:r>
        <w:fldChar w:fldCharType="separate"/>
      </w:r>
      <w:hyperlink w:history="1" w:anchor="_Toc41486879">
        <w:r w:rsidRPr="00153EC7">
          <w:rPr>
            <w:rStyle w:val="Hyperlink"/>
            <w:noProof/>
          </w:rPr>
          <w:t>DECISION GRANTING VELOCITY FIBER, LLC A CERTIFICATE OF PUBLIC CONVENIENCE AND NECESSITY TO PROVIDE FULL FACILITIES-BASED AND RESOLD COMPETITIVE LOCAL EXCHANGE SERVICE AND FULL FACILITIES-BASED RESOLD INTEREXCHANGE SERVICE</w:t>
        </w:r>
        <w:r>
          <w:rPr>
            <w:noProof/>
            <w:webHidden/>
          </w:rPr>
          <w:tab/>
        </w:r>
        <w:r>
          <w:rPr>
            <w:noProof/>
            <w:webHidden/>
          </w:rPr>
          <w:fldChar w:fldCharType="begin"/>
        </w:r>
        <w:r>
          <w:rPr>
            <w:noProof/>
            <w:webHidden/>
          </w:rPr>
          <w:instrText xml:space="preserve"> PAGEREF _Toc41486879 \h </w:instrText>
        </w:r>
        <w:r>
          <w:rPr>
            <w:noProof/>
            <w:webHidden/>
          </w:rPr>
        </w:r>
        <w:r>
          <w:rPr>
            <w:noProof/>
            <w:webHidden/>
          </w:rPr>
          <w:fldChar w:fldCharType="separate"/>
        </w:r>
        <w:r w:rsidR="00F24892">
          <w:rPr>
            <w:noProof/>
            <w:webHidden/>
          </w:rPr>
          <w:t>2</w:t>
        </w:r>
        <w:r>
          <w:rPr>
            <w:noProof/>
            <w:webHidden/>
          </w:rPr>
          <w:fldChar w:fldCharType="end"/>
        </w:r>
      </w:hyperlink>
    </w:p>
    <w:p w:rsidR="00B82F8B" w:rsidRDefault="007A3AAE" w14:paraId="6AE1B88B" w14:textId="2D21B90C">
      <w:pPr>
        <w:pStyle w:val="TOC1"/>
        <w:tabs>
          <w:tab w:val="right" w:leader="dot" w:pos="9350"/>
        </w:tabs>
        <w:rPr>
          <w:rFonts w:asciiTheme="minorHAnsi" w:hAnsiTheme="minorHAnsi" w:cstheme="minorBidi"/>
          <w:noProof/>
          <w:sz w:val="22"/>
        </w:rPr>
      </w:pPr>
      <w:hyperlink w:history="1" w:anchor="_Toc41486880">
        <w:r w:rsidRPr="00153EC7" w:rsidR="00B82F8B">
          <w:rPr>
            <w:rStyle w:val="Hyperlink"/>
            <w:noProof/>
          </w:rPr>
          <w:t>Summary</w:t>
        </w:r>
        <w:r w:rsidR="00B82F8B">
          <w:rPr>
            <w:noProof/>
            <w:webHidden/>
          </w:rPr>
          <w:tab/>
        </w:r>
        <w:r w:rsidR="00B82F8B">
          <w:rPr>
            <w:noProof/>
            <w:webHidden/>
          </w:rPr>
          <w:fldChar w:fldCharType="begin"/>
        </w:r>
        <w:r w:rsidR="00B82F8B">
          <w:rPr>
            <w:noProof/>
            <w:webHidden/>
          </w:rPr>
          <w:instrText xml:space="preserve"> PAGEREF _Toc41486880 \h </w:instrText>
        </w:r>
        <w:r w:rsidR="00B82F8B">
          <w:rPr>
            <w:noProof/>
            <w:webHidden/>
          </w:rPr>
        </w:r>
        <w:r w:rsidR="00B82F8B">
          <w:rPr>
            <w:noProof/>
            <w:webHidden/>
          </w:rPr>
          <w:fldChar w:fldCharType="separate"/>
        </w:r>
        <w:r w:rsidR="00F24892">
          <w:rPr>
            <w:noProof/>
            <w:webHidden/>
          </w:rPr>
          <w:t>2</w:t>
        </w:r>
        <w:r w:rsidR="00B82F8B">
          <w:rPr>
            <w:noProof/>
            <w:webHidden/>
          </w:rPr>
          <w:fldChar w:fldCharType="end"/>
        </w:r>
      </w:hyperlink>
    </w:p>
    <w:p w:rsidR="00B82F8B" w:rsidRDefault="007A3AAE" w14:paraId="7071A08F" w14:textId="749EED4A">
      <w:pPr>
        <w:pStyle w:val="TOC1"/>
        <w:tabs>
          <w:tab w:val="right" w:leader="dot" w:pos="9350"/>
        </w:tabs>
        <w:rPr>
          <w:rFonts w:asciiTheme="minorHAnsi" w:hAnsiTheme="minorHAnsi" w:cstheme="minorBidi"/>
          <w:noProof/>
          <w:sz w:val="22"/>
        </w:rPr>
      </w:pPr>
      <w:hyperlink w:history="1" w:anchor="_Toc41486881">
        <w:r w:rsidRPr="00153EC7" w:rsidR="00B82F8B">
          <w:rPr>
            <w:rStyle w:val="Hyperlink"/>
            <w:noProof/>
          </w:rPr>
          <w:t>1.</w:t>
        </w:r>
        <w:r w:rsidR="00B82F8B">
          <w:rPr>
            <w:rFonts w:asciiTheme="minorHAnsi" w:hAnsiTheme="minorHAnsi" w:cstheme="minorBidi"/>
            <w:noProof/>
            <w:sz w:val="22"/>
          </w:rPr>
          <w:tab/>
        </w:r>
        <w:r w:rsidRPr="00153EC7" w:rsidR="00B82F8B">
          <w:rPr>
            <w:rStyle w:val="Hyperlink"/>
            <w:noProof/>
          </w:rPr>
          <w:t>Background</w:t>
        </w:r>
        <w:r w:rsidR="00B82F8B">
          <w:rPr>
            <w:noProof/>
            <w:webHidden/>
          </w:rPr>
          <w:tab/>
        </w:r>
        <w:r w:rsidR="00B82F8B">
          <w:rPr>
            <w:noProof/>
            <w:webHidden/>
          </w:rPr>
          <w:fldChar w:fldCharType="begin"/>
        </w:r>
        <w:r w:rsidR="00B82F8B">
          <w:rPr>
            <w:noProof/>
            <w:webHidden/>
          </w:rPr>
          <w:instrText xml:space="preserve"> PAGEREF _Toc41486881 \h </w:instrText>
        </w:r>
        <w:r w:rsidR="00B82F8B">
          <w:rPr>
            <w:noProof/>
            <w:webHidden/>
          </w:rPr>
        </w:r>
        <w:r w:rsidR="00B82F8B">
          <w:rPr>
            <w:noProof/>
            <w:webHidden/>
          </w:rPr>
          <w:fldChar w:fldCharType="separate"/>
        </w:r>
        <w:r w:rsidR="00F24892">
          <w:rPr>
            <w:noProof/>
            <w:webHidden/>
          </w:rPr>
          <w:t>2</w:t>
        </w:r>
        <w:r w:rsidR="00B82F8B">
          <w:rPr>
            <w:noProof/>
            <w:webHidden/>
          </w:rPr>
          <w:fldChar w:fldCharType="end"/>
        </w:r>
      </w:hyperlink>
    </w:p>
    <w:p w:rsidR="00B82F8B" w:rsidRDefault="007A3AAE" w14:paraId="522975B9" w14:textId="3AE553BE">
      <w:pPr>
        <w:pStyle w:val="TOC1"/>
        <w:tabs>
          <w:tab w:val="right" w:leader="dot" w:pos="9350"/>
        </w:tabs>
        <w:rPr>
          <w:rFonts w:asciiTheme="minorHAnsi" w:hAnsiTheme="minorHAnsi" w:cstheme="minorBidi"/>
          <w:noProof/>
          <w:sz w:val="22"/>
        </w:rPr>
      </w:pPr>
      <w:hyperlink w:history="1" w:anchor="_Toc41486882">
        <w:r w:rsidRPr="00153EC7" w:rsidR="00B82F8B">
          <w:rPr>
            <w:rStyle w:val="Hyperlink"/>
            <w:noProof/>
          </w:rPr>
          <w:t>2.</w:t>
        </w:r>
        <w:r w:rsidR="00B82F8B">
          <w:rPr>
            <w:rFonts w:asciiTheme="minorHAnsi" w:hAnsiTheme="minorHAnsi" w:cstheme="minorBidi"/>
            <w:noProof/>
            <w:sz w:val="22"/>
          </w:rPr>
          <w:tab/>
        </w:r>
        <w:r w:rsidRPr="00153EC7" w:rsidR="00B82F8B">
          <w:rPr>
            <w:rStyle w:val="Hyperlink"/>
            <w:noProof/>
          </w:rPr>
          <w:t>Jurisdiction</w:t>
        </w:r>
        <w:r w:rsidR="00B82F8B">
          <w:rPr>
            <w:noProof/>
            <w:webHidden/>
          </w:rPr>
          <w:tab/>
        </w:r>
        <w:r w:rsidR="00B82F8B">
          <w:rPr>
            <w:noProof/>
            <w:webHidden/>
          </w:rPr>
          <w:fldChar w:fldCharType="begin"/>
        </w:r>
        <w:r w:rsidR="00B82F8B">
          <w:rPr>
            <w:noProof/>
            <w:webHidden/>
          </w:rPr>
          <w:instrText xml:space="preserve"> PAGEREF _Toc41486882 \h </w:instrText>
        </w:r>
        <w:r w:rsidR="00B82F8B">
          <w:rPr>
            <w:noProof/>
            <w:webHidden/>
          </w:rPr>
        </w:r>
        <w:r w:rsidR="00B82F8B">
          <w:rPr>
            <w:noProof/>
            <w:webHidden/>
          </w:rPr>
          <w:fldChar w:fldCharType="separate"/>
        </w:r>
        <w:r w:rsidR="00F24892">
          <w:rPr>
            <w:noProof/>
            <w:webHidden/>
          </w:rPr>
          <w:t>3</w:t>
        </w:r>
        <w:r w:rsidR="00B82F8B">
          <w:rPr>
            <w:noProof/>
            <w:webHidden/>
          </w:rPr>
          <w:fldChar w:fldCharType="end"/>
        </w:r>
      </w:hyperlink>
    </w:p>
    <w:p w:rsidR="00B82F8B" w:rsidRDefault="007A3AAE" w14:paraId="1B962A14" w14:textId="13DA4EA9">
      <w:pPr>
        <w:pStyle w:val="TOC1"/>
        <w:tabs>
          <w:tab w:val="right" w:leader="dot" w:pos="9350"/>
        </w:tabs>
        <w:rPr>
          <w:rFonts w:asciiTheme="minorHAnsi" w:hAnsiTheme="minorHAnsi" w:cstheme="minorBidi"/>
          <w:noProof/>
          <w:sz w:val="22"/>
        </w:rPr>
      </w:pPr>
      <w:hyperlink w:history="1" w:anchor="_Toc41486883">
        <w:r w:rsidRPr="00153EC7" w:rsidR="00B82F8B">
          <w:rPr>
            <w:rStyle w:val="Hyperlink"/>
            <w:noProof/>
          </w:rPr>
          <w:t>3.</w:t>
        </w:r>
        <w:r w:rsidR="00B82F8B">
          <w:rPr>
            <w:rFonts w:asciiTheme="minorHAnsi" w:hAnsiTheme="minorHAnsi" w:cstheme="minorBidi"/>
            <w:noProof/>
            <w:sz w:val="22"/>
          </w:rPr>
          <w:tab/>
        </w:r>
        <w:r w:rsidRPr="00153EC7" w:rsidR="00B82F8B">
          <w:rPr>
            <w:rStyle w:val="Hyperlink"/>
            <w:noProof/>
          </w:rPr>
          <w:t>California Environmental Quality Act</w:t>
        </w:r>
        <w:r w:rsidR="00B82F8B">
          <w:rPr>
            <w:noProof/>
            <w:webHidden/>
          </w:rPr>
          <w:tab/>
        </w:r>
        <w:r w:rsidR="00B82F8B">
          <w:rPr>
            <w:noProof/>
            <w:webHidden/>
          </w:rPr>
          <w:fldChar w:fldCharType="begin"/>
        </w:r>
        <w:r w:rsidR="00B82F8B">
          <w:rPr>
            <w:noProof/>
            <w:webHidden/>
          </w:rPr>
          <w:instrText xml:space="preserve"> PAGEREF _Toc41486883 \h </w:instrText>
        </w:r>
        <w:r w:rsidR="00B82F8B">
          <w:rPr>
            <w:noProof/>
            <w:webHidden/>
          </w:rPr>
        </w:r>
        <w:r w:rsidR="00B82F8B">
          <w:rPr>
            <w:noProof/>
            <w:webHidden/>
          </w:rPr>
          <w:fldChar w:fldCharType="separate"/>
        </w:r>
        <w:r w:rsidR="00F24892">
          <w:rPr>
            <w:noProof/>
            <w:webHidden/>
          </w:rPr>
          <w:t>4</w:t>
        </w:r>
        <w:r w:rsidR="00B82F8B">
          <w:rPr>
            <w:noProof/>
            <w:webHidden/>
          </w:rPr>
          <w:fldChar w:fldCharType="end"/>
        </w:r>
      </w:hyperlink>
    </w:p>
    <w:p w:rsidR="00B82F8B" w:rsidRDefault="007A3AAE" w14:paraId="6AD8FC02" w14:textId="1121C5B6">
      <w:pPr>
        <w:pStyle w:val="TOC1"/>
        <w:tabs>
          <w:tab w:val="right" w:leader="dot" w:pos="9350"/>
        </w:tabs>
        <w:rPr>
          <w:rFonts w:asciiTheme="minorHAnsi" w:hAnsiTheme="minorHAnsi" w:cstheme="minorBidi"/>
          <w:noProof/>
          <w:sz w:val="22"/>
        </w:rPr>
      </w:pPr>
      <w:hyperlink w:history="1" w:anchor="_Toc41486884">
        <w:r w:rsidRPr="00153EC7" w:rsidR="00B82F8B">
          <w:rPr>
            <w:rStyle w:val="Hyperlink"/>
            <w:noProof/>
          </w:rPr>
          <w:t>4.</w:t>
        </w:r>
        <w:r w:rsidR="00B82F8B">
          <w:rPr>
            <w:rFonts w:asciiTheme="minorHAnsi" w:hAnsiTheme="minorHAnsi" w:cstheme="minorBidi"/>
            <w:noProof/>
            <w:sz w:val="22"/>
          </w:rPr>
          <w:tab/>
        </w:r>
        <w:r w:rsidRPr="00153EC7" w:rsidR="00B82F8B">
          <w:rPr>
            <w:rStyle w:val="Hyperlink"/>
            <w:noProof/>
          </w:rPr>
          <w:t>Financial Qualifications</w:t>
        </w:r>
        <w:r w:rsidR="00B82F8B">
          <w:rPr>
            <w:noProof/>
            <w:webHidden/>
          </w:rPr>
          <w:tab/>
        </w:r>
        <w:r w:rsidR="00B82F8B">
          <w:rPr>
            <w:noProof/>
            <w:webHidden/>
          </w:rPr>
          <w:fldChar w:fldCharType="begin"/>
        </w:r>
        <w:r w:rsidR="00B82F8B">
          <w:rPr>
            <w:noProof/>
            <w:webHidden/>
          </w:rPr>
          <w:instrText xml:space="preserve"> PAGEREF _Toc41486884 \h </w:instrText>
        </w:r>
        <w:r w:rsidR="00B82F8B">
          <w:rPr>
            <w:noProof/>
            <w:webHidden/>
          </w:rPr>
        </w:r>
        <w:r w:rsidR="00B82F8B">
          <w:rPr>
            <w:noProof/>
            <w:webHidden/>
          </w:rPr>
          <w:fldChar w:fldCharType="separate"/>
        </w:r>
        <w:r w:rsidR="00F24892">
          <w:rPr>
            <w:noProof/>
            <w:webHidden/>
          </w:rPr>
          <w:t>9</w:t>
        </w:r>
        <w:r w:rsidR="00B82F8B">
          <w:rPr>
            <w:noProof/>
            <w:webHidden/>
          </w:rPr>
          <w:fldChar w:fldCharType="end"/>
        </w:r>
      </w:hyperlink>
    </w:p>
    <w:p w:rsidR="00B82F8B" w:rsidRDefault="007A3AAE" w14:paraId="2148C227" w14:textId="478D789E">
      <w:pPr>
        <w:pStyle w:val="TOC1"/>
        <w:tabs>
          <w:tab w:val="right" w:leader="dot" w:pos="9350"/>
        </w:tabs>
        <w:rPr>
          <w:rFonts w:asciiTheme="minorHAnsi" w:hAnsiTheme="minorHAnsi" w:cstheme="minorBidi"/>
          <w:noProof/>
          <w:sz w:val="22"/>
        </w:rPr>
      </w:pPr>
      <w:hyperlink w:history="1" w:anchor="_Toc41486885">
        <w:r w:rsidRPr="00153EC7" w:rsidR="00B82F8B">
          <w:rPr>
            <w:rStyle w:val="Hyperlink"/>
            <w:noProof/>
          </w:rPr>
          <w:t>5.</w:t>
        </w:r>
        <w:r w:rsidR="00B82F8B">
          <w:rPr>
            <w:rFonts w:asciiTheme="minorHAnsi" w:hAnsiTheme="minorHAnsi" w:cstheme="minorBidi"/>
            <w:noProof/>
            <w:sz w:val="22"/>
          </w:rPr>
          <w:tab/>
        </w:r>
        <w:r w:rsidRPr="00153EC7" w:rsidR="00B82F8B">
          <w:rPr>
            <w:rStyle w:val="Hyperlink"/>
            <w:noProof/>
          </w:rPr>
          <w:t>Technical Qualifications and Legal Matters</w:t>
        </w:r>
        <w:r w:rsidR="00B82F8B">
          <w:rPr>
            <w:noProof/>
            <w:webHidden/>
          </w:rPr>
          <w:tab/>
        </w:r>
        <w:r w:rsidR="00B82F8B">
          <w:rPr>
            <w:noProof/>
            <w:webHidden/>
          </w:rPr>
          <w:fldChar w:fldCharType="begin"/>
        </w:r>
        <w:r w:rsidR="00B82F8B">
          <w:rPr>
            <w:noProof/>
            <w:webHidden/>
          </w:rPr>
          <w:instrText xml:space="preserve"> PAGEREF _Toc41486885 \h </w:instrText>
        </w:r>
        <w:r w:rsidR="00B82F8B">
          <w:rPr>
            <w:noProof/>
            <w:webHidden/>
          </w:rPr>
        </w:r>
        <w:r w:rsidR="00B82F8B">
          <w:rPr>
            <w:noProof/>
            <w:webHidden/>
          </w:rPr>
          <w:fldChar w:fldCharType="separate"/>
        </w:r>
        <w:r w:rsidR="00F24892">
          <w:rPr>
            <w:noProof/>
            <w:webHidden/>
          </w:rPr>
          <w:t>10</w:t>
        </w:r>
        <w:r w:rsidR="00B82F8B">
          <w:rPr>
            <w:noProof/>
            <w:webHidden/>
          </w:rPr>
          <w:fldChar w:fldCharType="end"/>
        </w:r>
      </w:hyperlink>
    </w:p>
    <w:p w:rsidR="00B82F8B" w:rsidRDefault="007A3AAE" w14:paraId="7F4D1B85" w14:textId="0E0FB64E">
      <w:pPr>
        <w:pStyle w:val="TOC1"/>
        <w:tabs>
          <w:tab w:val="right" w:leader="dot" w:pos="9350"/>
        </w:tabs>
        <w:rPr>
          <w:rFonts w:asciiTheme="minorHAnsi" w:hAnsiTheme="minorHAnsi" w:cstheme="minorBidi"/>
          <w:noProof/>
          <w:sz w:val="22"/>
        </w:rPr>
      </w:pPr>
      <w:hyperlink w:history="1" w:anchor="_Toc41486886">
        <w:r w:rsidRPr="00153EC7" w:rsidR="00B82F8B">
          <w:rPr>
            <w:rStyle w:val="Hyperlink"/>
            <w:noProof/>
          </w:rPr>
          <w:t>6.</w:t>
        </w:r>
        <w:r w:rsidR="00B82F8B">
          <w:rPr>
            <w:rFonts w:asciiTheme="minorHAnsi" w:hAnsiTheme="minorHAnsi" w:cstheme="minorBidi"/>
            <w:noProof/>
            <w:sz w:val="22"/>
          </w:rPr>
          <w:tab/>
        </w:r>
        <w:r w:rsidRPr="00153EC7" w:rsidR="00B82F8B">
          <w:rPr>
            <w:rStyle w:val="Hyperlink"/>
            <w:noProof/>
          </w:rPr>
          <w:t>Tariffs</w:t>
        </w:r>
        <w:r w:rsidR="00B82F8B">
          <w:rPr>
            <w:noProof/>
            <w:webHidden/>
          </w:rPr>
          <w:tab/>
        </w:r>
        <w:r w:rsidR="00B82F8B">
          <w:rPr>
            <w:noProof/>
            <w:webHidden/>
          </w:rPr>
          <w:fldChar w:fldCharType="begin"/>
        </w:r>
        <w:r w:rsidR="00B82F8B">
          <w:rPr>
            <w:noProof/>
            <w:webHidden/>
          </w:rPr>
          <w:instrText xml:space="preserve"> PAGEREF _Toc41486886 \h </w:instrText>
        </w:r>
        <w:r w:rsidR="00B82F8B">
          <w:rPr>
            <w:noProof/>
            <w:webHidden/>
          </w:rPr>
        </w:r>
        <w:r w:rsidR="00B82F8B">
          <w:rPr>
            <w:noProof/>
            <w:webHidden/>
          </w:rPr>
          <w:fldChar w:fldCharType="separate"/>
        </w:r>
        <w:r w:rsidR="00F24892">
          <w:rPr>
            <w:noProof/>
            <w:webHidden/>
          </w:rPr>
          <w:t>11</w:t>
        </w:r>
        <w:r w:rsidR="00B82F8B">
          <w:rPr>
            <w:noProof/>
            <w:webHidden/>
          </w:rPr>
          <w:fldChar w:fldCharType="end"/>
        </w:r>
      </w:hyperlink>
    </w:p>
    <w:p w:rsidR="00B82F8B" w:rsidRDefault="007A3AAE" w14:paraId="4C25B6DA" w14:textId="013125EF">
      <w:pPr>
        <w:pStyle w:val="TOC1"/>
        <w:tabs>
          <w:tab w:val="right" w:leader="dot" w:pos="9350"/>
        </w:tabs>
        <w:rPr>
          <w:rFonts w:asciiTheme="minorHAnsi" w:hAnsiTheme="minorHAnsi" w:cstheme="minorBidi"/>
          <w:noProof/>
          <w:sz w:val="22"/>
        </w:rPr>
      </w:pPr>
      <w:hyperlink w:history="1" w:anchor="_Toc41486887">
        <w:r w:rsidRPr="00153EC7" w:rsidR="00B82F8B">
          <w:rPr>
            <w:rStyle w:val="Hyperlink"/>
            <w:noProof/>
          </w:rPr>
          <w:t>7.</w:t>
        </w:r>
        <w:r w:rsidR="00B82F8B">
          <w:rPr>
            <w:rFonts w:asciiTheme="minorHAnsi" w:hAnsiTheme="minorHAnsi" w:cstheme="minorBidi"/>
            <w:noProof/>
            <w:sz w:val="22"/>
          </w:rPr>
          <w:tab/>
        </w:r>
        <w:r w:rsidRPr="00153EC7" w:rsidR="00B82F8B">
          <w:rPr>
            <w:rStyle w:val="Hyperlink"/>
            <w:noProof/>
          </w:rPr>
          <w:t>Map of Service Territory</w:t>
        </w:r>
        <w:r w:rsidR="00B82F8B">
          <w:rPr>
            <w:noProof/>
            <w:webHidden/>
          </w:rPr>
          <w:tab/>
        </w:r>
        <w:r w:rsidR="00B82F8B">
          <w:rPr>
            <w:noProof/>
            <w:webHidden/>
          </w:rPr>
          <w:fldChar w:fldCharType="begin"/>
        </w:r>
        <w:r w:rsidR="00B82F8B">
          <w:rPr>
            <w:noProof/>
            <w:webHidden/>
          </w:rPr>
          <w:instrText xml:space="preserve"> PAGEREF _Toc41486887 \h </w:instrText>
        </w:r>
        <w:r w:rsidR="00B82F8B">
          <w:rPr>
            <w:noProof/>
            <w:webHidden/>
          </w:rPr>
        </w:r>
        <w:r w:rsidR="00B82F8B">
          <w:rPr>
            <w:noProof/>
            <w:webHidden/>
          </w:rPr>
          <w:fldChar w:fldCharType="separate"/>
        </w:r>
        <w:r w:rsidR="00F24892">
          <w:rPr>
            <w:noProof/>
            <w:webHidden/>
          </w:rPr>
          <w:t>11</w:t>
        </w:r>
        <w:r w:rsidR="00B82F8B">
          <w:rPr>
            <w:noProof/>
            <w:webHidden/>
          </w:rPr>
          <w:fldChar w:fldCharType="end"/>
        </w:r>
      </w:hyperlink>
    </w:p>
    <w:p w:rsidR="00B82F8B" w:rsidRDefault="007A3AAE" w14:paraId="5DE494A6" w14:textId="02EC7481">
      <w:pPr>
        <w:pStyle w:val="TOC1"/>
        <w:tabs>
          <w:tab w:val="right" w:leader="dot" w:pos="9350"/>
        </w:tabs>
        <w:rPr>
          <w:rFonts w:asciiTheme="minorHAnsi" w:hAnsiTheme="minorHAnsi" w:cstheme="minorBidi"/>
          <w:noProof/>
          <w:sz w:val="22"/>
        </w:rPr>
      </w:pPr>
      <w:hyperlink w:history="1" w:anchor="_Toc41486888">
        <w:r w:rsidRPr="00153EC7" w:rsidR="00B82F8B">
          <w:rPr>
            <w:rStyle w:val="Hyperlink"/>
            <w:noProof/>
          </w:rPr>
          <w:t>8.</w:t>
        </w:r>
        <w:r w:rsidR="00B82F8B">
          <w:rPr>
            <w:rFonts w:asciiTheme="minorHAnsi" w:hAnsiTheme="minorHAnsi" w:cstheme="minorBidi"/>
            <w:noProof/>
            <w:sz w:val="22"/>
          </w:rPr>
          <w:tab/>
        </w:r>
        <w:r w:rsidRPr="00153EC7" w:rsidR="00B82F8B">
          <w:rPr>
            <w:rStyle w:val="Hyperlink"/>
            <w:noProof/>
          </w:rPr>
          <w:t>Rule 3.1(i) Statement</w:t>
        </w:r>
        <w:r w:rsidR="00B82F8B">
          <w:rPr>
            <w:noProof/>
            <w:webHidden/>
          </w:rPr>
          <w:tab/>
        </w:r>
        <w:r w:rsidR="00B82F8B">
          <w:rPr>
            <w:noProof/>
            <w:webHidden/>
          </w:rPr>
          <w:fldChar w:fldCharType="begin"/>
        </w:r>
        <w:r w:rsidR="00B82F8B">
          <w:rPr>
            <w:noProof/>
            <w:webHidden/>
          </w:rPr>
          <w:instrText xml:space="preserve"> PAGEREF _Toc41486888 \h </w:instrText>
        </w:r>
        <w:r w:rsidR="00B82F8B">
          <w:rPr>
            <w:noProof/>
            <w:webHidden/>
          </w:rPr>
        </w:r>
        <w:r w:rsidR="00B82F8B">
          <w:rPr>
            <w:noProof/>
            <w:webHidden/>
          </w:rPr>
          <w:fldChar w:fldCharType="separate"/>
        </w:r>
        <w:r w:rsidR="00F24892">
          <w:rPr>
            <w:noProof/>
            <w:webHidden/>
          </w:rPr>
          <w:t>12</w:t>
        </w:r>
        <w:r w:rsidR="00B82F8B">
          <w:rPr>
            <w:noProof/>
            <w:webHidden/>
          </w:rPr>
          <w:fldChar w:fldCharType="end"/>
        </w:r>
      </w:hyperlink>
    </w:p>
    <w:p w:rsidR="00B82F8B" w:rsidRDefault="007A3AAE" w14:paraId="25277AC6" w14:textId="1D74B719">
      <w:pPr>
        <w:pStyle w:val="TOC1"/>
        <w:tabs>
          <w:tab w:val="right" w:leader="dot" w:pos="9350"/>
        </w:tabs>
        <w:rPr>
          <w:rFonts w:asciiTheme="minorHAnsi" w:hAnsiTheme="minorHAnsi" w:cstheme="minorBidi"/>
          <w:noProof/>
          <w:sz w:val="22"/>
        </w:rPr>
      </w:pPr>
      <w:hyperlink w:history="1" w:anchor="_Toc41486889">
        <w:r w:rsidRPr="00153EC7" w:rsidR="00B82F8B">
          <w:rPr>
            <w:rStyle w:val="Hyperlink"/>
            <w:noProof/>
          </w:rPr>
          <w:t>9.</w:t>
        </w:r>
        <w:r w:rsidR="00B82F8B">
          <w:rPr>
            <w:rFonts w:asciiTheme="minorHAnsi" w:hAnsiTheme="minorHAnsi" w:cstheme="minorBidi"/>
            <w:noProof/>
            <w:sz w:val="22"/>
          </w:rPr>
          <w:tab/>
        </w:r>
        <w:r w:rsidRPr="00153EC7" w:rsidR="00B82F8B">
          <w:rPr>
            <w:rStyle w:val="Hyperlink"/>
            <w:noProof/>
          </w:rPr>
          <w:t>Expected Customer Base</w:t>
        </w:r>
        <w:r w:rsidR="00B82F8B">
          <w:rPr>
            <w:noProof/>
            <w:webHidden/>
          </w:rPr>
          <w:tab/>
        </w:r>
        <w:r w:rsidR="00B82F8B">
          <w:rPr>
            <w:noProof/>
            <w:webHidden/>
          </w:rPr>
          <w:fldChar w:fldCharType="begin"/>
        </w:r>
        <w:r w:rsidR="00B82F8B">
          <w:rPr>
            <w:noProof/>
            <w:webHidden/>
          </w:rPr>
          <w:instrText xml:space="preserve"> PAGEREF _Toc41486889 \h </w:instrText>
        </w:r>
        <w:r w:rsidR="00B82F8B">
          <w:rPr>
            <w:noProof/>
            <w:webHidden/>
          </w:rPr>
        </w:r>
        <w:r w:rsidR="00B82F8B">
          <w:rPr>
            <w:noProof/>
            <w:webHidden/>
          </w:rPr>
          <w:fldChar w:fldCharType="separate"/>
        </w:r>
        <w:r w:rsidR="00F24892">
          <w:rPr>
            <w:noProof/>
            <w:webHidden/>
          </w:rPr>
          <w:t>12</w:t>
        </w:r>
        <w:r w:rsidR="00B82F8B">
          <w:rPr>
            <w:noProof/>
            <w:webHidden/>
          </w:rPr>
          <w:fldChar w:fldCharType="end"/>
        </w:r>
      </w:hyperlink>
    </w:p>
    <w:p w:rsidR="00B82F8B" w:rsidP="00B82F8B" w:rsidRDefault="007A3AAE" w14:paraId="769DC8EE" w14:textId="35DA77B7">
      <w:pPr>
        <w:pStyle w:val="TOC1"/>
        <w:tabs>
          <w:tab w:val="right" w:leader="dot" w:pos="9350"/>
        </w:tabs>
        <w:ind w:hanging="522"/>
        <w:rPr>
          <w:rFonts w:asciiTheme="minorHAnsi" w:hAnsiTheme="minorHAnsi" w:cstheme="minorBidi"/>
          <w:noProof/>
          <w:sz w:val="22"/>
        </w:rPr>
      </w:pPr>
      <w:hyperlink w:history="1" w:anchor="_Toc41486890">
        <w:r w:rsidRPr="00153EC7" w:rsidR="00B82F8B">
          <w:rPr>
            <w:rStyle w:val="Hyperlink"/>
            <w:noProof/>
          </w:rPr>
          <w:t>10.</w:t>
        </w:r>
        <w:r w:rsidR="00B82F8B">
          <w:rPr>
            <w:rFonts w:asciiTheme="minorHAnsi" w:hAnsiTheme="minorHAnsi" w:cstheme="minorBidi"/>
            <w:noProof/>
            <w:sz w:val="22"/>
          </w:rPr>
          <w:tab/>
        </w:r>
        <w:r w:rsidRPr="00153EC7" w:rsidR="00B82F8B">
          <w:rPr>
            <w:rStyle w:val="Hyperlink"/>
            <w:noProof/>
          </w:rPr>
          <w:t>Safety Considerations</w:t>
        </w:r>
        <w:r w:rsidR="00B82F8B">
          <w:rPr>
            <w:noProof/>
            <w:webHidden/>
          </w:rPr>
          <w:tab/>
        </w:r>
        <w:r w:rsidR="00B82F8B">
          <w:rPr>
            <w:noProof/>
            <w:webHidden/>
          </w:rPr>
          <w:fldChar w:fldCharType="begin"/>
        </w:r>
        <w:r w:rsidR="00B82F8B">
          <w:rPr>
            <w:noProof/>
            <w:webHidden/>
          </w:rPr>
          <w:instrText xml:space="preserve"> PAGEREF _Toc41486890 \h </w:instrText>
        </w:r>
        <w:r w:rsidR="00B82F8B">
          <w:rPr>
            <w:noProof/>
            <w:webHidden/>
          </w:rPr>
        </w:r>
        <w:r w:rsidR="00B82F8B">
          <w:rPr>
            <w:noProof/>
            <w:webHidden/>
          </w:rPr>
          <w:fldChar w:fldCharType="separate"/>
        </w:r>
        <w:r w:rsidR="00F24892">
          <w:rPr>
            <w:noProof/>
            <w:webHidden/>
          </w:rPr>
          <w:t>12</w:t>
        </w:r>
        <w:r w:rsidR="00B82F8B">
          <w:rPr>
            <w:noProof/>
            <w:webHidden/>
          </w:rPr>
          <w:fldChar w:fldCharType="end"/>
        </w:r>
      </w:hyperlink>
    </w:p>
    <w:p w:rsidR="00B82F8B" w:rsidP="00B82F8B" w:rsidRDefault="007A3AAE" w14:paraId="1E324BD9" w14:textId="4FDCC8D0">
      <w:pPr>
        <w:pStyle w:val="TOC1"/>
        <w:tabs>
          <w:tab w:val="right" w:leader="dot" w:pos="9350"/>
        </w:tabs>
        <w:ind w:hanging="522"/>
        <w:rPr>
          <w:rFonts w:asciiTheme="minorHAnsi" w:hAnsiTheme="minorHAnsi" w:cstheme="minorBidi"/>
          <w:noProof/>
          <w:sz w:val="22"/>
        </w:rPr>
      </w:pPr>
      <w:hyperlink w:history="1" w:anchor="_Toc41486891">
        <w:r w:rsidRPr="00153EC7" w:rsidR="00B82F8B">
          <w:rPr>
            <w:rStyle w:val="Hyperlink"/>
            <w:noProof/>
          </w:rPr>
          <w:t>11.</w:t>
        </w:r>
        <w:r w:rsidR="00B82F8B">
          <w:rPr>
            <w:rFonts w:asciiTheme="minorHAnsi" w:hAnsiTheme="minorHAnsi" w:cstheme="minorBidi"/>
            <w:noProof/>
            <w:sz w:val="22"/>
          </w:rPr>
          <w:tab/>
        </w:r>
        <w:r w:rsidRPr="00153EC7" w:rsidR="00B82F8B">
          <w:rPr>
            <w:rStyle w:val="Hyperlink"/>
            <w:noProof/>
          </w:rPr>
          <w:t>Conclusion</w:t>
        </w:r>
        <w:r w:rsidR="00B82F8B">
          <w:rPr>
            <w:noProof/>
            <w:webHidden/>
          </w:rPr>
          <w:tab/>
        </w:r>
        <w:r w:rsidR="00B82F8B">
          <w:rPr>
            <w:noProof/>
            <w:webHidden/>
          </w:rPr>
          <w:fldChar w:fldCharType="begin"/>
        </w:r>
        <w:r w:rsidR="00B82F8B">
          <w:rPr>
            <w:noProof/>
            <w:webHidden/>
          </w:rPr>
          <w:instrText xml:space="preserve"> PAGEREF _Toc41486891 \h </w:instrText>
        </w:r>
        <w:r w:rsidR="00B82F8B">
          <w:rPr>
            <w:noProof/>
            <w:webHidden/>
          </w:rPr>
        </w:r>
        <w:r w:rsidR="00B82F8B">
          <w:rPr>
            <w:noProof/>
            <w:webHidden/>
          </w:rPr>
          <w:fldChar w:fldCharType="separate"/>
        </w:r>
        <w:r w:rsidR="00F24892">
          <w:rPr>
            <w:noProof/>
            <w:webHidden/>
          </w:rPr>
          <w:t>13</w:t>
        </w:r>
        <w:r w:rsidR="00B82F8B">
          <w:rPr>
            <w:noProof/>
            <w:webHidden/>
          </w:rPr>
          <w:fldChar w:fldCharType="end"/>
        </w:r>
      </w:hyperlink>
    </w:p>
    <w:p w:rsidR="00B82F8B" w:rsidP="00B82F8B" w:rsidRDefault="007A3AAE" w14:paraId="0A948134" w14:textId="6ECABABC">
      <w:pPr>
        <w:pStyle w:val="TOC1"/>
        <w:tabs>
          <w:tab w:val="right" w:leader="dot" w:pos="9350"/>
        </w:tabs>
        <w:ind w:hanging="522"/>
        <w:rPr>
          <w:rFonts w:asciiTheme="minorHAnsi" w:hAnsiTheme="minorHAnsi" w:cstheme="minorBidi"/>
          <w:noProof/>
          <w:sz w:val="22"/>
        </w:rPr>
      </w:pPr>
      <w:hyperlink w:history="1" w:anchor="_Toc41486892">
        <w:r w:rsidRPr="00153EC7" w:rsidR="00B82F8B">
          <w:rPr>
            <w:rStyle w:val="Hyperlink"/>
            <w:noProof/>
          </w:rPr>
          <w:t>12.</w:t>
        </w:r>
        <w:r w:rsidR="00B82F8B">
          <w:rPr>
            <w:rFonts w:asciiTheme="minorHAnsi" w:hAnsiTheme="minorHAnsi" w:cstheme="minorBidi"/>
            <w:noProof/>
            <w:sz w:val="22"/>
          </w:rPr>
          <w:tab/>
        </w:r>
        <w:r w:rsidRPr="00153EC7" w:rsidR="00B82F8B">
          <w:rPr>
            <w:rStyle w:val="Hyperlink"/>
            <w:noProof/>
          </w:rPr>
          <w:t>Motions to File Under Seal</w:t>
        </w:r>
        <w:r w:rsidR="00B82F8B">
          <w:rPr>
            <w:noProof/>
            <w:webHidden/>
          </w:rPr>
          <w:tab/>
        </w:r>
        <w:r w:rsidR="00B82F8B">
          <w:rPr>
            <w:noProof/>
            <w:webHidden/>
          </w:rPr>
          <w:fldChar w:fldCharType="begin"/>
        </w:r>
        <w:r w:rsidR="00B82F8B">
          <w:rPr>
            <w:noProof/>
            <w:webHidden/>
          </w:rPr>
          <w:instrText xml:space="preserve"> PAGEREF _Toc41486892 \h </w:instrText>
        </w:r>
        <w:r w:rsidR="00B82F8B">
          <w:rPr>
            <w:noProof/>
            <w:webHidden/>
          </w:rPr>
        </w:r>
        <w:r w:rsidR="00B82F8B">
          <w:rPr>
            <w:noProof/>
            <w:webHidden/>
          </w:rPr>
          <w:fldChar w:fldCharType="separate"/>
        </w:r>
        <w:r w:rsidR="00F24892">
          <w:rPr>
            <w:noProof/>
            <w:webHidden/>
          </w:rPr>
          <w:t>14</w:t>
        </w:r>
        <w:r w:rsidR="00B82F8B">
          <w:rPr>
            <w:noProof/>
            <w:webHidden/>
          </w:rPr>
          <w:fldChar w:fldCharType="end"/>
        </w:r>
      </w:hyperlink>
    </w:p>
    <w:p w:rsidR="00B82F8B" w:rsidP="00B82F8B" w:rsidRDefault="007A3AAE" w14:paraId="7E2D524C" w14:textId="0160859A">
      <w:pPr>
        <w:pStyle w:val="TOC1"/>
        <w:tabs>
          <w:tab w:val="right" w:leader="dot" w:pos="9350"/>
        </w:tabs>
        <w:ind w:hanging="522"/>
        <w:rPr>
          <w:rFonts w:asciiTheme="minorHAnsi" w:hAnsiTheme="minorHAnsi" w:cstheme="minorBidi"/>
          <w:noProof/>
          <w:sz w:val="22"/>
        </w:rPr>
      </w:pPr>
      <w:hyperlink w:history="1" w:anchor="_Toc41486893">
        <w:r w:rsidRPr="00153EC7" w:rsidR="00B82F8B">
          <w:rPr>
            <w:rStyle w:val="Hyperlink"/>
            <w:noProof/>
          </w:rPr>
          <w:t>13.</w:t>
        </w:r>
        <w:r w:rsidR="00B82F8B">
          <w:rPr>
            <w:rFonts w:asciiTheme="minorHAnsi" w:hAnsiTheme="minorHAnsi" w:cstheme="minorBidi"/>
            <w:noProof/>
            <w:sz w:val="22"/>
          </w:rPr>
          <w:tab/>
        </w:r>
        <w:r w:rsidRPr="00153EC7" w:rsidR="00B82F8B">
          <w:rPr>
            <w:rStyle w:val="Hyperlink"/>
            <w:noProof/>
          </w:rPr>
          <w:t>Categorization and Need for Hearings</w:t>
        </w:r>
        <w:r w:rsidR="00B82F8B">
          <w:rPr>
            <w:noProof/>
            <w:webHidden/>
          </w:rPr>
          <w:tab/>
        </w:r>
        <w:r w:rsidR="00B82F8B">
          <w:rPr>
            <w:noProof/>
            <w:webHidden/>
          </w:rPr>
          <w:fldChar w:fldCharType="begin"/>
        </w:r>
        <w:r w:rsidR="00B82F8B">
          <w:rPr>
            <w:noProof/>
            <w:webHidden/>
          </w:rPr>
          <w:instrText xml:space="preserve"> PAGEREF _Toc41486893 \h </w:instrText>
        </w:r>
        <w:r w:rsidR="00B82F8B">
          <w:rPr>
            <w:noProof/>
            <w:webHidden/>
          </w:rPr>
        </w:r>
        <w:r w:rsidR="00B82F8B">
          <w:rPr>
            <w:noProof/>
            <w:webHidden/>
          </w:rPr>
          <w:fldChar w:fldCharType="separate"/>
        </w:r>
        <w:r w:rsidR="00F24892">
          <w:rPr>
            <w:noProof/>
            <w:webHidden/>
          </w:rPr>
          <w:t>14</w:t>
        </w:r>
        <w:r w:rsidR="00B82F8B">
          <w:rPr>
            <w:noProof/>
            <w:webHidden/>
          </w:rPr>
          <w:fldChar w:fldCharType="end"/>
        </w:r>
      </w:hyperlink>
    </w:p>
    <w:p w:rsidR="00B82F8B" w:rsidP="00B82F8B" w:rsidRDefault="007A3AAE" w14:paraId="2BBB2678" w14:textId="5929B2B3">
      <w:pPr>
        <w:pStyle w:val="TOC1"/>
        <w:tabs>
          <w:tab w:val="right" w:leader="dot" w:pos="9350"/>
        </w:tabs>
        <w:ind w:hanging="522"/>
        <w:rPr>
          <w:rFonts w:asciiTheme="minorHAnsi" w:hAnsiTheme="minorHAnsi" w:cstheme="minorBidi"/>
          <w:noProof/>
          <w:sz w:val="22"/>
        </w:rPr>
      </w:pPr>
      <w:hyperlink w:history="1" w:anchor="_Toc41486894">
        <w:r w:rsidRPr="00153EC7" w:rsidR="00B82F8B">
          <w:rPr>
            <w:rStyle w:val="Hyperlink"/>
            <w:noProof/>
          </w:rPr>
          <w:t>14.</w:t>
        </w:r>
        <w:r w:rsidR="00B82F8B">
          <w:rPr>
            <w:rFonts w:asciiTheme="minorHAnsi" w:hAnsiTheme="minorHAnsi" w:cstheme="minorBidi"/>
            <w:noProof/>
            <w:sz w:val="22"/>
          </w:rPr>
          <w:tab/>
        </w:r>
        <w:r w:rsidRPr="00153EC7" w:rsidR="00B82F8B">
          <w:rPr>
            <w:rStyle w:val="Hyperlink"/>
            <w:noProof/>
          </w:rPr>
          <w:t>Comments on Draft Decision</w:t>
        </w:r>
        <w:r w:rsidR="00B82F8B">
          <w:rPr>
            <w:noProof/>
            <w:webHidden/>
          </w:rPr>
          <w:tab/>
        </w:r>
        <w:r w:rsidR="00B82F8B">
          <w:rPr>
            <w:noProof/>
            <w:webHidden/>
          </w:rPr>
          <w:fldChar w:fldCharType="begin"/>
        </w:r>
        <w:r w:rsidR="00B82F8B">
          <w:rPr>
            <w:noProof/>
            <w:webHidden/>
          </w:rPr>
          <w:instrText xml:space="preserve"> PAGEREF _Toc41486894 \h </w:instrText>
        </w:r>
        <w:r w:rsidR="00B82F8B">
          <w:rPr>
            <w:noProof/>
            <w:webHidden/>
          </w:rPr>
        </w:r>
        <w:r w:rsidR="00B82F8B">
          <w:rPr>
            <w:noProof/>
            <w:webHidden/>
          </w:rPr>
          <w:fldChar w:fldCharType="separate"/>
        </w:r>
        <w:r w:rsidR="00F24892">
          <w:rPr>
            <w:noProof/>
            <w:webHidden/>
          </w:rPr>
          <w:t>15</w:t>
        </w:r>
        <w:r w:rsidR="00B82F8B">
          <w:rPr>
            <w:noProof/>
            <w:webHidden/>
          </w:rPr>
          <w:fldChar w:fldCharType="end"/>
        </w:r>
      </w:hyperlink>
    </w:p>
    <w:p w:rsidR="00B82F8B" w:rsidP="00B82F8B" w:rsidRDefault="007A3AAE" w14:paraId="45BFA2FC" w14:textId="7509CB86">
      <w:pPr>
        <w:pStyle w:val="TOC1"/>
        <w:tabs>
          <w:tab w:val="right" w:leader="dot" w:pos="9350"/>
        </w:tabs>
        <w:ind w:hanging="522"/>
        <w:rPr>
          <w:rFonts w:asciiTheme="minorHAnsi" w:hAnsiTheme="minorHAnsi" w:cstheme="minorBidi"/>
          <w:noProof/>
          <w:sz w:val="22"/>
        </w:rPr>
      </w:pPr>
      <w:hyperlink w:history="1" w:anchor="_Toc41486895">
        <w:r w:rsidRPr="00153EC7" w:rsidR="00B82F8B">
          <w:rPr>
            <w:rStyle w:val="Hyperlink"/>
            <w:noProof/>
          </w:rPr>
          <w:t>15.</w:t>
        </w:r>
        <w:r w:rsidR="00B82F8B">
          <w:rPr>
            <w:rFonts w:asciiTheme="minorHAnsi" w:hAnsiTheme="minorHAnsi" w:cstheme="minorBidi"/>
            <w:noProof/>
            <w:sz w:val="22"/>
          </w:rPr>
          <w:tab/>
        </w:r>
        <w:r w:rsidRPr="00153EC7" w:rsidR="00B82F8B">
          <w:rPr>
            <w:rStyle w:val="Hyperlink"/>
            <w:noProof/>
          </w:rPr>
          <w:t>Assignment of Proceeding</w:t>
        </w:r>
        <w:r w:rsidR="00B82F8B">
          <w:rPr>
            <w:noProof/>
            <w:webHidden/>
          </w:rPr>
          <w:tab/>
        </w:r>
        <w:r w:rsidR="00B82F8B">
          <w:rPr>
            <w:noProof/>
            <w:webHidden/>
          </w:rPr>
          <w:fldChar w:fldCharType="begin"/>
        </w:r>
        <w:r w:rsidR="00B82F8B">
          <w:rPr>
            <w:noProof/>
            <w:webHidden/>
          </w:rPr>
          <w:instrText xml:space="preserve"> PAGEREF _Toc41486895 \h </w:instrText>
        </w:r>
        <w:r w:rsidR="00B82F8B">
          <w:rPr>
            <w:noProof/>
            <w:webHidden/>
          </w:rPr>
        </w:r>
        <w:r w:rsidR="00B82F8B">
          <w:rPr>
            <w:noProof/>
            <w:webHidden/>
          </w:rPr>
          <w:fldChar w:fldCharType="separate"/>
        </w:r>
        <w:r w:rsidR="00F24892">
          <w:rPr>
            <w:noProof/>
            <w:webHidden/>
          </w:rPr>
          <w:t>15</w:t>
        </w:r>
        <w:r w:rsidR="00B82F8B">
          <w:rPr>
            <w:noProof/>
            <w:webHidden/>
          </w:rPr>
          <w:fldChar w:fldCharType="end"/>
        </w:r>
      </w:hyperlink>
    </w:p>
    <w:p w:rsidR="00B82F8B" w:rsidRDefault="007A3AAE" w14:paraId="63DC6BC5" w14:textId="71E8ABCC">
      <w:pPr>
        <w:pStyle w:val="TOC1"/>
        <w:tabs>
          <w:tab w:val="right" w:leader="dot" w:pos="9350"/>
        </w:tabs>
        <w:rPr>
          <w:rFonts w:asciiTheme="minorHAnsi" w:hAnsiTheme="minorHAnsi" w:cstheme="minorBidi"/>
          <w:noProof/>
          <w:sz w:val="22"/>
        </w:rPr>
      </w:pPr>
      <w:hyperlink w:history="1" w:anchor="_Toc41486896">
        <w:r w:rsidRPr="00153EC7" w:rsidR="00B82F8B">
          <w:rPr>
            <w:rStyle w:val="Hyperlink"/>
            <w:noProof/>
          </w:rPr>
          <w:t>Findings of Fact</w:t>
        </w:r>
        <w:r w:rsidR="00B82F8B">
          <w:rPr>
            <w:noProof/>
            <w:webHidden/>
          </w:rPr>
          <w:tab/>
        </w:r>
        <w:r w:rsidR="00B82F8B">
          <w:rPr>
            <w:noProof/>
            <w:webHidden/>
          </w:rPr>
          <w:fldChar w:fldCharType="begin"/>
        </w:r>
        <w:r w:rsidR="00B82F8B">
          <w:rPr>
            <w:noProof/>
            <w:webHidden/>
          </w:rPr>
          <w:instrText xml:space="preserve"> PAGEREF _Toc41486896 \h </w:instrText>
        </w:r>
        <w:r w:rsidR="00B82F8B">
          <w:rPr>
            <w:noProof/>
            <w:webHidden/>
          </w:rPr>
        </w:r>
        <w:r w:rsidR="00B82F8B">
          <w:rPr>
            <w:noProof/>
            <w:webHidden/>
          </w:rPr>
          <w:fldChar w:fldCharType="separate"/>
        </w:r>
        <w:r w:rsidR="00F24892">
          <w:rPr>
            <w:noProof/>
            <w:webHidden/>
          </w:rPr>
          <w:t>15</w:t>
        </w:r>
        <w:r w:rsidR="00B82F8B">
          <w:rPr>
            <w:noProof/>
            <w:webHidden/>
          </w:rPr>
          <w:fldChar w:fldCharType="end"/>
        </w:r>
      </w:hyperlink>
    </w:p>
    <w:p w:rsidR="00B82F8B" w:rsidRDefault="007A3AAE" w14:paraId="1A1F56AF" w14:textId="3A10980F">
      <w:pPr>
        <w:pStyle w:val="TOC1"/>
        <w:tabs>
          <w:tab w:val="right" w:leader="dot" w:pos="9350"/>
        </w:tabs>
        <w:rPr>
          <w:rFonts w:asciiTheme="minorHAnsi" w:hAnsiTheme="minorHAnsi" w:cstheme="minorBidi"/>
          <w:noProof/>
          <w:sz w:val="22"/>
        </w:rPr>
      </w:pPr>
      <w:hyperlink w:history="1" w:anchor="_Toc41486897">
        <w:r w:rsidRPr="00153EC7" w:rsidR="00B82F8B">
          <w:rPr>
            <w:rStyle w:val="Hyperlink"/>
            <w:noProof/>
          </w:rPr>
          <w:t>Conclusions of Law</w:t>
        </w:r>
        <w:r w:rsidR="00B82F8B">
          <w:rPr>
            <w:noProof/>
            <w:webHidden/>
          </w:rPr>
          <w:tab/>
        </w:r>
        <w:r w:rsidR="00B82F8B">
          <w:rPr>
            <w:noProof/>
            <w:webHidden/>
          </w:rPr>
          <w:fldChar w:fldCharType="begin"/>
        </w:r>
        <w:r w:rsidR="00B82F8B">
          <w:rPr>
            <w:noProof/>
            <w:webHidden/>
          </w:rPr>
          <w:instrText xml:space="preserve"> PAGEREF _Toc41486897 \h </w:instrText>
        </w:r>
        <w:r w:rsidR="00B82F8B">
          <w:rPr>
            <w:noProof/>
            <w:webHidden/>
          </w:rPr>
        </w:r>
        <w:r w:rsidR="00B82F8B">
          <w:rPr>
            <w:noProof/>
            <w:webHidden/>
          </w:rPr>
          <w:fldChar w:fldCharType="separate"/>
        </w:r>
        <w:r w:rsidR="00F24892">
          <w:rPr>
            <w:noProof/>
            <w:webHidden/>
          </w:rPr>
          <w:t>18</w:t>
        </w:r>
        <w:r w:rsidR="00B82F8B">
          <w:rPr>
            <w:noProof/>
            <w:webHidden/>
          </w:rPr>
          <w:fldChar w:fldCharType="end"/>
        </w:r>
      </w:hyperlink>
    </w:p>
    <w:p w:rsidR="00B82F8B" w:rsidRDefault="007A3AAE" w14:paraId="3F4D438D" w14:textId="69BD95C1">
      <w:pPr>
        <w:pStyle w:val="TOC1"/>
        <w:tabs>
          <w:tab w:val="right" w:leader="dot" w:pos="9350"/>
        </w:tabs>
        <w:rPr>
          <w:rFonts w:asciiTheme="minorHAnsi" w:hAnsiTheme="minorHAnsi" w:cstheme="minorBidi"/>
          <w:noProof/>
          <w:sz w:val="22"/>
        </w:rPr>
      </w:pPr>
      <w:hyperlink w:history="1" w:anchor="_Toc41486898">
        <w:r w:rsidRPr="00153EC7" w:rsidR="00B82F8B">
          <w:rPr>
            <w:rStyle w:val="Hyperlink"/>
            <w:noProof/>
          </w:rPr>
          <w:t>ORDER</w:t>
        </w:r>
        <w:r w:rsidR="00B82F8B">
          <w:rPr>
            <w:noProof/>
            <w:webHidden/>
          </w:rPr>
          <w:tab/>
        </w:r>
        <w:r w:rsidR="00B82F8B">
          <w:rPr>
            <w:noProof/>
            <w:webHidden/>
          </w:rPr>
          <w:fldChar w:fldCharType="begin"/>
        </w:r>
        <w:r w:rsidR="00B82F8B">
          <w:rPr>
            <w:noProof/>
            <w:webHidden/>
          </w:rPr>
          <w:instrText xml:space="preserve"> PAGEREF _Toc41486898 \h </w:instrText>
        </w:r>
        <w:r w:rsidR="00B82F8B">
          <w:rPr>
            <w:noProof/>
            <w:webHidden/>
          </w:rPr>
        </w:r>
        <w:r w:rsidR="00B82F8B">
          <w:rPr>
            <w:noProof/>
            <w:webHidden/>
          </w:rPr>
          <w:fldChar w:fldCharType="separate"/>
        </w:r>
        <w:r w:rsidR="00F24892">
          <w:rPr>
            <w:noProof/>
            <w:webHidden/>
          </w:rPr>
          <w:t>19</w:t>
        </w:r>
        <w:r w:rsidR="00B82F8B">
          <w:rPr>
            <w:noProof/>
            <w:webHidden/>
          </w:rPr>
          <w:fldChar w:fldCharType="end"/>
        </w:r>
      </w:hyperlink>
    </w:p>
    <w:p w:rsidR="00DB6A3E" w:rsidP="008F0116" w:rsidRDefault="00B82F8B" w14:paraId="10E3B2CE" w14:textId="1225591C">
      <w:pPr>
        <w:spacing w:line="240" w:lineRule="auto"/>
        <w:ind w:firstLine="0"/>
      </w:pPr>
      <w:r>
        <w:rPr>
          <w:rFonts w:cs="Times New Roman" w:eastAsiaTheme="minorEastAsia"/>
        </w:rPr>
        <w:fldChar w:fldCharType="end"/>
      </w:r>
    </w:p>
    <w:p w:rsidRPr="00DB6A3E" w:rsidR="00DB6A3E" w:rsidP="008F0116" w:rsidRDefault="00DB6A3E" w14:paraId="1B652AC6" w14:textId="2E0FF169">
      <w:pPr>
        <w:spacing w:line="240" w:lineRule="auto"/>
        <w:ind w:firstLine="0"/>
        <w:rPr>
          <w:b/>
          <w:bCs/>
        </w:rPr>
      </w:pPr>
      <w:r w:rsidRPr="00DB6A3E">
        <w:rPr>
          <w:b/>
          <w:bCs/>
        </w:rPr>
        <w:t>ATTACHMENT A</w:t>
      </w:r>
    </w:p>
    <w:p w:rsidR="00DB6A3E" w:rsidP="008F0116" w:rsidRDefault="00DB6A3E" w14:paraId="34AD1C51" w14:textId="1A3D529D">
      <w:pPr>
        <w:spacing w:line="240" w:lineRule="auto"/>
        <w:ind w:firstLine="0"/>
      </w:pPr>
      <w:r w:rsidRPr="00DB6A3E">
        <w:rPr>
          <w:b/>
          <w:bCs/>
        </w:rPr>
        <w:t xml:space="preserve">ATTACHMENT </w:t>
      </w:r>
      <w:r>
        <w:rPr>
          <w:b/>
          <w:bCs/>
        </w:rPr>
        <w:t>B</w:t>
      </w:r>
    </w:p>
    <w:p w:rsidR="00DB6A3E" w:rsidP="008F0116" w:rsidRDefault="00DB6A3E" w14:paraId="34224077" w14:textId="65E283C5">
      <w:pPr>
        <w:spacing w:line="240" w:lineRule="auto"/>
        <w:ind w:firstLine="0"/>
      </w:pPr>
      <w:r w:rsidRPr="00DB6A3E">
        <w:rPr>
          <w:b/>
          <w:bCs/>
        </w:rPr>
        <w:t xml:space="preserve">ATTACHMENT </w:t>
      </w:r>
      <w:r>
        <w:rPr>
          <w:b/>
          <w:bCs/>
        </w:rPr>
        <w:t>C</w:t>
      </w:r>
    </w:p>
    <w:p w:rsidRPr="009F5524" w:rsidR="00DB6A3E" w:rsidP="008F0116" w:rsidRDefault="00DB6A3E" w14:paraId="7A566297" w14:textId="3AAC1FA2">
      <w:pPr>
        <w:spacing w:line="240" w:lineRule="auto"/>
        <w:ind w:firstLine="0"/>
      </w:pPr>
      <w:r w:rsidRPr="00DB6A3E">
        <w:rPr>
          <w:b/>
          <w:bCs/>
        </w:rPr>
        <w:t xml:space="preserve">ATTACHMENT </w:t>
      </w:r>
      <w:r>
        <w:rPr>
          <w:b/>
          <w:bCs/>
        </w:rPr>
        <w:t>D</w:t>
      </w:r>
    </w:p>
    <w:p w:rsidR="009F5524" w:rsidP="008F0116" w:rsidRDefault="009F5524" w14:paraId="6685E249" w14:textId="77777777">
      <w:pPr>
        <w:spacing w:line="240" w:lineRule="auto"/>
        <w:ind w:firstLine="0"/>
        <w:rPr>
          <w:rFonts w:ascii="Arial" w:hAnsi="Arial" w:cs="Arial"/>
          <w:sz w:val="24"/>
          <w:szCs w:val="24"/>
        </w:rPr>
      </w:pPr>
    </w:p>
    <w:p w:rsidR="009F5524" w:rsidP="008F0116" w:rsidRDefault="009F5524" w14:paraId="5D84E50D" w14:textId="1BD8C839">
      <w:pPr>
        <w:spacing w:line="240" w:lineRule="auto"/>
        <w:ind w:firstLine="0"/>
        <w:rPr>
          <w:rFonts w:ascii="Arial" w:hAnsi="Arial" w:cs="Arial"/>
          <w:sz w:val="24"/>
          <w:szCs w:val="24"/>
        </w:rPr>
        <w:sectPr w:rsidR="009F5524" w:rsidSect="00DC5FD0">
          <w:headerReference w:type="first" r:id="rId13"/>
          <w:footerReference w:type="first" r:id="rId14"/>
          <w:footnotePr>
            <w:numRestart w:val="eachSect"/>
          </w:footnotePr>
          <w:pgSz w:w="12240" w:h="15840" w:code="1"/>
          <w:pgMar w:top="1152" w:right="1440" w:bottom="1440" w:left="1440" w:header="720" w:footer="720" w:gutter="0"/>
          <w:pgNumType w:fmt="lowerRoman" w:start="1"/>
          <w:cols w:space="720"/>
          <w:titlePg/>
        </w:sectPr>
      </w:pPr>
    </w:p>
    <w:p w:rsidR="002707DD" w:rsidP="002707DD" w:rsidRDefault="00C61F99" w14:paraId="13ACEB0F" w14:textId="06E72955">
      <w:pPr>
        <w:pStyle w:val="main0"/>
      </w:pPr>
      <w:bookmarkStart w:name="_Toc41486879" w:id="0"/>
      <w:r>
        <w:rPr>
          <w:szCs w:val="26"/>
        </w:rPr>
        <w:lastRenderedPageBreak/>
        <w:t xml:space="preserve">DECISION </w:t>
      </w:r>
      <w:r w:rsidR="003501AC">
        <w:rPr>
          <w:szCs w:val="26"/>
        </w:rPr>
        <w:t>GRANTING VELOCITY FIBER, LLC A CERTIFICATE OF PUBLIC CONVENIENCE AND NECESSITY</w:t>
      </w:r>
      <w:r w:rsidR="00F52843">
        <w:rPr>
          <w:szCs w:val="26"/>
        </w:rPr>
        <w:t xml:space="preserve"> TO PROVIDE FULL FACILITIES-BASED AND RESOLD COMPETITIVE LOCAL EXCHANGE SERVICE AND FULL FACILITIES-BASED RESOLD INTEREXCHANGE SERVICE</w:t>
      </w:r>
      <w:bookmarkEnd w:id="0"/>
    </w:p>
    <w:p w:rsidR="00F92385" w:rsidP="001E6D39" w:rsidRDefault="00F92385" w14:paraId="6BC26960" w14:textId="77777777">
      <w:pPr>
        <w:pStyle w:val="Dummy"/>
        <w:jc w:val="center"/>
      </w:pPr>
    </w:p>
    <w:p w:rsidRPr="005E0BE0" w:rsidR="00111B08" w:rsidP="00111B08" w:rsidRDefault="00111B08" w14:paraId="15408CC3" w14:textId="77777777">
      <w:pPr>
        <w:pStyle w:val="Heading1"/>
        <w:numPr>
          <w:ilvl w:val="0"/>
          <w:numId w:val="0"/>
        </w:numPr>
        <w:ind w:left="360" w:hanging="360"/>
      </w:pPr>
      <w:bookmarkStart w:name="_Toc335049167" w:id="1"/>
      <w:bookmarkStart w:name="_Toc41486880" w:id="2"/>
      <w:bookmarkStart w:name="_Toc8123714" w:id="3"/>
      <w:bookmarkStart w:name="_Toc35939960" w:id="4"/>
      <w:r w:rsidRPr="005E0BE0">
        <w:t>Summary</w:t>
      </w:r>
      <w:bookmarkEnd w:id="1"/>
      <w:bookmarkEnd w:id="2"/>
    </w:p>
    <w:p w:rsidR="00111B08" w:rsidP="00111B08" w:rsidRDefault="002A01E1" w14:paraId="6864DA39" w14:textId="73EC2A33">
      <w:pPr>
        <w:pStyle w:val="standard0"/>
      </w:pPr>
      <w:r>
        <w:t>In this decision, we</w:t>
      </w:r>
      <w:r w:rsidRPr="005E0BE0" w:rsidR="00111B08">
        <w:t xml:space="preserve"> grant </w:t>
      </w:r>
      <w:r w:rsidR="006B2248">
        <w:t>Velocity Fiber</w:t>
      </w:r>
      <w:r w:rsidRPr="005E0BE0" w:rsidR="00111B08">
        <w:t xml:space="preserve">, LLC, a certificate of public convenience and necessity </w:t>
      </w:r>
      <w:r w:rsidR="00F52843">
        <w:t xml:space="preserve">pursuant to Public Utilities Code Section 1001 </w:t>
      </w:r>
      <w:r w:rsidRPr="005E0BE0" w:rsidR="00111B08">
        <w:t>to provide full facilities</w:t>
      </w:r>
      <w:r w:rsidR="00111B08">
        <w:t>-</w:t>
      </w:r>
      <w:r w:rsidRPr="005E0BE0" w:rsidR="00111B08">
        <w:t>based and resold</w:t>
      </w:r>
      <w:r w:rsidRPr="005E0BE0" w:rsidR="00111B08">
        <w:rPr>
          <w:b/>
        </w:rPr>
        <w:t xml:space="preserve"> </w:t>
      </w:r>
      <w:r w:rsidRPr="005E0BE0" w:rsidR="00111B08">
        <w:t>competitive</w:t>
      </w:r>
      <w:r w:rsidRPr="005E0BE0" w:rsidR="00111B08">
        <w:rPr>
          <w:b/>
        </w:rPr>
        <w:t xml:space="preserve"> </w:t>
      </w:r>
      <w:r w:rsidRPr="005E0BE0" w:rsidR="00111B08">
        <w:t>local exchange services and</w:t>
      </w:r>
      <w:r w:rsidRPr="005E0BE0" w:rsidR="00111B08">
        <w:rPr>
          <w:b/>
        </w:rPr>
        <w:t xml:space="preserve"> </w:t>
      </w:r>
      <w:r w:rsidRPr="005E0BE0" w:rsidR="00111B08">
        <w:t>full facilities</w:t>
      </w:r>
      <w:r w:rsidR="00111B08">
        <w:t>-</w:t>
      </w:r>
      <w:r w:rsidRPr="005E0BE0" w:rsidR="00111B08">
        <w:t>based interexchange services in California</w:t>
      </w:r>
      <w:r w:rsidRPr="005E0BE0" w:rsidR="00111B08">
        <w:rPr>
          <w:b/>
        </w:rPr>
        <w:t xml:space="preserve"> </w:t>
      </w:r>
      <w:r w:rsidRPr="005E0BE0" w:rsidR="00111B08">
        <w:t>subject to the terms and conditions set forth in the Ordering Paragraphs.</w:t>
      </w:r>
    </w:p>
    <w:p w:rsidRPr="005E0BE0" w:rsidR="00FE6739" w:rsidP="00111B08" w:rsidRDefault="00FE6739" w14:paraId="7BFAE886" w14:textId="7C5A8D51">
      <w:pPr>
        <w:pStyle w:val="standard0"/>
      </w:pPr>
      <w:r>
        <w:t>This proceeding is closed.</w:t>
      </w:r>
    </w:p>
    <w:p w:rsidRPr="005E0BE0" w:rsidR="00111B08" w:rsidP="008A41DA" w:rsidRDefault="00111B08" w14:paraId="00149E31" w14:textId="55AA7832">
      <w:pPr>
        <w:pStyle w:val="Heading1"/>
        <w:keepNext w:val="0"/>
        <w:keepLines w:val="0"/>
        <w:numPr>
          <w:ilvl w:val="0"/>
          <w:numId w:val="25"/>
        </w:numPr>
        <w:spacing w:before="120"/>
        <w:ind w:left="360"/>
      </w:pPr>
      <w:bookmarkStart w:name="_Toc335049168" w:id="5"/>
      <w:bookmarkStart w:name="_Toc41486881" w:id="6"/>
      <w:r w:rsidRPr="005E0BE0">
        <w:t>Background</w:t>
      </w:r>
      <w:bookmarkEnd w:id="5"/>
      <w:bookmarkEnd w:id="6"/>
    </w:p>
    <w:p w:rsidRPr="005E0BE0" w:rsidR="00111B08" w:rsidP="00111B08" w:rsidRDefault="00111B08" w14:paraId="32057D57" w14:textId="10705E40">
      <w:pPr>
        <w:pStyle w:val="standard0"/>
      </w:pPr>
      <w:r w:rsidRPr="005E0BE0">
        <w:t xml:space="preserve">On January </w:t>
      </w:r>
      <w:r w:rsidR="006B2248">
        <w:t>31</w:t>
      </w:r>
      <w:r w:rsidRPr="005E0BE0">
        <w:t>, 20</w:t>
      </w:r>
      <w:r w:rsidR="006B2248">
        <w:t>20</w:t>
      </w:r>
      <w:r w:rsidRPr="005E0BE0">
        <w:t xml:space="preserve">, </w:t>
      </w:r>
      <w:r w:rsidR="006B2248">
        <w:t>Velocity Fiber</w:t>
      </w:r>
      <w:r w:rsidRPr="005E0BE0">
        <w:t>, LLC</w:t>
      </w:r>
      <w:r>
        <w:t>,</w:t>
      </w:r>
      <w:r w:rsidRPr="005E0BE0">
        <w:t xml:space="preserve"> (</w:t>
      </w:r>
      <w:r w:rsidR="006B2248">
        <w:t>Velocity</w:t>
      </w:r>
      <w:r w:rsidRPr="005E0BE0">
        <w:t>),</w:t>
      </w:r>
      <w:r w:rsidRPr="005E0BE0">
        <w:rPr>
          <w:b/>
        </w:rPr>
        <w:t xml:space="preserve"> </w:t>
      </w:r>
      <w:r w:rsidRPr="005E0BE0">
        <w:t xml:space="preserve">a </w:t>
      </w:r>
      <w:r w:rsidR="00BE7368">
        <w:t>Kansas</w:t>
      </w:r>
      <w:r w:rsidRPr="005E0BE0">
        <w:t xml:space="preserve"> limited liability co</w:t>
      </w:r>
      <w:r w:rsidR="003A73D7">
        <w:t>mpany</w:t>
      </w:r>
      <w:r w:rsidRPr="005E0BE0">
        <w:t xml:space="preserve"> qualified to do business in California, filed an </w:t>
      </w:r>
      <w:r w:rsidR="00432E3B">
        <w:t>a</w:t>
      </w:r>
      <w:r w:rsidR="004527BE">
        <w:t>pplication</w:t>
      </w:r>
      <w:r w:rsidRPr="005E0BE0">
        <w:t xml:space="preserve"> </w:t>
      </w:r>
      <w:r w:rsidR="003A73D7">
        <w:t xml:space="preserve">with the California Public Utilities Commission (Commission) </w:t>
      </w:r>
      <w:r w:rsidRPr="005E0BE0">
        <w:t>for a certificate of public convenience and necessity (CPCN)</w:t>
      </w:r>
      <w:r w:rsidR="00AC5896">
        <w:t xml:space="preserve">. </w:t>
      </w:r>
      <w:r w:rsidR="00B22017">
        <w:t xml:space="preserve"> </w:t>
      </w:r>
      <w:r w:rsidR="00A7797E">
        <w:t xml:space="preserve">An </w:t>
      </w:r>
      <w:r w:rsidR="00157610">
        <w:t>A</w:t>
      </w:r>
      <w:r w:rsidR="00432E3B">
        <w:t>dministrative Law Judge’s</w:t>
      </w:r>
      <w:r w:rsidR="00157610">
        <w:t xml:space="preserve"> </w:t>
      </w:r>
      <w:r w:rsidR="00B751B6">
        <w:t xml:space="preserve">(ALJ) </w:t>
      </w:r>
      <w:r w:rsidR="00157610">
        <w:t xml:space="preserve">Ruling </w:t>
      </w:r>
      <w:r w:rsidR="007B5691">
        <w:t xml:space="preserve">(Ruling) </w:t>
      </w:r>
      <w:r w:rsidR="00A7797E">
        <w:t xml:space="preserve">filed on March 18, 2020 </w:t>
      </w:r>
      <w:r w:rsidR="00157610">
        <w:t xml:space="preserve">directed Velocity to provide additional information regarding its </w:t>
      </w:r>
      <w:r w:rsidR="00432E3B">
        <w:t>a</w:t>
      </w:r>
      <w:r w:rsidR="004527BE">
        <w:t>pplication</w:t>
      </w:r>
      <w:r w:rsidR="00157610">
        <w:t>.</w:t>
      </w:r>
      <w:r w:rsidR="00B22017">
        <w:t xml:space="preserve"> </w:t>
      </w:r>
      <w:r w:rsidR="00157610">
        <w:t xml:space="preserve"> </w:t>
      </w:r>
      <w:r w:rsidR="00760B88">
        <w:t>On April 9, 2020, Velocity filed its response to the</w:t>
      </w:r>
      <w:r w:rsidR="00157610">
        <w:t xml:space="preserve"> Ruling </w:t>
      </w:r>
      <w:r w:rsidR="00A7797E">
        <w:t>that contained the</w:t>
      </w:r>
      <w:r w:rsidR="00760B88">
        <w:t xml:space="preserve"> additional information </w:t>
      </w:r>
      <w:r w:rsidR="00157610">
        <w:t xml:space="preserve">requested by the Commission and clarified that </w:t>
      </w:r>
      <w:r w:rsidR="00AC5896">
        <w:t>Velocity proposes</w:t>
      </w:r>
      <w:r w:rsidRPr="005E0BE0">
        <w:t xml:space="preserve"> to provide full facilities</w:t>
      </w:r>
      <w:r w:rsidR="00B22017">
        <w:noBreakHyphen/>
      </w:r>
      <w:r w:rsidRPr="005E0BE0">
        <w:t>based and resold</w:t>
      </w:r>
      <w:r w:rsidRPr="005E0BE0">
        <w:rPr>
          <w:b/>
        </w:rPr>
        <w:t xml:space="preserve"> </w:t>
      </w:r>
      <w:r w:rsidRPr="005E0BE0">
        <w:t>competitive</w:t>
      </w:r>
      <w:r w:rsidRPr="005E0BE0">
        <w:rPr>
          <w:b/>
        </w:rPr>
        <w:t xml:space="preserve"> </w:t>
      </w:r>
      <w:r w:rsidRPr="005E0BE0">
        <w:t xml:space="preserve">local exchange services </w:t>
      </w:r>
      <w:r w:rsidR="00AC5896">
        <w:t xml:space="preserve">in the service territories </w:t>
      </w:r>
      <w:r w:rsidR="00A40BF0">
        <w:t xml:space="preserve">in California </w:t>
      </w:r>
      <w:r w:rsidR="00484CF9">
        <w:t>of</w:t>
      </w:r>
      <w:r w:rsidRPr="005E0BE0">
        <w:t xml:space="preserve"> Pacific Bell Telephone Company</w:t>
      </w:r>
      <w:r w:rsidR="00AC5896">
        <w:t xml:space="preserve"> d</w:t>
      </w:r>
      <w:r w:rsidR="00484CF9">
        <w:t>oing business as</w:t>
      </w:r>
      <w:r w:rsidR="00AC5896">
        <w:t xml:space="preserve"> AT&amp;T California</w:t>
      </w:r>
      <w:r w:rsidRPr="005E0BE0">
        <w:t xml:space="preserve">, </w:t>
      </w:r>
      <w:r w:rsidR="00A40BF0">
        <w:t>Frontier California, Inc.</w:t>
      </w:r>
      <w:r w:rsidRPr="005E0BE0">
        <w:t xml:space="preserve">, </w:t>
      </w:r>
      <w:r w:rsidR="00A40BF0">
        <w:t xml:space="preserve">Citizens Telecommunications Company of California, Inc., Frontier Communications of the Southwest, Inc., </w:t>
      </w:r>
      <w:r w:rsidR="00A40BF0">
        <w:lastRenderedPageBreak/>
        <w:t>and Consolidated Communications of California Company,</w:t>
      </w:r>
      <w:r w:rsidRPr="005E0BE0">
        <w:t xml:space="preserve"> and</w:t>
      </w:r>
      <w:r w:rsidRPr="005E0BE0">
        <w:rPr>
          <w:b/>
        </w:rPr>
        <w:t xml:space="preserve"> </w:t>
      </w:r>
      <w:r w:rsidRPr="005E0BE0">
        <w:t>full facilities</w:t>
      </w:r>
      <w:r w:rsidRPr="005E0BE0">
        <w:noBreakHyphen/>
        <w:t xml:space="preserve">based interexchange services </w:t>
      </w:r>
      <w:r w:rsidR="00A40BF0">
        <w:t>throughout</w:t>
      </w:r>
      <w:r w:rsidRPr="005E0BE0">
        <w:t xml:space="preserve"> California.</w:t>
      </w:r>
      <w:r w:rsidR="00A7797E">
        <w:rPr>
          <w:rStyle w:val="FootnoteReference"/>
        </w:rPr>
        <w:footnoteReference w:id="2"/>
      </w:r>
    </w:p>
    <w:p w:rsidRPr="005E0BE0" w:rsidR="00111B08" w:rsidP="00111B08" w:rsidRDefault="00A7797E" w14:paraId="17A64DA6" w14:textId="16DDBE4C">
      <w:pPr>
        <w:pStyle w:val="standard0"/>
      </w:pPr>
      <w:r>
        <w:t xml:space="preserve">In its </w:t>
      </w:r>
      <w:r w:rsidR="004527BE">
        <w:t>Application</w:t>
      </w:r>
      <w:r>
        <w:t xml:space="preserve">, </w:t>
      </w:r>
      <w:r w:rsidR="006B2248">
        <w:t>Velocity</w:t>
      </w:r>
      <w:r w:rsidRPr="005E0BE0" w:rsidR="00111B08">
        <w:t xml:space="preserve"> proposes to </w:t>
      </w:r>
      <w:r w:rsidR="00D32686">
        <w:t>construct aerial and underground fiber optic wide area networks for businesses, school districts, and other governmental entities. Velocity proposes to build, own, and operate those networks and lease them to customers for a fixed term.</w:t>
      </w:r>
      <w:r w:rsidRPr="005E0BE0" w:rsidR="00111B08">
        <w:t xml:space="preserve">  </w:t>
      </w:r>
    </w:p>
    <w:p w:rsidRPr="005E0BE0" w:rsidR="00111B08" w:rsidP="00111B08" w:rsidRDefault="006B2248" w14:paraId="61FD8EA7" w14:textId="07D1F806">
      <w:pPr>
        <w:pStyle w:val="standard0"/>
      </w:pPr>
      <w:r>
        <w:t>Velocity</w:t>
      </w:r>
      <w:r w:rsidRPr="005E0BE0" w:rsidR="00111B08">
        <w:t xml:space="preserve">’s principal place of business is located at </w:t>
      </w:r>
      <w:r w:rsidR="00D32686">
        <w:t>13430 West 98</w:t>
      </w:r>
      <w:r w:rsidRPr="00D32686" w:rsidR="00D32686">
        <w:rPr>
          <w:vertAlign w:val="superscript"/>
        </w:rPr>
        <w:t>th</w:t>
      </w:r>
      <w:r w:rsidR="00D32686">
        <w:t xml:space="preserve"> Street, Lenexa, K</w:t>
      </w:r>
      <w:r w:rsidR="001913CB">
        <w:t>ansas</w:t>
      </w:r>
      <w:r w:rsidR="00D32686">
        <w:t xml:space="preserve"> 66215</w:t>
      </w:r>
      <w:r w:rsidRPr="005E0BE0" w:rsidR="00111B08">
        <w:t>.</w:t>
      </w:r>
    </w:p>
    <w:p w:rsidRPr="005E0BE0" w:rsidR="00111B08" w:rsidP="008A41DA" w:rsidRDefault="00111B08" w14:paraId="57568318" w14:textId="1D24BA33">
      <w:pPr>
        <w:pStyle w:val="Heading1"/>
        <w:keepNext w:val="0"/>
        <w:keepLines w:val="0"/>
        <w:numPr>
          <w:ilvl w:val="0"/>
          <w:numId w:val="25"/>
        </w:numPr>
        <w:ind w:left="360"/>
      </w:pPr>
      <w:bookmarkStart w:name="_Toc41486882" w:id="7"/>
      <w:r w:rsidRPr="005E0BE0">
        <w:t>Jurisdiction</w:t>
      </w:r>
      <w:bookmarkEnd w:id="7"/>
    </w:p>
    <w:p w:rsidR="001913CB" w:rsidP="001315C7" w:rsidRDefault="001315C7" w14:paraId="5B9F7032" w14:textId="77777777">
      <w:pPr>
        <w:pStyle w:val="standard0"/>
      </w:pPr>
      <w:r>
        <w:t xml:space="preserve">Under </w:t>
      </w:r>
      <w:r w:rsidR="00DA4F99">
        <w:t>Pub</w:t>
      </w:r>
      <w:r w:rsidR="00043204">
        <w:t>lic</w:t>
      </w:r>
      <w:r w:rsidR="00DA4F99">
        <w:t xml:space="preserve"> Util</w:t>
      </w:r>
      <w:r w:rsidR="00043204">
        <w:t>ities (Pub. Util.)</w:t>
      </w:r>
      <w:r>
        <w:t xml:space="preserve"> Code Section 1001, a telephone corporation shall obtain a certificate of public convenience and necessity from the Commission before beginning construction of any line, plant, or system.</w:t>
      </w:r>
      <w:r w:rsidR="00111B08">
        <w:t xml:space="preserve"> </w:t>
      </w:r>
      <w:r w:rsidRPr="005E0BE0" w:rsidR="00111B08">
        <w:t xml:space="preserve"> </w:t>
      </w:r>
      <w:r w:rsidR="00725641">
        <w:t>A</w:t>
      </w:r>
      <w:r w:rsidRPr="005E0BE0" w:rsidR="00725641">
        <w:t xml:space="preserve"> “telephone corporation” is defined in </w:t>
      </w:r>
      <w:r w:rsidR="00DA4F99">
        <w:t>Pub. Util.</w:t>
      </w:r>
      <w:r w:rsidRPr="005E0BE0" w:rsidR="00725641">
        <w:t xml:space="preserve"> Code Section 234(a) as “every corporation or person owning, controlling, operating, or managing any telephone line for compensation within this state.”</w:t>
      </w:r>
      <w:r w:rsidR="00725641">
        <w:t xml:space="preserve"> </w:t>
      </w:r>
      <w:r w:rsidR="006E17A5">
        <w:t>A telephone corporation where the service is performed for the public or any portion of the public is a “public utility” under Pub</w:t>
      </w:r>
      <w:r w:rsidR="00043204">
        <w:t>.</w:t>
      </w:r>
      <w:r w:rsidR="006E17A5">
        <w:t xml:space="preserve"> Util</w:t>
      </w:r>
      <w:r w:rsidR="00043204">
        <w:t>.</w:t>
      </w:r>
      <w:r w:rsidR="006E17A5">
        <w:t xml:space="preserve"> Section 216(a). </w:t>
      </w:r>
    </w:p>
    <w:p w:rsidRPr="005E0BE0" w:rsidR="00111B08" w:rsidP="001315C7" w:rsidRDefault="00111B08" w14:paraId="11691094" w14:textId="7FBB1DE6">
      <w:pPr>
        <w:pStyle w:val="standard0"/>
      </w:pPr>
      <w:r w:rsidRPr="005E0BE0">
        <w:t xml:space="preserve">In its </w:t>
      </w:r>
      <w:r w:rsidR="004527BE">
        <w:t>Application</w:t>
      </w:r>
      <w:r w:rsidRPr="005E0BE0">
        <w:t xml:space="preserve">, </w:t>
      </w:r>
      <w:r w:rsidR="006B2248">
        <w:t>Velocity</w:t>
      </w:r>
      <w:r w:rsidRPr="005E0BE0">
        <w:t xml:space="preserve"> </w:t>
      </w:r>
      <w:r w:rsidR="001315C7">
        <w:t>proposes to construct</w:t>
      </w:r>
      <w:r w:rsidR="00725641">
        <w:t>, own, and operate</w:t>
      </w:r>
      <w:r w:rsidR="001315C7">
        <w:t xml:space="preserve"> fiber optic networks and seeks authority </w:t>
      </w:r>
      <w:r w:rsidR="00E9674B">
        <w:t>to operate as a provider of full facilities</w:t>
      </w:r>
      <w:r w:rsidR="0036691A">
        <w:noBreakHyphen/>
      </w:r>
      <w:r w:rsidR="00E9674B">
        <w:t xml:space="preserve">based and resold competitive local exchange and interexchange services </w:t>
      </w:r>
      <w:r w:rsidR="001315C7">
        <w:t xml:space="preserve">under </w:t>
      </w:r>
      <w:r w:rsidR="00DA4F99">
        <w:t>Pub. Util.</w:t>
      </w:r>
      <w:r w:rsidR="001315C7">
        <w:t xml:space="preserve"> Code Section 1001 and the Rules of Practice and Procedure of the Commission</w:t>
      </w:r>
      <w:r w:rsidR="00E9674B">
        <w:t>.</w:t>
      </w:r>
      <w:r w:rsidR="000D1817">
        <w:t xml:space="preserve"> </w:t>
      </w:r>
      <w:r w:rsidR="00E9674B">
        <w:t xml:space="preserve"> Therefore, </w:t>
      </w:r>
      <w:r w:rsidR="006E17A5">
        <w:t xml:space="preserve">Velocity is a telephone corporation and a public utility, and </w:t>
      </w:r>
      <w:r w:rsidR="00E9674B">
        <w:t xml:space="preserve">the Commission has jurisdiction regarding Velocity’s </w:t>
      </w:r>
      <w:r w:rsidR="004527BE">
        <w:t>Application</w:t>
      </w:r>
      <w:r w:rsidR="00E9674B">
        <w:t>.</w:t>
      </w:r>
    </w:p>
    <w:p w:rsidRPr="005E0BE0" w:rsidR="00111B08" w:rsidP="00914DE6" w:rsidRDefault="00111B08" w14:paraId="06ADBE35" w14:textId="2507FCF6">
      <w:pPr>
        <w:pStyle w:val="Heading1"/>
        <w:numPr>
          <w:ilvl w:val="0"/>
          <w:numId w:val="25"/>
        </w:numPr>
        <w:spacing w:before="120"/>
        <w:ind w:left="360"/>
      </w:pPr>
      <w:bookmarkStart w:name="_Toc41486883" w:id="8"/>
      <w:bookmarkStart w:name="_Toc335049171" w:id="9"/>
      <w:r w:rsidRPr="005E0BE0">
        <w:lastRenderedPageBreak/>
        <w:t>California Environmental Quality Act</w:t>
      </w:r>
      <w:bookmarkEnd w:id="8"/>
      <w:r w:rsidRPr="005E0BE0">
        <w:t xml:space="preserve"> </w:t>
      </w:r>
      <w:bookmarkEnd w:id="9"/>
    </w:p>
    <w:p w:rsidRPr="005E0BE0" w:rsidR="00111B08" w:rsidP="00914DE6" w:rsidRDefault="002943DD" w14:paraId="5266B2D2" w14:textId="1C46FA30">
      <w:pPr>
        <w:pStyle w:val="standard0"/>
        <w:keepNext/>
        <w:keepLines/>
      </w:pPr>
      <w:r>
        <w:t xml:space="preserve">The </w:t>
      </w:r>
      <w:r w:rsidRPr="005E0BE0" w:rsidR="00111B08">
        <w:t>California Environmental Quality Act (CEQA)</w:t>
      </w:r>
      <w:r w:rsidR="00111B08">
        <w:rPr>
          <w:rStyle w:val="FootnoteReference"/>
          <w:rFonts w:eastAsiaTheme="majorEastAsia"/>
        </w:rPr>
        <w:footnoteReference w:id="3"/>
      </w:r>
      <w:r w:rsidRPr="005E0BE0" w:rsidR="00111B08">
        <w:t xml:space="preserve"> and Rule 2.4 of the Commission’s Rules of Practice and Procedure</w:t>
      </w:r>
      <w:r w:rsidRPr="005E0BE0" w:rsidR="00111B08">
        <w:rPr>
          <w:rStyle w:val="FootnoteReference"/>
          <w:rFonts w:eastAsiaTheme="majorEastAsia"/>
        </w:rPr>
        <w:footnoteReference w:id="4"/>
      </w:r>
      <w:r w:rsidR="00111B08">
        <w:t xml:space="preserve"> require</w:t>
      </w:r>
      <w:r w:rsidRPr="005E0BE0" w:rsidR="00111B08">
        <w:t xml:space="preserve"> </w:t>
      </w:r>
      <w:r w:rsidR="004761CB">
        <w:t xml:space="preserve">that </w:t>
      </w:r>
      <w:r w:rsidRPr="005E0BE0" w:rsidR="00111B08">
        <w:t xml:space="preserve">the Commission examine projects to determine any potential environmental impacts in order that adverse effects are avoided and environmental quality is restored or enhanced to the fullest extent possible.  </w:t>
      </w:r>
    </w:p>
    <w:p w:rsidRPr="005E0BE0" w:rsidR="00111B08" w:rsidP="00111B08" w:rsidRDefault="006B2248" w14:paraId="48E70BA3" w14:textId="19EB972B">
      <w:pPr>
        <w:pStyle w:val="standard0"/>
      </w:pPr>
      <w:r>
        <w:t>Velocity</w:t>
      </w:r>
      <w:r w:rsidRPr="005E0BE0" w:rsidR="00111B08">
        <w:t xml:space="preserve">’s </w:t>
      </w:r>
      <w:r w:rsidR="004527BE">
        <w:t>Application</w:t>
      </w:r>
      <w:r w:rsidR="00111B08">
        <w:t xml:space="preserve"> states </w:t>
      </w:r>
      <w:r w:rsidR="004761CB">
        <w:t xml:space="preserve">that </w:t>
      </w:r>
      <w:r w:rsidR="00111B08">
        <w:t xml:space="preserve">its </w:t>
      </w:r>
      <w:r w:rsidRPr="005E0BE0" w:rsidR="00111B08">
        <w:t xml:space="preserve">proposed construction activities will include the installation of </w:t>
      </w:r>
      <w:r w:rsidRPr="005E0BE0" w:rsidR="00111B08">
        <w:rPr>
          <w:rStyle w:val="PageNumber"/>
        </w:rPr>
        <w:t>fiber and related facilities and electronics in public rights</w:t>
      </w:r>
      <w:r w:rsidR="00111B08">
        <w:rPr>
          <w:rStyle w:val="PageNumber"/>
        </w:rPr>
        <w:t>-</w:t>
      </w:r>
      <w:r w:rsidRPr="005E0BE0" w:rsidR="00111B08">
        <w:rPr>
          <w:rStyle w:val="PageNumber"/>
        </w:rPr>
        <w:t>of</w:t>
      </w:r>
      <w:r w:rsidR="00111B08">
        <w:rPr>
          <w:rStyle w:val="PageNumber"/>
        </w:rPr>
        <w:t>-</w:t>
      </w:r>
      <w:r w:rsidRPr="005E0BE0" w:rsidR="00111B08">
        <w:rPr>
          <w:rStyle w:val="PageNumber"/>
        </w:rPr>
        <w:t xml:space="preserve">way. </w:t>
      </w:r>
      <w:r w:rsidR="00111B08">
        <w:rPr>
          <w:rStyle w:val="PageNumber"/>
        </w:rPr>
        <w:t xml:space="preserve"> </w:t>
      </w:r>
      <w:r w:rsidRPr="005E0BE0" w:rsidR="00111B08">
        <w:rPr>
          <w:rStyle w:val="PageNumber"/>
        </w:rPr>
        <w:t xml:space="preserve">Where there are no existing available conduits or other suitable facilities in place, </w:t>
      </w:r>
      <w:r w:rsidR="004761CB">
        <w:rPr>
          <w:rStyle w:val="PageNumber"/>
        </w:rPr>
        <w:t>Velocity</w:t>
      </w:r>
      <w:r w:rsidRPr="005E0BE0" w:rsidR="00111B08">
        <w:rPr>
          <w:rStyle w:val="PageNumber"/>
        </w:rPr>
        <w:t xml:space="preserve"> will install its own conduits and other necessary facilities in public rights</w:t>
      </w:r>
      <w:r w:rsidR="00111B08">
        <w:rPr>
          <w:rStyle w:val="PageNumber"/>
        </w:rPr>
        <w:t>-</w:t>
      </w:r>
      <w:r w:rsidRPr="005E0BE0" w:rsidR="00111B08">
        <w:rPr>
          <w:rStyle w:val="PageNumber"/>
        </w:rPr>
        <w:t>of</w:t>
      </w:r>
      <w:r w:rsidR="00111B08">
        <w:rPr>
          <w:rStyle w:val="PageNumber"/>
        </w:rPr>
        <w:t>-</w:t>
      </w:r>
      <w:r w:rsidRPr="005E0BE0" w:rsidR="00111B08">
        <w:rPr>
          <w:rStyle w:val="PageNumber"/>
        </w:rPr>
        <w:t xml:space="preserve">way and on existing utility easements or utility poles.  </w:t>
      </w:r>
      <w:r w:rsidRPr="005E0BE0" w:rsidR="00111B08">
        <w:t>These construction activities may, depending on the location and the nature of the facilities, require trenching, micro</w:t>
      </w:r>
      <w:r w:rsidR="004761CB">
        <w:t>-</w:t>
      </w:r>
      <w:r w:rsidRPr="005E0BE0" w:rsidR="00111B08">
        <w:t xml:space="preserve">trenching, or boring.  In addition, </w:t>
      </w:r>
      <w:r w:rsidR="004761CB">
        <w:t>Velocity</w:t>
      </w:r>
      <w:r w:rsidRPr="005E0BE0" w:rsidR="00111B08">
        <w:t xml:space="preserve"> may install facilities in these areas, including small structures, vaults, hand holes, poles, small cabinets, and associated facilities and equipment.  </w:t>
      </w:r>
      <w:r w:rsidR="004761CB">
        <w:t xml:space="preserve">Velocity’s </w:t>
      </w:r>
      <w:r w:rsidR="004527BE">
        <w:t>Application</w:t>
      </w:r>
      <w:r w:rsidR="004761CB">
        <w:t xml:space="preserve"> further states that these activities will</w:t>
      </w:r>
      <w:r w:rsidRPr="005E0BE0" w:rsidR="00111B08">
        <w:t xml:space="preserve"> take place in areas generally along public roads and street</w:t>
      </w:r>
      <w:r w:rsidR="004761CB">
        <w:t>s</w:t>
      </w:r>
      <w:r w:rsidRPr="005E0BE0" w:rsidR="00111B08">
        <w:t xml:space="preserve"> or existing utility rights-of-way where ground</w:t>
      </w:r>
      <w:r w:rsidR="00B22017">
        <w:noBreakHyphen/>
      </w:r>
      <w:r w:rsidRPr="005E0BE0" w:rsidR="00111B08">
        <w:t xml:space="preserve">disturbing construction has previously occurred. </w:t>
      </w:r>
    </w:p>
    <w:p w:rsidRPr="005E0BE0" w:rsidR="00111B08" w:rsidP="00111B08" w:rsidRDefault="006B2248" w14:paraId="62B654E3" w14:textId="2BFCFAAF">
      <w:pPr>
        <w:pStyle w:val="standard0"/>
      </w:pPr>
      <w:r>
        <w:t>Velocity</w:t>
      </w:r>
      <w:r w:rsidR="00111B08">
        <w:t xml:space="preserve"> contends </w:t>
      </w:r>
      <w:r w:rsidR="00AD3F15">
        <w:t xml:space="preserve">that </w:t>
      </w:r>
      <w:r w:rsidR="00111B08">
        <w:t>these</w:t>
      </w:r>
      <w:r w:rsidRPr="005E0BE0" w:rsidR="00111B08">
        <w:t xml:space="preserve"> </w:t>
      </w:r>
      <w:r w:rsidR="00AD3F15">
        <w:t xml:space="preserve">construction </w:t>
      </w:r>
      <w:r w:rsidRPr="005E0BE0" w:rsidR="00111B08">
        <w:t xml:space="preserve">activities fall within </w:t>
      </w:r>
      <w:r w:rsidR="00AD3F15">
        <w:t>one or more of the following categorical exemptions</w:t>
      </w:r>
      <w:r w:rsidRPr="005E0BE0" w:rsidR="00111B08">
        <w:t xml:space="preserve"> from CEQA</w:t>
      </w:r>
      <w:r w:rsidR="00AD3F15">
        <w:t>,</w:t>
      </w:r>
      <w:r w:rsidRPr="005E0BE0" w:rsidR="00111B08">
        <w:t xml:space="preserve"> and therefore neither an Environmental Impact Report nor a Negative Declaration is required</w:t>
      </w:r>
      <w:r w:rsidR="00AD3F15">
        <w:t>:</w:t>
      </w:r>
    </w:p>
    <w:p w:rsidRPr="005E0BE0" w:rsidR="00111B08" w:rsidP="008A41DA" w:rsidRDefault="00111B08" w14:paraId="07E37F28" w14:textId="12A7F93A">
      <w:pPr>
        <w:pStyle w:val="sub1"/>
        <w:numPr>
          <w:ilvl w:val="0"/>
          <w:numId w:val="13"/>
        </w:numPr>
        <w:tabs>
          <w:tab w:val="clear" w:pos="1440"/>
        </w:tabs>
        <w:spacing w:after="120" w:line="240" w:lineRule="auto"/>
        <w:ind w:left="1080" w:right="1440"/>
      </w:pPr>
      <w:r w:rsidRPr="005E0BE0">
        <w:t>Class 3 Exemption:  construction and location of limited numbers of new, small facilities or structures</w:t>
      </w:r>
      <w:r w:rsidR="00AD3F15">
        <w:t xml:space="preserve"> and</w:t>
      </w:r>
      <w:r w:rsidRPr="005E0BE0">
        <w:t xml:space="preserve"> </w:t>
      </w:r>
      <w:r w:rsidRPr="005E0BE0">
        <w:lastRenderedPageBreak/>
        <w:t>installation of small new equipment and facilities in small structures</w:t>
      </w:r>
      <w:r w:rsidR="00AD3F15">
        <w:t>, including</w:t>
      </w:r>
      <w:r w:rsidRPr="005E0BE0">
        <w:t xml:space="preserve"> water main, sewage, electrical, gas and other utility extensions of reasonable length to serve such construction.</w:t>
      </w:r>
      <w:r w:rsidR="00455C86">
        <w:rPr>
          <w:rStyle w:val="FootnoteReference"/>
        </w:rPr>
        <w:footnoteReference w:id="5"/>
      </w:r>
    </w:p>
    <w:p w:rsidRPr="005E0BE0" w:rsidR="00111B08" w:rsidP="008A41DA" w:rsidRDefault="00111B08" w14:paraId="3D91CA38" w14:textId="6E599139">
      <w:pPr>
        <w:pStyle w:val="sub1"/>
        <w:numPr>
          <w:ilvl w:val="0"/>
          <w:numId w:val="13"/>
        </w:numPr>
        <w:tabs>
          <w:tab w:val="clear" w:pos="1440"/>
        </w:tabs>
        <w:spacing w:after="160" w:line="240" w:lineRule="auto"/>
        <w:ind w:left="1080" w:right="1440"/>
      </w:pPr>
      <w:r w:rsidRPr="005E0BE0">
        <w:t>Class 4 Exemption: minor public or private alterations in the condition of land, water, and/or vegetation which do not involve removal of healthy, mature, scenic trees except for forestry and agricultural purpo</w:t>
      </w:r>
      <w:r w:rsidR="00455C86">
        <w:t>ses, including</w:t>
      </w:r>
      <w:r w:rsidRPr="005E0BE0">
        <w:t xml:space="preserve"> the filling of earth into previously excavated land with material compatible with the natural features of the site and minor trenching and backfilling where the surface is restored.</w:t>
      </w:r>
      <w:r w:rsidR="00455C86">
        <w:rPr>
          <w:rStyle w:val="FootnoteReference"/>
        </w:rPr>
        <w:footnoteReference w:id="6"/>
      </w:r>
      <w:r w:rsidRPr="005E0BE0">
        <w:t xml:space="preserve"> </w:t>
      </w:r>
    </w:p>
    <w:p w:rsidRPr="005E0BE0" w:rsidR="00111B08" w:rsidP="008A41DA" w:rsidRDefault="00111B08" w14:paraId="1D079206" w14:textId="4E9A3E29">
      <w:pPr>
        <w:pStyle w:val="sub1"/>
        <w:numPr>
          <w:ilvl w:val="0"/>
          <w:numId w:val="13"/>
        </w:numPr>
        <w:tabs>
          <w:tab w:val="clear" w:pos="1440"/>
        </w:tabs>
        <w:spacing w:after="160" w:line="240" w:lineRule="auto"/>
        <w:ind w:left="1080" w:right="1440"/>
      </w:pPr>
      <w:r w:rsidRPr="005E0BE0">
        <w:t>Class 32 Exemption:</w:t>
      </w:r>
      <w:r>
        <w:t xml:space="preserve"> </w:t>
      </w:r>
      <w:r w:rsidRPr="005E0BE0">
        <w:t xml:space="preserve"> in-fill development </w:t>
      </w:r>
      <w:r>
        <w:t xml:space="preserve"> </w:t>
      </w:r>
      <w:r w:rsidRPr="005E0BE0">
        <w:t>(a) consistent with the applicable general plan designation and all applicable general plan policies and applicable zoning designation and regulations</w:t>
      </w:r>
      <w:r w:rsidR="00455C86">
        <w:t>,</w:t>
      </w:r>
      <w:r w:rsidRPr="005E0BE0">
        <w:t xml:space="preserve"> (b) </w:t>
      </w:r>
      <w:r w:rsidR="00455C86">
        <w:t xml:space="preserve">that </w:t>
      </w:r>
      <w:r w:rsidRPr="005E0BE0">
        <w:t>occurs within city limits on a project site of no more than five acres substantially surrounded by urban uses</w:t>
      </w:r>
      <w:r w:rsidR="00455C86">
        <w:t>,</w:t>
      </w:r>
      <w:r w:rsidRPr="005E0BE0">
        <w:t xml:space="preserve"> (c) </w:t>
      </w:r>
      <w:r w:rsidR="00455C86">
        <w:t xml:space="preserve">for a project </w:t>
      </w:r>
      <w:r w:rsidRPr="005E0BE0">
        <w:t xml:space="preserve">site </w:t>
      </w:r>
      <w:r w:rsidR="00455C86">
        <w:t xml:space="preserve">that </w:t>
      </w:r>
      <w:r w:rsidRPr="005E0BE0">
        <w:t>has no value as habitat for endangered, rare or threatened species</w:t>
      </w:r>
      <w:r w:rsidR="00455C86">
        <w:t>,</w:t>
      </w:r>
      <w:r w:rsidRPr="005E0BE0">
        <w:t xml:space="preserve"> (d) </w:t>
      </w:r>
      <w:r w:rsidR="00455C86">
        <w:t xml:space="preserve">that </w:t>
      </w:r>
      <w:r w:rsidRPr="005E0BE0">
        <w:t>would not result in significant effects relating to traffic, noise, air quality, or water quality</w:t>
      </w:r>
      <w:r w:rsidR="003E20A2">
        <w:t>,</w:t>
      </w:r>
      <w:r w:rsidRPr="005E0BE0">
        <w:t xml:space="preserve"> and (e) </w:t>
      </w:r>
      <w:r w:rsidR="003E20A2">
        <w:t xml:space="preserve">for a </w:t>
      </w:r>
      <w:r w:rsidRPr="005E0BE0">
        <w:t xml:space="preserve">site </w:t>
      </w:r>
      <w:r w:rsidR="003E20A2">
        <w:t xml:space="preserve">that </w:t>
      </w:r>
      <w:r w:rsidRPr="005E0BE0">
        <w:t>can be adequately served by all required utilities and public services.</w:t>
      </w:r>
      <w:r w:rsidR="003E20A2">
        <w:rPr>
          <w:rStyle w:val="FootnoteReference"/>
        </w:rPr>
        <w:footnoteReference w:id="7"/>
      </w:r>
    </w:p>
    <w:p w:rsidRPr="005E0BE0" w:rsidR="00111B08" w:rsidP="002A01E1" w:rsidRDefault="006B2248" w14:paraId="4628D771" w14:textId="7312207C">
      <w:pPr>
        <w:pStyle w:val="standard0"/>
      </w:pPr>
      <w:r>
        <w:t>Velocity</w:t>
      </w:r>
      <w:r w:rsidRPr="005E0BE0" w:rsidR="00111B08">
        <w:t>’s proposed activities in</w:t>
      </w:r>
      <w:r w:rsidR="00130DCB">
        <w:t>clude</w:t>
      </w:r>
      <w:r w:rsidRPr="005E0BE0" w:rsidR="00111B08">
        <w:t xml:space="preserve"> construction </w:t>
      </w:r>
      <w:r w:rsidR="00111B08">
        <w:t xml:space="preserve">of small facilities and utility extensions </w:t>
      </w:r>
      <w:r w:rsidR="00130DCB">
        <w:t xml:space="preserve">that it contends fall within the </w:t>
      </w:r>
      <w:r w:rsidRPr="005E0BE0" w:rsidR="00111B08">
        <w:t>Class 3</w:t>
      </w:r>
      <w:r w:rsidR="00130DCB">
        <w:t xml:space="preserve"> exemption</w:t>
      </w:r>
      <w:r w:rsidRPr="005E0BE0" w:rsidR="00111B08">
        <w:t xml:space="preserve">. </w:t>
      </w:r>
      <w:r w:rsidR="00111B08">
        <w:t xml:space="preserve"> </w:t>
      </w:r>
      <w:r w:rsidR="00130DCB">
        <w:t>However</w:t>
      </w:r>
      <w:r w:rsidRPr="005E0BE0" w:rsidR="00111B08">
        <w:t xml:space="preserve">, </w:t>
      </w:r>
      <w:r>
        <w:t>Velocity</w:t>
      </w:r>
      <w:r w:rsidRPr="005E0BE0" w:rsidR="00111B08">
        <w:t xml:space="preserve"> </w:t>
      </w:r>
      <w:r w:rsidR="002A01E1">
        <w:t xml:space="preserve">does not yet have any customer agreements in California, and therefore it </w:t>
      </w:r>
      <w:r w:rsidRPr="005E0BE0" w:rsidR="00111B08">
        <w:t xml:space="preserve">does not </w:t>
      </w:r>
      <w:r w:rsidR="00130DCB">
        <w:t xml:space="preserve">yet </w:t>
      </w:r>
      <w:r w:rsidRPr="005E0BE0" w:rsidR="00111B08">
        <w:t xml:space="preserve">know where its California </w:t>
      </w:r>
      <w:r w:rsidR="00130DCB">
        <w:t>c</w:t>
      </w:r>
      <w:r w:rsidRPr="005E0BE0" w:rsidR="00111B08">
        <w:t>ustomers will be located and cannot identify where it will place facilities in order to provide its service</w:t>
      </w:r>
      <w:r w:rsidR="00130DCB">
        <w:t>s</w:t>
      </w:r>
      <w:r w:rsidRPr="005E0BE0" w:rsidR="00111B08">
        <w:t xml:space="preserve">. </w:t>
      </w:r>
      <w:r w:rsidR="00111B08">
        <w:t xml:space="preserve"> </w:t>
      </w:r>
      <w:r w:rsidR="00130DCB">
        <w:t>As a result</w:t>
      </w:r>
      <w:r w:rsidRPr="005E0BE0" w:rsidR="00111B08">
        <w:t xml:space="preserve">, </w:t>
      </w:r>
      <w:r w:rsidR="00130DCB">
        <w:t>Velocity</w:t>
      </w:r>
      <w:r w:rsidRPr="005E0BE0" w:rsidR="00111B08">
        <w:t xml:space="preserve"> has not proposed any specific construction </w:t>
      </w:r>
      <w:r w:rsidR="00130DCB">
        <w:t>in</w:t>
      </w:r>
      <w:r w:rsidRPr="005E0BE0" w:rsidR="00111B08">
        <w:t xml:space="preserve"> its </w:t>
      </w:r>
      <w:r w:rsidR="004527BE">
        <w:t>Application</w:t>
      </w:r>
      <w:r w:rsidRPr="005E0BE0" w:rsidR="00111B08">
        <w:t xml:space="preserve">.  </w:t>
      </w:r>
      <w:r w:rsidR="007C7352">
        <w:t>T</w:t>
      </w:r>
      <w:r w:rsidR="002A01E1">
        <w:t>he</w:t>
      </w:r>
      <w:r w:rsidRPr="005E0BE0" w:rsidR="00111B08">
        <w:t xml:space="preserve"> new construction activities </w:t>
      </w:r>
      <w:r w:rsidR="002A01E1">
        <w:t>contemplated by Velocity in the event it enters into</w:t>
      </w:r>
      <w:r w:rsidR="0024203B">
        <w:t xml:space="preserve"> </w:t>
      </w:r>
      <w:r w:rsidR="0024203B">
        <w:lastRenderedPageBreak/>
        <w:t>customer</w:t>
      </w:r>
      <w:r w:rsidR="002A01E1">
        <w:t xml:space="preserve"> agreements </w:t>
      </w:r>
      <w:r w:rsidRPr="005E0BE0" w:rsidR="00111B08">
        <w:t>are similar to th</w:t>
      </w:r>
      <w:r w:rsidR="002A01E1">
        <w:t>e activities</w:t>
      </w:r>
      <w:r w:rsidRPr="005E0BE0" w:rsidR="00111B08">
        <w:t xml:space="preserve"> undertaken by other carriers that </w:t>
      </w:r>
      <w:r w:rsidR="00130DCB">
        <w:t>the Commission has</w:t>
      </w:r>
      <w:r w:rsidRPr="005E0BE0" w:rsidR="00111B08">
        <w:t xml:space="preserve"> decided are categorically exempt from CEQA.</w:t>
      </w:r>
      <w:r w:rsidR="00130DCB">
        <w:rPr>
          <w:rStyle w:val="FootnoteReference"/>
        </w:rPr>
        <w:footnoteReference w:id="8"/>
      </w:r>
    </w:p>
    <w:p w:rsidRPr="005E0BE0" w:rsidR="00111B08" w:rsidP="00111B08" w:rsidRDefault="006B2248" w14:paraId="27DDDE32" w14:textId="357F64D9">
      <w:pPr>
        <w:pStyle w:val="standard0"/>
      </w:pPr>
      <w:r>
        <w:t>Velocity</w:t>
      </w:r>
      <w:r w:rsidRPr="005E0BE0" w:rsidR="00111B08">
        <w:rPr>
          <w:b/>
        </w:rPr>
        <w:t xml:space="preserve"> </w:t>
      </w:r>
      <w:r w:rsidRPr="005E0BE0" w:rsidR="00111B08">
        <w:t>requests approval to utilize a</w:t>
      </w:r>
      <w:r w:rsidR="007C7352">
        <w:t>n expedited review</w:t>
      </w:r>
      <w:r w:rsidRPr="005E0BE0" w:rsidR="00111B08">
        <w:t xml:space="preserve"> procedure of its projects once it is aware of a specific site in which it plans construction.  The proposed procedure tracks the expedited review procedure that we have approved for other carriers.  </w:t>
      </w:r>
      <w:r w:rsidR="0024203B">
        <w:t>This procedure</w:t>
      </w:r>
      <w:r w:rsidRPr="005E0BE0" w:rsidR="00111B08">
        <w:t xml:space="preserve"> expedite</w:t>
      </w:r>
      <w:r w:rsidR="0024203B">
        <w:t>s</w:t>
      </w:r>
      <w:r w:rsidRPr="005E0BE0" w:rsidR="00111B08">
        <w:t xml:space="preserve"> CEQA review and is appropriate for the </w:t>
      </w:r>
      <w:r w:rsidR="0024203B">
        <w:t>construction activities proposed here that</w:t>
      </w:r>
      <w:r w:rsidRPr="005E0BE0" w:rsidR="00111B08">
        <w:t xml:space="preserve"> </w:t>
      </w:r>
      <w:r w:rsidR="0024203B">
        <w:t>are</w:t>
      </w:r>
      <w:r w:rsidRPr="005E0BE0" w:rsidR="00111B08">
        <w:t xml:space="preserve"> </w:t>
      </w:r>
      <w:r w:rsidR="00111B08">
        <w:t xml:space="preserve">likely </w:t>
      </w:r>
      <w:r w:rsidR="0024203B">
        <w:t xml:space="preserve">to </w:t>
      </w:r>
      <w:r w:rsidRPr="005E0BE0" w:rsidR="00111B08">
        <w:t xml:space="preserve">be categorically exempt.  </w:t>
      </w:r>
      <w:r w:rsidR="0024203B">
        <w:t>Although the</w:t>
      </w:r>
      <w:r w:rsidRPr="005E0BE0" w:rsidR="00111B08">
        <w:t xml:space="preserve"> review process</w:t>
      </w:r>
      <w:r w:rsidR="0024203B">
        <w:t xml:space="preserve"> is expedited</w:t>
      </w:r>
      <w:r w:rsidRPr="005E0BE0" w:rsidR="00111B08">
        <w:t xml:space="preserve">, </w:t>
      </w:r>
      <w:r w:rsidR="0024203B">
        <w:t>the Commission will</w:t>
      </w:r>
      <w:r w:rsidRPr="005E0BE0" w:rsidR="00111B08">
        <w:t xml:space="preserve"> </w:t>
      </w:r>
      <w:r w:rsidR="0024203B">
        <w:t>examine</w:t>
      </w:r>
      <w:r w:rsidRPr="005E0BE0" w:rsidR="00111B08">
        <w:t xml:space="preserve"> the information on a specific project to confirm that it is categorically exempt from CEQA or to </w:t>
      </w:r>
      <w:r w:rsidR="0024203B">
        <w:t>determine that</w:t>
      </w:r>
      <w:r w:rsidRPr="005E0BE0" w:rsidR="00111B08">
        <w:t xml:space="preserve"> further environmental review is required.  At the same time, th</w:t>
      </w:r>
      <w:r w:rsidR="0024203B">
        <w:t>is</w:t>
      </w:r>
      <w:r w:rsidRPr="005E0BE0" w:rsidR="00111B08">
        <w:t xml:space="preserve"> proposed CEQA review process will enable </w:t>
      </w:r>
      <w:r>
        <w:t>Velocity</w:t>
      </w:r>
      <w:r w:rsidRPr="005E0BE0" w:rsidR="00111B08">
        <w:rPr>
          <w:b/>
        </w:rPr>
        <w:t xml:space="preserve"> </w:t>
      </w:r>
      <w:r w:rsidRPr="005E0BE0" w:rsidR="00111B08">
        <w:t xml:space="preserve">to undertake construction of </w:t>
      </w:r>
      <w:r w:rsidR="0024203B">
        <w:t>CEQA-exempt</w:t>
      </w:r>
      <w:r w:rsidRPr="005E0BE0" w:rsidR="00111B08">
        <w:t xml:space="preserve"> projects in an efficient manner without experiencing delays caused by an unnecessarily protracted CEQA review.</w:t>
      </w:r>
    </w:p>
    <w:p w:rsidRPr="005E0BE0" w:rsidR="00111B08" w:rsidP="00111B08" w:rsidRDefault="00760B88" w14:paraId="05A1FD55" w14:textId="334B2AEA">
      <w:pPr>
        <w:pStyle w:val="standard0"/>
      </w:pPr>
      <w:r>
        <w:t>T</w:t>
      </w:r>
      <w:r w:rsidRPr="005E0BE0" w:rsidR="00111B08">
        <w:t>he following procedure</w:t>
      </w:r>
      <w:r>
        <w:t>, which is similar to the procedure approved for other carriers,</w:t>
      </w:r>
      <w:r w:rsidRPr="005E0BE0" w:rsidR="00111B08">
        <w:t xml:space="preserve"> will be used to obtain Commission approval of </w:t>
      </w:r>
      <w:r w:rsidR="006B2248">
        <w:t>Velocity</w:t>
      </w:r>
      <w:r w:rsidRPr="005E0BE0" w:rsidR="00111B08">
        <w:t>’s claimed CEQA exemptions for proposed construction projects:</w:t>
      </w:r>
    </w:p>
    <w:p w:rsidRPr="005E0BE0" w:rsidR="00111B08" w:rsidP="008A41DA" w:rsidRDefault="006B2248" w14:paraId="32805F33" w14:textId="5255511D">
      <w:pPr>
        <w:pStyle w:val="Quote1"/>
        <w:numPr>
          <w:ilvl w:val="0"/>
          <w:numId w:val="14"/>
        </w:numPr>
        <w:tabs>
          <w:tab w:val="clear" w:pos="1440"/>
          <w:tab w:val="num" w:pos="1080"/>
        </w:tabs>
        <w:ind w:left="1080"/>
      </w:pPr>
      <w:r>
        <w:t>Velocity</w:t>
      </w:r>
      <w:r w:rsidRPr="005E0BE0" w:rsidR="00111B08">
        <w:rPr>
          <w:b/>
        </w:rPr>
        <w:t xml:space="preserve"> </w:t>
      </w:r>
      <w:r w:rsidRPr="005E0BE0" w:rsidR="00111B08">
        <w:t>will provide the Commission’s Energy Division with:</w:t>
      </w:r>
    </w:p>
    <w:p w:rsidRPr="005E0BE0" w:rsidR="00111B08" w:rsidP="008A41DA" w:rsidRDefault="00111B08" w14:paraId="01D0FFA6" w14:textId="7F7F0365">
      <w:pPr>
        <w:pStyle w:val="Quote1"/>
        <w:numPr>
          <w:ilvl w:val="1"/>
          <w:numId w:val="14"/>
        </w:numPr>
        <w:ind w:left="1620" w:hanging="540"/>
      </w:pPr>
      <w:r w:rsidRPr="005E0BE0">
        <w:t>A detailed description of the proposed project, including:</w:t>
      </w:r>
    </w:p>
    <w:p w:rsidRPr="005E0BE0" w:rsidR="00111B08" w:rsidP="008A41DA" w:rsidRDefault="00111B08" w14:paraId="49EC27CB" w14:textId="77777777">
      <w:pPr>
        <w:pStyle w:val="Quote1"/>
        <w:numPr>
          <w:ilvl w:val="2"/>
          <w:numId w:val="14"/>
        </w:numPr>
        <w:tabs>
          <w:tab w:val="clear" w:pos="2880"/>
        </w:tabs>
        <w:ind w:left="1800"/>
      </w:pPr>
      <w:r w:rsidRPr="005E0BE0">
        <w:t>Customer(s) to be served;</w:t>
      </w:r>
    </w:p>
    <w:p w:rsidRPr="005E0BE0" w:rsidR="00111B08" w:rsidP="008A41DA" w:rsidRDefault="00111B08" w14:paraId="03BF8233" w14:textId="77777777">
      <w:pPr>
        <w:pStyle w:val="Quote1"/>
        <w:numPr>
          <w:ilvl w:val="2"/>
          <w:numId w:val="14"/>
        </w:numPr>
        <w:tabs>
          <w:tab w:val="clear" w:pos="2880"/>
        </w:tabs>
        <w:ind w:left="1800"/>
      </w:pPr>
      <w:r w:rsidRPr="005E0BE0">
        <w:t>The precise location of the proposed construction project; and</w:t>
      </w:r>
    </w:p>
    <w:p w:rsidRPr="005E0BE0" w:rsidR="00111B08" w:rsidP="008A41DA" w:rsidRDefault="00111B08" w14:paraId="64F294C6" w14:textId="77777777">
      <w:pPr>
        <w:pStyle w:val="Quote1"/>
        <w:numPr>
          <w:ilvl w:val="2"/>
          <w:numId w:val="14"/>
        </w:numPr>
        <w:tabs>
          <w:tab w:val="clear" w:pos="2880"/>
        </w:tabs>
        <w:ind w:left="1800"/>
      </w:pPr>
      <w:r w:rsidRPr="005E0BE0">
        <w:t>Regional and local site maps.</w:t>
      </w:r>
    </w:p>
    <w:p w:rsidRPr="005E0BE0" w:rsidR="00111B08" w:rsidP="008A41DA" w:rsidRDefault="00111B08" w14:paraId="49425D40" w14:textId="222118C3">
      <w:pPr>
        <w:pStyle w:val="Quote1"/>
        <w:numPr>
          <w:ilvl w:val="1"/>
          <w:numId w:val="14"/>
        </w:numPr>
        <w:ind w:left="1620" w:hanging="540"/>
      </w:pPr>
      <w:r w:rsidRPr="005E0BE0">
        <w:lastRenderedPageBreak/>
        <w:t xml:space="preserve">A description of the environmental setting, </w:t>
      </w:r>
      <w:r w:rsidR="00760B88">
        <w:t>including</w:t>
      </w:r>
      <w:r w:rsidRPr="005E0BE0">
        <w:t xml:space="preserve"> at a minimum:</w:t>
      </w:r>
    </w:p>
    <w:p w:rsidRPr="005E0BE0" w:rsidR="00111B08" w:rsidP="008A41DA" w:rsidRDefault="00111B08" w14:paraId="12003A9E" w14:textId="77777777">
      <w:pPr>
        <w:pStyle w:val="Quote1"/>
        <w:numPr>
          <w:ilvl w:val="2"/>
          <w:numId w:val="14"/>
        </w:numPr>
        <w:tabs>
          <w:tab w:val="clear" w:pos="2880"/>
        </w:tabs>
        <w:ind w:left="1800"/>
      </w:pPr>
      <w:r w:rsidRPr="005E0BE0">
        <w:t>Cultural, historical, and paleontological resources;</w:t>
      </w:r>
    </w:p>
    <w:p w:rsidRPr="005E0BE0" w:rsidR="00111B08" w:rsidP="008A41DA" w:rsidRDefault="00111B08" w14:paraId="2DD57520" w14:textId="77777777">
      <w:pPr>
        <w:pStyle w:val="Quote1"/>
        <w:numPr>
          <w:ilvl w:val="2"/>
          <w:numId w:val="14"/>
        </w:numPr>
        <w:tabs>
          <w:tab w:val="clear" w:pos="2880"/>
        </w:tabs>
        <w:ind w:left="1800"/>
      </w:pPr>
      <w:r w:rsidRPr="005E0BE0">
        <w:t>Biological resources; and</w:t>
      </w:r>
    </w:p>
    <w:p w:rsidRPr="005E0BE0" w:rsidR="00111B08" w:rsidP="008A41DA" w:rsidRDefault="00111B08" w14:paraId="70FB092A" w14:textId="77777777">
      <w:pPr>
        <w:pStyle w:val="Quote1"/>
        <w:numPr>
          <w:ilvl w:val="2"/>
          <w:numId w:val="14"/>
        </w:numPr>
        <w:tabs>
          <w:tab w:val="clear" w:pos="2880"/>
        </w:tabs>
        <w:ind w:left="1800"/>
      </w:pPr>
      <w:r w:rsidRPr="005E0BE0">
        <w:t>Current land use and zoning.</w:t>
      </w:r>
    </w:p>
    <w:p w:rsidRPr="005E0BE0" w:rsidR="00111B08" w:rsidP="008A41DA" w:rsidRDefault="00111B08" w14:paraId="699B8777" w14:textId="03E4C821">
      <w:pPr>
        <w:pStyle w:val="Quote1"/>
        <w:numPr>
          <w:ilvl w:val="1"/>
          <w:numId w:val="14"/>
        </w:numPr>
        <w:ind w:left="1620" w:hanging="540"/>
      </w:pPr>
      <w:r w:rsidRPr="005E0BE0">
        <w:t xml:space="preserve">A construction workplan, </w:t>
      </w:r>
      <w:r w:rsidR="00760B88">
        <w:t>including</w:t>
      </w:r>
      <w:r w:rsidRPr="005E0BE0">
        <w:t>:</w:t>
      </w:r>
    </w:p>
    <w:p w:rsidRPr="005E0BE0" w:rsidR="00111B08" w:rsidP="008A41DA" w:rsidRDefault="00111B08" w14:paraId="0EA8E023" w14:textId="77777777">
      <w:pPr>
        <w:pStyle w:val="Quote1"/>
        <w:numPr>
          <w:ilvl w:val="2"/>
          <w:numId w:val="14"/>
        </w:numPr>
        <w:tabs>
          <w:tab w:val="clear" w:pos="2880"/>
        </w:tabs>
        <w:ind w:left="1800"/>
      </w:pPr>
      <w:r w:rsidRPr="005E0BE0">
        <w:t>Commission Preconstruction Survey Checklist—Archaeological Resources;</w:t>
      </w:r>
    </w:p>
    <w:p w:rsidRPr="005E0BE0" w:rsidR="00111B08" w:rsidP="008A41DA" w:rsidRDefault="00111B08" w14:paraId="7FAB5483" w14:textId="77777777">
      <w:pPr>
        <w:pStyle w:val="Quote1"/>
        <w:numPr>
          <w:ilvl w:val="2"/>
          <w:numId w:val="14"/>
        </w:numPr>
        <w:tabs>
          <w:tab w:val="clear" w:pos="2880"/>
        </w:tabs>
        <w:ind w:left="1800"/>
      </w:pPr>
      <w:r w:rsidRPr="005E0BE0">
        <w:t>Commission Preconstruction Survey Checklist—Biological Resources;</w:t>
      </w:r>
    </w:p>
    <w:p w:rsidRPr="005E0BE0" w:rsidR="00111B08" w:rsidP="008A41DA" w:rsidRDefault="00111B08" w14:paraId="6AD60F76" w14:textId="77777777">
      <w:pPr>
        <w:pStyle w:val="Quote1"/>
        <w:numPr>
          <w:ilvl w:val="2"/>
          <w:numId w:val="14"/>
        </w:numPr>
        <w:tabs>
          <w:tab w:val="clear" w:pos="2880"/>
        </w:tabs>
        <w:ind w:left="1710" w:hanging="270"/>
      </w:pPr>
      <w:r w:rsidRPr="005E0BE0">
        <w:t>A detailed schedule of construction activities, including site restoration activities;</w:t>
      </w:r>
    </w:p>
    <w:p w:rsidRPr="005E0BE0" w:rsidR="00111B08" w:rsidP="008A41DA" w:rsidRDefault="00111B08" w14:paraId="311C1509" w14:textId="77777777">
      <w:pPr>
        <w:pStyle w:val="Quote1"/>
        <w:numPr>
          <w:ilvl w:val="2"/>
          <w:numId w:val="14"/>
        </w:numPr>
        <w:tabs>
          <w:tab w:val="clear" w:pos="2880"/>
        </w:tabs>
        <w:ind w:left="1710" w:hanging="270"/>
      </w:pPr>
      <w:r w:rsidRPr="005E0BE0">
        <w:t>A description of construction/installation techniques;</w:t>
      </w:r>
    </w:p>
    <w:p w:rsidRPr="005E0BE0" w:rsidR="00111B08" w:rsidP="008A41DA" w:rsidRDefault="00111B08" w14:paraId="1D5FB4CA" w14:textId="77777777">
      <w:pPr>
        <w:pStyle w:val="Quote1"/>
        <w:numPr>
          <w:ilvl w:val="2"/>
          <w:numId w:val="14"/>
        </w:numPr>
        <w:tabs>
          <w:tab w:val="clear" w:pos="2880"/>
        </w:tabs>
        <w:ind w:left="1710" w:hanging="270"/>
      </w:pPr>
      <w:r w:rsidRPr="005E0BE0">
        <w:t>A list of other agencies contacted with respect to siting, land use planning, and environmental resource issues, including contact information; and</w:t>
      </w:r>
    </w:p>
    <w:p w:rsidRPr="005E0BE0" w:rsidR="00111B08" w:rsidP="008A41DA" w:rsidRDefault="00111B08" w14:paraId="7BA77DE6" w14:textId="77777777">
      <w:pPr>
        <w:pStyle w:val="Quote1"/>
        <w:numPr>
          <w:ilvl w:val="2"/>
          <w:numId w:val="14"/>
        </w:numPr>
        <w:tabs>
          <w:tab w:val="clear" w:pos="2880"/>
        </w:tabs>
        <w:ind w:left="1800"/>
      </w:pPr>
      <w:r w:rsidRPr="005E0BE0">
        <w:t>A list of permits required for the proposed project.</w:t>
      </w:r>
    </w:p>
    <w:p w:rsidRPr="005E0BE0" w:rsidR="00111B08" w:rsidP="008A41DA" w:rsidRDefault="00111B08" w14:paraId="6395DC8F" w14:textId="77777777">
      <w:pPr>
        <w:pStyle w:val="Quote1"/>
        <w:numPr>
          <w:ilvl w:val="1"/>
          <w:numId w:val="14"/>
        </w:numPr>
        <w:ind w:left="1620" w:hanging="540"/>
      </w:pPr>
      <w:r w:rsidRPr="005E0BE0">
        <w:t>A statement of the CEQA exemption(s) applicable to the proposed project; and</w:t>
      </w:r>
    </w:p>
    <w:p w:rsidRPr="005E0BE0" w:rsidR="00111B08" w:rsidP="008A41DA" w:rsidRDefault="00111B08" w14:paraId="073B4B78" w14:textId="77777777">
      <w:pPr>
        <w:pStyle w:val="Quote1"/>
        <w:numPr>
          <w:ilvl w:val="1"/>
          <w:numId w:val="14"/>
        </w:numPr>
        <w:ind w:left="1620" w:hanging="540"/>
      </w:pPr>
      <w:r w:rsidRPr="005E0BE0">
        <w:t>Documentation and factual evidence sufficient to support a finding that the claimed exemption(s) is (are) applicable.</w:t>
      </w:r>
    </w:p>
    <w:p w:rsidRPr="005E0BE0" w:rsidR="00111B08" w:rsidP="008A41DA" w:rsidRDefault="00111B08" w14:paraId="08CAF531" w14:textId="01120A20">
      <w:pPr>
        <w:pStyle w:val="Quote1"/>
        <w:numPr>
          <w:ilvl w:val="0"/>
          <w:numId w:val="14"/>
        </w:numPr>
        <w:tabs>
          <w:tab w:val="clear" w:pos="1440"/>
          <w:tab w:val="left" w:pos="990"/>
        </w:tabs>
        <w:ind w:left="990" w:right="720" w:hanging="450"/>
      </w:pPr>
      <w:r w:rsidRPr="005E0BE0">
        <w:t xml:space="preserve">The Energy Division will review </w:t>
      </w:r>
      <w:r w:rsidR="006B2248">
        <w:t>Velocity</w:t>
      </w:r>
      <w:r w:rsidRPr="005E0BE0">
        <w:t>’s</w:t>
      </w:r>
      <w:r w:rsidRPr="005E0BE0">
        <w:rPr>
          <w:b/>
        </w:rPr>
        <w:t xml:space="preserve"> </w:t>
      </w:r>
      <w:r w:rsidRPr="005E0BE0">
        <w:t xml:space="preserve">submission for the proposed project to confirm that the claimed exemption(s) from CEQA </w:t>
      </w:r>
      <w:r w:rsidR="009558CE">
        <w:t>is (</w:t>
      </w:r>
      <w:r w:rsidRPr="005E0BE0">
        <w:t>are</w:t>
      </w:r>
      <w:r w:rsidR="009558CE">
        <w:t>)</w:t>
      </w:r>
      <w:r w:rsidRPr="005E0BE0">
        <w:t xml:space="preserve"> applicable.</w:t>
      </w:r>
    </w:p>
    <w:p w:rsidRPr="005E0BE0" w:rsidR="00111B08" w:rsidP="008A41DA" w:rsidRDefault="00111B08" w14:paraId="6D2D0DEC" w14:textId="3EF25FB6">
      <w:pPr>
        <w:pStyle w:val="Quote1"/>
        <w:numPr>
          <w:ilvl w:val="0"/>
          <w:numId w:val="14"/>
        </w:numPr>
        <w:tabs>
          <w:tab w:val="clear" w:pos="1440"/>
          <w:tab w:val="left" w:pos="990"/>
        </w:tabs>
        <w:ind w:left="990" w:right="720" w:hanging="450"/>
      </w:pPr>
      <w:r w:rsidRPr="005E0BE0">
        <w:t xml:space="preserve">Within 21 days from the date </w:t>
      </w:r>
      <w:r w:rsidR="007C7352">
        <w:t>that</w:t>
      </w:r>
      <w:r w:rsidRPr="005E0BE0">
        <w:t xml:space="preserve"> </w:t>
      </w:r>
      <w:r w:rsidR="006B2248">
        <w:t>Velocity</w:t>
      </w:r>
      <w:r w:rsidRPr="005E0BE0">
        <w:t>’s submittal</w:t>
      </w:r>
      <w:r w:rsidR="007C7352">
        <w:t xml:space="preserve"> is complete</w:t>
      </w:r>
      <w:r w:rsidRPr="005E0BE0">
        <w:t>, the Energy Division will issue either:</w:t>
      </w:r>
    </w:p>
    <w:p w:rsidRPr="005E0BE0" w:rsidR="00111B08" w:rsidP="008A41DA" w:rsidRDefault="00111B08" w14:paraId="747C0E9E" w14:textId="77777777">
      <w:pPr>
        <w:pStyle w:val="Quote1"/>
        <w:numPr>
          <w:ilvl w:val="1"/>
          <w:numId w:val="14"/>
        </w:numPr>
        <w:tabs>
          <w:tab w:val="clear" w:pos="1980"/>
        </w:tabs>
        <w:ind w:left="1620" w:hanging="540"/>
      </w:pPr>
      <w:r w:rsidRPr="005E0BE0">
        <w:t>A Notice to Proceed (NTP) and file a Notice of Exemption with the State Clearinghouse, Office of Planning and Research</w:t>
      </w:r>
      <w:r>
        <w:t>;</w:t>
      </w:r>
      <w:r w:rsidRPr="005E0BE0">
        <w:t xml:space="preserve"> or</w:t>
      </w:r>
    </w:p>
    <w:p w:rsidRPr="005E0BE0" w:rsidR="00111B08" w:rsidP="008A41DA" w:rsidRDefault="00111B08" w14:paraId="5649B537" w14:textId="6417C279">
      <w:pPr>
        <w:pStyle w:val="Quote1"/>
        <w:numPr>
          <w:ilvl w:val="1"/>
          <w:numId w:val="14"/>
        </w:numPr>
        <w:tabs>
          <w:tab w:val="clear" w:pos="1980"/>
        </w:tabs>
        <w:ind w:left="1620" w:hanging="540"/>
      </w:pPr>
      <w:r w:rsidRPr="005E0BE0">
        <w:t xml:space="preserve">A letter of denial stating the specific reasons why the claimed exemption(s) </w:t>
      </w:r>
      <w:r w:rsidR="00763BAE">
        <w:t>do not apply</w:t>
      </w:r>
      <w:r w:rsidRPr="005E0BE0">
        <w:t xml:space="preserve"> to the proposed project.</w:t>
      </w:r>
    </w:p>
    <w:p w:rsidRPr="005E0BE0" w:rsidR="00111B08" w:rsidP="00111B08" w:rsidRDefault="00760B88" w14:paraId="64B9D585" w14:textId="51B441AB">
      <w:pPr>
        <w:pStyle w:val="standard0"/>
        <w:spacing w:after="120" w:line="240" w:lineRule="auto"/>
        <w:ind w:right="1440"/>
      </w:pPr>
      <w:r>
        <w:lastRenderedPageBreak/>
        <w:t>The Commission has</w:t>
      </w:r>
      <w:r w:rsidRPr="005E0BE0" w:rsidR="00111B08">
        <w:t xml:space="preserve"> reviewed </w:t>
      </w:r>
      <w:r>
        <w:t>Velocity’s</w:t>
      </w:r>
      <w:r w:rsidRPr="005E0BE0" w:rsidR="00111B08">
        <w:t xml:space="preserve"> </w:t>
      </w:r>
      <w:r w:rsidR="004527BE">
        <w:t>Application</w:t>
      </w:r>
      <w:r w:rsidRPr="005E0BE0" w:rsidR="00111B08">
        <w:t xml:space="preserve"> and find</w:t>
      </w:r>
      <w:r>
        <w:t>s</w:t>
      </w:r>
      <w:r w:rsidRPr="005E0BE0" w:rsidR="00111B08">
        <w:t xml:space="preserve"> that:</w:t>
      </w:r>
    </w:p>
    <w:p w:rsidRPr="005E0BE0" w:rsidR="00111B08" w:rsidP="008A41DA" w:rsidRDefault="006B2248" w14:paraId="484147A7" w14:textId="45C35A61">
      <w:pPr>
        <w:pStyle w:val="Quote1"/>
        <w:numPr>
          <w:ilvl w:val="0"/>
          <w:numId w:val="26"/>
        </w:numPr>
      </w:pPr>
      <w:r>
        <w:t>Velocity</w:t>
      </w:r>
      <w:r w:rsidRPr="005E0BE0" w:rsidR="00111B08">
        <w:t>’s proposed facilities</w:t>
      </w:r>
      <w:r w:rsidRPr="005E0BE0" w:rsidR="00111B08">
        <w:noBreakHyphen/>
        <w:t>based project activities are limited;</w:t>
      </w:r>
    </w:p>
    <w:p w:rsidRPr="005E0BE0" w:rsidR="00111B08" w:rsidP="008A41DA" w:rsidRDefault="00111B08" w14:paraId="0B66A092" w14:textId="726F0783">
      <w:pPr>
        <w:pStyle w:val="Quote1"/>
        <w:numPr>
          <w:ilvl w:val="0"/>
          <w:numId w:val="26"/>
        </w:numPr>
      </w:pPr>
      <w:r w:rsidRPr="005E0BE0">
        <w:t>These activities would in almost all circumstances be very likely to qualify for an exemption from CEQA;</w:t>
      </w:r>
      <w:r>
        <w:t xml:space="preserve"> </w:t>
      </w:r>
      <w:r w:rsidRPr="005E0BE0">
        <w:t>and</w:t>
      </w:r>
    </w:p>
    <w:p w:rsidRPr="005E0BE0" w:rsidR="00111B08" w:rsidP="008A41DA" w:rsidRDefault="00111B08" w14:paraId="7B2ABEC7" w14:textId="28802959">
      <w:pPr>
        <w:pStyle w:val="Quote1"/>
        <w:numPr>
          <w:ilvl w:val="0"/>
          <w:numId w:val="26"/>
        </w:numPr>
      </w:pPr>
      <w:r w:rsidRPr="005E0BE0">
        <w:t xml:space="preserve">The proposed process for reviewing the applicability of CEQA exemptions to </w:t>
      </w:r>
      <w:r w:rsidR="006B2248">
        <w:t>Velocity</w:t>
      </w:r>
      <w:r w:rsidRPr="005E0BE0">
        <w:t>’s</w:t>
      </w:r>
      <w:r w:rsidRPr="005E0BE0">
        <w:rPr>
          <w:b/>
        </w:rPr>
        <w:t xml:space="preserve"> </w:t>
      </w:r>
      <w:r w:rsidRPr="005E0BE0">
        <w:t>facilities</w:t>
      </w:r>
      <w:r>
        <w:t>-</w:t>
      </w:r>
      <w:r w:rsidRPr="005E0BE0">
        <w:t xml:space="preserve">based projects is not only adequate for the Commission’s purposes as </w:t>
      </w:r>
      <w:r w:rsidR="00CD0DD9">
        <w:t xml:space="preserve">the </w:t>
      </w:r>
      <w:r w:rsidRPr="005E0BE0">
        <w:t xml:space="preserve">CEQA Lead Agency but is also in the public interest because it enables </w:t>
      </w:r>
      <w:r w:rsidR="006B2248">
        <w:t>Velocity</w:t>
      </w:r>
      <w:r w:rsidRPr="005E0BE0">
        <w:rPr>
          <w:b/>
        </w:rPr>
        <w:t xml:space="preserve"> </w:t>
      </w:r>
      <w:r w:rsidRPr="005E0BE0">
        <w:t xml:space="preserve">to respond in a timely manner to requests for service without the delay or burden of a full CEQA review when </w:t>
      </w:r>
      <w:r w:rsidR="00BD22CA">
        <w:t>that</w:t>
      </w:r>
      <w:r w:rsidRPr="005E0BE0">
        <w:t xml:space="preserve"> review is unnecessary.</w:t>
      </w:r>
    </w:p>
    <w:p w:rsidRPr="005E0BE0" w:rsidR="00111B08" w:rsidP="00111B08" w:rsidRDefault="00BD22CA" w14:paraId="31E5CBE9" w14:textId="3662DCEF">
      <w:pPr>
        <w:pStyle w:val="standard0"/>
      </w:pPr>
      <w:r>
        <w:t xml:space="preserve">Therefore, the Commission </w:t>
      </w:r>
      <w:r w:rsidRPr="005E0BE0" w:rsidR="00111B08">
        <w:t>approve</w:t>
      </w:r>
      <w:r>
        <w:t>s</w:t>
      </w:r>
      <w:r w:rsidRPr="005E0BE0" w:rsidR="00111B08">
        <w:t xml:space="preserve"> </w:t>
      </w:r>
      <w:r w:rsidR="006B2248">
        <w:t>Velocity</w:t>
      </w:r>
      <w:r w:rsidRPr="005E0BE0" w:rsidR="00111B08">
        <w:t>’s</w:t>
      </w:r>
      <w:r w:rsidRPr="005E0BE0" w:rsidR="00111B08">
        <w:rPr>
          <w:b/>
        </w:rPr>
        <w:t xml:space="preserve"> </w:t>
      </w:r>
      <w:r w:rsidRPr="005E0BE0" w:rsidR="00111B08">
        <w:t xml:space="preserve">proposed process for Commission review of claimed CEQA exemptions for construction projects undertaken pursuant to </w:t>
      </w:r>
      <w:r w:rsidR="006B2248">
        <w:t>Velocity</w:t>
      </w:r>
      <w:r w:rsidRPr="005E0BE0" w:rsidR="00111B08">
        <w:t>’s full facilities</w:t>
      </w:r>
      <w:r w:rsidR="00111B08">
        <w:t>-</w:t>
      </w:r>
      <w:r w:rsidRPr="005E0BE0" w:rsidR="00111B08">
        <w:t xml:space="preserve">based authority based </w:t>
      </w:r>
      <w:r>
        <w:t>up</w:t>
      </w:r>
      <w:r w:rsidRPr="005E0BE0" w:rsidR="00111B08">
        <w:t>on the specific facts of this case</w:t>
      </w:r>
      <w:r>
        <w:t>,</w:t>
      </w:r>
      <w:r w:rsidRPr="005E0BE0" w:rsidR="00111B08">
        <w:t xml:space="preserve"> with the following modifications related to the Commission’s Energy Division review and approval or disapproval of the proposed exemptions</w:t>
      </w:r>
      <w:r>
        <w:t>:</w:t>
      </w:r>
    </w:p>
    <w:p w:rsidRPr="005E0BE0" w:rsidR="00111B08" w:rsidP="00733EC5" w:rsidRDefault="00111B08" w14:paraId="57CC679C" w14:textId="57BEFF71">
      <w:pPr>
        <w:pStyle w:val="Quote1"/>
        <w:ind w:left="1080"/>
      </w:pPr>
      <w:r w:rsidRPr="005E0BE0">
        <w:t xml:space="preserve">If the Energy Division disapproves </w:t>
      </w:r>
      <w:r w:rsidR="006B2248">
        <w:t>Velocity</w:t>
      </w:r>
      <w:r w:rsidRPr="005E0BE0">
        <w:t xml:space="preserve">’s claimed CEQA exemption(s) and issues a letter of denial to </w:t>
      </w:r>
      <w:r w:rsidR="006B2248">
        <w:t>Velocity</w:t>
      </w:r>
      <w:r w:rsidRPr="005E0BE0">
        <w:t xml:space="preserve">, </w:t>
      </w:r>
      <w:r w:rsidR="006B2248">
        <w:t>Velocity</w:t>
      </w:r>
      <w:r w:rsidRPr="005E0BE0">
        <w:rPr>
          <w:b/>
        </w:rPr>
        <w:t xml:space="preserve"> </w:t>
      </w:r>
      <w:r w:rsidRPr="005E0BE0">
        <w:t xml:space="preserve">must either redesign the specific project and facilities and then reapply for a finding of exemption from CEQA or file a formal </w:t>
      </w:r>
      <w:r w:rsidR="00BD22CA">
        <w:t>a</w:t>
      </w:r>
      <w:r w:rsidR="004527BE">
        <w:t>pplication</w:t>
      </w:r>
      <w:r w:rsidRPr="005E0BE0">
        <w:t xml:space="preserve"> with the Commission seeking the requisite approval and full CEQA review before commencing any construction activities.</w:t>
      </w:r>
    </w:p>
    <w:p w:rsidRPr="005E0BE0" w:rsidR="00111B08" w:rsidP="00111B08" w:rsidRDefault="006B2248" w14:paraId="57AFADD4" w14:textId="40D362BF">
      <w:pPr>
        <w:pStyle w:val="standard0"/>
      </w:pPr>
      <w:r>
        <w:t>Velocity</w:t>
      </w:r>
      <w:r w:rsidRPr="005E0BE0" w:rsidR="00111B08">
        <w:rPr>
          <w:b/>
        </w:rPr>
        <w:t xml:space="preserve"> </w:t>
      </w:r>
      <w:r w:rsidRPr="005E0BE0" w:rsidR="00111B08">
        <w:t>shall not perform any full facilities</w:t>
      </w:r>
      <w:r w:rsidR="00111B08">
        <w:t>-</w:t>
      </w:r>
      <w:r w:rsidRPr="005E0BE0" w:rsidR="00111B08">
        <w:t>based construction activities without first obtaining a NTP from the Energy Division or authorization by the Commission after the requisite environmental review.</w:t>
      </w:r>
    </w:p>
    <w:p w:rsidRPr="005E0BE0" w:rsidR="00111B08" w:rsidP="00111B08" w:rsidRDefault="00BD22CA" w14:paraId="09AC75E9" w14:textId="7E1A855B">
      <w:pPr>
        <w:pStyle w:val="standard0"/>
      </w:pPr>
      <w:r>
        <w:t>The Commission</w:t>
      </w:r>
      <w:r w:rsidRPr="005E0BE0" w:rsidR="00111B08">
        <w:t xml:space="preserve"> ha</w:t>
      </w:r>
      <w:r>
        <w:t>s</w:t>
      </w:r>
      <w:r w:rsidRPr="005E0BE0" w:rsidR="00111B08">
        <w:t xml:space="preserve"> previously determined that the public convenience and necessity require that competition be allowed in the provision of competitive </w:t>
      </w:r>
      <w:r w:rsidRPr="005E0BE0" w:rsidR="00111B08">
        <w:lastRenderedPageBreak/>
        <w:t>local exchange service</w:t>
      </w:r>
      <w:r>
        <w:t>.</w:t>
      </w:r>
      <w:r>
        <w:rPr>
          <w:rStyle w:val="FootnoteReference"/>
        </w:rPr>
        <w:footnoteReference w:id="9"/>
      </w:r>
      <w:r w:rsidRPr="005E0BE0" w:rsidR="00111B08">
        <w:t xml:space="preserve">  Granting this </w:t>
      </w:r>
      <w:r w:rsidR="004527BE">
        <w:t>Application</w:t>
      </w:r>
      <w:r w:rsidRPr="005E0BE0" w:rsidR="00111B08">
        <w:t xml:space="preserve"> will benefit the public interest by expanding the availability of technologically advanced telecommunications services in</w:t>
      </w:r>
      <w:r>
        <w:t xml:space="preserve"> California</w:t>
      </w:r>
      <w:r w:rsidRPr="005E0BE0" w:rsidR="00111B08">
        <w:t>.</w:t>
      </w:r>
    </w:p>
    <w:p w:rsidRPr="005E0BE0" w:rsidR="00111B08" w:rsidP="008A41DA" w:rsidRDefault="00111B08" w14:paraId="38342198" w14:textId="555A7029">
      <w:pPr>
        <w:pStyle w:val="Heading1"/>
        <w:keepNext w:val="0"/>
        <w:keepLines w:val="0"/>
        <w:numPr>
          <w:ilvl w:val="0"/>
          <w:numId w:val="25"/>
        </w:numPr>
        <w:ind w:left="360"/>
      </w:pPr>
      <w:bookmarkStart w:name="_Toc335049172" w:id="10"/>
      <w:bookmarkStart w:name="_Toc41486884" w:id="11"/>
      <w:r w:rsidRPr="005E0BE0">
        <w:t>Financial Qualifications</w:t>
      </w:r>
      <w:bookmarkEnd w:id="10"/>
      <w:bookmarkEnd w:id="11"/>
    </w:p>
    <w:p w:rsidRPr="005E0BE0" w:rsidR="00111B08" w:rsidP="00111B08" w:rsidRDefault="00111B08" w14:paraId="42F995AA" w14:textId="2451DD5B">
      <w:pPr>
        <w:pStyle w:val="standard0"/>
      </w:pPr>
      <w:r w:rsidRPr="005E0BE0">
        <w:rPr>
          <w:rStyle w:val="PageNumber"/>
        </w:rPr>
        <w:t>To be granted a CPCN</w:t>
      </w:r>
      <w:r w:rsidRPr="005E0BE0">
        <w:t xml:space="preserve">, an applicant for authority to provide </w:t>
      </w:r>
      <w:r w:rsidR="00907244">
        <w:t>full</w:t>
      </w:r>
      <w:r>
        <w:t xml:space="preserve"> </w:t>
      </w:r>
      <w:r w:rsidRPr="005E0BE0">
        <w:t>facilities</w:t>
      </w:r>
      <w:r w:rsidR="00CF4315">
        <w:noBreakHyphen/>
      </w:r>
      <w:r w:rsidRPr="005E0BE0">
        <w:t xml:space="preserve">based and resold local exchange and interexchange services must demonstrate that it has a minimum of $100,000 </w:t>
      </w:r>
      <w:r w:rsidR="00AE2D15">
        <w:t xml:space="preserve">in </w:t>
      </w:r>
      <w:r w:rsidRPr="005E0BE0">
        <w:t xml:space="preserve">cash or cash equivalent </w:t>
      </w:r>
      <w:r w:rsidR="004742EB">
        <w:t xml:space="preserve">that is reasonably liquid and readily available </w:t>
      </w:r>
      <w:r w:rsidRPr="005E0BE0">
        <w:t xml:space="preserve">to meet the </w:t>
      </w:r>
      <w:r w:rsidR="00AE2D15">
        <w:t>applicant</w:t>
      </w:r>
      <w:r w:rsidRPr="005E0BE0">
        <w:t>’s start</w:t>
      </w:r>
      <w:r>
        <w:t>-</w:t>
      </w:r>
      <w:r w:rsidRPr="005E0BE0">
        <w:t>up expenses.</w:t>
      </w:r>
      <w:r w:rsidRPr="005E0BE0">
        <w:rPr>
          <w:rStyle w:val="FootnoteReference"/>
          <w:rFonts w:eastAsiaTheme="majorEastAsia"/>
        </w:rPr>
        <w:footnoteReference w:id="10"/>
      </w:r>
      <w:r w:rsidRPr="005E0BE0">
        <w:t xml:space="preserve">  An applicant must also demonstrate that it has sufficient additional resources to cover all deposits required by local exchange carriers and/</w:t>
      </w:r>
      <w:r w:rsidRPr="005E0BE0">
        <w:rPr>
          <w:rStyle w:val="PageNumber"/>
        </w:rPr>
        <w:t>or interexchange carriers</w:t>
      </w:r>
      <w:r>
        <w:t xml:space="preserve"> </w:t>
      </w:r>
      <w:r w:rsidRPr="005E0BE0">
        <w:t>in order to provide the proposed service.</w:t>
      </w:r>
      <w:r w:rsidRPr="00EC354E">
        <w:rPr>
          <w:vertAlign w:val="superscript"/>
        </w:rPr>
        <w:footnoteReference w:id="11"/>
      </w:r>
      <w:r w:rsidRPr="005E0BE0">
        <w:t xml:space="preserve">  In </w:t>
      </w:r>
      <w:r w:rsidR="00907244">
        <w:t>its</w:t>
      </w:r>
      <w:r w:rsidRPr="005E0BE0">
        <w:t xml:space="preserve"> </w:t>
      </w:r>
      <w:r w:rsidR="004527BE">
        <w:t>Application</w:t>
      </w:r>
      <w:r w:rsidRPr="005E0BE0">
        <w:t xml:space="preserve">, </w:t>
      </w:r>
      <w:r w:rsidR="006B2248">
        <w:t>Velocity</w:t>
      </w:r>
      <w:r w:rsidRPr="00EC354E">
        <w:t xml:space="preserve"> </w:t>
      </w:r>
      <w:r w:rsidR="00907244">
        <w:t>represented</w:t>
      </w:r>
      <w:r w:rsidRPr="00EC354E">
        <w:t xml:space="preserve"> </w:t>
      </w:r>
      <w:r w:rsidRPr="005E0BE0">
        <w:t xml:space="preserve">that </w:t>
      </w:r>
      <w:r w:rsidR="00612E8A">
        <w:t xml:space="preserve">it has a minimum of </w:t>
      </w:r>
      <w:r w:rsidRPr="005E0BE0">
        <w:t>$100,000</w:t>
      </w:r>
      <w:r w:rsidR="00612E8A">
        <w:t xml:space="preserve"> in cash or cash equivalent to fund its start-up expenses,</w:t>
      </w:r>
      <w:r w:rsidRPr="00EC354E">
        <w:t xml:space="preserve"> </w:t>
      </w:r>
      <w:r w:rsidR="00612E8A">
        <w:t>submitted a</w:t>
      </w:r>
      <w:r w:rsidR="00AE2D15">
        <w:t>n irrevocable guarantee executed by its owner and Chief Executive Officer unconditionally guaranteeing Velocity’s accounts payable for one year following Velocity’s certification, and represented that it does not anticipate being required to provide deposits to local exchange carriers or interexchange carriers.</w:t>
      </w:r>
      <w:r w:rsidRPr="005E0BE0">
        <w:t xml:space="preserve">  </w:t>
      </w:r>
      <w:r w:rsidR="00B74AFC">
        <w:t>Based upon those submissions</w:t>
      </w:r>
      <w:r w:rsidRPr="005E0BE0">
        <w:t xml:space="preserve">, </w:t>
      </w:r>
      <w:r w:rsidR="00B74AFC">
        <w:t>Velocity</w:t>
      </w:r>
      <w:r w:rsidRPr="005E0BE0">
        <w:t xml:space="preserve"> has demonstrated that it has sufficient funds to meet its start</w:t>
      </w:r>
      <w:r>
        <w:t>-</w:t>
      </w:r>
      <w:r w:rsidRPr="005E0BE0">
        <w:t xml:space="preserve">up expenses and </w:t>
      </w:r>
      <w:r w:rsidR="00B74AFC">
        <w:t xml:space="preserve">therefore </w:t>
      </w:r>
      <w:r w:rsidRPr="005E0BE0">
        <w:t>has fulfilled th</w:t>
      </w:r>
      <w:r w:rsidR="00B74AFC">
        <w:t>ese financial</w:t>
      </w:r>
      <w:r w:rsidRPr="005E0BE0">
        <w:t xml:space="preserve"> requirement</w:t>
      </w:r>
      <w:r w:rsidR="00B74AFC">
        <w:t>s</w:t>
      </w:r>
      <w:r w:rsidRPr="005E0BE0">
        <w:t>.</w:t>
      </w:r>
    </w:p>
    <w:p w:rsidRPr="005E0BE0" w:rsidR="00111B08" w:rsidP="0063721B" w:rsidRDefault="00111B08" w14:paraId="7BEF859A" w14:textId="3DD9DB0E">
      <w:pPr>
        <w:pStyle w:val="Heading1"/>
        <w:numPr>
          <w:ilvl w:val="0"/>
          <w:numId w:val="25"/>
        </w:numPr>
        <w:ind w:left="360"/>
      </w:pPr>
      <w:bookmarkStart w:name="_Toc335049173" w:id="12"/>
      <w:bookmarkStart w:name="_Toc41486885" w:id="13"/>
      <w:r w:rsidRPr="005E0BE0">
        <w:lastRenderedPageBreak/>
        <w:t>Technical Qualifications</w:t>
      </w:r>
      <w:bookmarkEnd w:id="12"/>
      <w:r w:rsidR="00687C72">
        <w:t xml:space="preserve"> and Legal Matters</w:t>
      </w:r>
      <w:bookmarkEnd w:id="13"/>
    </w:p>
    <w:p w:rsidRPr="005E0BE0" w:rsidR="00111B08" w:rsidP="0063721B" w:rsidRDefault="00111B08" w14:paraId="2EE565E6" w14:textId="5AB45D31">
      <w:pPr>
        <w:pStyle w:val="standard0"/>
        <w:keepNext/>
        <w:keepLines/>
      </w:pPr>
      <w:r w:rsidRPr="005E0BE0">
        <w:t>To be granted a CPCN for authority to provide local exchange and interexchange service</w:t>
      </w:r>
      <w:r w:rsidR="00B74AFC">
        <w:t>s</w:t>
      </w:r>
      <w:r w:rsidRPr="005E0BE0">
        <w:t xml:space="preserve">, an applicant must make a reasonable showing of managerial and technical expertise in telecommunications </w:t>
      </w:r>
      <w:r w:rsidR="00B74AFC">
        <w:t>services</w:t>
      </w:r>
      <w:r w:rsidRPr="005E0BE0">
        <w:t>.</w:t>
      </w:r>
      <w:r w:rsidRPr="005E0BE0">
        <w:rPr>
          <w:rStyle w:val="FootnoteReference"/>
          <w:rFonts w:eastAsiaTheme="majorEastAsia"/>
        </w:rPr>
        <w:footnoteReference w:id="12"/>
      </w:r>
      <w:r w:rsidRPr="005E0BE0">
        <w:t xml:space="preserve">  </w:t>
      </w:r>
      <w:r w:rsidR="006B2248">
        <w:t>Velocity</w:t>
      </w:r>
      <w:r w:rsidRPr="00EC354E">
        <w:t xml:space="preserve"> </w:t>
      </w:r>
      <w:r w:rsidRPr="005E0BE0">
        <w:t xml:space="preserve">supplied </w:t>
      </w:r>
      <w:r w:rsidR="00B640C4">
        <w:t xml:space="preserve">management </w:t>
      </w:r>
      <w:r w:rsidRPr="005E0BE0">
        <w:t xml:space="preserve">biographical information </w:t>
      </w:r>
      <w:r w:rsidR="00B640C4">
        <w:t>in its Application</w:t>
      </w:r>
      <w:r w:rsidRPr="005E0BE0">
        <w:t xml:space="preserve"> that demonstrated that it has sufficient expertise and training to operate as a telecommunications provider.</w:t>
      </w:r>
    </w:p>
    <w:p w:rsidR="005E3086" w:rsidP="006E0B13" w:rsidRDefault="00111B08" w14:paraId="017D1E38" w14:textId="77777777">
      <w:pPr>
        <w:autoSpaceDE w:val="0"/>
        <w:autoSpaceDN w:val="0"/>
        <w:adjustRightInd w:val="0"/>
      </w:pPr>
      <w:r w:rsidRPr="005E0BE0">
        <w:t xml:space="preserve">In its </w:t>
      </w:r>
      <w:r w:rsidR="004527BE">
        <w:t>Application</w:t>
      </w:r>
      <w:r w:rsidRPr="005E0BE0">
        <w:t xml:space="preserve">, </w:t>
      </w:r>
      <w:r w:rsidR="006B2248">
        <w:t>Velocity</w:t>
      </w:r>
      <w:r w:rsidRPr="00EC354E">
        <w:t xml:space="preserve"> </w:t>
      </w:r>
      <w:r w:rsidR="00B640C4">
        <w:t>affirmed</w:t>
      </w:r>
      <w:r w:rsidRPr="005E0BE0">
        <w:t xml:space="preserve"> that </w:t>
      </w:r>
      <w:r w:rsidR="000A193A">
        <w:t xml:space="preserve">neither it nor any of its affiliates, officers, directors, partners, agents, or owners </w:t>
      </w:r>
      <w:r w:rsidR="00314238">
        <w:t xml:space="preserve">(directly or indirectly) </w:t>
      </w:r>
      <w:r w:rsidR="000A193A">
        <w:t>of more than 10 percent of Velocity or anyone acting in a management capacity for Velocity</w:t>
      </w:r>
      <w:r w:rsidR="005E3086">
        <w:t>:</w:t>
      </w:r>
    </w:p>
    <w:p w:rsidR="005E3086" w:rsidP="008A41DA" w:rsidRDefault="000A193A" w14:paraId="4BB7B738" w14:textId="0457BA42">
      <w:pPr>
        <w:pStyle w:val="ListParagraph"/>
        <w:numPr>
          <w:ilvl w:val="0"/>
          <w:numId w:val="27"/>
        </w:numPr>
        <w:autoSpaceDE w:val="0"/>
        <w:autoSpaceDN w:val="0"/>
        <w:adjustRightInd w:val="0"/>
        <w:spacing w:after="120"/>
        <w:ind w:left="1080" w:right="1440"/>
        <w:contextualSpacing w:val="0"/>
      </w:pPr>
      <w:r>
        <w:t xml:space="preserve">held one of those positions with a company that filed for bankruptcy, </w:t>
      </w:r>
    </w:p>
    <w:p w:rsidR="005E3086" w:rsidP="008A41DA" w:rsidRDefault="000A193A" w14:paraId="36D4D7B2" w14:textId="1FAAA69A">
      <w:pPr>
        <w:pStyle w:val="ListParagraph"/>
        <w:numPr>
          <w:ilvl w:val="0"/>
          <w:numId w:val="27"/>
        </w:numPr>
        <w:autoSpaceDE w:val="0"/>
        <w:autoSpaceDN w:val="0"/>
        <w:adjustRightInd w:val="0"/>
        <w:spacing w:after="120"/>
        <w:ind w:left="1080" w:right="1440"/>
        <w:contextualSpacing w:val="0"/>
      </w:pPr>
      <w:r>
        <w:t xml:space="preserve">had been personally found liable or held one of those positions with a company that had been found liable for fraud, dishonesty, failure to disclose, or misrepresentations to consumers or others, </w:t>
      </w:r>
    </w:p>
    <w:p w:rsidR="005E3086" w:rsidP="008A41DA" w:rsidRDefault="000A193A" w14:paraId="6ED02830" w14:textId="77777777">
      <w:pPr>
        <w:pStyle w:val="ListParagraph"/>
        <w:numPr>
          <w:ilvl w:val="0"/>
          <w:numId w:val="27"/>
        </w:numPr>
        <w:autoSpaceDE w:val="0"/>
        <w:autoSpaceDN w:val="0"/>
        <w:adjustRightInd w:val="0"/>
        <w:spacing w:after="120"/>
        <w:ind w:left="1080" w:right="1440"/>
        <w:contextualSpacing w:val="0"/>
      </w:pPr>
      <w:r>
        <w:t xml:space="preserve">had been convicted of a felony, </w:t>
      </w:r>
    </w:p>
    <w:p w:rsidR="005E3086" w:rsidP="008A41DA" w:rsidRDefault="000A193A" w14:paraId="438A3D18" w14:textId="77777777">
      <w:pPr>
        <w:pStyle w:val="ListParagraph"/>
        <w:numPr>
          <w:ilvl w:val="0"/>
          <w:numId w:val="27"/>
        </w:numPr>
        <w:autoSpaceDE w:val="0"/>
        <w:autoSpaceDN w:val="0"/>
        <w:adjustRightInd w:val="0"/>
        <w:spacing w:after="120"/>
        <w:ind w:left="1080" w:right="1440"/>
        <w:contextualSpacing w:val="0"/>
      </w:pPr>
      <w:r>
        <w:t xml:space="preserve">had been the subject of a criminal referral by a judge or public agency, </w:t>
      </w:r>
    </w:p>
    <w:p w:rsidR="005E3086" w:rsidP="008A41DA" w:rsidRDefault="000A193A" w14:paraId="1B363F81" w14:textId="241B0B6D">
      <w:pPr>
        <w:pStyle w:val="ListParagraph"/>
        <w:numPr>
          <w:ilvl w:val="0"/>
          <w:numId w:val="27"/>
        </w:numPr>
        <w:autoSpaceDE w:val="0"/>
        <w:autoSpaceDN w:val="0"/>
        <w:adjustRightInd w:val="0"/>
        <w:spacing w:after="120"/>
        <w:ind w:left="1080" w:right="1440"/>
        <w:contextualSpacing w:val="0"/>
      </w:pPr>
      <w:r>
        <w:t>had a telecommunications license or operating authority denied, suspended, revoke</w:t>
      </w:r>
      <w:r w:rsidR="0024106C">
        <w:t>d</w:t>
      </w:r>
      <w:r>
        <w:t xml:space="preserve">, or limited in any jurisdiction, </w:t>
      </w:r>
    </w:p>
    <w:p w:rsidR="005E3086" w:rsidP="008A41DA" w:rsidRDefault="000A193A" w14:paraId="3A8C89E0" w14:textId="77777777">
      <w:pPr>
        <w:pStyle w:val="ListParagraph"/>
        <w:numPr>
          <w:ilvl w:val="0"/>
          <w:numId w:val="27"/>
        </w:numPr>
        <w:autoSpaceDE w:val="0"/>
        <w:autoSpaceDN w:val="0"/>
        <w:adjustRightInd w:val="0"/>
        <w:spacing w:after="120"/>
        <w:ind w:left="1080" w:right="1440"/>
        <w:contextualSpacing w:val="0"/>
      </w:pPr>
      <w:r>
        <w:t xml:space="preserve">had personally entered into a settlement or held one of those positions with a company that had entered into a settlement of criminal or civil claims involving violations of sections 17000 </w:t>
      </w:r>
      <w:r w:rsidRPr="003D4CBE">
        <w:rPr>
          <w:i/>
          <w:iCs/>
        </w:rPr>
        <w:t xml:space="preserve">et seq. </w:t>
      </w:r>
      <w:r>
        <w:t xml:space="preserve">of the California Business and Professions Code or of any other statute, regulation, or decisional law relating to fraud, dishonesty, failure to disclose, or misrepresentations to consumers or others, </w:t>
      </w:r>
    </w:p>
    <w:p w:rsidR="005E3086" w:rsidP="008A41DA" w:rsidRDefault="000A193A" w14:paraId="5AAF162E" w14:textId="77777777">
      <w:pPr>
        <w:pStyle w:val="ListParagraph"/>
        <w:numPr>
          <w:ilvl w:val="0"/>
          <w:numId w:val="27"/>
        </w:numPr>
        <w:autoSpaceDE w:val="0"/>
        <w:autoSpaceDN w:val="0"/>
        <w:adjustRightInd w:val="0"/>
        <w:spacing w:after="120"/>
        <w:ind w:left="1080" w:right="1440"/>
        <w:contextualSpacing w:val="0"/>
      </w:pPr>
      <w:r>
        <w:lastRenderedPageBreak/>
        <w:t xml:space="preserve">had been found to have violated any statute, law, or rule pertaining to public utilities or other regulated industries, </w:t>
      </w:r>
    </w:p>
    <w:p w:rsidR="007A08FF" w:rsidP="008A41DA" w:rsidRDefault="000A193A" w14:paraId="0FDDF909" w14:textId="3491282E">
      <w:pPr>
        <w:pStyle w:val="ListParagraph"/>
        <w:numPr>
          <w:ilvl w:val="0"/>
          <w:numId w:val="27"/>
        </w:numPr>
        <w:autoSpaceDE w:val="0"/>
        <w:autoSpaceDN w:val="0"/>
        <w:adjustRightInd w:val="0"/>
        <w:spacing w:after="120"/>
        <w:ind w:left="1080" w:right="1440"/>
        <w:contextualSpacing w:val="0"/>
      </w:pPr>
      <w:r>
        <w:t>had entered into any settlement agreements or made any voluntary payments or agreed to any other type of monetary forfeitures</w:t>
      </w:r>
      <w:r w:rsidR="006E0B13">
        <w:t xml:space="preserve"> in resolution of any action by any regulatory body, agency, or attorney general, </w:t>
      </w:r>
      <w:r w:rsidR="007A08FF">
        <w:t>or</w:t>
      </w:r>
    </w:p>
    <w:p w:rsidR="00BA5816" w:rsidP="008A41DA" w:rsidRDefault="006E0B13" w14:paraId="5E597C36" w14:textId="4F6925DA">
      <w:pPr>
        <w:pStyle w:val="ListParagraph"/>
        <w:numPr>
          <w:ilvl w:val="0"/>
          <w:numId w:val="27"/>
        </w:numPr>
        <w:autoSpaceDE w:val="0"/>
        <w:autoSpaceDN w:val="0"/>
        <w:adjustRightInd w:val="0"/>
        <w:spacing w:after="120"/>
        <w:ind w:left="1080" w:right="1440"/>
        <w:contextualSpacing w:val="0"/>
      </w:pPr>
      <w:r>
        <w:t>is being or has been investigated by the Federal Communications Commission or any law enforcement or regulatory agency for failure to comply with any law, rule, or order.</w:t>
      </w:r>
      <w:r w:rsidR="00383B7D">
        <w:rPr>
          <w:rStyle w:val="FootnoteReference"/>
        </w:rPr>
        <w:footnoteReference w:id="13"/>
      </w:r>
    </w:p>
    <w:p w:rsidRPr="006E0B13" w:rsidR="00111B08" w:rsidP="006E0B13" w:rsidRDefault="005E3086" w14:paraId="07BB087E" w14:textId="3FBF3B03">
      <w:pPr>
        <w:autoSpaceDE w:val="0"/>
        <w:autoSpaceDN w:val="0"/>
        <w:adjustRightInd w:val="0"/>
        <w:rPr>
          <w:rFonts w:cs="BookAntiqua"/>
          <w:szCs w:val="26"/>
        </w:rPr>
      </w:pPr>
      <w:r>
        <w:rPr>
          <w:rFonts w:cs="BookAntiqua"/>
          <w:szCs w:val="26"/>
        </w:rPr>
        <w:t>Based thereon</w:t>
      </w:r>
      <w:r w:rsidRPr="005E0BE0" w:rsidR="00111B08">
        <w:t xml:space="preserve">, </w:t>
      </w:r>
      <w:r w:rsidR="00BA5816">
        <w:t>the Commission</w:t>
      </w:r>
      <w:r w:rsidRPr="005E0BE0" w:rsidR="00111B08">
        <w:t xml:space="preserve"> find</w:t>
      </w:r>
      <w:r w:rsidR="00BA5816">
        <w:t>s</w:t>
      </w:r>
      <w:r w:rsidRPr="005E0BE0" w:rsidR="00111B08">
        <w:t xml:space="preserve"> </w:t>
      </w:r>
      <w:r w:rsidRPr="005E0BE0" w:rsidR="00111B08">
        <w:rPr>
          <w:rFonts w:cs="Arial"/>
          <w:szCs w:val="26"/>
        </w:rPr>
        <w:t xml:space="preserve">that </w:t>
      </w:r>
      <w:r w:rsidR="006B2248">
        <w:rPr>
          <w:rFonts w:ascii="Palatino Linotype" w:hAnsi="Palatino Linotype"/>
          <w:szCs w:val="26"/>
        </w:rPr>
        <w:t>Velocit</w:t>
      </w:r>
      <w:r w:rsidR="00BA5816">
        <w:rPr>
          <w:rFonts w:ascii="Palatino Linotype" w:hAnsi="Palatino Linotype"/>
          <w:szCs w:val="26"/>
        </w:rPr>
        <w:t>y has sa</w:t>
      </w:r>
      <w:r w:rsidR="00687C72">
        <w:rPr>
          <w:rFonts w:ascii="Palatino Linotype" w:hAnsi="Palatino Linotype"/>
          <w:szCs w:val="26"/>
        </w:rPr>
        <w:t>tisfied the requirements regarding</w:t>
      </w:r>
      <w:r w:rsidR="00BA5816">
        <w:rPr>
          <w:rFonts w:ascii="Palatino Linotype" w:hAnsi="Palatino Linotype"/>
          <w:szCs w:val="26"/>
        </w:rPr>
        <w:t xml:space="preserve"> managerial and technical qualifications </w:t>
      </w:r>
      <w:r w:rsidR="00687C72">
        <w:rPr>
          <w:rFonts w:ascii="Palatino Linotype" w:hAnsi="Palatino Linotype"/>
          <w:szCs w:val="26"/>
        </w:rPr>
        <w:t xml:space="preserve">and legal matters </w:t>
      </w:r>
      <w:r w:rsidR="00BA5816">
        <w:rPr>
          <w:rFonts w:ascii="Palatino Linotype" w:hAnsi="Palatino Linotype"/>
          <w:szCs w:val="26"/>
        </w:rPr>
        <w:t>necessary for approval of its Application</w:t>
      </w:r>
      <w:r w:rsidRPr="005E0BE0" w:rsidR="00111B08">
        <w:rPr>
          <w:rFonts w:cs="Arial"/>
          <w:szCs w:val="26"/>
        </w:rPr>
        <w:t>.</w:t>
      </w:r>
    </w:p>
    <w:p w:rsidRPr="005E0BE0" w:rsidR="00111B08" w:rsidP="008A41DA" w:rsidRDefault="00111B08" w14:paraId="2D417143" w14:textId="2647B4D0">
      <w:pPr>
        <w:pStyle w:val="Heading1"/>
        <w:keepNext w:val="0"/>
        <w:keepLines w:val="0"/>
        <w:numPr>
          <w:ilvl w:val="0"/>
          <w:numId w:val="25"/>
        </w:numPr>
        <w:ind w:left="360"/>
      </w:pPr>
      <w:bookmarkStart w:name="_Toc335049174" w:id="14"/>
      <w:bookmarkStart w:name="_Toc41486886" w:id="15"/>
      <w:r w:rsidRPr="005E0BE0">
        <w:t>Tariffs</w:t>
      </w:r>
      <w:bookmarkEnd w:id="14"/>
      <w:bookmarkEnd w:id="15"/>
    </w:p>
    <w:p w:rsidRPr="005E0BE0" w:rsidR="00EF7704" w:rsidP="003D4CBE" w:rsidRDefault="006B2248" w14:paraId="1AA12D8F" w14:textId="0D433B69">
      <w:pPr>
        <w:pStyle w:val="standard0"/>
      </w:pPr>
      <w:r>
        <w:t>Velocity</w:t>
      </w:r>
      <w:r w:rsidRPr="005E0BE0" w:rsidR="00111B08">
        <w:t xml:space="preserve"> does not intend to provide services for which the Commission requires the filing of a tariff.  Therefore, the requirement for filing a tariff is waived</w:t>
      </w:r>
      <w:r w:rsidR="001F3D1E">
        <w:t xml:space="preserve"> provided that Velocity complies with the consumer protection rules identified in D.98-08-031</w:t>
      </w:r>
      <w:r w:rsidRPr="005E0BE0" w:rsidR="00111B08">
        <w:t xml:space="preserve">.  </w:t>
      </w:r>
      <w:r w:rsidR="00687C72">
        <w:t xml:space="preserve">In the future, </w:t>
      </w:r>
      <w:r>
        <w:t>Velocity</w:t>
      </w:r>
      <w:r w:rsidRPr="005E0BE0" w:rsidR="00111B08">
        <w:t xml:space="preserve"> shall file a tariff if it determines </w:t>
      </w:r>
      <w:r w:rsidR="00BA5816">
        <w:t>that it will</w:t>
      </w:r>
      <w:r w:rsidRPr="005E0BE0" w:rsidR="00111B08">
        <w:t xml:space="preserve"> provide services </w:t>
      </w:r>
      <w:r w:rsidR="00BA5816">
        <w:t>that require</w:t>
      </w:r>
      <w:r w:rsidRPr="005E0BE0" w:rsidR="00111B08">
        <w:t xml:space="preserve"> a tariff. </w:t>
      </w:r>
      <w:r w:rsidR="0077413F">
        <w:t>If a tariff is required, Velocity will offer its service on a non-discriminatory basis and at competitive rates, but it will do so through individual case basis contracts.</w:t>
      </w:r>
      <w:r w:rsidRPr="005E0BE0" w:rsidR="00111B08">
        <w:t xml:space="preserve"> </w:t>
      </w:r>
    </w:p>
    <w:p w:rsidRPr="005E0BE0" w:rsidR="00111B08" w:rsidP="008A41DA" w:rsidRDefault="00111B08" w14:paraId="7E75F59D" w14:textId="60C9F65C">
      <w:pPr>
        <w:pStyle w:val="Heading1"/>
        <w:keepNext w:val="0"/>
        <w:keepLines w:val="0"/>
        <w:numPr>
          <w:ilvl w:val="0"/>
          <w:numId w:val="25"/>
        </w:numPr>
        <w:ind w:left="360"/>
      </w:pPr>
      <w:bookmarkStart w:name="_Toc335049175" w:id="16"/>
      <w:bookmarkStart w:name="_Toc41486887" w:id="17"/>
      <w:r w:rsidRPr="005E0BE0">
        <w:t>Map of Service Territory</w:t>
      </w:r>
      <w:bookmarkEnd w:id="16"/>
      <w:bookmarkEnd w:id="17"/>
    </w:p>
    <w:p w:rsidRPr="005E0BE0" w:rsidR="00111B08" w:rsidP="00111B08" w:rsidRDefault="00111B08" w14:paraId="0E5C8D69" w14:textId="3697B499">
      <w:pPr>
        <w:pStyle w:val="standard0"/>
      </w:pPr>
      <w:r w:rsidRPr="005E0BE0">
        <w:t xml:space="preserve">To be granted a CPCN for authority to provide </w:t>
      </w:r>
      <w:r w:rsidR="00383B7D">
        <w:t xml:space="preserve">competitive </w:t>
      </w:r>
      <w:r w:rsidRPr="005E0BE0">
        <w:t>local exchange service, an applicant must provide a map of the service territor</w:t>
      </w:r>
      <w:r w:rsidR="00F57C10">
        <w:t>y</w:t>
      </w:r>
      <w:r w:rsidRPr="005E0BE0">
        <w:t xml:space="preserve"> it proposes to serve.</w:t>
      </w:r>
      <w:r w:rsidRPr="005E0BE0">
        <w:rPr>
          <w:rStyle w:val="FootnoteReference"/>
          <w:rFonts w:eastAsiaTheme="majorEastAsia"/>
        </w:rPr>
        <w:footnoteReference w:id="14"/>
      </w:r>
      <w:r w:rsidRPr="005E0BE0">
        <w:t xml:space="preserve">  In its </w:t>
      </w:r>
      <w:r w:rsidR="004527BE">
        <w:t>Application</w:t>
      </w:r>
      <w:r w:rsidRPr="005E0BE0">
        <w:t xml:space="preserve">, </w:t>
      </w:r>
      <w:r w:rsidR="006B2248">
        <w:rPr>
          <w:rFonts w:ascii="Palatino Linotype" w:hAnsi="Palatino Linotype"/>
          <w:szCs w:val="26"/>
        </w:rPr>
        <w:t>Velocity</w:t>
      </w:r>
      <w:r w:rsidRPr="005E0BE0">
        <w:rPr>
          <w:rFonts w:ascii="Palatino Linotype" w:hAnsi="Palatino Linotype"/>
          <w:b/>
          <w:szCs w:val="26"/>
        </w:rPr>
        <w:t xml:space="preserve"> </w:t>
      </w:r>
      <w:r w:rsidRPr="005E0BE0">
        <w:t>provided a map of the location of its proposed service territor</w:t>
      </w:r>
      <w:r w:rsidR="00F57C10">
        <w:t>y</w:t>
      </w:r>
      <w:r w:rsidRPr="005E0BE0">
        <w:t xml:space="preserve"> </w:t>
      </w:r>
      <w:r w:rsidR="00907E17">
        <w:t>that complies</w:t>
      </w:r>
      <w:r w:rsidRPr="005E0BE0">
        <w:t xml:space="preserve"> with this requirement.</w:t>
      </w:r>
    </w:p>
    <w:p w:rsidRPr="005E0BE0" w:rsidR="00111B08" w:rsidP="008A41DA" w:rsidRDefault="00111B08" w14:paraId="0FA9B4E9" w14:textId="029CC4CC">
      <w:pPr>
        <w:pStyle w:val="Heading1"/>
        <w:numPr>
          <w:ilvl w:val="0"/>
          <w:numId w:val="25"/>
        </w:numPr>
        <w:ind w:hanging="720"/>
      </w:pPr>
      <w:bookmarkStart w:name="_Toc335049176" w:id="18"/>
      <w:bookmarkStart w:name="_Toc41486888" w:id="19"/>
      <w:r w:rsidRPr="005E0BE0">
        <w:lastRenderedPageBreak/>
        <w:t>Rule 3.1(i) Statement</w:t>
      </w:r>
      <w:bookmarkEnd w:id="18"/>
      <w:bookmarkEnd w:id="19"/>
    </w:p>
    <w:p w:rsidRPr="005E0BE0" w:rsidR="0024106C" w:rsidP="0024106C" w:rsidRDefault="00111B08" w14:paraId="19B97983" w14:textId="6F2B44E3">
      <w:pPr>
        <w:pStyle w:val="standard0"/>
        <w:keepNext/>
        <w:keepLines/>
      </w:pPr>
      <w:r w:rsidRPr="005E0BE0">
        <w:t xml:space="preserve">Rule 3.1(i) </w:t>
      </w:r>
      <w:r w:rsidR="00687C72">
        <w:t>requires</w:t>
      </w:r>
      <w:r w:rsidRPr="005E0BE0">
        <w:t xml:space="preserve"> that a</w:t>
      </w:r>
      <w:r w:rsidR="00687C72">
        <w:t>n applicant</w:t>
      </w:r>
      <w:r w:rsidRPr="005E0BE0">
        <w:t xml:space="preserve"> under Pub. Util. Code</w:t>
      </w:r>
      <w:r w:rsidR="00687C72">
        <w:t xml:space="preserve"> Section</w:t>
      </w:r>
      <w:r w:rsidRPr="005E0BE0">
        <w:t xml:space="preserve"> 1001 provide a statement regarding </w:t>
      </w:r>
      <w:r w:rsidR="00526F3E">
        <w:t>General Order (</w:t>
      </w:r>
      <w:r w:rsidRPr="005E0BE0">
        <w:t>GO</w:t>
      </w:r>
      <w:r w:rsidR="00526F3E">
        <w:t>)</w:t>
      </w:r>
      <w:r w:rsidRPr="005E0BE0">
        <w:t> 104</w:t>
      </w:r>
      <w:r>
        <w:t>-</w:t>
      </w:r>
      <w:r w:rsidRPr="005E0BE0">
        <w:t>A, Section 2</w:t>
      </w:r>
      <w:r w:rsidR="00687C72">
        <w:t xml:space="preserve"> regarding the designation of matters included in an annual report</w:t>
      </w:r>
      <w:r w:rsidRPr="005E0BE0">
        <w:t xml:space="preserve">.  </w:t>
      </w:r>
      <w:r w:rsidR="006B2248">
        <w:t>Velocity</w:t>
      </w:r>
      <w:r w:rsidRPr="005E0BE0">
        <w:rPr>
          <w:b/>
        </w:rPr>
        <w:t xml:space="preserve"> </w:t>
      </w:r>
      <w:r w:rsidRPr="005E0BE0">
        <w:t xml:space="preserve">states that </w:t>
      </w:r>
      <w:r w:rsidR="00687C72">
        <w:t>it is not publicly held and therefore does not have an annual report available. Therefore, Velocity does not have any</w:t>
      </w:r>
      <w:r w:rsidR="00E22AB1">
        <w:t xml:space="preserve"> reporting requirement regarding this Rule.</w:t>
      </w:r>
      <w:r w:rsidRPr="005E0BE0">
        <w:t xml:space="preserve"> </w:t>
      </w:r>
      <w:r w:rsidR="00E22AB1">
        <w:t>In the future</w:t>
      </w:r>
      <w:r w:rsidRPr="005E0BE0">
        <w:t xml:space="preserve">, </w:t>
      </w:r>
      <w:r w:rsidR="006B2248">
        <w:t>Velocity</w:t>
      </w:r>
      <w:r w:rsidRPr="005E0BE0">
        <w:rPr>
          <w:b/>
        </w:rPr>
        <w:t xml:space="preserve"> </w:t>
      </w:r>
      <w:r w:rsidRPr="005E0BE0">
        <w:t xml:space="preserve">must file all reports required </w:t>
      </w:r>
      <w:r w:rsidR="00E22AB1">
        <w:t>of it by the Commission</w:t>
      </w:r>
      <w:r w:rsidRPr="005E0BE0">
        <w:t>.</w:t>
      </w:r>
    </w:p>
    <w:p w:rsidRPr="005E0BE0" w:rsidR="00111B08" w:rsidP="008A41DA" w:rsidRDefault="00111B08" w14:paraId="3C2A2009" w14:textId="704A3699">
      <w:pPr>
        <w:pStyle w:val="Heading1"/>
        <w:numPr>
          <w:ilvl w:val="0"/>
          <w:numId w:val="25"/>
        </w:numPr>
        <w:ind w:left="360"/>
      </w:pPr>
      <w:bookmarkStart w:name="_Toc335049177" w:id="20"/>
      <w:bookmarkStart w:name="_Toc41486889" w:id="21"/>
      <w:r w:rsidRPr="005E0BE0">
        <w:t>Expected Customer Base</w:t>
      </w:r>
      <w:bookmarkEnd w:id="20"/>
      <w:bookmarkEnd w:id="21"/>
    </w:p>
    <w:p w:rsidRPr="005E0BE0" w:rsidR="00111B08" w:rsidP="007665F6" w:rsidRDefault="00E22AB1" w14:paraId="25DE8333" w14:textId="24773978">
      <w:pPr>
        <w:pStyle w:val="standard0"/>
        <w:keepNext/>
        <w:keepLines/>
      </w:pPr>
      <w:r>
        <w:t>Rule 3.1(j) requires an applicant to estimate its customers after its first year and fifth year of operation</w:t>
      </w:r>
      <w:r w:rsidR="007E0977">
        <w:t>s</w:t>
      </w:r>
      <w:r>
        <w:t xml:space="preserve"> in California. </w:t>
      </w:r>
      <w:r w:rsidR="006B2248">
        <w:t>Velocity</w:t>
      </w:r>
      <w:r w:rsidRPr="00EC354E" w:rsidR="00111B08">
        <w:t xml:space="preserve"> </w:t>
      </w:r>
      <w:r>
        <w:t>estimates that it will have one to four customers at the end of its first year of operations in California and 25</w:t>
      </w:r>
      <w:r w:rsidR="00D65621">
        <w:t> </w:t>
      </w:r>
      <w:r>
        <w:t>customers at the end of its fifth year of operations in California.</w:t>
      </w:r>
      <w:r w:rsidR="00D65621">
        <w:t xml:space="preserve"> </w:t>
      </w:r>
      <w:r>
        <w:t xml:space="preserve"> Therefore, Velocity has satisfied this requirement.</w:t>
      </w:r>
      <w:r w:rsidRPr="005E0BE0" w:rsidR="00111B08">
        <w:t xml:space="preserve">  </w:t>
      </w:r>
    </w:p>
    <w:p w:rsidRPr="005E0BE0" w:rsidR="00111B08" w:rsidP="008A41DA" w:rsidRDefault="00111B08" w14:paraId="645C0268" w14:textId="0383D43C">
      <w:pPr>
        <w:pStyle w:val="Heading1"/>
        <w:keepNext w:val="0"/>
        <w:keepLines w:val="0"/>
        <w:numPr>
          <w:ilvl w:val="0"/>
          <w:numId w:val="25"/>
        </w:numPr>
        <w:ind w:left="540" w:hanging="540"/>
      </w:pPr>
      <w:bookmarkStart w:name="_Toc41486890" w:id="22"/>
      <w:bookmarkStart w:name="_Toc335049180" w:id="23"/>
      <w:r w:rsidRPr="005E0BE0">
        <w:t>Safety Considerations</w:t>
      </w:r>
      <w:bookmarkEnd w:id="22"/>
    </w:p>
    <w:p w:rsidRPr="005E0BE0" w:rsidR="00111B08" w:rsidP="00362003" w:rsidRDefault="00111B08" w14:paraId="38D5498A" w14:textId="28366C04">
      <w:pPr>
        <w:pStyle w:val="standard0"/>
      </w:pPr>
      <w:r w:rsidRPr="005E0BE0">
        <w:t xml:space="preserve">With the adoption of the </w:t>
      </w:r>
      <w:r w:rsidRPr="005E0BE0">
        <w:rPr>
          <w:i/>
        </w:rPr>
        <w:t>Safety Policy Statement of the California Public Utilities Commission</w:t>
      </w:r>
      <w:r w:rsidRPr="005E0BE0">
        <w:t xml:space="preserve"> on July 10, 2014, the Commission has, among other things, heightened its focus on the potential safety implications of every proceeding.  We have considered the potential safety implications </w:t>
      </w:r>
      <w:r w:rsidR="0039724F">
        <w:t>regarding Velocity’s Application</w:t>
      </w:r>
      <w:r w:rsidRPr="005E0BE0">
        <w:t xml:space="preserve">.  </w:t>
      </w:r>
      <w:r w:rsidR="0039724F">
        <w:t>The Commission is satisfied</w:t>
      </w:r>
      <w:r w:rsidRPr="005E0BE0">
        <w:t xml:space="preserve"> that </w:t>
      </w:r>
      <w:r w:rsidR="006B2248">
        <w:t>Velocity</w:t>
      </w:r>
      <w:r w:rsidRPr="005E0BE0">
        <w:rPr>
          <w:b/>
        </w:rPr>
        <w:t xml:space="preserve"> </w:t>
      </w:r>
      <w:r w:rsidRPr="005E0BE0">
        <w:t xml:space="preserve">will meet the Commission’s minimum safety goals and expectations of </w:t>
      </w:r>
      <w:r w:rsidR="00383B7D">
        <w:t xml:space="preserve">CLECs </w:t>
      </w:r>
      <w:r w:rsidRPr="005E0BE0">
        <w:t>because (1)</w:t>
      </w:r>
      <w:r w:rsidR="00487B81">
        <w:t> </w:t>
      </w:r>
      <w:r w:rsidR="006B2248">
        <w:t>Velocity</w:t>
      </w:r>
      <w:r w:rsidRPr="005E0BE0">
        <w:t xml:space="preserve"> has taken steps to meet the financial requirements as set forth in this decision for a </w:t>
      </w:r>
      <w:r w:rsidR="006E17A5">
        <w:t xml:space="preserve">full </w:t>
      </w:r>
      <w:r w:rsidRPr="005E0BE0">
        <w:t xml:space="preserve">facilities-based </w:t>
      </w:r>
      <w:r w:rsidR="00B81A3E">
        <w:t>CLEC</w:t>
      </w:r>
      <w:r w:rsidRPr="005E0BE0">
        <w:t xml:space="preserve">, and (2) </w:t>
      </w:r>
      <w:r w:rsidR="006B2248">
        <w:t>Velocity</w:t>
      </w:r>
      <w:r w:rsidRPr="005E0BE0">
        <w:rPr>
          <w:b/>
        </w:rPr>
        <w:t xml:space="preserve"> </w:t>
      </w:r>
      <w:r w:rsidRPr="005E0BE0">
        <w:t xml:space="preserve">is a public utility that is required </w:t>
      </w:r>
      <w:r w:rsidR="002258A0">
        <w:t>under</w:t>
      </w:r>
      <w:r w:rsidRPr="005E0BE0">
        <w:t xml:space="preserve"> Pub. Util. Code </w:t>
      </w:r>
      <w:r w:rsidR="00AB350B">
        <w:t>Section</w:t>
      </w:r>
      <w:r w:rsidRPr="005E0BE0">
        <w:t xml:space="preserve"> 451 to “… furnish and maintain such adequate, efficient, just and reasonable service, instrumentalities, equipment, and facilities, including telephone facilities …  as are necessary to promote the safety, health, comfort, and convenience of its patrons, employees, and the public.”  </w:t>
      </w:r>
    </w:p>
    <w:p w:rsidRPr="005E0BE0" w:rsidR="00111B08" w:rsidP="008F1399" w:rsidRDefault="00111B08" w14:paraId="69731357" w14:textId="7371C275">
      <w:pPr>
        <w:pStyle w:val="Heading1"/>
        <w:numPr>
          <w:ilvl w:val="0"/>
          <w:numId w:val="25"/>
        </w:numPr>
        <w:ind w:left="450" w:hanging="450"/>
      </w:pPr>
      <w:bookmarkStart w:name="_Toc41486891" w:id="24"/>
      <w:r w:rsidRPr="005E0BE0">
        <w:lastRenderedPageBreak/>
        <w:t>Conclusion</w:t>
      </w:r>
      <w:bookmarkEnd w:id="23"/>
      <w:bookmarkEnd w:id="24"/>
    </w:p>
    <w:p w:rsidRPr="005E0BE0" w:rsidR="00111B08" w:rsidP="008F1399" w:rsidRDefault="005324C7" w14:paraId="7EB9D322" w14:textId="7B9A30FA">
      <w:pPr>
        <w:pStyle w:val="standard0"/>
        <w:keepNext/>
        <w:keepLines/>
      </w:pPr>
      <w:r>
        <w:t>Velocity’s</w:t>
      </w:r>
      <w:r w:rsidRPr="005E0BE0" w:rsidR="00111B08">
        <w:t xml:space="preserve"> </w:t>
      </w:r>
      <w:r w:rsidR="004527BE">
        <w:t>Application</w:t>
      </w:r>
      <w:r w:rsidRPr="005E0BE0" w:rsidR="00111B08">
        <w:t xml:space="preserve"> </w:t>
      </w:r>
      <w:r>
        <w:t>satisfies all requi</w:t>
      </w:r>
      <w:r w:rsidR="0094203F">
        <w:t>r</w:t>
      </w:r>
      <w:r>
        <w:t>ements</w:t>
      </w:r>
      <w:r w:rsidRPr="005E0BE0" w:rsidR="00111B08">
        <w:t xml:space="preserve"> for certification as a competitive local exchange and interexchange carrier.  Accordingly, </w:t>
      </w:r>
      <w:r w:rsidR="00E76919">
        <w:t>the Commission</w:t>
      </w:r>
      <w:r w:rsidRPr="005E0BE0" w:rsidR="00111B08">
        <w:t xml:space="preserve"> grant</w:t>
      </w:r>
      <w:r w:rsidR="00E76919">
        <w:t>s</w:t>
      </w:r>
      <w:r w:rsidRPr="005E0BE0" w:rsidR="00111B08">
        <w:t xml:space="preserve"> </w:t>
      </w:r>
      <w:r w:rsidR="006B2248">
        <w:t>Velocity</w:t>
      </w:r>
      <w:r w:rsidRPr="00B67AB7" w:rsidR="00111B08">
        <w:t xml:space="preserve"> </w:t>
      </w:r>
      <w:r w:rsidRPr="005E0BE0" w:rsidR="00111B08">
        <w:t>a CPCN to provide full facilities</w:t>
      </w:r>
      <w:r w:rsidRPr="005E0BE0" w:rsidR="00111B08">
        <w:noBreakHyphen/>
        <w:t>based and resold local exchange telecommunications service in the service territor</w:t>
      </w:r>
      <w:r w:rsidR="00E76919">
        <w:t>ies in California set forth in this decision</w:t>
      </w:r>
      <w:r w:rsidRPr="005E0BE0" w:rsidR="00111B08">
        <w:t xml:space="preserve"> and interexchange service </w:t>
      </w:r>
      <w:r w:rsidR="00E76919">
        <w:t>throughout</w:t>
      </w:r>
      <w:r w:rsidRPr="005E0BE0" w:rsidR="00111B08">
        <w:t xml:space="preserve"> California subject to the terms and conditions set forth in the Ordering Paragraphs.</w:t>
      </w:r>
    </w:p>
    <w:p w:rsidR="007A08FF" w:rsidP="00111B08" w:rsidRDefault="00111B08" w14:paraId="0EF2ABCE" w14:textId="461E5B2B">
      <w:pPr>
        <w:pStyle w:val="standard0"/>
      </w:pPr>
      <w:r w:rsidRPr="005E0BE0">
        <w:t xml:space="preserve">The CPCN granted by this decision provides benefits to </w:t>
      </w:r>
      <w:r w:rsidR="006B2248">
        <w:t>Velocity</w:t>
      </w:r>
      <w:r w:rsidRPr="00B67AB7">
        <w:t xml:space="preserve"> </w:t>
      </w:r>
      <w:r w:rsidRPr="005E0BE0">
        <w:t xml:space="preserve">and corresponding obligations.  </w:t>
      </w:r>
      <w:r w:rsidR="006B2248">
        <w:t>Velocity</w:t>
      </w:r>
      <w:r w:rsidRPr="00B67AB7">
        <w:t xml:space="preserve"> </w:t>
      </w:r>
      <w:r w:rsidRPr="005E0BE0">
        <w:t>receives authority to operate in the prescribed service territor</w:t>
      </w:r>
      <w:r w:rsidR="00E76919">
        <w:t>ies</w:t>
      </w:r>
      <w:r w:rsidRPr="005E0BE0">
        <w:t xml:space="preserve">, request interconnection with other telecommunications carriers in accordance with </w:t>
      </w:r>
      <w:r w:rsidR="00CB7155">
        <w:t>47 U.S.C. Section</w:t>
      </w:r>
      <w:r w:rsidRPr="005E0BE0">
        <w:t xml:space="preserve"> 251, and access public rights</w:t>
      </w:r>
      <w:r>
        <w:t>-</w:t>
      </w:r>
      <w:r w:rsidRPr="005E0BE0">
        <w:t>of</w:t>
      </w:r>
      <w:r>
        <w:t>-</w:t>
      </w:r>
      <w:r w:rsidRPr="005E0BE0">
        <w:t xml:space="preserve">way in California as set forth in D.98-10-058 </w:t>
      </w:r>
      <w:r w:rsidR="00B81A3E">
        <w:t xml:space="preserve">and approved in </w:t>
      </w:r>
      <w:r w:rsidR="00B81A3E">
        <w:rPr>
          <w:i/>
          <w:iCs/>
        </w:rPr>
        <w:t>T</w:t>
      </w:r>
      <w:r w:rsidR="00080EBF">
        <w:rPr>
          <w:i/>
          <w:iCs/>
        </w:rPr>
        <w:noBreakHyphen/>
      </w:r>
      <w:r w:rsidR="00B81A3E">
        <w:rPr>
          <w:i/>
          <w:iCs/>
        </w:rPr>
        <w:t xml:space="preserve">Mobile West LLC v. City and County of San Francisco </w:t>
      </w:r>
      <w:r w:rsidR="00B81A3E">
        <w:t>(2019) 6 Cal.5</w:t>
      </w:r>
      <w:r w:rsidRPr="00B81A3E" w:rsidR="00B81A3E">
        <w:rPr>
          <w:vertAlign w:val="superscript"/>
        </w:rPr>
        <w:t>th</w:t>
      </w:r>
      <w:r w:rsidR="00B81A3E">
        <w:t xml:space="preserve"> 1107 </w:t>
      </w:r>
      <w:r w:rsidRPr="005E0BE0">
        <w:t xml:space="preserve">subject to the CEQA requirements set forth in this decision.  </w:t>
      </w:r>
    </w:p>
    <w:p w:rsidRPr="005E0BE0" w:rsidR="00111B08" w:rsidP="00111B08" w:rsidRDefault="00111B08" w14:paraId="39E5BA16" w14:textId="159C5777">
      <w:pPr>
        <w:pStyle w:val="standard0"/>
      </w:pPr>
      <w:r w:rsidRPr="005E0BE0">
        <w:t xml:space="preserve">In return, </w:t>
      </w:r>
      <w:r w:rsidR="006B2248">
        <w:rPr>
          <w:rFonts w:ascii="Palatino Linotype" w:hAnsi="Palatino Linotype"/>
          <w:szCs w:val="26"/>
        </w:rPr>
        <w:t>Velocity</w:t>
      </w:r>
      <w:r w:rsidRPr="005E0BE0">
        <w:t xml:space="preserve"> is obligated to comply with all applicable </w:t>
      </w:r>
      <w:r w:rsidR="00CB7155">
        <w:t>laws</w:t>
      </w:r>
      <w:r w:rsidRPr="005E0BE0">
        <w:t xml:space="preserve"> and Commission Rules, GOs, and decisions applicable to t</w:t>
      </w:r>
      <w:r w:rsidR="00B81A3E">
        <w:t>elephone corporations</w:t>
      </w:r>
      <w:r w:rsidRPr="005E0BE0">
        <w:t xml:space="preserve"> providing approved services</w:t>
      </w:r>
      <w:r w:rsidR="00CB7155">
        <w:t>, including, without limitation,</w:t>
      </w:r>
      <w:r w:rsidRPr="005E0BE0">
        <w:t xml:space="preserve"> consumer protection rules, tariffing, and reporting requirements.</w:t>
      </w:r>
      <w:r w:rsidR="00080EBF">
        <w:t xml:space="preserve"> </w:t>
      </w:r>
      <w:r w:rsidRPr="005E0BE0">
        <w:t xml:space="preserve"> Moreover, </w:t>
      </w:r>
      <w:r w:rsidR="006B2248">
        <w:t>Velocity</w:t>
      </w:r>
      <w:r w:rsidRPr="005E0BE0">
        <w:t xml:space="preserve"> is obligated to pay all Commission</w:t>
      </w:r>
      <w:r w:rsidR="002258A0">
        <w:t>-</w:t>
      </w:r>
      <w:r w:rsidRPr="005E0BE0">
        <w:t xml:space="preserve">prescribed user fees and public purpose program surcharges as set forth in Appendix B of this decision, comply with CEQA, and adhere to </w:t>
      </w:r>
      <w:r w:rsidR="002258A0">
        <w:t xml:space="preserve">the requirement of </w:t>
      </w:r>
      <w:r w:rsidRPr="005E0BE0">
        <w:t>Pub. Util. Code Section 45</w:t>
      </w:r>
      <w:r w:rsidR="002258A0">
        <w:t>1</w:t>
      </w:r>
      <w:r w:rsidRPr="005E0BE0">
        <w:t xml:space="preserve"> that every  public utility “…shall furnish and maintain such adequate, efficient, just and reasonable service, instrumentalities, equipment, and facilities, including telephone facilities</w:t>
      </w:r>
      <w:r w:rsidR="002258A0">
        <w:t xml:space="preserve"> …</w:t>
      </w:r>
      <w:r w:rsidRPr="005E0BE0">
        <w:t xml:space="preserve"> as are necessary to promote the safety, health, comfort, and convenience of its patrons, employees, and the public.”</w:t>
      </w:r>
    </w:p>
    <w:p w:rsidRPr="005E0BE0" w:rsidR="00111B08" w:rsidP="00074E22" w:rsidRDefault="00DA4F99" w14:paraId="3D20A5D9" w14:textId="595BC59D">
      <w:pPr>
        <w:pStyle w:val="Heading1"/>
        <w:numPr>
          <w:ilvl w:val="0"/>
          <w:numId w:val="25"/>
        </w:numPr>
        <w:ind w:left="540" w:hanging="540"/>
      </w:pPr>
      <w:bookmarkStart w:name="_Toc335049181" w:id="25"/>
      <w:bookmarkStart w:name="_Toc41486892" w:id="26"/>
      <w:r>
        <w:lastRenderedPageBreak/>
        <w:t>Motions</w:t>
      </w:r>
      <w:r w:rsidRPr="005E0BE0" w:rsidR="00111B08">
        <w:t xml:space="preserve"> to File Under Seal</w:t>
      </w:r>
      <w:bookmarkEnd w:id="25"/>
      <w:bookmarkEnd w:id="26"/>
    </w:p>
    <w:p w:rsidR="007B5691" w:rsidP="00074E22" w:rsidRDefault="00111B08" w14:paraId="13679579" w14:textId="266D2C89">
      <w:pPr>
        <w:pStyle w:val="standard0"/>
        <w:keepNext/>
        <w:keepLines/>
      </w:pPr>
      <w:r w:rsidRPr="005E0BE0">
        <w:t xml:space="preserve">Pursuant to Rule 11.4 of the Commission’s Rules of Practice and Procedure, </w:t>
      </w:r>
      <w:r w:rsidR="006B2248">
        <w:t>Velocity</w:t>
      </w:r>
      <w:r w:rsidRPr="005E0BE0">
        <w:t xml:space="preserve"> has filed a motion for leave to file </w:t>
      </w:r>
      <w:r w:rsidR="00212EE9">
        <w:t xml:space="preserve">profit and loss and balance sheet information contained in </w:t>
      </w:r>
      <w:r w:rsidRPr="005E0BE0">
        <w:t xml:space="preserve">Exhibit </w:t>
      </w:r>
      <w:r w:rsidR="007B5691">
        <w:t>4</w:t>
      </w:r>
      <w:r w:rsidRPr="005E0BE0">
        <w:t xml:space="preserve"> to </w:t>
      </w:r>
      <w:r w:rsidR="007B5691">
        <w:t>its</w:t>
      </w:r>
      <w:r w:rsidRPr="005E0BE0">
        <w:t xml:space="preserve"> </w:t>
      </w:r>
      <w:r w:rsidR="004527BE">
        <w:t>Application</w:t>
      </w:r>
      <w:r w:rsidRPr="005E0BE0">
        <w:t xml:space="preserve"> as confidential materials under seal.  </w:t>
      </w:r>
      <w:r w:rsidR="006B2248">
        <w:t>Velocity</w:t>
      </w:r>
      <w:r w:rsidRPr="005E0BE0">
        <w:t xml:space="preserve"> represents that the information is </w:t>
      </w:r>
      <w:r w:rsidRPr="00B67AB7">
        <w:t xml:space="preserve">sensitive and </w:t>
      </w:r>
      <w:r w:rsidR="007B5691">
        <w:t xml:space="preserve">that </w:t>
      </w:r>
      <w:r w:rsidRPr="00B67AB7">
        <w:t xml:space="preserve">disclosure could place </w:t>
      </w:r>
      <w:r w:rsidR="006B2248">
        <w:t>Velocity</w:t>
      </w:r>
      <w:r w:rsidRPr="00B67AB7">
        <w:t xml:space="preserve"> at an unfair business disadvantage</w:t>
      </w:r>
      <w:r w:rsidRPr="005E0BE0">
        <w:t xml:space="preserve">.  </w:t>
      </w:r>
      <w:r w:rsidR="007B5691">
        <w:t>The Commission has previously</w:t>
      </w:r>
      <w:r w:rsidRPr="005E0BE0">
        <w:t xml:space="preserve"> granted similar requests </w:t>
      </w:r>
      <w:r w:rsidR="007B5691">
        <w:t>from applicants for CPCNs. The Commission grants Velocity’s motion for leave to file Exhibit 4 to its Application as confidential materials under seal.</w:t>
      </w:r>
    </w:p>
    <w:p w:rsidRPr="005E0BE0" w:rsidR="00111B08" w:rsidP="00111B08" w:rsidRDefault="007B5691" w14:paraId="28875717" w14:textId="6C16D8D7">
      <w:pPr>
        <w:pStyle w:val="standard0"/>
      </w:pPr>
      <w:r>
        <w:t>Velocity has also filed a motion for leave to file certain other materials responsive to Item 6 of the Ruling</w:t>
      </w:r>
      <w:r w:rsidRPr="005E0BE0" w:rsidR="00111B08">
        <w:t xml:space="preserve"> </w:t>
      </w:r>
      <w:r>
        <w:t xml:space="preserve">as confidential materials under seal. </w:t>
      </w:r>
      <w:r w:rsidR="00080EBF">
        <w:t xml:space="preserve"> </w:t>
      </w:r>
      <w:r w:rsidR="00D910FA">
        <w:t xml:space="preserve">Velocity’s response </w:t>
      </w:r>
      <w:r w:rsidR="00212EE9">
        <w:t xml:space="preserve">to Item 6 </w:t>
      </w:r>
      <w:r w:rsidR="00D910FA">
        <w:t>does not contain any proprietary</w:t>
      </w:r>
      <w:r w:rsidR="00212EE9">
        <w:t>, confidential, or financial information</w:t>
      </w:r>
      <w:r w:rsidR="00B32CA8">
        <w:t xml:space="preserve"> or any materials regarding</w:t>
      </w:r>
      <w:r w:rsidR="00212EE9">
        <w:t xml:space="preserve"> the current </w:t>
      </w:r>
      <w:r w:rsidR="00B32CA8">
        <w:t>operations</w:t>
      </w:r>
      <w:r w:rsidR="00212EE9">
        <w:t xml:space="preserve"> of Velocity</w:t>
      </w:r>
      <w:r w:rsidR="00B32CA8">
        <w:t>.</w:t>
      </w:r>
      <w:r w:rsidR="00553AA1">
        <w:t xml:space="preserve"> </w:t>
      </w:r>
      <w:r w:rsidR="00B32CA8">
        <w:t xml:space="preserve"> </w:t>
      </w:r>
      <w:r w:rsidR="007A08FF">
        <w:t>T</w:t>
      </w:r>
      <w:r w:rsidR="00B32CA8">
        <w:t xml:space="preserve">he Commission </w:t>
      </w:r>
      <w:r w:rsidR="007A08FF">
        <w:t xml:space="preserve">therefore </w:t>
      </w:r>
      <w:r w:rsidR="00B32CA8">
        <w:t>denies Velocity’s motion for leave to file the materials responsive to Item 6 of the Ruling under seal.</w:t>
      </w:r>
      <w:r w:rsidR="00212EE9">
        <w:t xml:space="preserve"> </w:t>
      </w:r>
      <w:r w:rsidR="00D910FA">
        <w:t xml:space="preserve"> </w:t>
      </w:r>
    </w:p>
    <w:p w:rsidRPr="005E0BE0" w:rsidR="00111B08" w:rsidP="008A41DA" w:rsidRDefault="00111B08" w14:paraId="6B24DE5A" w14:textId="336EF65C">
      <w:pPr>
        <w:pStyle w:val="Heading1"/>
        <w:keepNext w:val="0"/>
        <w:keepLines w:val="0"/>
        <w:numPr>
          <w:ilvl w:val="0"/>
          <w:numId w:val="25"/>
        </w:numPr>
        <w:ind w:left="540" w:hanging="540"/>
      </w:pPr>
      <w:bookmarkStart w:name="_Toc335049182" w:id="27"/>
      <w:bookmarkStart w:name="_Toc41486893" w:id="28"/>
      <w:r w:rsidRPr="005E0BE0">
        <w:t>Categorization and Need for Hearings</w:t>
      </w:r>
      <w:bookmarkEnd w:id="27"/>
      <w:bookmarkEnd w:id="28"/>
    </w:p>
    <w:p w:rsidRPr="005E0BE0" w:rsidR="00111B08" w:rsidP="00111B08" w:rsidRDefault="00111B08" w14:paraId="00730A1A" w14:textId="616890E2">
      <w:pPr>
        <w:pStyle w:val="standard0"/>
      </w:pPr>
      <w:r w:rsidRPr="005E0BE0">
        <w:t>In Resolution ALJ 176</w:t>
      </w:r>
      <w:r w:rsidRPr="005E0BE0">
        <w:noBreakHyphen/>
        <w:t>3</w:t>
      </w:r>
      <w:r w:rsidR="0094203F">
        <w:t>456 filed on</w:t>
      </w:r>
      <w:r w:rsidRPr="005E0BE0">
        <w:t xml:space="preserve"> </w:t>
      </w:r>
      <w:r w:rsidR="0094203F">
        <w:t>February 27, 2020</w:t>
      </w:r>
      <w:r>
        <w:t>,</w:t>
      </w:r>
      <w:r w:rsidRPr="005E0BE0">
        <w:t xml:space="preserve"> the Commission preliminarily categorized this </w:t>
      </w:r>
      <w:r w:rsidR="004527BE">
        <w:t>Application</w:t>
      </w:r>
      <w:r w:rsidRPr="005E0BE0">
        <w:t xml:space="preserve"> as ratesetting, and preliminarily determined that hearings were not necessary.  No protests have been received.  There is no apparent reason why the </w:t>
      </w:r>
      <w:r w:rsidR="004527BE">
        <w:t>Application</w:t>
      </w:r>
      <w:r w:rsidRPr="005E0BE0">
        <w:t xml:space="preserve"> should not be granted.  Given these developments, a public hearing is not necessary</w:t>
      </w:r>
      <w:r w:rsidR="007A08FF">
        <w:t xml:space="preserve">.  Thus, </w:t>
      </w:r>
      <w:r w:rsidRPr="005E0BE0">
        <w:t>the preliminary determinations</w:t>
      </w:r>
      <w:r w:rsidR="007A08FF">
        <w:t xml:space="preserve"> are confirmed</w:t>
      </w:r>
      <w:r w:rsidRPr="005E0BE0">
        <w:t>.</w:t>
      </w:r>
    </w:p>
    <w:p w:rsidRPr="005E0BE0" w:rsidR="00111B08" w:rsidP="008A41DA" w:rsidRDefault="00111B08" w14:paraId="58572E08" w14:textId="77777777">
      <w:pPr>
        <w:pStyle w:val="Heading1"/>
        <w:numPr>
          <w:ilvl w:val="0"/>
          <w:numId w:val="25"/>
        </w:numPr>
        <w:ind w:left="547" w:hanging="547"/>
      </w:pPr>
      <w:bookmarkStart w:name="_Toc41486894" w:id="29"/>
      <w:bookmarkStart w:name="_Toc335049183" w:id="30"/>
      <w:r w:rsidRPr="005E0BE0">
        <w:lastRenderedPageBreak/>
        <w:t>Comments on Draft Decision</w:t>
      </w:r>
      <w:bookmarkEnd w:id="29"/>
      <w:r w:rsidRPr="005E0BE0">
        <w:t xml:space="preserve"> </w:t>
      </w:r>
      <w:bookmarkEnd w:id="30"/>
    </w:p>
    <w:p w:rsidRPr="005E0BE0" w:rsidR="00111B08" w:rsidP="00553AA1" w:rsidRDefault="00111B08" w14:paraId="238DD7A7" w14:textId="6DE63DCE">
      <w:pPr>
        <w:pStyle w:val="standard0"/>
        <w:keepNext/>
        <w:keepLines/>
      </w:pPr>
      <w:r w:rsidRPr="005E0BE0">
        <w:t xml:space="preserve">This is an uncontested matter in which the decision grants the relief requested.  Accordingly, pursuant to </w:t>
      </w:r>
      <w:r w:rsidR="00DA4F99">
        <w:t>Pub. Util.</w:t>
      </w:r>
      <w:r w:rsidRPr="005E0BE0">
        <w:t xml:space="preserve"> Code </w:t>
      </w:r>
      <w:r w:rsidR="0094203F">
        <w:t xml:space="preserve">Section 311(g)(2) </w:t>
      </w:r>
      <w:r w:rsidRPr="005E0BE0">
        <w:t>and Rule</w:t>
      </w:r>
      <w:r w:rsidR="00735376">
        <w:t> </w:t>
      </w:r>
      <w:r w:rsidRPr="005E0BE0">
        <w:t>14.6(c)(2), the otherwise applicable 30</w:t>
      </w:r>
      <w:r>
        <w:t>-</w:t>
      </w:r>
      <w:r w:rsidRPr="005E0BE0">
        <w:t>day period for public review and comment is waived.</w:t>
      </w:r>
    </w:p>
    <w:p w:rsidRPr="005E0BE0" w:rsidR="00111B08" w:rsidP="008A41DA" w:rsidRDefault="00111B08" w14:paraId="1396F272" w14:textId="77777777">
      <w:pPr>
        <w:pStyle w:val="Heading1"/>
        <w:keepNext w:val="0"/>
        <w:keepLines w:val="0"/>
        <w:numPr>
          <w:ilvl w:val="0"/>
          <w:numId w:val="25"/>
        </w:numPr>
        <w:ind w:left="540" w:hanging="540"/>
      </w:pPr>
      <w:bookmarkStart w:name="_Toc335049184" w:id="31"/>
      <w:bookmarkStart w:name="_Toc41486895" w:id="32"/>
      <w:r w:rsidRPr="005E0BE0">
        <w:t>Assignment of Proceeding</w:t>
      </w:r>
      <w:bookmarkEnd w:id="31"/>
      <w:bookmarkEnd w:id="32"/>
    </w:p>
    <w:p w:rsidRPr="005E0BE0" w:rsidR="00111B08" w:rsidP="00111B08" w:rsidRDefault="003679E0" w14:paraId="20DFAB8D" w14:textId="76104CD7">
      <w:pPr>
        <w:pStyle w:val="standard0"/>
      </w:pPr>
      <w:r>
        <w:t>Liane Randolph</w:t>
      </w:r>
      <w:r w:rsidRPr="005E0BE0" w:rsidR="00111B08">
        <w:t xml:space="preserve"> is the assigned Commissioner and </w:t>
      </w:r>
      <w:r w:rsidR="00612E8A">
        <w:t>Peter Wercinski</w:t>
      </w:r>
      <w:r w:rsidRPr="005E0BE0" w:rsidR="00111B08">
        <w:t xml:space="preserve"> is the assigned </w:t>
      </w:r>
      <w:r w:rsidR="00416468">
        <w:t>ALJ</w:t>
      </w:r>
      <w:r w:rsidRPr="005E0BE0" w:rsidR="00111B08">
        <w:t xml:space="preserve"> in this proceeding.</w:t>
      </w:r>
    </w:p>
    <w:p w:rsidRPr="005E0BE0" w:rsidR="00111B08" w:rsidP="00416468" w:rsidRDefault="00111B08" w14:paraId="3FC4F32D" w14:textId="77777777">
      <w:pPr>
        <w:pStyle w:val="Heading1"/>
        <w:numPr>
          <w:ilvl w:val="0"/>
          <w:numId w:val="0"/>
        </w:numPr>
        <w:ind w:left="360" w:hanging="360"/>
      </w:pPr>
      <w:bookmarkStart w:name="_Toc450990219" w:id="33"/>
      <w:bookmarkStart w:name="_Toc451151266" w:id="34"/>
      <w:bookmarkStart w:name="_Toc335049185" w:id="35"/>
      <w:bookmarkStart w:name="_Toc41486896" w:id="36"/>
      <w:r w:rsidRPr="005E0BE0">
        <w:t>Findings of Fact</w:t>
      </w:r>
      <w:bookmarkEnd w:id="33"/>
      <w:bookmarkEnd w:id="34"/>
      <w:bookmarkEnd w:id="35"/>
      <w:bookmarkEnd w:id="36"/>
    </w:p>
    <w:p w:rsidR="00432E3B" w:rsidP="008A41DA" w:rsidRDefault="000D761E" w14:paraId="50A4A2C4" w14:textId="0AD92FC6">
      <w:pPr>
        <w:pStyle w:val="num1"/>
        <w:numPr>
          <w:ilvl w:val="0"/>
          <w:numId w:val="22"/>
        </w:numPr>
      </w:pPr>
      <w:r>
        <w:t xml:space="preserve">Velocity </w:t>
      </w:r>
      <w:r w:rsidR="00432E3B">
        <w:t xml:space="preserve">filed its application </w:t>
      </w:r>
      <w:r>
        <w:t xml:space="preserve">for a </w:t>
      </w:r>
      <w:r w:rsidR="00E22288">
        <w:t xml:space="preserve">CPCN </w:t>
      </w:r>
      <w:r w:rsidRPr="005E0BE0" w:rsidR="00111B08">
        <w:t>on</w:t>
      </w:r>
      <w:r>
        <w:t xml:space="preserve"> </w:t>
      </w:r>
      <w:r w:rsidR="00432E3B">
        <w:t>January 31</w:t>
      </w:r>
      <w:r>
        <w:t>, 2020</w:t>
      </w:r>
      <w:r w:rsidRPr="005E0BE0" w:rsidR="00111B08">
        <w:t xml:space="preserve">. </w:t>
      </w:r>
    </w:p>
    <w:p w:rsidR="00FD572F" w:rsidP="008A41DA" w:rsidRDefault="00432E3B" w14:paraId="3847F6D5" w14:textId="227AD890">
      <w:pPr>
        <w:pStyle w:val="num1"/>
        <w:numPr>
          <w:ilvl w:val="0"/>
          <w:numId w:val="22"/>
        </w:numPr>
      </w:pPr>
      <w:r>
        <w:t>On April 9, 2020, Velocity filed its response to a March 18, 2020 A</w:t>
      </w:r>
      <w:r w:rsidR="006A5767">
        <w:t>dministrative Law Judge</w:t>
      </w:r>
      <w:r>
        <w:t>’s Ruling</w:t>
      </w:r>
      <w:r w:rsidR="00F42B57">
        <w:t xml:space="preserve"> </w:t>
      </w:r>
      <w:r w:rsidR="00C11ECF">
        <w:t xml:space="preserve">(Ruling) </w:t>
      </w:r>
      <w:r>
        <w:t>directing Velocity to file additional information regarding its application</w:t>
      </w:r>
      <w:r w:rsidR="00FD572F">
        <w:t>.</w:t>
      </w:r>
      <w:r>
        <w:t xml:space="preserve"> (Velocity’s application filed on January</w:t>
      </w:r>
      <w:r w:rsidR="00735376">
        <w:t> </w:t>
      </w:r>
      <w:r>
        <w:t>31,</w:t>
      </w:r>
      <w:r w:rsidR="00735376">
        <w:t> </w:t>
      </w:r>
      <w:r>
        <w:t xml:space="preserve">2020 and </w:t>
      </w:r>
      <w:r w:rsidR="00F52DA9">
        <w:t xml:space="preserve">the </w:t>
      </w:r>
      <w:r>
        <w:t xml:space="preserve">additional information filed on April 9, 2020 </w:t>
      </w:r>
      <w:r w:rsidR="00FD572F">
        <w:t xml:space="preserve">are </w:t>
      </w:r>
      <w:r>
        <w:t xml:space="preserve">collectively </w:t>
      </w:r>
      <w:r w:rsidR="00FD572F">
        <w:t xml:space="preserve">referred to </w:t>
      </w:r>
      <w:r w:rsidR="00075030">
        <w:t xml:space="preserve">hereafter as </w:t>
      </w:r>
      <w:r w:rsidR="00FD572F">
        <w:t xml:space="preserve">the </w:t>
      </w:r>
      <w:r w:rsidR="00075030">
        <w:t>“</w:t>
      </w:r>
      <w:r>
        <w:t>Application</w:t>
      </w:r>
      <w:r w:rsidR="006A5767">
        <w:t>.”</w:t>
      </w:r>
      <w:r>
        <w:t>)</w:t>
      </w:r>
    </w:p>
    <w:p w:rsidRPr="005E0BE0" w:rsidR="00111B08" w:rsidP="008A41DA" w:rsidRDefault="00FD572F" w14:paraId="01B1CC9C" w14:textId="53D8A7C7">
      <w:pPr>
        <w:pStyle w:val="num1"/>
        <w:numPr>
          <w:ilvl w:val="0"/>
          <w:numId w:val="22"/>
        </w:numPr>
      </w:pPr>
      <w:r>
        <w:t>No protests to the Application have been filed.</w:t>
      </w:r>
      <w:r w:rsidRPr="005E0BE0" w:rsidR="00111B08">
        <w:t xml:space="preserve">  </w:t>
      </w:r>
    </w:p>
    <w:p w:rsidRPr="00B12276" w:rsidR="00111B08" w:rsidP="008A41DA" w:rsidRDefault="006B2248" w14:paraId="1D03262F" w14:textId="7F53FCC6">
      <w:pPr>
        <w:pStyle w:val="num1"/>
        <w:numPr>
          <w:ilvl w:val="0"/>
          <w:numId w:val="22"/>
        </w:numPr>
      </w:pPr>
      <w:r>
        <w:t>Velocity</w:t>
      </w:r>
      <w:r w:rsidRPr="005E0BE0" w:rsidR="00111B08">
        <w:t xml:space="preserve"> </w:t>
      </w:r>
      <w:r w:rsidRPr="00B67AB7" w:rsidR="00111B08">
        <w:t xml:space="preserve">is a telephone corporation and a public utility as defined </w:t>
      </w:r>
      <w:r w:rsidR="00F52DA9">
        <w:t>Pub. Util.</w:t>
      </w:r>
      <w:r w:rsidRPr="00B67AB7" w:rsidR="00111B08">
        <w:t xml:space="preserve"> Code Sections 234(a) and 216(a).</w:t>
      </w:r>
    </w:p>
    <w:p w:rsidR="00A70E83" w:rsidP="008A41DA" w:rsidRDefault="00A70E83" w14:paraId="1F672675" w14:textId="6C59060A">
      <w:pPr>
        <w:pStyle w:val="num1"/>
        <w:numPr>
          <w:ilvl w:val="0"/>
          <w:numId w:val="22"/>
        </w:numPr>
      </w:pPr>
      <w:r>
        <w:t>Velocity proposes</w:t>
      </w:r>
      <w:r w:rsidRPr="005E0BE0">
        <w:t xml:space="preserve"> to provide full facilities</w:t>
      </w:r>
      <w:r>
        <w:t>-</w:t>
      </w:r>
      <w:r w:rsidRPr="005E0BE0">
        <w:t>based and resold</w:t>
      </w:r>
      <w:r w:rsidRPr="005E0BE0">
        <w:rPr>
          <w:b/>
        </w:rPr>
        <w:t xml:space="preserve"> </w:t>
      </w:r>
      <w:r w:rsidRPr="005E0BE0">
        <w:t>competitive</w:t>
      </w:r>
      <w:r w:rsidRPr="005E0BE0">
        <w:rPr>
          <w:b/>
        </w:rPr>
        <w:t xml:space="preserve"> </w:t>
      </w:r>
      <w:r w:rsidRPr="005E0BE0">
        <w:t xml:space="preserve">local exchange services </w:t>
      </w:r>
      <w:r>
        <w:t>in the service territories in California o</w:t>
      </w:r>
      <w:r w:rsidR="00484CF9">
        <w:t>f</w:t>
      </w:r>
      <w:r w:rsidRPr="005E0BE0">
        <w:t xml:space="preserve"> Pacific Bell Telephone Company</w:t>
      </w:r>
      <w:r>
        <w:t xml:space="preserve"> d</w:t>
      </w:r>
      <w:r w:rsidR="004B2158">
        <w:t>oing business as</w:t>
      </w:r>
      <w:r>
        <w:t xml:space="preserve"> AT&amp;T California</w:t>
      </w:r>
      <w:r w:rsidRPr="005E0BE0">
        <w:t xml:space="preserve">, </w:t>
      </w:r>
      <w:r>
        <w:t>Frontier California, Inc.</w:t>
      </w:r>
      <w:r w:rsidRPr="005E0BE0">
        <w:t xml:space="preserve">, </w:t>
      </w:r>
      <w:r>
        <w:t>Citizens Telecommunications Company of California, Inc., Frontier Communications of the Southwest, Inc., and Consolidated Communications of California Company</w:t>
      </w:r>
      <w:r w:rsidR="00E22288">
        <w:t>, and</w:t>
      </w:r>
      <w:r w:rsidRPr="005E0BE0">
        <w:rPr>
          <w:b/>
        </w:rPr>
        <w:t xml:space="preserve"> </w:t>
      </w:r>
      <w:r w:rsidRPr="005E0BE0">
        <w:t>full facilities</w:t>
      </w:r>
      <w:r w:rsidRPr="005E0BE0">
        <w:noBreakHyphen/>
        <w:t xml:space="preserve">based interexchange services </w:t>
      </w:r>
      <w:r>
        <w:t>throughout</w:t>
      </w:r>
      <w:r w:rsidRPr="005E0BE0">
        <w:t xml:space="preserve"> California.</w:t>
      </w:r>
    </w:p>
    <w:p w:rsidR="00075030" w:rsidP="008A41DA" w:rsidRDefault="00875C26" w14:paraId="18C88055" w14:textId="77777777">
      <w:pPr>
        <w:pStyle w:val="num1"/>
        <w:numPr>
          <w:ilvl w:val="0"/>
          <w:numId w:val="22"/>
        </w:numPr>
      </w:pPr>
      <w:r>
        <w:lastRenderedPageBreak/>
        <w:t>Velocity</w:t>
      </w:r>
      <w:r w:rsidRPr="005E0BE0">
        <w:t xml:space="preserve"> proposes to </w:t>
      </w:r>
      <w:r>
        <w:t>construct aerial and underground fiber optic wide area networks for businesses, school districts, and other governmental entities. Velocity proposes to build, own, and operate those networks and lease them to customers for a fixed term.</w:t>
      </w:r>
      <w:r w:rsidR="009A0F3F">
        <w:t xml:space="preserve"> </w:t>
      </w:r>
    </w:p>
    <w:p w:rsidR="00A70E83" w:rsidP="008A41DA" w:rsidRDefault="009A0F3F" w14:paraId="1B56AFB8" w14:textId="74526A64">
      <w:pPr>
        <w:pStyle w:val="num1"/>
        <w:numPr>
          <w:ilvl w:val="0"/>
          <w:numId w:val="22"/>
        </w:numPr>
      </w:pPr>
      <w:r>
        <w:t>Velocity</w:t>
      </w:r>
      <w:r w:rsidRPr="005E0BE0">
        <w:t xml:space="preserve"> </w:t>
      </w:r>
      <w:r>
        <w:t xml:space="preserve">does not yet have any customer agreements in California, and therefore it </w:t>
      </w:r>
      <w:r w:rsidRPr="005E0BE0">
        <w:t xml:space="preserve">does not </w:t>
      </w:r>
      <w:r>
        <w:t xml:space="preserve">yet </w:t>
      </w:r>
      <w:r w:rsidRPr="005E0BE0">
        <w:t xml:space="preserve">know where its California </w:t>
      </w:r>
      <w:r>
        <w:t>c</w:t>
      </w:r>
      <w:r w:rsidRPr="005E0BE0">
        <w:t>ustomers will be located and cannot identify where it will place facilities in order to provide its service</w:t>
      </w:r>
      <w:r>
        <w:t>s</w:t>
      </w:r>
      <w:r w:rsidRPr="005E0BE0">
        <w:t xml:space="preserve">. </w:t>
      </w:r>
      <w:r>
        <w:t xml:space="preserve"> As a result</w:t>
      </w:r>
      <w:r w:rsidRPr="005E0BE0">
        <w:t xml:space="preserve">, </w:t>
      </w:r>
      <w:r>
        <w:t>Velocity</w:t>
      </w:r>
      <w:r w:rsidRPr="005E0BE0">
        <w:t xml:space="preserve"> has not proposed any specific construction </w:t>
      </w:r>
      <w:r>
        <w:t>in</w:t>
      </w:r>
      <w:r w:rsidRPr="005E0BE0">
        <w:t xml:space="preserve"> its </w:t>
      </w:r>
      <w:r>
        <w:t>Application</w:t>
      </w:r>
      <w:r w:rsidRPr="005E0BE0">
        <w:t>.</w:t>
      </w:r>
    </w:p>
    <w:p w:rsidR="00875C26" w:rsidP="008A41DA" w:rsidRDefault="00875C26" w14:paraId="6311EFBD" w14:textId="70759B4B">
      <w:pPr>
        <w:pStyle w:val="num1"/>
        <w:numPr>
          <w:ilvl w:val="0"/>
          <w:numId w:val="22"/>
        </w:numPr>
      </w:pPr>
      <w:r w:rsidRPr="00B67AB7">
        <w:t xml:space="preserve">The </w:t>
      </w:r>
      <w:r>
        <w:t>Commission</w:t>
      </w:r>
      <w:r w:rsidRPr="00B67AB7">
        <w:t xml:space="preserve"> is the </w:t>
      </w:r>
      <w:r>
        <w:t>l</w:t>
      </w:r>
      <w:r w:rsidRPr="00B67AB7">
        <w:t xml:space="preserve">ead </w:t>
      </w:r>
      <w:r>
        <w:t>a</w:t>
      </w:r>
      <w:r w:rsidRPr="00B67AB7">
        <w:t xml:space="preserve">gency for </w:t>
      </w:r>
      <w:r>
        <w:t>Velocity’s proposed construction activities</w:t>
      </w:r>
      <w:r w:rsidRPr="00B67AB7">
        <w:t xml:space="preserve"> under</w:t>
      </w:r>
      <w:r w:rsidR="009A0F3F">
        <w:t xml:space="preserve"> C</w:t>
      </w:r>
      <w:r w:rsidRPr="00B67AB7">
        <w:t>EQA.</w:t>
      </w:r>
    </w:p>
    <w:p w:rsidRPr="005E0BE0" w:rsidR="00111B08" w:rsidP="008A41DA" w:rsidRDefault="006B2248" w14:paraId="28F9A9AC" w14:textId="702399C5">
      <w:pPr>
        <w:pStyle w:val="num1"/>
        <w:numPr>
          <w:ilvl w:val="0"/>
          <w:numId w:val="22"/>
        </w:numPr>
      </w:pPr>
      <w:r>
        <w:t>Velocity</w:t>
      </w:r>
      <w:r w:rsidR="00A70E83">
        <w:t>’s proposed</w:t>
      </w:r>
      <w:r w:rsidRPr="005E0BE0" w:rsidR="00111B08">
        <w:t xml:space="preserve"> construction activit</w:t>
      </w:r>
      <w:r w:rsidR="00A70E83">
        <w:t xml:space="preserve">ies will </w:t>
      </w:r>
      <w:r w:rsidR="00763BAE">
        <w:t xml:space="preserve">very </w:t>
      </w:r>
      <w:r w:rsidR="00F57C10">
        <w:t xml:space="preserve">likely </w:t>
      </w:r>
      <w:r w:rsidR="00763BAE">
        <w:t>qualify for an exemption from CEQA</w:t>
      </w:r>
      <w:r w:rsidRPr="005E0BE0" w:rsidR="00111B08">
        <w:t>.</w:t>
      </w:r>
    </w:p>
    <w:p w:rsidR="00111B08" w:rsidP="008A41DA" w:rsidRDefault="006B2248" w14:paraId="0CEF0015" w14:textId="07F3B35C">
      <w:pPr>
        <w:pStyle w:val="num1"/>
        <w:numPr>
          <w:ilvl w:val="0"/>
          <w:numId w:val="22"/>
        </w:numPr>
      </w:pPr>
      <w:r>
        <w:t>Velocity</w:t>
      </w:r>
      <w:r w:rsidRPr="005E0BE0" w:rsidR="00111B08">
        <w:t xml:space="preserve"> has a minimum of $100,000 of cash or cash equivalent </w:t>
      </w:r>
      <w:r w:rsidR="009268DF">
        <w:t xml:space="preserve">that is reasonably liquid and readily </w:t>
      </w:r>
      <w:r w:rsidRPr="005E0BE0" w:rsidR="00111B08">
        <w:t>available to meet its startup expenses.</w:t>
      </w:r>
    </w:p>
    <w:p w:rsidRPr="005E0BE0" w:rsidR="004B3268" w:rsidP="008A41DA" w:rsidRDefault="00874099" w14:paraId="3CC95966" w14:textId="6666593B">
      <w:pPr>
        <w:pStyle w:val="num1"/>
        <w:numPr>
          <w:ilvl w:val="0"/>
          <w:numId w:val="22"/>
        </w:numPr>
      </w:pPr>
      <w:r>
        <w:t>Velocity has submitted an irrevocable guarantee executed by its owner and Chief Executive Officer unconditionally guaranteeing Velocity’s accounts payable for one year following Velocity’s certification,</w:t>
      </w:r>
    </w:p>
    <w:p w:rsidRPr="005E0BE0" w:rsidR="00111B08" w:rsidP="008A41DA" w:rsidRDefault="006B2248" w14:paraId="47E2DBE0" w14:textId="30AB9CB8">
      <w:pPr>
        <w:pStyle w:val="num1"/>
        <w:numPr>
          <w:ilvl w:val="0"/>
          <w:numId w:val="22"/>
        </w:numPr>
      </w:pPr>
      <w:r>
        <w:t>Velocity</w:t>
      </w:r>
      <w:r w:rsidRPr="005E0BE0" w:rsidR="00111B08">
        <w:t xml:space="preserve"> does not anticipate deposits being required by other telecommunications carriers to provide the proposed service</w:t>
      </w:r>
      <w:r w:rsidR="00C52D15">
        <w:t>s</w:t>
      </w:r>
      <w:r w:rsidRPr="005E0BE0" w:rsidR="00111B08">
        <w:t>.</w:t>
      </w:r>
    </w:p>
    <w:p w:rsidRPr="005E0BE0" w:rsidR="00111B08" w:rsidP="008A41DA" w:rsidRDefault="006B2248" w14:paraId="651A0DB2" w14:textId="311728A4">
      <w:pPr>
        <w:pStyle w:val="num1"/>
        <w:numPr>
          <w:ilvl w:val="0"/>
          <w:numId w:val="22"/>
        </w:numPr>
      </w:pPr>
      <w:r>
        <w:t>Velocity</w:t>
      </w:r>
      <w:r w:rsidRPr="005E0BE0" w:rsidR="00111B08">
        <w:t xml:space="preserve">’s management possesses sufficient experience, knowledge, and technical expertise to provide </w:t>
      </w:r>
      <w:r w:rsidR="004B286E">
        <w:t>local exchange services to the public</w:t>
      </w:r>
      <w:r w:rsidRPr="005E0BE0" w:rsidR="00111B08">
        <w:t>.</w:t>
      </w:r>
    </w:p>
    <w:p w:rsidR="00111B08" w:rsidP="008A41DA" w:rsidRDefault="00557EBD" w14:paraId="338C4007" w14:textId="4B854844">
      <w:pPr>
        <w:pStyle w:val="num1"/>
        <w:numPr>
          <w:ilvl w:val="0"/>
          <w:numId w:val="22"/>
        </w:numPr>
      </w:pPr>
      <w:r>
        <w:t xml:space="preserve">Neither Velocity nor any of its affiliates, officers, directors, partners, agents, or owners </w:t>
      </w:r>
      <w:r w:rsidR="00314238">
        <w:t xml:space="preserve">(directly or indirectly) </w:t>
      </w:r>
      <w:r>
        <w:t xml:space="preserve">of more than 10 percent of Velocity or anyone acting in a management capacity for Velocity held one of those positions with a company that filed for bankruptcy, had been personally found liable or held one of those positions with a company that had been found liable for fraud, </w:t>
      </w:r>
      <w:r>
        <w:lastRenderedPageBreak/>
        <w:t>dishonesty, failure to disclose, or misrepresentations to consumers or others, had been convicted of a felony, had been the subject of a criminal referral by a judge or public agency, had a telecommunications license or operating authority denied, suspended, revoke</w:t>
      </w:r>
      <w:r w:rsidR="00C11ECF">
        <w:t>d</w:t>
      </w:r>
      <w:r>
        <w:t xml:space="preserve">, or limited in any jurisdiction, had personally entered into a settlement or held one of those positions with a company that had entered into a settlement of criminal or civil claims involving violations of </w:t>
      </w:r>
      <w:r w:rsidR="009D3FC5">
        <w:t>S</w:t>
      </w:r>
      <w:r>
        <w:t xml:space="preserve">ections 17000 </w:t>
      </w:r>
      <w:r>
        <w:rPr>
          <w:i/>
          <w:iCs/>
        </w:rPr>
        <w:t xml:space="preserve">et seq. </w:t>
      </w:r>
      <w:r>
        <w:t xml:space="preserve">of the California Business and Professions Code or of any other statute, regulation, or decisional law relating to fraud, dishonesty, failure to disclose, or misrepresentations to consumers or others, had been found to have violated any statute, law, or rule pertaining to public utilities or other regulated industries, had entered into any settlement agreements or made any voluntary payments or agreed to any other type of monetary forfeitures in resolution of any action by any regulatory body, agency, or attorney general, or is being or has been investigated by the Federal Communications Commission or any law enforcement or regulatory agency for failure to comply with any law, rule, or order. </w:t>
      </w:r>
    </w:p>
    <w:p w:rsidRPr="005E0BE0" w:rsidR="00111B08" w:rsidP="008A41DA" w:rsidRDefault="006B2248" w14:paraId="268128A2" w14:textId="5B52031F">
      <w:pPr>
        <w:pStyle w:val="num1"/>
        <w:numPr>
          <w:ilvl w:val="0"/>
          <w:numId w:val="22"/>
        </w:numPr>
        <w:ind w:firstLine="180"/>
      </w:pPr>
      <w:r>
        <w:t>Velocity</w:t>
      </w:r>
      <w:r w:rsidRPr="003B0E65" w:rsidR="00111B08">
        <w:t xml:space="preserve"> does not intend to provide services for which the Commission requires the filing of a tariff</w:t>
      </w:r>
      <w:r w:rsidR="00314238">
        <w:t xml:space="preserve"> and is eligible for exemption from tariffing requirements provided that Velocity complies with the consumer protection rules adopted in D.98-08-031</w:t>
      </w:r>
      <w:r w:rsidRPr="003B0E65" w:rsidR="00111B08">
        <w:t xml:space="preserve">.  </w:t>
      </w:r>
    </w:p>
    <w:p w:rsidRPr="005E0BE0" w:rsidR="00111B08" w:rsidP="008A41DA" w:rsidRDefault="006B2248" w14:paraId="44008B65" w14:textId="584DC531">
      <w:pPr>
        <w:pStyle w:val="num2"/>
        <w:numPr>
          <w:ilvl w:val="0"/>
          <w:numId w:val="22"/>
        </w:numPr>
        <w:ind w:firstLine="180"/>
      </w:pPr>
      <w:r>
        <w:t>Velocity</w:t>
      </w:r>
      <w:r w:rsidRPr="005E0BE0" w:rsidR="00111B08">
        <w:rPr>
          <w:b/>
        </w:rPr>
        <w:t xml:space="preserve"> </w:t>
      </w:r>
      <w:r w:rsidRPr="005E0BE0" w:rsidR="00111B08">
        <w:t>provided a map of the location of its proposed service territory.</w:t>
      </w:r>
    </w:p>
    <w:p w:rsidRPr="005E0BE0" w:rsidR="00111B08" w:rsidP="008A41DA" w:rsidRDefault="006B2248" w14:paraId="63F0728A" w14:textId="09706C20">
      <w:pPr>
        <w:pStyle w:val="num2"/>
        <w:numPr>
          <w:ilvl w:val="0"/>
          <w:numId w:val="22"/>
        </w:numPr>
        <w:ind w:firstLine="180"/>
      </w:pPr>
      <w:r>
        <w:t>Velocit</w:t>
      </w:r>
      <w:r w:rsidR="006E7E74">
        <w:t>y is not publicly held, does not issue an annual report, and does</w:t>
      </w:r>
      <w:r w:rsidRPr="005E0BE0" w:rsidR="00111B08">
        <w:t xml:space="preserve"> no</w:t>
      </w:r>
      <w:r w:rsidR="006E7E74">
        <w:t>t</w:t>
      </w:r>
      <w:r w:rsidRPr="005E0BE0" w:rsidR="00111B08">
        <w:t xml:space="preserve"> </w:t>
      </w:r>
      <w:r w:rsidR="006E7E74">
        <w:t xml:space="preserve">have </w:t>
      </w:r>
      <w:r w:rsidRPr="005E0BE0" w:rsidR="00111B08">
        <w:t xml:space="preserve">information to report under Rule 3.1(i), which requires that a utility filing an </w:t>
      </w:r>
      <w:r w:rsidR="006E7E74">
        <w:t>a</w:t>
      </w:r>
      <w:r w:rsidR="004527BE">
        <w:t>pplication</w:t>
      </w:r>
      <w:r w:rsidRPr="005E0BE0" w:rsidR="00111B08">
        <w:t xml:space="preserve"> under Pub. Util. Code </w:t>
      </w:r>
      <w:r w:rsidR="006E7E74">
        <w:t xml:space="preserve">Section </w:t>
      </w:r>
      <w:r w:rsidRPr="005E0BE0" w:rsidR="00111B08">
        <w:t xml:space="preserve">1001 provide a statement regarding compliance with </w:t>
      </w:r>
      <w:r w:rsidR="00F57C10">
        <w:t>GO</w:t>
      </w:r>
      <w:r w:rsidRPr="005E0BE0" w:rsidR="00111B08">
        <w:t> 104</w:t>
      </w:r>
      <w:r w:rsidR="00111B08">
        <w:t>-</w:t>
      </w:r>
      <w:r w:rsidRPr="005E0BE0" w:rsidR="00111B08">
        <w:t>A, Section 2.</w:t>
      </w:r>
    </w:p>
    <w:p w:rsidR="00111B08" w:rsidP="008A41DA" w:rsidRDefault="00111B08" w14:paraId="1A66F19A" w14:textId="55F78DCE">
      <w:pPr>
        <w:pStyle w:val="num2"/>
        <w:numPr>
          <w:ilvl w:val="0"/>
          <w:numId w:val="22"/>
        </w:numPr>
        <w:ind w:firstLine="180"/>
      </w:pPr>
      <w:r w:rsidRPr="005E0BE0">
        <w:lastRenderedPageBreak/>
        <w:t xml:space="preserve"> </w:t>
      </w:r>
      <w:r w:rsidR="00D5379C">
        <w:t>Velocity</w:t>
      </w:r>
      <w:r w:rsidRPr="00EC354E" w:rsidR="00D5379C">
        <w:t xml:space="preserve"> </w:t>
      </w:r>
      <w:r w:rsidR="00D5379C">
        <w:t>estimates that it will have one to four customers at the end of its first year of operations in California and 25 customers at the end of its fifth year of operations in California.</w:t>
      </w:r>
    </w:p>
    <w:p w:rsidR="00F42B57" w:rsidP="008A41DA" w:rsidRDefault="00111B08" w14:paraId="39513855" w14:textId="53C1F832">
      <w:pPr>
        <w:pStyle w:val="num2"/>
        <w:numPr>
          <w:ilvl w:val="0"/>
          <w:numId w:val="22"/>
        </w:numPr>
        <w:ind w:firstLine="180"/>
      </w:pPr>
      <w:r w:rsidRPr="005E0BE0">
        <w:t xml:space="preserve"> </w:t>
      </w:r>
      <w:r w:rsidR="006B2248">
        <w:t>Velocity</w:t>
      </w:r>
      <w:r w:rsidRPr="005E0BE0">
        <w:t xml:space="preserve"> filed </w:t>
      </w:r>
      <w:r w:rsidR="00545DE7">
        <w:t xml:space="preserve">a </w:t>
      </w:r>
      <w:r w:rsidRPr="005E0BE0">
        <w:t>motion</w:t>
      </w:r>
      <w:r w:rsidR="00D5379C">
        <w:t xml:space="preserve"> </w:t>
      </w:r>
      <w:r w:rsidR="00545DE7">
        <w:t xml:space="preserve">for leave to file </w:t>
      </w:r>
      <w:r w:rsidR="006E7E74">
        <w:t xml:space="preserve">under seal </w:t>
      </w:r>
      <w:r w:rsidR="00F42B57">
        <w:t>profit and loss and balance sheet information contained in Exhibit 4 to its Application.</w:t>
      </w:r>
    </w:p>
    <w:p w:rsidR="00F42B57" w:rsidP="008A41DA" w:rsidRDefault="00F42B57" w14:paraId="0383474C" w14:textId="72267477">
      <w:pPr>
        <w:pStyle w:val="num2"/>
        <w:numPr>
          <w:ilvl w:val="0"/>
          <w:numId w:val="22"/>
        </w:numPr>
        <w:ind w:firstLine="180"/>
      </w:pPr>
      <w:r>
        <w:t xml:space="preserve">Velocity filed a motion for leave to file under seal materials responsive to Item 6 of the Ruling. </w:t>
      </w:r>
    </w:p>
    <w:p w:rsidRPr="005E0BE0" w:rsidR="00111B08" w:rsidP="00E22288" w:rsidRDefault="00111B08" w14:paraId="4FB44CEC" w14:textId="77777777">
      <w:pPr>
        <w:pStyle w:val="Heading1"/>
        <w:numPr>
          <w:ilvl w:val="0"/>
          <w:numId w:val="0"/>
        </w:numPr>
        <w:ind w:left="360" w:hanging="360"/>
      </w:pPr>
      <w:bookmarkStart w:name="_Toc450990220" w:id="37"/>
      <w:bookmarkStart w:name="_Toc451151267" w:id="38"/>
      <w:bookmarkStart w:name="_Toc335049186" w:id="39"/>
      <w:bookmarkStart w:name="_Toc41486897" w:id="40"/>
      <w:r w:rsidRPr="005E0BE0">
        <w:t>Conclusions of Law</w:t>
      </w:r>
      <w:bookmarkEnd w:id="37"/>
      <w:bookmarkEnd w:id="38"/>
      <w:bookmarkEnd w:id="39"/>
      <w:bookmarkEnd w:id="40"/>
    </w:p>
    <w:p w:rsidR="00E22288" w:rsidP="008A41DA" w:rsidRDefault="006B2248" w14:paraId="6A1CCD4E" w14:textId="2E0E0453">
      <w:pPr>
        <w:pStyle w:val="num1"/>
        <w:numPr>
          <w:ilvl w:val="0"/>
          <w:numId w:val="23"/>
        </w:numPr>
      </w:pPr>
      <w:r>
        <w:t>Velocity</w:t>
      </w:r>
      <w:r w:rsidRPr="005E0BE0" w:rsidR="00111B08">
        <w:t xml:space="preserve"> should be granted a CPCN</w:t>
      </w:r>
      <w:r w:rsidRPr="005E0BE0" w:rsidR="00E22288">
        <w:t xml:space="preserve"> to provide full facilities</w:t>
      </w:r>
      <w:r w:rsidR="00E22288">
        <w:t>-</w:t>
      </w:r>
      <w:r w:rsidRPr="005E0BE0" w:rsidR="00E22288">
        <w:t>based and resold</w:t>
      </w:r>
      <w:r w:rsidRPr="005E0BE0" w:rsidR="00E22288">
        <w:rPr>
          <w:b/>
        </w:rPr>
        <w:t xml:space="preserve"> </w:t>
      </w:r>
      <w:r w:rsidRPr="005E0BE0" w:rsidR="00E22288">
        <w:t>competitive</w:t>
      </w:r>
      <w:r w:rsidRPr="005E0BE0" w:rsidR="00E22288">
        <w:rPr>
          <w:b/>
        </w:rPr>
        <w:t xml:space="preserve"> </w:t>
      </w:r>
      <w:r w:rsidRPr="005E0BE0" w:rsidR="00E22288">
        <w:t xml:space="preserve">local exchange services </w:t>
      </w:r>
      <w:r w:rsidR="00E22288">
        <w:t>in the service territories</w:t>
      </w:r>
      <w:r w:rsidR="00484CF9">
        <w:t xml:space="preserve"> in California of</w:t>
      </w:r>
      <w:r w:rsidRPr="005E0BE0" w:rsidR="00E22288">
        <w:t xml:space="preserve"> Pacific Bell Telephone Company</w:t>
      </w:r>
      <w:r w:rsidR="00E22288">
        <w:t xml:space="preserve"> doing business as AT&amp;T California</w:t>
      </w:r>
      <w:r w:rsidRPr="005E0BE0" w:rsidR="00E22288">
        <w:t xml:space="preserve">, </w:t>
      </w:r>
      <w:r w:rsidR="00E22288">
        <w:t>Frontier California, Inc.</w:t>
      </w:r>
      <w:r w:rsidRPr="005E0BE0" w:rsidR="00E22288">
        <w:t xml:space="preserve">, </w:t>
      </w:r>
      <w:r w:rsidR="00E22288">
        <w:t>Citizens Telecommunications Company of California, Inc., Frontier Communications of the Southwest, Inc., and Consolidated Communications of California Company, and</w:t>
      </w:r>
      <w:r w:rsidRPr="005E0BE0" w:rsidR="00E22288">
        <w:rPr>
          <w:b/>
        </w:rPr>
        <w:t xml:space="preserve"> </w:t>
      </w:r>
      <w:r w:rsidRPr="005E0BE0" w:rsidR="00E22288">
        <w:t>full facilities</w:t>
      </w:r>
      <w:r w:rsidRPr="005E0BE0" w:rsidR="00E22288">
        <w:noBreakHyphen/>
        <w:t xml:space="preserve">based interexchange services </w:t>
      </w:r>
      <w:r w:rsidR="00E22288">
        <w:t>throughout</w:t>
      </w:r>
      <w:r w:rsidRPr="005E0BE0" w:rsidR="00E22288">
        <w:t xml:space="preserve"> California</w:t>
      </w:r>
      <w:r w:rsidR="00E22288">
        <w:t>, subject to the terms and conditions in the Ordering Paragraphs.</w:t>
      </w:r>
    </w:p>
    <w:p w:rsidRPr="005E0BE0" w:rsidR="00111B08" w:rsidP="008A41DA" w:rsidRDefault="006B2248" w14:paraId="0C36D524" w14:textId="46EC7A20">
      <w:pPr>
        <w:pStyle w:val="num1"/>
        <w:numPr>
          <w:ilvl w:val="0"/>
          <w:numId w:val="23"/>
        </w:numPr>
      </w:pPr>
      <w:r>
        <w:t>Velocity</w:t>
      </w:r>
      <w:r w:rsidRPr="005E0BE0" w:rsidR="00111B08">
        <w:t xml:space="preserve"> should be allowed to use the </w:t>
      </w:r>
      <w:r w:rsidR="00E22288">
        <w:t xml:space="preserve">Commission </w:t>
      </w:r>
      <w:r w:rsidRPr="005E0BE0" w:rsidR="00111B08">
        <w:t>Energy Division</w:t>
      </w:r>
      <w:r w:rsidR="00E22288">
        <w:t>’s</w:t>
      </w:r>
      <w:r w:rsidRPr="005E0BE0" w:rsidR="00111B08">
        <w:t xml:space="preserve"> 21</w:t>
      </w:r>
      <w:r w:rsidR="009D3FC5">
        <w:noBreakHyphen/>
      </w:r>
      <w:r w:rsidRPr="005E0BE0" w:rsidR="00111B08">
        <w:t xml:space="preserve">day CEQA exemption process.  </w:t>
      </w:r>
    </w:p>
    <w:p w:rsidR="00111B08" w:rsidP="008A41DA" w:rsidRDefault="00F52DA9" w14:paraId="2E9B85FE" w14:textId="29E00A6C">
      <w:pPr>
        <w:pStyle w:val="num1"/>
        <w:numPr>
          <w:ilvl w:val="0"/>
          <w:numId w:val="23"/>
        </w:numPr>
      </w:pPr>
      <w:r>
        <w:t>O</w:t>
      </w:r>
      <w:r w:rsidRPr="005E0BE0" w:rsidR="00111B08">
        <w:t xml:space="preserve">nce granted a CPCN, </w:t>
      </w:r>
      <w:r>
        <w:t xml:space="preserve">Velocity </w:t>
      </w:r>
      <w:r w:rsidRPr="005E0BE0" w:rsidR="00111B08">
        <w:t>should be subject to the applicable Commission rules, decisions, General Orders, and statutes that pertain to California public utilities</w:t>
      </w:r>
      <w:r w:rsidR="00E22288">
        <w:t xml:space="preserve"> and telephone corporations</w:t>
      </w:r>
      <w:r w:rsidRPr="005E0BE0" w:rsidR="00111B08">
        <w:t>.</w:t>
      </w:r>
    </w:p>
    <w:p w:rsidR="00970F36" w:rsidP="008A41DA" w:rsidRDefault="006B2248" w14:paraId="50189852" w14:textId="77777777">
      <w:pPr>
        <w:pStyle w:val="num1"/>
        <w:numPr>
          <w:ilvl w:val="0"/>
          <w:numId w:val="23"/>
        </w:numPr>
      </w:pPr>
      <w:r>
        <w:t>Velocity</w:t>
      </w:r>
      <w:r w:rsidR="00111B08">
        <w:t>’s proposed services do not require filing of a tariff.</w:t>
      </w:r>
    </w:p>
    <w:p w:rsidR="00970F36" w:rsidP="008A41DA" w:rsidRDefault="00807812" w14:paraId="4480A3BB" w14:textId="20DE4D3D">
      <w:pPr>
        <w:pStyle w:val="num1"/>
        <w:numPr>
          <w:ilvl w:val="0"/>
          <w:numId w:val="23"/>
        </w:numPr>
      </w:pPr>
      <w:r>
        <w:t xml:space="preserve">Velocity’s </w:t>
      </w:r>
      <w:r w:rsidRPr="005E0BE0">
        <w:t>motion</w:t>
      </w:r>
      <w:r w:rsidR="00970F36">
        <w:t xml:space="preserve"> for leave to file under seal profit and loss and balance sheet information contained in Exhibit 4 to its Application should be granted.</w:t>
      </w:r>
    </w:p>
    <w:p w:rsidR="00111B08" w:rsidP="008A41DA" w:rsidRDefault="00970F36" w14:paraId="31B38D09" w14:textId="039C28C6">
      <w:pPr>
        <w:pStyle w:val="num1"/>
        <w:numPr>
          <w:ilvl w:val="0"/>
          <w:numId w:val="23"/>
        </w:numPr>
      </w:pPr>
      <w:r>
        <w:t>Velocity’s motion for leave to file under seal materials responsive to Item 6 of the Ruling should be denied</w:t>
      </w:r>
      <w:r w:rsidRPr="005E0BE0" w:rsidR="00807812">
        <w:t>.</w:t>
      </w:r>
    </w:p>
    <w:p w:rsidRPr="005E0BE0" w:rsidR="00075030" w:rsidP="008A41DA" w:rsidRDefault="00075030" w14:paraId="68A7FA2C" w14:textId="4ADC6FEE">
      <w:pPr>
        <w:pStyle w:val="num1"/>
        <w:numPr>
          <w:ilvl w:val="0"/>
          <w:numId w:val="23"/>
        </w:numPr>
      </w:pPr>
      <w:r>
        <w:lastRenderedPageBreak/>
        <w:t>This proceeding should be closed.</w:t>
      </w:r>
    </w:p>
    <w:p w:rsidRPr="005E0BE0" w:rsidR="00111B08" w:rsidP="00111B08" w:rsidRDefault="00111B08" w14:paraId="4F6327EF" w14:textId="77777777">
      <w:pPr>
        <w:pStyle w:val="mainex0"/>
        <w:spacing w:after="120"/>
      </w:pPr>
      <w:bookmarkStart w:name="_Toc450990221" w:id="41"/>
      <w:bookmarkStart w:name="_Toc451151268" w:id="42"/>
      <w:bookmarkStart w:name="_Toc41486898" w:id="43"/>
      <w:bookmarkStart w:name="OLE_LINK1" w:id="44"/>
      <w:bookmarkStart w:name="OLE_LINK2" w:id="45"/>
      <w:r w:rsidRPr="005E0BE0">
        <w:t>ORDER</w:t>
      </w:r>
      <w:bookmarkEnd w:id="41"/>
      <w:bookmarkEnd w:id="42"/>
      <w:bookmarkEnd w:id="43"/>
    </w:p>
    <w:bookmarkEnd w:id="44"/>
    <w:bookmarkEnd w:id="45"/>
    <w:p w:rsidRPr="005E0BE0" w:rsidR="00111B08" w:rsidP="00111B08" w:rsidRDefault="00111B08" w14:paraId="29FFE0C1" w14:textId="77777777">
      <w:pPr>
        <w:pStyle w:val="standard0"/>
        <w:keepNext/>
      </w:pPr>
      <w:r w:rsidRPr="005E0BE0">
        <w:rPr>
          <w:b/>
        </w:rPr>
        <w:t>IT IS ORDERED</w:t>
      </w:r>
      <w:r w:rsidRPr="005E0BE0">
        <w:t xml:space="preserve"> that: </w:t>
      </w:r>
    </w:p>
    <w:p w:rsidRPr="005E0BE0" w:rsidR="00111B08" w:rsidP="008A41DA" w:rsidRDefault="00111B08" w14:paraId="585E194A" w14:textId="09F12CA0">
      <w:pPr>
        <w:pStyle w:val="num1"/>
        <w:numPr>
          <w:ilvl w:val="0"/>
          <w:numId w:val="24"/>
        </w:numPr>
      </w:pPr>
      <w:r w:rsidRPr="005E0BE0">
        <w:t xml:space="preserve">A Certificate </w:t>
      </w:r>
      <w:r>
        <w:t>o</w:t>
      </w:r>
      <w:r w:rsidRPr="005E0BE0">
        <w:t xml:space="preserve">f Public Convenience </w:t>
      </w:r>
      <w:r>
        <w:t>a</w:t>
      </w:r>
      <w:r w:rsidRPr="005E0BE0">
        <w:t xml:space="preserve">nd Necessity is granted to </w:t>
      </w:r>
      <w:bookmarkStart w:name="_Hlk39739169" w:id="46"/>
      <w:r w:rsidR="006B2248">
        <w:t>Velocity</w:t>
      </w:r>
      <w:r w:rsidR="00AC3FFC">
        <w:t xml:space="preserve"> Fiber</w:t>
      </w:r>
      <w:r>
        <w:t>, LLC</w:t>
      </w:r>
      <w:r w:rsidRPr="005E0BE0">
        <w:t xml:space="preserve"> </w:t>
      </w:r>
      <w:bookmarkEnd w:id="46"/>
      <w:r w:rsidRPr="005E0BE0" w:rsidR="00AC3FFC">
        <w:t>to provide full facilities</w:t>
      </w:r>
      <w:r w:rsidR="00AC3FFC">
        <w:t>-</w:t>
      </w:r>
      <w:r w:rsidRPr="005E0BE0" w:rsidR="00AC3FFC">
        <w:t>based and resold</w:t>
      </w:r>
      <w:r w:rsidRPr="005E0BE0" w:rsidR="00AC3FFC">
        <w:rPr>
          <w:b/>
        </w:rPr>
        <w:t xml:space="preserve"> </w:t>
      </w:r>
      <w:r w:rsidRPr="005E0BE0" w:rsidR="00AC3FFC">
        <w:t>competitive</w:t>
      </w:r>
      <w:r w:rsidRPr="005E0BE0" w:rsidR="00AC3FFC">
        <w:rPr>
          <w:b/>
        </w:rPr>
        <w:t xml:space="preserve"> </w:t>
      </w:r>
      <w:r w:rsidRPr="005E0BE0" w:rsidR="00AC3FFC">
        <w:t xml:space="preserve">local exchange services </w:t>
      </w:r>
      <w:r w:rsidR="00AC3FFC">
        <w:t>in the service territories in California of</w:t>
      </w:r>
      <w:r w:rsidRPr="005E0BE0" w:rsidR="00AC3FFC">
        <w:t xml:space="preserve"> Pacific Bell Telephone Company</w:t>
      </w:r>
      <w:r w:rsidR="00AC3FFC">
        <w:t xml:space="preserve"> doing business as AT&amp;T California</w:t>
      </w:r>
      <w:r w:rsidRPr="005E0BE0" w:rsidR="00AC3FFC">
        <w:t xml:space="preserve">, </w:t>
      </w:r>
      <w:r w:rsidR="00AC3FFC">
        <w:t>Frontier California, Inc.</w:t>
      </w:r>
      <w:r w:rsidRPr="005E0BE0" w:rsidR="00AC3FFC">
        <w:t xml:space="preserve">, </w:t>
      </w:r>
      <w:r w:rsidR="00AC3FFC">
        <w:t>Citizens Telecommunications Company of California, Inc., Frontier Communications of the Southwest, Inc., and Consolidated Communications of California Company, and</w:t>
      </w:r>
      <w:r w:rsidRPr="005E0BE0" w:rsidR="00AC3FFC">
        <w:rPr>
          <w:b/>
        </w:rPr>
        <w:t xml:space="preserve"> </w:t>
      </w:r>
      <w:r w:rsidRPr="005E0BE0" w:rsidR="00AC3FFC">
        <w:t>full facilities</w:t>
      </w:r>
      <w:r w:rsidRPr="005E0BE0" w:rsidR="00AC3FFC">
        <w:noBreakHyphen/>
        <w:t xml:space="preserve">based interexchange services </w:t>
      </w:r>
      <w:r w:rsidR="00AC3FFC">
        <w:t>throughout</w:t>
      </w:r>
      <w:r w:rsidRPr="005E0BE0" w:rsidR="00AC3FFC">
        <w:t xml:space="preserve"> California</w:t>
      </w:r>
      <w:r w:rsidR="00AC3FFC">
        <w:t xml:space="preserve">, </w:t>
      </w:r>
      <w:r w:rsidRPr="005E0BE0">
        <w:t>subject to the terms and conditions set forth below.</w:t>
      </w:r>
    </w:p>
    <w:p w:rsidRPr="005E0BE0" w:rsidR="00111B08" w:rsidP="008A41DA" w:rsidRDefault="00111B08" w14:paraId="2CFD092C" w14:textId="44F68685">
      <w:pPr>
        <w:pStyle w:val="num1"/>
        <w:numPr>
          <w:ilvl w:val="0"/>
          <w:numId w:val="24"/>
        </w:numPr>
      </w:pPr>
      <w:r w:rsidRPr="005E0BE0">
        <w:t xml:space="preserve">The corporate identification number assigned to </w:t>
      </w:r>
      <w:r w:rsidRPr="00075030" w:rsidR="00075030">
        <w:t>Velocity Fiber, LLC</w:t>
      </w:r>
      <w:r w:rsidRPr="005E0BE0">
        <w:t>,</w:t>
      </w:r>
      <w:r w:rsidR="009C415F">
        <w:t xml:space="preserve"> </w:t>
      </w:r>
      <w:r w:rsidR="0077413F">
        <w:t>U7372C</w:t>
      </w:r>
      <w:r w:rsidRPr="0082046C">
        <w:t>,</w:t>
      </w:r>
      <w:r w:rsidRPr="005E0BE0">
        <w:t xml:space="preserve"> must be included in the caption of all original filings with th</w:t>
      </w:r>
      <w:r w:rsidR="00AC3FFC">
        <w:t>e California Public Utilities</w:t>
      </w:r>
      <w:r w:rsidRPr="005E0BE0">
        <w:t xml:space="preserve"> Commission and in the titles of other pleadings filed in existing cases.</w:t>
      </w:r>
    </w:p>
    <w:p w:rsidR="00111B08" w:rsidP="008A41DA" w:rsidRDefault="00111B08" w14:paraId="025595EF" w14:textId="4E5782BD">
      <w:pPr>
        <w:pStyle w:val="num1"/>
        <w:numPr>
          <w:ilvl w:val="0"/>
          <w:numId w:val="24"/>
        </w:numPr>
      </w:pPr>
      <w:r w:rsidRPr="005E0BE0">
        <w:t>The certificate granted by this order will expire if not exercised within 12</w:t>
      </w:r>
      <w:r w:rsidR="0033220D">
        <w:t> </w:t>
      </w:r>
      <w:r w:rsidRPr="005E0BE0">
        <w:t xml:space="preserve">months of the effective date of this </w:t>
      </w:r>
      <w:r w:rsidR="001579E0">
        <w:t>decision</w:t>
      </w:r>
      <w:r w:rsidRPr="005E0BE0">
        <w:t>.</w:t>
      </w:r>
    </w:p>
    <w:p w:rsidR="00075030" w:rsidP="008A41DA" w:rsidRDefault="00075030" w14:paraId="6F852A44" w14:textId="7B607465">
      <w:pPr>
        <w:pStyle w:val="num1"/>
        <w:numPr>
          <w:ilvl w:val="0"/>
          <w:numId w:val="24"/>
        </w:numPr>
      </w:pPr>
      <w:r w:rsidRPr="00075030">
        <w:t xml:space="preserve">Velocity Fiber, LLC </w:t>
      </w:r>
      <w:r w:rsidR="004135CF">
        <w:t xml:space="preserve">must file in this docket a written acceptance of the certificate granted in this proceeding within 30 days of the effective date of this decision. </w:t>
      </w:r>
    </w:p>
    <w:p w:rsidR="004135CF" w:rsidP="008A41DA" w:rsidRDefault="00075030" w14:paraId="3D93FCDC" w14:textId="48728009">
      <w:pPr>
        <w:pStyle w:val="num1"/>
        <w:numPr>
          <w:ilvl w:val="0"/>
          <w:numId w:val="24"/>
        </w:numPr>
      </w:pPr>
      <w:r>
        <w:t>Filing of the ordered w</w:t>
      </w:r>
      <w:r w:rsidR="004135CF">
        <w:t xml:space="preserve">ritten acceptance </w:t>
      </w:r>
      <w:r>
        <w:t xml:space="preserve">by </w:t>
      </w:r>
      <w:r w:rsidRPr="00075030">
        <w:t xml:space="preserve">Velocity Fiber, LLC </w:t>
      </w:r>
      <w:r>
        <w:t>shall</w:t>
      </w:r>
      <w:r w:rsidR="004135CF">
        <w:t xml:space="preserve"> not reopen this proceeding.</w:t>
      </w:r>
    </w:p>
    <w:p w:rsidRPr="005E0BE0" w:rsidR="004135CF" w:rsidP="008A41DA" w:rsidRDefault="003D4CBE" w14:paraId="57FCBF1B" w14:textId="6BA6C28B">
      <w:pPr>
        <w:pStyle w:val="num1"/>
        <w:numPr>
          <w:ilvl w:val="0"/>
          <w:numId w:val="24"/>
        </w:numPr>
      </w:pPr>
      <w:r w:rsidRPr="003D4CBE">
        <w:t xml:space="preserve">Velocity Fiber, LLC </w:t>
      </w:r>
      <w:r w:rsidR="004135CF">
        <w:t xml:space="preserve">must notify the Director of the Commission’s Communications Division of the date that local exchange service is first rendered to the public no later than five days after service begins by email to cdcompliance@cpuc.ca.gov. </w:t>
      </w:r>
    </w:p>
    <w:p w:rsidR="003D4CBE" w:rsidP="008A41DA" w:rsidRDefault="003D4CBE" w14:paraId="4F8915A3" w14:textId="6560000F">
      <w:pPr>
        <w:pStyle w:val="num1"/>
        <w:numPr>
          <w:ilvl w:val="0"/>
          <w:numId w:val="24"/>
        </w:numPr>
      </w:pPr>
      <w:r w:rsidRPr="003D4CBE">
        <w:lastRenderedPageBreak/>
        <w:t xml:space="preserve">Velocity </w:t>
      </w:r>
      <w:bookmarkStart w:name="_Hlk39739512" w:id="47"/>
      <w:r w:rsidRPr="003D4CBE">
        <w:t xml:space="preserve">Fiber, LLC </w:t>
      </w:r>
      <w:r w:rsidRPr="00B67AB7" w:rsidR="00111B08">
        <w:t xml:space="preserve">must </w:t>
      </w:r>
      <w:bookmarkEnd w:id="47"/>
      <w:r>
        <w:t xml:space="preserve">immediately </w:t>
      </w:r>
      <w:r w:rsidR="00B83F22">
        <w:t>ob</w:t>
      </w:r>
      <w:r w:rsidRPr="00B67AB7" w:rsidR="00111B08">
        <w:t xml:space="preserve">tain </w:t>
      </w:r>
      <w:r w:rsidR="00111B08">
        <w:t>a</w:t>
      </w:r>
      <w:r w:rsidRPr="00B67AB7" w:rsidR="00111B08">
        <w:t xml:space="preserve"> performance bond of at least $</w:t>
      </w:r>
      <w:r w:rsidR="00111B08">
        <w:t>25</w:t>
      </w:r>
      <w:r w:rsidRPr="00B67AB7" w:rsidR="00111B08">
        <w:t>,000</w:t>
      </w:r>
      <w:r w:rsidR="00111B08">
        <w:t xml:space="preserve"> </w:t>
      </w:r>
      <w:r w:rsidRPr="00B67AB7" w:rsidR="00111B08">
        <w:t>in accordance with Decision 13-05-035</w:t>
      </w:r>
      <w:r w:rsidR="00F74FD5">
        <w:t>;</w:t>
      </w:r>
      <w:r>
        <w:t xml:space="preserve"> t</w:t>
      </w:r>
      <w:r w:rsidRPr="00B67AB7" w:rsidR="00111B08">
        <w:t>he performance bond must be a continuous bond (</w:t>
      </w:r>
      <w:r w:rsidRPr="004135CF" w:rsidR="00111B08">
        <w:rPr>
          <w:i/>
        </w:rPr>
        <w:t>i.e</w:t>
      </w:r>
      <w:r w:rsidRPr="00B67AB7" w:rsidR="00111B08">
        <w:t xml:space="preserve">., there is no termination date on the bond) issued by a corporate surety company authorized to transact surety business in California, and the Commission must be listed as the </w:t>
      </w:r>
      <w:proofErr w:type="spellStart"/>
      <w:r w:rsidRPr="00B67AB7" w:rsidR="00111B08">
        <w:t>obligee</w:t>
      </w:r>
      <w:proofErr w:type="spellEnd"/>
      <w:r w:rsidRPr="00B67AB7" w:rsidR="00111B08">
        <w:t xml:space="preserve"> on the bond.  </w:t>
      </w:r>
    </w:p>
    <w:p w:rsidRPr="005E0BE0" w:rsidR="00111B08" w:rsidP="008A41DA" w:rsidRDefault="00111B08" w14:paraId="5EC8498B" w14:textId="179CCD84">
      <w:pPr>
        <w:pStyle w:val="num1"/>
        <w:numPr>
          <w:ilvl w:val="0"/>
          <w:numId w:val="24"/>
        </w:numPr>
      </w:pPr>
      <w:r w:rsidRPr="00B67AB7">
        <w:t xml:space="preserve">Within five days of acceptance of its </w:t>
      </w:r>
      <w:r w:rsidRPr="003D4CBE" w:rsidR="003D4CBE">
        <w:t xml:space="preserve">Certificate of Public Convenience and Necessity </w:t>
      </w:r>
      <w:r w:rsidRPr="00B67AB7">
        <w:t xml:space="preserve">authority, </w:t>
      </w:r>
      <w:r w:rsidR="006B2248">
        <w:t>Velocity</w:t>
      </w:r>
      <w:r w:rsidRPr="00B67AB7">
        <w:t xml:space="preserve"> </w:t>
      </w:r>
      <w:r w:rsidRPr="003D4CBE" w:rsidR="003D4CBE">
        <w:t xml:space="preserve">Fiber, LLC </w:t>
      </w:r>
      <w:r w:rsidRPr="00B67AB7">
        <w:t>must submit a Tier</w:t>
      </w:r>
      <w:r>
        <w:t xml:space="preserve"> </w:t>
      </w:r>
      <w:r w:rsidRPr="00B67AB7">
        <w:t xml:space="preserve">1 advice letter to the Director of </w:t>
      </w:r>
      <w:r w:rsidR="004135CF">
        <w:t xml:space="preserve">the Commission’s </w:t>
      </w:r>
      <w:r w:rsidRPr="00B67AB7">
        <w:t>Communications</w:t>
      </w:r>
      <w:r w:rsidR="004135CF">
        <w:t xml:space="preserve"> Division</w:t>
      </w:r>
      <w:r w:rsidRPr="00B67AB7">
        <w:t xml:space="preserve"> containing a copy of the license holder’s executed bond, and submit a Tier</w:t>
      </w:r>
      <w:r>
        <w:t xml:space="preserve"> </w:t>
      </w:r>
      <w:r w:rsidRPr="00B67AB7">
        <w:t xml:space="preserve">1 advice letter annually, but not later than March 31, with a copy of the executed bond. </w:t>
      </w:r>
    </w:p>
    <w:p w:rsidRPr="005E0BE0" w:rsidR="00111B08" w:rsidP="008A41DA" w:rsidRDefault="006B2248" w14:paraId="44BA33B6" w14:textId="6823F3BD">
      <w:pPr>
        <w:pStyle w:val="num1"/>
        <w:numPr>
          <w:ilvl w:val="0"/>
          <w:numId w:val="24"/>
        </w:numPr>
      </w:pPr>
      <w:r>
        <w:t>Velocity</w:t>
      </w:r>
      <w:r w:rsidRPr="005E0BE0" w:rsidR="00111B08">
        <w:t xml:space="preserve"> </w:t>
      </w:r>
      <w:bookmarkStart w:name="_Hlk39739875" w:id="48"/>
      <w:r w:rsidRPr="003D4CBE" w:rsidR="003D4CBE">
        <w:t xml:space="preserve">Fiber, LLC </w:t>
      </w:r>
      <w:bookmarkEnd w:id="48"/>
      <w:r w:rsidRPr="005E0BE0" w:rsidR="00111B08">
        <w:t>must not allow its performance bond to lapse during any period of its operation</w:t>
      </w:r>
      <w:r w:rsidR="003D4CBE">
        <w:t xml:space="preserve">, and </w:t>
      </w:r>
      <w:r w:rsidRPr="003D4CBE" w:rsidR="003D4CBE">
        <w:t>under Decision 13-05-035</w:t>
      </w:r>
      <w:r w:rsidR="003D4CBE">
        <w:t xml:space="preserve">, any failure to maintain the performance bond </w:t>
      </w:r>
      <w:r w:rsidRPr="005E0BE0" w:rsidR="00111B08">
        <w:t xml:space="preserve">may </w:t>
      </w:r>
      <w:r w:rsidR="003D4CBE">
        <w:t xml:space="preserve">result in </w:t>
      </w:r>
      <w:r w:rsidRPr="005E0BE0" w:rsidR="00111B08">
        <w:t>revo</w:t>
      </w:r>
      <w:r w:rsidR="003D4CBE">
        <w:t>cation of the</w:t>
      </w:r>
      <w:r w:rsidRPr="005E0BE0" w:rsidR="00111B08">
        <w:t xml:space="preserve"> C</w:t>
      </w:r>
      <w:r w:rsidR="003D4CBE">
        <w:t xml:space="preserve">ertificate of </w:t>
      </w:r>
      <w:r w:rsidR="00A50CD9">
        <w:t>P</w:t>
      </w:r>
      <w:r w:rsidR="003D4CBE">
        <w:t xml:space="preserve">ublic </w:t>
      </w:r>
      <w:r w:rsidR="00A50CD9">
        <w:t>C</w:t>
      </w:r>
      <w:r w:rsidR="003D4CBE">
        <w:t xml:space="preserve">onvenience and Necessity granted in this decision, </w:t>
      </w:r>
      <w:r w:rsidRPr="005E0BE0" w:rsidR="00111B08">
        <w:t>if a carrier is more than 120</w:t>
      </w:r>
      <w:r w:rsidR="00CA143E">
        <w:t> </w:t>
      </w:r>
      <w:r w:rsidRPr="005E0BE0" w:rsidR="00111B08">
        <w:t xml:space="preserve">days late in providing the Director of the </w:t>
      </w:r>
      <w:r w:rsidR="00A50CD9">
        <w:t xml:space="preserve">Commission’s </w:t>
      </w:r>
      <w:r w:rsidRPr="005E0BE0" w:rsidR="00111B08">
        <w:t xml:space="preserve">Communications Division a copy of its executed performance bond and the carrier has not been granted an extension of time by the </w:t>
      </w:r>
      <w:r w:rsidR="00A50CD9">
        <w:t xml:space="preserve">Commission’s </w:t>
      </w:r>
      <w:r w:rsidRPr="005E0BE0" w:rsidR="00111B08">
        <w:t>Communications Division.</w:t>
      </w:r>
    </w:p>
    <w:p w:rsidRPr="005E0BE0" w:rsidR="00111B08" w:rsidP="008A41DA" w:rsidRDefault="00111B08" w14:paraId="66776AD9" w14:textId="41A9FFCC">
      <w:pPr>
        <w:pStyle w:val="num1"/>
        <w:numPr>
          <w:ilvl w:val="0"/>
          <w:numId w:val="24"/>
        </w:numPr>
      </w:pPr>
      <w:r w:rsidRPr="005E0BE0">
        <w:t xml:space="preserve">In addition to all the requirements applicable to competitive local exchange carriers and interexchange carriers included in Attachments B, C, and D to this decision, </w:t>
      </w:r>
      <w:r w:rsidR="006B2248">
        <w:t>Velocity</w:t>
      </w:r>
      <w:r w:rsidRPr="005E0BE0">
        <w:t xml:space="preserve"> </w:t>
      </w:r>
      <w:r w:rsidRPr="003D4CBE" w:rsidR="003D4CBE">
        <w:t xml:space="preserve">Fiber, LLC </w:t>
      </w:r>
      <w:r w:rsidR="003D4CBE">
        <w:t>must comply with</w:t>
      </w:r>
      <w:r w:rsidRPr="005E0BE0">
        <w:t xml:space="preserve"> the Consumer Protection Rules contained in General Order </w:t>
      </w:r>
      <w:r w:rsidR="00A50CD9">
        <w:t xml:space="preserve">(GO) </w:t>
      </w:r>
      <w:r w:rsidRPr="005E0BE0">
        <w:t>168, and all applicable Commission rules, decisions, G</w:t>
      </w:r>
      <w:r w:rsidR="00A50CD9">
        <w:t>O</w:t>
      </w:r>
      <w:r w:rsidRPr="005E0BE0">
        <w:t>s, and statutes that pertain to California public utilities</w:t>
      </w:r>
      <w:r w:rsidR="00A50CD9">
        <w:t xml:space="preserve"> and telephone corporations</w:t>
      </w:r>
      <w:r w:rsidRPr="005E0BE0">
        <w:t>.</w:t>
      </w:r>
    </w:p>
    <w:p w:rsidR="00111B08" w:rsidP="008A41DA" w:rsidRDefault="006B2248" w14:paraId="0E4AFD4C" w14:textId="597B55FB">
      <w:pPr>
        <w:pStyle w:val="num1"/>
        <w:numPr>
          <w:ilvl w:val="0"/>
          <w:numId w:val="24"/>
        </w:numPr>
      </w:pPr>
      <w:r>
        <w:t>Velocity</w:t>
      </w:r>
      <w:r w:rsidRPr="005E0BE0" w:rsidR="00111B08">
        <w:t xml:space="preserve"> </w:t>
      </w:r>
      <w:r w:rsidRPr="00212B1D" w:rsidR="00212B1D">
        <w:t xml:space="preserve">Fiber, LLC </w:t>
      </w:r>
      <w:r w:rsidRPr="005E0BE0" w:rsidR="00111B08">
        <w:t xml:space="preserve">must pay </w:t>
      </w:r>
      <w:r w:rsidR="00A50CD9">
        <w:t xml:space="preserve">annually </w:t>
      </w:r>
      <w:r w:rsidRPr="005E0BE0" w:rsidR="00111B08">
        <w:t>the public purpose surcharges specified in Attachment B</w:t>
      </w:r>
      <w:r w:rsidR="008B0536">
        <w:t xml:space="preserve"> to this decision</w:t>
      </w:r>
      <w:r w:rsidR="00A50CD9">
        <w:t>, and</w:t>
      </w:r>
      <w:r w:rsidRPr="005E0BE0" w:rsidR="00111B08">
        <w:t xml:space="preserve"> the Combined California Public </w:t>
      </w:r>
      <w:r w:rsidRPr="005E0BE0" w:rsidR="00111B08">
        <w:lastRenderedPageBreak/>
        <w:t xml:space="preserve">Utilities Commission Telephone Surcharge Transmittal Form must be submitted even if the amount due is $0.  </w:t>
      </w:r>
    </w:p>
    <w:p w:rsidRPr="005E0BE0" w:rsidR="00111B08" w:rsidP="008A41DA" w:rsidRDefault="006B2248" w14:paraId="6DE406C0" w14:textId="464A7FDD">
      <w:pPr>
        <w:pStyle w:val="num1"/>
        <w:numPr>
          <w:ilvl w:val="0"/>
          <w:numId w:val="24"/>
        </w:numPr>
      </w:pPr>
      <w:r>
        <w:t>Velocity</w:t>
      </w:r>
      <w:r w:rsidRPr="005E0BE0" w:rsidDel="00C33B72" w:rsidR="00111B08">
        <w:t xml:space="preserve"> </w:t>
      </w:r>
      <w:r w:rsidRPr="00212B1D" w:rsidR="00212B1D">
        <w:t xml:space="preserve">Fiber, LLC </w:t>
      </w:r>
      <w:r w:rsidRPr="005E0BE0" w:rsidR="00111B08">
        <w:t xml:space="preserve">must pay </w:t>
      </w:r>
      <w:r w:rsidR="008E65EA">
        <w:t xml:space="preserve">annually </w:t>
      </w:r>
      <w:r w:rsidRPr="005E0BE0" w:rsidR="00111B08">
        <w:t xml:space="preserve">the </w:t>
      </w:r>
      <w:r w:rsidR="00111B08">
        <w:t>user fee</w:t>
      </w:r>
      <w:r w:rsidRPr="005E0BE0" w:rsidR="00111B08">
        <w:t xml:space="preserve"> specified in Attachment B</w:t>
      </w:r>
      <w:r w:rsidR="00AD7D73">
        <w:t xml:space="preserve"> to this decision</w:t>
      </w:r>
      <w:r w:rsidRPr="005E0BE0" w:rsidR="00111B08">
        <w:t xml:space="preserve">. </w:t>
      </w:r>
      <w:r w:rsidR="00CA143E">
        <w:t xml:space="preserve"> </w:t>
      </w:r>
      <w:r>
        <w:t>Velocity</w:t>
      </w:r>
      <w:r w:rsidR="00111B08">
        <w:t xml:space="preserve"> must </w:t>
      </w:r>
      <w:r w:rsidRPr="005E0BE0" w:rsidR="00111B08">
        <w:t>pay a minimum user fee of $100 or 0.</w:t>
      </w:r>
      <w:r w:rsidR="008E65EA">
        <w:t>3</w:t>
      </w:r>
      <w:r w:rsidR="00B83F22">
        <w:t>4</w:t>
      </w:r>
      <w:r w:rsidRPr="005E0BE0" w:rsidR="00111B08">
        <w:t xml:space="preserve">% of gross intrastate revenue, whichever is greater.  Under </w:t>
      </w:r>
      <w:r w:rsidR="00DA4F99">
        <w:t>Pub</w:t>
      </w:r>
      <w:r w:rsidR="00212B1D">
        <w:t>lic</w:t>
      </w:r>
      <w:r w:rsidR="00DA4F99">
        <w:t xml:space="preserve"> Util</w:t>
      </w:r>
      <w:r w:rsidR="00212B1D">
        <w:t>ities</w:t>
      </w:r>
      <w:r w:rsidRPr="005E0BE0" w:rsidR="00111B08">
        <w:t xml:space="preserve"> Code </w:t>
      </w:r>
      <w:r w:rsidR="00023BF1">
        <w:t>Section</w:t>
      </w:r>
      <w:r w:rsidRPr="005E0BE0" w:rsidR="00111B08">
        <w:t xml:space="preserve"> 405, carriers that are in default of reporting and submitting user fees for a period of 30 days or more will be subject to penalties including suspension or revocation of their authority to operate in California.  </w:t>
      </w:r>
    </w:p>
    <w:p w:rsidRPr="005E0BE0" w:rsidR="00111B08" w:rsidP="008A41DA" w:rsidRDefault="00111B08" w14:paraId="5FE3F227" w14:textId="7A200619">
      <w:pPr>
        <w:pStyle w:val="num1"/>
        <w:numPr>
          <w:ilvl w:val="0"/>
          <w:numId w:val="24"/>
        </w:numPr>
      </w:pPr>
      <w:r w:rsidRPr="005E0BE0">
        <w:t xml:space="preserve">Prior to initiating service, </w:t>
      </w:r>
      <w:r w:rsidR="006B2248">
        <w:t>Velocity</w:t>
      </w:r>
      <w:r w:rsidRPr="005E0BE0">
        <w:t xml:space="preserve"> </w:t>
      </w:r>
      <w:r w:rsidRPr="00212B1D" w:rsidR="00212B1D">
        <w:t xml:space="preserve">Fiber, LLC </w:t>
      </w:r>
      <w:r w:rsidRPr="005E0BE0">
        <w:t>must provide the Commission’s Consumer Affairs Branch with the name</w:t>
      </w:r>
      <w:r w:rsidR="00023BF1">
        <w:t>(s),</w:t>
      </w:r>
      <w:r w:rsidRPr="005E0BE0">
        <w:t xml:space="preserve"> address</w:t>
      </w:r>
      <w:r w:rsidR="00023BF1">
        <w:t>(es), and telephone number(s)</w:t>
      </w:r>
      <w:r w:rsidRPr="005E0BE0">
        <w:t xml:space="preserve"> of its designated contact person(s) for purposes of resolving consumer complaints.  This information must be updated if the name</w:t>
      </w:r>
      <w:r w:rsidR="00023BF1">
        <w:t>(s), address(es),</w:t>
      </w:r>
      <w:r w:rsidRPr="005E0BE0">
        <w:t xml:space="preserve"> or telephone number</w:t>
      </w:r>
      <w:r w:rsidR="00342326">
        <w:t>(s)</w:t>
      </w:r>
      <w:r w:rsidRPr="005E0BE0">
        <w:t xml:space="preserve"> change, or at least annually.</w:t>
      </w:r>
    </w:p>
    <w:p w:rsidRPr="005E0BE0" w:rsidR="00111B08" w:rsidP="008A41DA" w:rsidRDefault="00111B08" w14:paraId="46CDAC7E" w14:textId="6178F467">
      <w:pPr>
        <w:pStyle w:val="num1"/>
        <w:numPr>
          <w:ilvl w:val="0"/>
          <w:numId w:val="24"/>
        </w:numPr>
        <w:ind w:firstLine="180"/>
      </w:pPr>
      <w:r w:rsidRPr="005E0BE0">
        <w:t xml:space="preserve">Prior to initiating service, </w:t>
      </w:r>
      <w:r w:rsidR="006B2248">
        <w:t>Velocity</w:t>
      </w:r>
      <w:r w:rsidRPr="005E0BE0">
        <w:t xml:space="preserve"> </w:t>
      </w:r>
      <w:r w:rsidRPr="00212B1D" w:rsidR="00212B1D">
        <w:t xml:space="preserve">Fiber, LLC </w:t>
      </w:r>
      <w:r w:rsidRPr="005E0BE0">
        <w:t>must provide the Commission’s Communications Division with the name</w:t>
      </w:r>
      <w:r w:rsidR="00FC606D">
        <w:t xml:space="preserve">(s), </w:t>
      </w:r>
      <w:r w:rsidRPr="005E0BE0">
        <w:t>address</w:t>
      </w:r>
      <w:r w:rsidR="00FC606D">
        <w:t>(es), and telephone number(s)</w:t>
      </w:r>
      <w:r w:rsidRPr="005E0BE0">
        <w:t xml:space="preserve"> of its designated regulatory/official contact person(s).  This information must be provided electronically, using the “Regulatory/Official Contact Information Update Request” found at </w:t>
      </w:r>
      <w:hyperlink w:history="1" r:id="rId15">
        <w:r w:rsidRPr="0062529A">
          <w:rPr>
            <w:rStyle w:val="Hyperlink"/>
          </w:rPr>
          <w:t>http://www.cpuc.ca.gov/communications/</w:t>
        </w:r>
      </w:hyperlink>
      <w:r>
        <w:t>.</w:t>
      </w:r>
      <w:r w:rsidRPr="005E0BE0">
        <w:rPr>
          <w:rFonts w:ascii="Arial" w:hAnsi="Arial" w:cs="Arial"/>
          <w:sz w:val="19"/>
          <w:szCs w:val="19"/>
          <w:lang w:val="en"/>
        </w:rPr>
        <w:t xml:space="preserve"> </w:t>
      </w:r>
      <w:r>
        <w:rPr>
          <w:rFonts w:ascii="Arial" w:hAnsi="Arial" w:cs="Arial"/>
          <w:sz w:val="19"/>
          <w:szCs w:val="19"/>
          <w:lang w:val="en"/>
        </w:rPr>
        <w:t xml:space="preserve"> </w:t>
      </w:r>
      <w:r w:rsidRPr="005E0BE0">
        <w:t>This information must be updated if the name</w:t>
      </w:r>
      <w:r w:rsidR="00FC606D">
        <w:t>(s), address(es),</w:t>
      </w:r>
      <w:r w:rsidRPr="005E0BE0">
        <w:t xml:space="preserve"> or telephone number</w:t>
      </w:r>
      <w:r w:rsidR="00FC606D">
        <w:t>(s)</w:t>
      </w:r>
      <w:r w:rsidRPr="005E0BE0">
        <w:t xml:space="preserve"> change, or at least annually.</w:t>
      </w:r>
    </w:p>
    <w:p w:rsidRPr="005E0BE0" w:rsidR="00111B08" w:rsidP="008A41DA" w:rsidRDefault="006B2248" w14:paraId="5B5F2DF2" w14:textId="0FA3631C">
      <w:pPr>
        <w:pStyle w:val="num1"/>
        <w:numPr>
          <w:ilvl w:val="0"/>
          <w:numId w:val="24"/>
        </w:numPr>
        <w:ind w:firstLine="180"/>
      </w:pPr>
      <w:r>
        <w:t>Velocity</w:t>
      </w:r>
      <w:r w:rsidRPr="005E0BE0" w:rsidR="00111B08">
        <w:t xml:space="preserve"> </w:t>
      </w:r>
      <w:r w:rsidRPr="00212B1D" w:rsidR="00212B1D">
        <w:t xml:space="preserve">Fiber, LLC </w:t>
      </w:r>
      <w:r w:rsidRPr="005E0BE0" w:rsidR="00111B08">
        <w:t xml:space="preserve">must </w:t>
      </w:r>
      <w:r w:rsidR="000A2854">
        <w:t>submit</w:t>
      </w:r>
      <w:r w:rsidRPr="005E0BE0" w:rsidR="00111B08">
        <w:t xml:space="preserve"> an affiliate transaction report </w:t>
      </w:r>
      <w:r w:rsidR="000A2854">
        <w:t>to</w:t>
      </w:r>
      <w:r w:rsidRPr="005E0BE0" w:rsidR="00111B08">
        <w:t xml:space="preserve"> the Director of the </w:t>
      </w:r>
      <w:r w:rsidR="00AD7D73">
        <w:t xml:space="preserve">Commission’s </w:t>
      </w:r>
      <w:r w:rsidRPr="005E0BE0" w:rsidR="00111B08">
        <w:t xml:space="preserve">Communications Division, </w:t>
      </w:r>
      <w:r w:rsidR="00B3076A">
        <w:t xml:space="preserve">by email to </w:t>
      </w:r>
      <w:hyperlink w:history="1" r:id="rId16">
        <w:r w:rsidRPr="00462440" w:rsidR="00B3076A">
          <w:rPr>
            <w:rStyle w:val="Hyperlink"/>
          </w:rPr>
          <w:t>cdcompliance@cpuc.ca.gov</w:t>
        </w:r>
      </w:hyperlink>
      <w:r w:rsidR="00B3076A">
        <w:t xml:space="preserve">, </w:t>
      </w:r>
      <w:r w:rsidRPr="005E0BE0" w:rsidR="00111B08">
        <w:t>in compliance with Decision 93</w:t>
      </w:r>
      <w:r w:rsidR="00111B08">
        <w:t>-</w:t>
      </w:r>
      <w:r w:rsidRPr="005E0BE0" w:rsidR="00111B08">
        <w:t>02</w:t>
      </w:r>
      <w:r w:rsidR="00111B08">
        <w:t>-</w:t>
      </w:r>
      <w:r w:rsidRPr="005E0BE0" w:rsidR="00111B08">
        <w:t>019, on a calendar</w:t>
      </w:r>
      <w:r w:rsidR="00111B08">
        <w:t>-</w:t>
      </w:r>
      <w:r w:rsidRPr="005E0BE0" w:rsidR="00111B08">
        <w:t>year basis using the form contained in Attachment D</w:t>
      </w:r>
      <w:r w:rsidR="00AD7D73">
        <w:t xml:space="preserve"> to this decision</w:t>
      </w:r>
      <w:r w:rsidRPr="005E0BE0" w:rsidR="00111B08">
        <w:t>.</w:t>
      </w:r>
    </w:p>
    <w:p w:rsidRPr="005E0BE0" w:rsidR="00111B08" w:rsidP="008A41DA" w:rsidRDefault="006B2248" w14:paraId="6D728463" w14:textId="35379CF6">
      <w:pPr>
        <w:pStyle w:val="num2"/>
        <w:numPr>
          <w:ilvl w:val="0"/>
          <w:numId w:val="24"/>
        </w:numPr>
        <w:ind w:firstLine="180"/>
      </w:pPr>
      <w:r>
        <w:t>Velocity</w:t>
      </w:r>
      <w:r w:rsidRPr="005E0BE0" w:rsidR="00111B08">
        <w:t xml:space="preserve"> </w:t>
      </w:r>
      <w:r w:rsidRPr="00212B1D" w:rsidR="00212B1D">
        <w:t xml:space="preserve">Fiber, LLC </w:t>
      </w:r>
      <w:r w:rsidRPr="005E0BE0" w:rsidR="00111B08">
        <w:t xml:space="preserve">must </w:t>
      </w:r>
      <w:r w:rsidR="000A2854">
        <w:t>submit</w:t>
      </w:r>
      <w:r w:rsidRPr="005E0BE0" w:rsidR="00111B08">
        <w:t xml:space="preserve"> an annual report </w:t>
      </w:r>
      <w:r w:rsidR="000A2854">
        <w:t>to</w:t>
      </w:r>
      <w:r w:rsidRPr="005E0BE0" w:rsidR="00111B08">
        <w:t xml:space="preserve"> the Director of the </w:t>
      </w:r>
      <w:r w:rsidR="00AD7D73">
        <w:t xml:space="preserve">Commission’s </w:t>
      </w:r>
      <w:r w:rsidRPr="005E0BE0" w:rsidR="00111B08">
        <w:t xml:space="preserve">Communications Division, </w:t>
      </w:r>
      <w:r w:rsidR="00AD7D73">
        <w:t xml:space="preserve">by email to </w:t>
      </w:r>
      <w:hyperlink w:history="1" r:id="rId17">
        <w:r w:rsidRPr="00692E24" w:rsidR="00AD7D73">
          <w:rPr>
            <w:rStyle w:val="Hyperlink"/>
          </w:rPr>
          <w:t>cdcompliance@cpuc.ca.gov</w:t>
        </w:r>
      </w:hyperlink>
      <w:r w:rsidR="00AD7D73">
        <w:t xml:space="preserve">, </w:t>
      </w:r>
      <w:r w:rsidRPr="005E0BE0" w:rsidR="00111B08">
        <w:t>in compliance with G</w:t>
      </w:r>
      <w:r w:rsidR="00212B1D">
        <w:t xml:space="preserve">eneral </w:t>
      </w:r>
      <w:r w:rsidR="00AD7D73">
        <w:t>O</w:t>
      </w:r>
      <w:r w:rsidR="00212B1D">
        <w:t>rder</w:t>
      </w:r>
      <w:r w:rsidRPr="005E0BE0" w:rsidR="00111B08">
        <w:t xml:space="preserve"> 104</w:t>
      </w:r>
      <w:r w:rsidR="00111B08">
        <w:t>-</w:t>
      </w:r>
      <w:r w:rsidRPr="005E0BE0" w:rsidR="00111B08">
        <w:t>A, on a calendar</w:t>
      </w:r>
      <w:r w:rsidR="00111B08">
        <w:t>-</w:t>
      </w:r>
      <w:r w:rsidRPr="005E0BE0" w:rsidR="00111B08">
        <w:t>year basis with the information contained in Attachment C to this decision.</w:t>
      </w:r>
    </w:p>
    <w:p w:rsidRPr="005E0BE0" w:rsidR="00111B08" w:rsidP="008A41DA" w:rsidRDefault="00111B08" w14:paraId="5D4DC43F" w14:textId="144EEF83">
      <w:pPr>
        <w:pStyle w:val="num2"/>
        <w:numPr>
          <w:ilvl w:val="0"/>
          <w:numId w:val="24"/>
        </w:numPr>
        <w:ind w:firstLine="180"/>
      </w:pPr>
      <w:r w:rsidRPr="005E0BE0">
        <w:t xml:space="preserve">The staff of the Commission’s Energy Division is authorized to review, process, and act upon </w:t>
      </w:r>
      <w:r w:rsidR="006B2248">
        <w:t>Velocity</w:t>
      </w:r>
      <w:r w:rsidRPr="00212B1D" w:rsidR="00212B1D">
        <w:t xml:space="preserve"> Fiber, LLC</w:t>
      </w:r>
      <w:r w:rsidR="00C4188B">
        <w:t>’</w:t>
      </w:r>
      <w:r w:rsidRPr="005E0BE0">
        <w:t>s requests for a determination that its full facilities</w:t>
      </w:r>
      <w:r>
        <w:t>-</w:t>
      </w:r>
      <w:r w:rsidRPr="005E0BE0">
        <w:t>based construction activities are exempt from the requirements of the California Environmental Quality Act.</w:t>
      </w:r>
    </w:p>
    <w:p w:rsidRPr="005E0BE0" w:rsidR="00111B08" w:rsidP="008A41DA" w:rsidRDefault="00111B08" w14:paraId="2B845A46" w14:textId="3F09B039">
      <w:pPr>
        <w:pStyle w:val="num2"/>
        <w:numPr>
          <w:ilvl w:val="0"/>
          <w:numId w:val="24"/>
        </w:numPr>
        <w:ind w:firstLine="180"/>
      </w:pPr>
      <w:r w:rsidRPr="005E0BE0">
        <w:t xml:space="preserve">If </w:t>
      </w:r>
      <w:r w:rsidR="006B2248">
        <w:t>Velocity</w:t>
      </w:r>
      <w:r w:rsidRPr="005E0BE0">
        <w:t xml:space="preserve"> </w:t>
      </w:r>
      <w:r w:rsidRPr="00212B1D" w:rsidR="00212B1D">
        <w:t>Fiber, LLC</w:t>
      </w:r>
      <w:r w:rsidR="008B0536">
        <w:t xml:space="preserve"> (Velocity)</w:t>
      </w:r>
      <w:r w:rsidR="00212B1D">
        <w:t xml:space="preserve"> </w:t>
      </w:r>
      <w:r w:rsidRPr="005E0BE0">
        <w:t>wishes to engage in full facilities</w:t>
      </w:r>
      <w:r>
        <w:t>-</w:t>
      </w:r>
      <w:r w:rsidRPr="005E0BE0">
        <w:t xml:space="preserve">based construction activities and believes that these activities are exempt from </w:t>
      </w:r>
      <w:r w:rsidR="00212B1D">
        <w:t xml:space="preserve">the </w:t>
      </w:r>
      <w:r w:rsidRPr="00212B1D" w:rsidR="00212B1D">
        <w:t xml:space="preserve">California Environmental Quality Act </w:t>
      </w:r>
      <w:r w:rsidR="00212B1D">
        <w:t>(</w:t>
      </w:r>
      <w:r>
        <w:t>CEQA</w:t>
      </w:r>
      <w:r w:rsidR="00212B1D">
        <w:t>)</w:t>
      </w:r>
      <w:r w:rsidRPr="005E0BE0">
        <w:t xml:space="preserve">, </w:t>
      </w:r>
      <w:r w:rsidR="006B2248">
        <w:t>Velocity</w:t>
      </w:r>
      <w:r w:rsidRPr="005E0BE0">
        <w:t xml:space="preserve"> shall first apply to the Commission’s Energy Division staff for a determination of exemption from C</w:t>
      </w:r>
      <w:r>
        <w:t xml:space="preserve">EQA </w:t>
      </w:r>
      <w:r w:rsidR="0082107C">
        <w:t>by providing</w:t>
      </w:r>
      <w:r w:rsidRPr="005E0BE0">
        <w:t xml:space="preserve"> the Commission’s Energy Division with:</w:t>
      </w:r>
    </w:p>
    <w:p w:rsidRPr="005E0BE0" w:rsidR="00111B08" w:rsidP="008A41DA" w:rsidRDefault="00111B08" w14:paraId="0F88066D" w14:textId="77777777">
      <w:pPr>
        <w:pStyle w:val="bullet1"/>
        <w:numPr>
          <w:ilvl w:val="1"/>
          <w:numId w:val="18"/>
        </w:numPr>
        <w:ind w:left="1080" w:right="1440" w:hanging="360"/>
      </w:pPr>
      <w:r>
        <w:tab/>
      </w:r>
      <w:r w:rsidRPr="005E0BE0">
        <w:t>A detailed description of the proposed project, including:</w:t>
      </w:r>
    </w:p>
    <w:p w:rsidRPr="005E0BE0" w:rsidR="00111B08" w:rsidP="008A41DA" w:rsidRDefault="00111B08" w14:paraId="706B32A6" w14:textId="77777777">
      <w:pPr>
        <w:pStyle w:val="bullet1"/>
        <w:numPr>
          <w:ilvl w:val="2"/>
          <w:numId w:val="18"/>
        </w:numPr>
        <w:tabs>
          <w:tab w:val="clear" w:pos="2160"/>
          <w:tab w:val="left" w:pos="1440"/>
        </w:tabs>
        <w:ind w:left="1440" w:right="1440"/>
      </w:pPr>
      <w:r w:rsidRPr="005E0BE0">
        <w:t>Customer(s) to be served;</w:t>
      </w:r>
    </w:p>
    <w:p w:rsidRPr="005E0BE0" w:rsidR="00111B08" w:rsidP="008A41DA" w:rsidRDefault="00111B08" w14:paraId="5B830D34" w14:textId="77777777">
      <w:pPr>
        <w:pStyle w:val="bullet1"/>
        <w:numPr>
          <w:ilvl w:val="2"/>
          <w:numId w:val="18"/>
        </w:numPr>
        <w:tabs>
          <w:tab w:val="clear" w:pos="2160"/>
          <w:tab w:val="left" w:pos="1440"/>
        </w:tabs>
        <w:ind w:left="1440" w:right="1440"/>
      </w:pPr>
      <w:r w:rsidRPr="005E0BE0">
        <w:t>The precise location of the proposed construction project; and</w:t>
      </w:r>
    </w:p>
    <w:p w:rsidRPr="005E0BE0" w:rsidR="00111B08" w:rsidP="008A41DA" w:rsidRDefault="00111B08" w14:paraId="4D9E6A51" w14:textId="77777777">
      <w:pPr>
        <w:pStyle w:val="bullet1"/>
        <w:numPr>
          <w:ilvl w:val="2"/>
          <w:numId w:val="18"/>
        </w:numPr>
        <w:tabs>
          <w:tab w:val="clear" w:pos="2160"/>
          <w:tab w:val="left" w:pos="1440"/>
        </w:tabs>
        <w:ind w:left="1440" w:right="1440"/>
      </w:pPr>
      <w:r w:rsidRPr="005E0BE0">
        <w:t>Regional and local site maps.</w:t>
      </w:r>
    </w:p>
    <w:p w:rsidRPr="005E0BE0" w:rsidR="00111B08" w:rsidP="008A41DA" w:rsidRDefault="00111B08" w14:paraId="51618AE1" w14:textId="77777777">
      <w:pPr>
        <w:pStyle w:val="bullet1"/>
        <w:numPr>
          <w:ilvl w:val="1"/>
          <w:numId w:val="18"/>
        </w:numPr>
        <w:ind w:left="1080" w:right="1440" w:hanging="360"/>
      </w:pPr>
      <w:r>
        <w:tab/>
      </w:r>
      <w:r w:rsidRPr="005E0BE0">
        <w:t>A description of the environmental setting, including at a minimum:</w:t>
      </w:r>
    </w:p>
    <w:p w:rsidRPr="005E0BE0" w:rsidR="00111B08" w:rsidP="008A41DA" w:rsidRDefault="00111B08" w14:paraId="2619B155" w14:textId="77777777">
      <w:pPr>
        <w:pStyle w:val="bullet1"/>
        <w:numPr>
          <w:ilvl w:val="2"/>
          <w:numId w:val="18"/>
        </w:numPr>
        <w:tabs>
          <w:tab w:val="clear" w:pos="2160"/>
          <w:tab w:val="left" w:pos="1440"/>
        </w:tabs>
        <w:ind w:left="1440" w:right="1440"/>
      </w:pPr>
      <w:r w:rsidRPr="005E0BE0">
        <w:t>Cultural, historical, and paleontological resources;</w:t>
      </w:r>
    </w:p>
    <w:p w:rsidRPr="005E0BE0" w:rsidR="00111B08" w:rsidP="008A41DA" w:rsidRDefault="00111B08" w14:paraId="42B4CA51" w14:textId="77777777">
      <w:pPr>
        <w:pStyle w:val="bullet1"/>
        <w:numPr>
          <w:ilvl w:val="2"/>
          <w:numId w:val="18"/>
        </w:numPr>
        <w:tabs>
          <w:tab w:val="clear" w:pos="2160"/>
          <w:tab w:val="left" w:pos="1440"/>
        </w:tabs>
        <w:ind w:left="1440" w:right="1440"/>
      </w:pPr>
      <w:r w:rsidRPr="005E0BE0">
        <w:t>Biological resources; and</w:t>
      </w:r>
    </w:p>
    <w:p w:rsidRPr="005E0BE0" w:rsidR="00111B08" w:rsidP="008A41DA" w:rsidRDefault="00111B08" w14:paraId="2CC2675C" w14:textId="77777777">
      <w:pPr>
        <w:pStyle w:val="bullet1"/>
        <w:numPr>
          <w:ilvl w:val="2"/>
          <w:numId w:val="18"/>
        </w:numPr>
        <w:tabs>
          <w:tab w:val="clear" w:pos="2160"/>
          <w:tab w:val="left" w:pos="1440"/>
        </w:tabs>
        <w:ind w:left="1440" w:right="1440"/>
      </w:pPr>
      <w:r w:rsidRPr="005E0BE0">
        <w:t>Current land use and zoning.</w:t>
      </w:r>
    </w:p>
    <w:p w:rsidRPr="005E0BE0" w:rsidR="00111B08" w:rsidP="008A41DA" w:rsidRDefault="00111B08" w14:paraId="3903F769" w14:textId="77777777">
      <w:pPr>
        <w:pStyle w:val="bullet1"/>
        <w:numPr>
          <w:ilvl w:val="1"/>
          <w:numId w:val="18"/>
        </w:numPr>
        <w:ind w:left="1080" w:right="1440" w:hanging="360"/>
      </w:pPr>
      <w:r>
        <w:tab/>
      </w:r>
      <w:r w:rsidRPr="005E0BE0">
        <w:t>A construction workplan, including:</w:t>
      </w:r>
    </w:p>
    <w:p w:rsidRPr="005E0BE0" w:rsidR="00111B08" w:rsidP="008A41DA" w:rsidRDefault="00111B08" w14:paraId="68373974" w14:textId="77777777">
      <w:pPr>
        <w:pStyle w:val="bullet1"/>
        <w:numPr>
          <w:ilvl w:val="2"/>
          <w:numId w:val="18"/>
        </w:numPr>
        <w:tabs>
          <w:tab w:val="clear" w:pos="2160"/>
          <w:tab w:val="left" w:pos="1440"/>
        </w:tabs>
        <w:ind w:left="1440" w:right="1440"/>
      </w:pPr>
      <w:r w:rsidRPr="005E0BE0">
        <w:t xml:space="preserve">Commission Preconstruction Survey </w:t>
      </w:r>
      <w:r>
        <w:br/>
      </w:r>
      <w:r w:rsidRPr="005E0BE0">
        <w:t>Checklist</w:t>
      </w:r>
      <w:r>
        <w:t xml:space="preserve"> </w:t>
      </w:r>
      <w:r w:rsidRPr="005E0BE0">
        <w:t>—</w:t>
      </w:r>
      <w:r>
        <w:t xml:space="preserve"> </w:t>
      </w:r>
      <w:r w:rsidRPr="005E0BE0">
        <w:t>Archaeological Resources;</w:t>
      </w:r>
    </w:p>
    <w:p w:rsidRPr="005E0BE0" w:rsidR="00111B08" w:rsidP="008A41DA" w:rsidRDefault="00111B08" w14:paraId="29A40DD4" w14:textId="77777777">
      <w:pPr>
        <w:pStyle w:val="bullet1"/>
        <w:numPr>
          <w:ilvl w:val="2"/>
          <w:numId w:val="18"/>
        </w:numPr>
        <w:tabs>
          <w:tab w:val="clear" w:pos="2160"/>
          <w:tab w:val="left" w:pos="1440"/>
        </w:tabs>
        <w:ind w:left="1440" w:right="1440"/>
      </w:pPr>
      <w:r w:rsidRPr="005E0BE0">
        <w:t xml:space="preserve">Commission Preconstruction Survey </w:t>
      </w:r>
      <w:r>
        <w:br/>
      </w:r>
      <w:r w:rsidRPr="005E0BE0">
        <w:t>Checklist</w:t>
      </w:r>
      <w:r>
        <w:t xml:space="preserve"> </w:t>
      </w:r>
      <w:r w:rsidRPr="005E0BE0">
        <w:t>—</w:t>
      </w:r>
      <w:r>
        <w:t xml:space="preserve"> </w:t>
      </w:r>
      <w:r w:rsidRPr="005E0BE0">
        <w:t>Biological Resources;</w:t>
      </w:r>
    </w:p>
    <w:p w:rsidRPr="005E0BE0" w:rsidR="00111B08" w:rsidP="008A41DA" w:rsidRDefault="00111B08" w14:paraId="15B34D11" w14:textId="77777777">
      <w:pPr>
        <w:pStyle w:val="bullet1"/>
        <w:numPr>
          <w:ilvl w:val="2"/>
          <w:numId w:val="18"/>
        </w:numPr>
        <w:tabs>
          <w:tab w:val="clear" w:pos="2160"/>
          <w:tab w:val="left" w:pos="1440"/>
        </w:tabs>
        <w:ind w:left="1440" w:right="1440"/>
      </w:pPr>
      <w:r w:rsidRPr="005E0BE0">
        <w:t>A detailed schedule of construction activities, including site restoration activities;</w:t>
      </w:r>
    </w:p>
    <w:p w:rsidRPr="005E0BE0" w:rsidR="00111B08" w:rsidP="008A41DA" w:rsidRDefault="00111B08" w14:paraId="1AA050DB" w14:textId="77777777">
      <w:pPr>
        <w:pStyle w:val="bullet1"/>
        <w:numPr>
          <w:ilvl w:val="2"/>
          <w:numId w:val="18"/>
        </w:numPr>
        <w:tabs>
          <w:tab w:val="clear" w:pos="2160"/>
          <w:tab w:val="left" w:pos="1440"/>
        </w:tabs>
        <w:ind w:left="1440" w:right="1440"/>
      </w:pPr>
      <w:r w:rsidRPr="005E0BE0">
        <w:lastRenderedPageBreak/>
        <w:t>A description of construction/installation techniques;</w:t>
      </w:r>
    </w:p>
    <w:p w:rsidRPr="005E0BE0" w:rsidR="00111B08" w:rsidP="008A41DA" w:rsidRDefault="00111B08" w14:paraId="134AA692" w14:textId="77777777">
      <w:pPr>
        <w:pStyle w:val="bullet1"/>
        <w:numPr>
          <w:ilvl w:val="2"/>
          <w:numId w:val="18"/>
        </w:numPr>
        <w:tabs>
          <w:tab w:val="clear" w:pos="2160"/>
          <w:tab w:val="left" w:pos="1440"/>
        </w:tabs>
        <w:ind w:left="1440" w:right="1440"/>
      </w:pPr>
      <w:r w:rsidRPr="005E0BE0">
        <w:t>A list of other agencies contacted with respect to siting, land use planning, and environmental resource issues, including contact information; and</w:t>
      </w:r>
    </w:p>
    <w:p w:rsidRPr="005E0BE0" w:rsidR="00111B08" w:rsidP="008A41DA" w:rsidRDefault="00111B08" w14:paraId="31E4EDAE" w14:textId="77777777">
      <w:pPr>
        <w:pStyle w:val="bullet1"/>
        <w:numPr>
          <w:ilvl w:val="2"/>
          <w:numId w:val="18"/>
        </w:numPr>
        <w:tabs>
          <w:tab w:val="clear" w:pos="2160"/>
          <w:tab w:val="left" w:pos="1440"/>
        </w:tabs>
        <w:ind w:left="1440" w:right="1440"/>
      </w:pPr>
      <w:r w:rsidRPr="005E0BE0">
        <w:t>A list of permits required for the proposed project.</w:t>
      </w:r>
    </w:p>
    <w:p w:rsidRPr="005E0BE0" w:rsidR="00111B08" w:rsidP="008A41DA" w:rsidRDefault="00111B08" w14:paraId="367F005B" w14:textId="12FA06F5">
      <w:pPr>
        <w:pStyle w:val="bullet1"/>
        <w:numPr>
          <w:ilvl w:val="1"/>
          <w:numId w:val="18"/>
        </w:numPr>
        <w:ind w:left="1080" w:right="1440" w:hanging="360"/>
      </w:pPr>
      <w:r>
        <w:tab/>
      </w:r>
      <w:r w:rsidRPr="005E0BE0">
        <w:t>A statement of the C</w:t>
      </w:r>
      <w:r w:rsidR="007C2F5E">
        <w:t>EQA</w:t>
      </w:r>
      <w:r w:rsidRPr="005E0BE0">
        <w:t xml:space="preserve"> exemption(s) </w:t>
      </w:r>
      <w:r w:rsidR="007C2F5E">
        <w:t>applicable</w:t>
      </w:r>
      <w:r w:rsidRPr="005E0BE0">
        <w:t xml:space="preserve"> to the proposed project; and</w:t>
      </w:r>
    </w:p>
    <w:p w:rsidRPr="005E0BE0" w:rsidR="00111B08" w:rsidP="008A41DA" w:rsidRDefault="00111B08" w14:paraId="413D7C39" w14:textId="69EE0F8A">
      <w:pPr>
        <w:pStyle w:val="bullet1"/>
        <w:numPr>
          <w:ilvl w:val="1"/>
          <w:numId w:val="18"/>
        </w:numPr>
        <w:ind w:left="1080" w:right="1440" w:hanging="360"/>
      </w:pPr>
      <w:r>
        <w:tab/>
      </w:r>
      <w:r w:rsidRPr="005E0BE0">
        <w:t xml:space="preserve">Documentation </w:t>
      </w:r>
      <w:r w:rsidR="007C2F5E">
        <w:t>and factual evidence sufficient to support a finding that the claimed exemption(s) from CEQA are applicable</w:t>
      </w:r>
      <w:r w:rsidRPr="005E0BE0">
        <w:t>.</w:t>
      </w:r>
    </w:p>
    <w:p w:rsidR="007C2F5E" w:rsidP="008A41DA" w:rsidRDefault="00111B08" w14:paraId="60FF8BC8" w14:textId="0CE384CD">
      <w:pPr>
        <w:pStyle w:val="bullets"/>
        <w:numPr>
          <w:ilvl w:val="1"/>
          <w:numId w:val="18"/>
        </w:numPr>
        <w:ind w:left="1080" w:right="1440" w:hanging="360"/>
      </w:pPr>
      <w:r>
        <w:tab/>
      </w:r>
      <w:r w:rsidR="007C2F5E">
        <w:t>Within 21 days from the date that Velocity’s submittal is complete, t</w:t>
      </w:r>
      <w:r w:rsidRPr="005E0BE0">
        <w:t xml:space="preserve">he Energy Division will </w:t>
      </w:r>
      <w:r w:rsidR="007C2F5E">
        <w:t>issue either:</w:t>
      </w:r>
    </w:p>
    <w:p w:rsidRPr="005E0BE0" w:rsidR="007C2F5E" w:rsidP="008A41DA" w:rsidRDefault="007C2F5E" w14:paraId="6ED37663" w14:textId="0AFFB609">
      <w:pPr>
        <w:pStyle w:val="bullets"/>
        <w:numPr>
          <w:ilvl w:val="2"/>
          <w:numId w:val="18"/>
        </w:numPr>
        <w:tabs>
          <w:tab w:val="clear" w:pos="2160"/>
        </w:tabs>
        <w:ind w:left="1440" w:right="1440" w:hanging="360"/>
      </w:pPr>
      <w:r>
        <w:t xml:space="preserve">A Notice to Proceed </w:t>
      </w:r>
      <w:r w:rsidR="00DB67F5">
        <w:t xml:space="preserve">(NTP) </w:t>
      </w:r>
      <w:r w:rsidRPr="005E0BE0">
        <w:t>and file a Notice of Exemption with the State Clearinghouse, Office of Planning and Research</w:t>
      </w:r>
      <w:r>
        <w:t xml:space="preserve">; or </w:t>
      </w:r>
    </w:p>
    <w:p w:rsidRPr="005E0BE0" w:rsidR="00111B08" w:rsidP="008A41DA" w:rsidRDefault="007C2F5E" w14:paraId="41D78A45" w14:textId="7CE7765B">
      <w:pPr>
        <w:pStyle w:val="bullets"/>
        <w:numPr>
          <w:ilvl w:val="2"/>
          <w:numId w:val="18"/>
        </w:numPr>
        <w:tabs>
          <w:tab w:val="clear" w:pos="2160"/>
        </w:tabs>
        <w:ind w:left="1440" w:right="1440" w:hanging="360"/>
      </w:pPr>
      <w:r>
        <w:t>A</w:t>
      </w:r>
      <w:r w:rsidRPr="005E0BE0" w:rsidR="00111B08">
        <w:t xml:space="preserve"> letter </w:t>
      </w:r>
      <w:r>
        <w:t>of denial stating</w:t>
      </w:r>
      <w:r w:rsidRPr="005E0BE0" w:rsidR="00111B08">
        <w:t xml:space="preserve"> the specific reasons that the claimed C</w:t>
      </w:r>
      <w:r w:rsidR="00111B08">
        <w:t xml:space="preserve">EQA </w:t>
      </w:r>
      <w:r w:rsidRPr="005E0BE0" w:rsidR="00111B08">
        <w:t>exemption</w:t>
      </w:r>
      <w:r>
        <w:t>(</w:t>
      </w:r>
      <w:r w:rsidRPr="005E0BE0" w:rsidR="00111B08">
        <w:t>s</w:t>
      </w:r>
      <w:r>
        <w:t>)</w:t>
      </w:r>
      <w:r w:rsidRPr="005E0BE0" w:rsidR="00111B08">
        <w:t xml:space="preserve"> do not apply to the proposed project.</w:t>
      </w:r>
    </w:p>
    <w:p w:rsidR="00111B08" w:rsidP="008A41DA" w:rsidRDefault="00111B08" w14:paraId="04E03E27" w14:textId="7E0D76F0">
      <w:pPr>
        <w:pStyle w:val="bullets"/>
        <w:numPr>
          <w:ilvl w:val="1"/>
          <w:numId w:val="18"/>
        </w:numPr>
        <w:ind w:left="1080" w:right="1440" w:hanging="360"/>
      </w:pPr>
      <w:r>
        <w:tab/>
      </w:r>
      <w:r w:rsidRPr="005E0BE0">
        <w:t xml:space="preserve">If the Energy Division disapproves </w:t>
      </w:r>
      <w:r w:rsidR="006B2248">
        <w:t>Velocity</w:t>
      </w:r>
      <w:r w:rsidRPr="005E0BE0">
        <w:t xml:space="preserve">’s claimed </w:t>
      </w:r>
      <w:r>
        <w:t xml:space="preserve">CEQA </w:t>
      </w:r>
      <w:r w:rsidRPr="005E0BE0">
        <w:t xml:space="preserve">exemption(s), </w:t>
      </w:r>
      <w:r w:rsidR="006B2248">
        <w:t>Velocity</w:t>
      </w:r>
      <w:r w:rsidRPr="005E0BE0">
        <w:t xml:space="preserve"> shall either redesign the specific project and facilities and then reapply for a finding of exemption from C</w:t>
      </w:r>
      <w:r>
        <w:t>EQA</w:t>
      </w:r>
      <w:r w:rsidRPr="005E0BE0">
        <w:t xml:space="preserve"> or file a formal </w:t>
      </w:r>
      <w:r w:rsidR="00763BAE">
        <w:t>a</w:t>
      </w:r>
      <w:r w:rsidR="004527BE">
        <w:t>pplication</w:t>
      </w:r>
      <w:r w:rsidRPr="005E0BE0">
        <w:t xml:space="preserve"> with the Commission seeking the requisite approval and full C</w:t>
      </w:r>
      <w:r>
        <w:t xml:space="preserve">EQA </w:t>
      </w:r>
      <w:r w:rsidRPr="005E0BE0">
        <w:t>review before commencing any full facilities</w:t>
      </w:r>
      <w:r>
        <w:t>-</w:t>
      </w:r>
      <w:r w:rsidRPr="005E0BE0">
        <w:t>based construction activities.</w:t>
      </w:r>
    </w:p>
    <w:p w:rsidR="00666D4C" w:rsidP="008A41DA" w:rsidRDefault="00970F36" w14:paraId="2FF6A598" w14:textId="7DAE711F">
      <w:pPr>
        <w:pStyle w:val="num1"/>
        <w:numPr>
          <w:ilvl w:val="0"/>
          <w:numId w:val="24"/>
        </w:numPr>
      </w:pPr>
      <w:r>
        <w:t>Velocity</w:t>
      </w:r>
      <w:r w:rsidR="00212B1D">
        <w:t xml:space="preserve"> Fiber, LLC</w:t>
      </w:r>
      <w:r>
        <w:t xml:space="preserve">’s </w:t>
      </w:r>
      <w:r w:rsidR="00212B1D">
        <w:t xml:space="preserve">(Velocity) </w:t>
      </w:r>
      <w:r>
        <w:t>motion</w:t>
      </w:r>
      <w:r w:rsidR="00763BAE">
        <w:t xml:space="preserve"> </w:t>
      </w:r>
      <w:r>
        <w:t xml:space="preserve">for leave to file under seal profit and loss and balance sheet information contained in Exhibit 4 to its Application </w:t>
      </w:r>
      <w:r w:rsidRPr="005E0BE0" w:rsidR="00666D4C">
        <w:t xml:space="preserve">is granted for a period of three years after the date of this </w:t>
      </w:r>
      <w:r w:rsidR="0082107C">
        <w:t>decision</w:t>
      </w:r>
      <w:r w:rsidRPr="005E0BE0" w:rsidR="00666D4C">
        <w:t xml:space="preserve">. </w:t>
      </w:r>
      <w:r w:rsidR="00850872">
        <w:t xml:space="preserve"> </w:t>
      </w:r>
      <w:r w:rsidRPr="005E0BE0" w:rsidR="00666D4C">
        <w:t>During this three</w:t>
      </w:r>
      <w:r w:rsidR="00666D4C">
        <w:t>-</w:t>
      </w:r>
      <w:r w:rsidRPr="005E0BE0" w:rsidR="00666D4C">
        <w:t xml:space="preserve">year period, this information shall not be publicly disclosed except </w:t>
      </w:r>
      <w:r w:rsidR="00666D4C">
        <w:t>by</w:t>
      </w:r>
      <w:r w:rsidRPr="005E0BE0" w:rsidR="00666D4C">
        <w:t xml:space="preserve"> further Commission order or Administrative Law Judge rulin</w:t>
      </w:r>
      <w:r w:rsidR="00666D4C">
        <w:t>g.</w:t>
      </w:r>
      <w:r w:rsidR="00850872">
        <w:t xml:space="preserve"> </w:t>
      </w:r>
      <w:r w:rsidR="00666D4C">
        <w:t xml:space="preserve"> </w:t>
      </w:r>
      <w:r w:rsidR="00212B1D">
        <w:t>After expiration of the three-year period, i</w:t>
      </w:r>
      <w:r w:rsidRPr="005E0BE0" w:rsidR="00666D4C">
        <w:t xml:space="preserve">f </w:t>
      </w:r>
      <w:r w:rsidR="00666D4C">
        <w:t>Velocity</w:t>
      </w:r>
      <w:r w:rsidRPr="005E0BE0" w:rsidR="00666D4C">
        <w:t xml:space="preserve"> believes that it is necessary for </w:t>
      </w:r>
      <w:r w:rsidR="00212B1D">
        <w:t xml:space="preserve">sealed </w:t>
      </w:r>
      <w:r w:rsidRPr="005E0BE0" w:rsidR="00666D4C">
        <w:t xml:space="preserve">information to remain under seal for longer than three years, </w:t>
      </w:r>
      <w:r w:rsidR="00666D4C">
        <w:t>Velocity</w:t>
      </w:r>
      <w:r w:rsidRPr="005E0BE0" w:rsidR="00666D4C">
        <w:t xml:space="preserve"> may file a </w:t>
      </w:r>
      <w:r w:rsidRPr="005E0BE0" w:rsidR="00666D4C">
        <w:lastRenderedPageBreak/>
        <w:t xml:space="preserve">new motion showing good cause for extending this </w:t>
      </w:r>
      <w:r w:rsidR="00212B1D">
        <w:t xml:space="preserve">period </w:t>
      </w:r>
      <w:r w:rsidRPr="005E0BE0" w:rsidR="00666D4C">
        <w:t>by no later than 30</w:t>
      </w:r>
      <w:r w:rsidR="00850872">
        <w:t> </w:t>
      </w:r>
      <w:r w:rsidRPr="005E0BE0" w:rsidR="00666D4C">
        <w:t>days before the expiration of this order.</w:t>
      </w:r>
    </w:p>
    <w:p w:rsidRPr="005E0BE0" w:rsidR="00111B08" w:rsidP="008A41DA" w:rsidRDefault="00666D4C" w14:paraId="29BD23C7" w14:textId="69D70D40">
      <w:pPr>
        <w:pStyle w:val="num1"/>
        <w:numPr>
          <w:ilvl w:val="0"/>
          <w:numId w:val="24"/>
        </w:numPr>
      </w:pPr>
      <w:r>
        <w:t>Velocity</w:t>
      </w:r>
      <w:r w:rsidR="00212B1D">
        <w:t xml:space="preserve"> Fiber, LLC</w:t>
      </w:r>
      <w:r>
        <w:t>’s</w:t>
      </w:r>
      <w:r w:rsidR="00763BAE">
        <w:t xml:space="preserve"> motion </w:t>
      </w:r>
      <w:r w:rsidR="00975DC0">
        <w:t xml:space="preserve">for leave to file under seal materials responsive to Item 6 of the </w:t>
      </w:r>
      <w:r w:rsidR="0038153D">
        <w:t xml:space="preserve">March 18, 2020 </w:t>
      </w:r>
      <w:r w:rsidR="00975DC0">
        <w:t>A</w:t>
      </w:r>
      <w:r w:rsidR="00212B1D">
        <w:t xml:space="preserve">dministrative </w:t>
      </w:r>
      <w:r w:rsidR="00975DC0">
        <w:t>L</w:t>
      </w:r>
      <w:r w:rsidR="00212B1D">
        <w:t xml:space="preserve">aw </w:t>
      </w:r>
      <w:r w:rsidR="00975DC0">
        <w:t>J</w:t>
      </w:r>
      <w:r w:rsidR="00212B1D">
        <w:t>udge’s</w:t>
      </w:r>
      <w:r w:rsidR="00975DC0">
        <w:t xml:space="preserve"> Ruling is denied</w:t>
      </w:r>
      <w:r w:rsidRPr="005E0BE0" w:rsidR="00975DC0">
        <w:t>.</w:t>
      </w:r>
    </w:p>
    <w:p w:rsidRPr="005E0BE0" w:rsidR="00111B08" w:rsidP="008A41DA" w:rsidRDefault="004527BE" w14:paraId="58125951" w14:textId="7BAD2489">
      <w:pPr>
        <w:pStyle w:val="num2"/>
        <w:numPr>
          <w:ilvl w:val="0"/>
          <w:numId w:val="24"/>
        </w:numPr>
        <w:ind w:firstLine="180"/>
      </w:pPr>
      <w:r>
        <w:t>Application</w:t>
      </w:r>
      <w:r w:rsidRPr="005E0BE0" w:rsidR="00111B08">
        <w:t xml:space="preserve"> </w:t>
      </w:r>
      <w:r w:rsidR="00666D4C">
        <w:t>20-01-014</w:t>
      </w:r>
      <w:r w:rsidRPr="005E0BE0" w:rsidR="00111B08">
        <w:t xml:space="preserve"> is closed.</w:t>
      </w:r>
    </w:p>
    <w:p w:rsidRPr="005E0BE0" w:rsidR="00111B08" w:rsidP="00111B08" w:rsidRDefault="00111B08" w14:paraId="52F951F7" w14:textId="1B53A080">
      <w:pPr>
        <w:pStyle w:val="standard0"/>
      </w:pPr>
      <w:r w:rsidRPr="005E0BE0">
        <w:t xml:space="preserve">This </w:t>
      </w:r>
      <w:r w:rsidR="0082107C">
        <w:t>decision</w:t>
      </w:r>
      <w:r w:rsidRPr="005E0BE0">
        <w:t xml:space="preserve"> is effective today.</w:t>
      </w:r>
    </w:p>
    <w:p w:rsidR="00111B08" w:rsidP="00111B08" w:rsidRDefault="00111B08" w14:paraId="41CA4CE4" w14:textId="7CE36C8E">
      <w:pPr>
        <w:pStyle w:val="standard0"/>
      </w:pPr>
      <w:r w:rsidRPr="005E0BE0">
        <w:t xml:space="preserve">Dated </w:t>
      </w:r>
      <w:r w:rsidR="00666D4C">
        <w:t>__________</w:t>
      </w:r>
      <w:r w:rsidR="001120E8">
        <w:t>_____</w:t>
      </w:r>
      <w:r w:rsidR="00666D4C">
        <w:t>__</w:t>
      </w:r>
      <w:r>
        <w:t>, 20</w:t>
      </w:r>
      <w:r w:rsidR="00666D4C">
        <w:t>20</w:t>
      </w:r>
      <w:r>
        <w:t xml:space="preserve">, </w:t>
      </w:r>
      <w:r w:rsidRPr="005E0BE0">
        <w:t>at San Francisco, California.</w:t>
      </w:r>
    </w:p>
    <w:p w:rsidR="00850872" w:rsidP="00111B08" w:rsidRDefault="00850872" w14:paraId="3EB98093" w14:textId="77777777">
      <w:pPr>
        <w:pStyle w:val="standard0"/>
      </w:pPr>
    </w:p>
    <w:p w:rsidRPr="005E0BE0" w:rsidR="00111B08" w:rsidP="00111B08" w:rsidRDefault="00111B08" w14:paraId="659210A5" w14:textId="77777777">
      <w:pPr>
        <w:pStyle w:val="standard0"/>
      </w:pPr>
    </w:p>
    <w:p w:rsidRPr="005E0BE0" w:rsidR="00111B08" w:rsidP="00111B08" w:rsidRDefault="00111B08" w14:paraId="2F9587AC" w14:textId="77777777">
      <w:pPr>
        <w:pStyle w:val="num2"/>
        <w:sectPr w:rsidRPr="005E0BE0" w:rsidR="00111B08" w:rsidSect="00770DD4">
          <w:headerReference w:type="default" r:id="rId18"/>
          <w:footerReference w:type="default" r:id="rId19"/>
          <w:headerReference w:type="first" r:id="rId20"/>
          <w:footerReference w:type="first" r:id="rId21"/>
          <w:footnotePr>
            <w:numRestart w:val="eachSect"/>
          </w:footnotePr>
          <w:pgSz w:w="12240" w:h="15840" w:code="1"/>
          <w:pgMar w:top="1152" w:right="1440" w:bottom="1440" w:left="1440" w:header="720" w:footer="720" w:gutter="0"/>
          <w:cols w:space="720"/>
          <w:titlePg/>
        </w:sectPr>
      </w:pPr>
    </w:p>
    <w:p w:rsidRPr="005E0BE0" w:rsidR="00111B08" w:rsidP="00111B08" w:rsidRDefault="00111B08" w14:paraId="1682A362" w14:textId="77777777">
      <w:pPr>
        <w:ind w:left="360"/>
      </w:pPr>
    </w:p>
    <w:p w:rsidR="00111B08" w:rsidP="00111B08" w:rsidRDefault="00111B08" w14:paraId="2CC2AE89" w14:textId="77777777">
      <w:pPr>
        <w:jc w:val="center"/>
        <w:rPr>
          <w:b/>
        </w:rPr>
      </w:pPr>
    </w:p>
    <w:p w:rsidR="00111B08" w:rsidP="00111B08" w:rsidRDefault="00111B08" w14:paraId="43AE7FA2" w14:textId="77777777">
      <w:pPr>
        <w:jc w:val="center"/>
        <w:rPr>
          <w:b/>
        </w:rPr>
      </w:pPr>
    </w:p>
    <w:p w:rsidR="00111B08" w:rsidP="00111B08" w:rsidRDefault="00111B08" w14:paraId="186336BB" w14:textId="77777777">
      <w:pPr>
        <w:jc w:val="center"/>
        <w:rPr>
          <w:b/>
        </w:rPr>
      </w:pPr>
    </w:p>
    <w:p w:rsidR="00111B08" w:rsidP="00111B08" w:rsidRDefault="00111B08" w14:paraId="31376559" w14:textId="77777777">
      <w:pPr>
        <w:jc w:val="center"/>
        <w:rPr>
          <w:b/>
        </w:rPr>
      </w:pPr>
    </w:p>
    <w:p w:rsidR="00111B08" w:rsidP="00111B08" w:rsidRDefault="00111B08" w14:paraId="3537D0C3" w14:textId="77777777">
      <w:pPr>
        <w:jc w:val="center"/>
        <w:rPr>
          <w:b/>
        </w:rPr>
      </w:pPr>
    </w:p>
    <w:p w:rsidR="00111B08" w:rsidP="00111B08" w:rsidRDefault="00111B08" w14:paraId="3950A2FB" w14:textId="77777777">
      <w:pPr>
        <w:jc w:val="center"/>
        <w:rPr>
          <w:b/>
        </w:rPr>
      </w:pPr>
    </w:p>
    <w:p w:rsidR="00111B08" w:rsidP="00111B08" w:rsidRDefault="00111B08" w14:paraId="65893E5D" w14:textId="77777777">
      <w:pPr>
        <w:jc w:val="center"/>
        <w:rPr>
          <w:b/>
        </w:rPr>
      </w:pPr>
    </w:p>
    <w:p w:rsidR="00111B08" w:rsidP="00111B08" w:rsidRDefault="00111B08" w14:paraId="5D2A650D" w14:textId="77777777">
      <w:pPr>
        <w:jc w:val="center"/>
        <w:rPr>
          <w:b/>
        </w:rPr>
      </w:pPr>
    </w:p>
    <w:p w:rsidRPr="005E0BE0" w:rsidR="00111B08" w:rsidP="00111B08" w:rsidRDefault="00111B08" w14:paraId="3E7399CF" w14:textId="77777777">
      <w:pPr>
        <w:jc w:val="center"/>
        <w:rPr>
          <w:b/>
        </w:rPr>
      </w:pPr>
    </w:p>
    <w:p w:rsidRPr="00B049EC" w:rsidR="00111B08" w:rsidP="00111B08" w:rsidRDefault="00111B08" w14:paraId="73E07E3A" w14:textId="77777777">
      <w:pPr>
        <w:jc w:val="center"/>
        <w:rPr>
          <w:b/>
          <w:sz w:val="28"/>
          <w:szCs w:val="28"/>
        </w:rPr>
      </w:pPr>
      <w:r w:rsidRPr="00B049EC">
        <w:rPr>
          <w:b/>
          <w:sz w:val="28"/>
          <w:szCs w:val="28"/>
        </w:rPr>
        <w:t>ATTACHMENT A</w:t>
      </w:r>
    </w:p>
    <w:p w:rsidRPr="005E0BE0" w:rsidR="00111B08" w:rsidP="00111B08" w:rsidRDefault="00111B08" w14:paraId="065763B8" w14:textId="77777777">
      <w:pPr>
        <w:jc w:val="center"/>
        <w:rPr>
          <w:b/>
        </w:rPr>
      </w:pPr>
    </w:p>
    <w:p w:rsidRPr="00B049EC" w:rsidR="00111B08" w:rsidP="00111B08" w:rsidRDefault="00111B08" w14:paraId="61994C01" w14:textId="77777777">
      <w:pPr>
        <w:jc w:val="center"/>
        <w:rPr>
          <w:b/>
          <w:sz w:val="30"/>
          <w:szCs w:val="30"/>
        </w:rPr>
      </w:pPr>
      <w:r w:rsidRPr="00B049EC">
        <w:rPr>
          <w:b/>
          <w:sz w:val="30"/>
          <w:szCs w:val="30"/>
        </w:rPr>
        <w:t>Intentionally Blank</w:t>
      </w:r>
    </w:p>
    <w:p w:rsidRPr="005E0BE0" w:rsidR="00111B08" w:rsidP="00111B08" w:rsidRDefault="00111B08" w14:paraId="5105AB1D" w14:textId="77777777"/>
    <w:p w:rsidRPr="005E0BE0" w:rsidR="00111B08" w:rsidP="00111B08" w:rsidRDefault="00111B08" w14:paraId="61824ED3" w14:textId="77777777"/>
    <w:p w:rsidRPr="005E0BE0" w:rsidR="00111B08" w:rsidP="00111B08" w:rsidRDefault="00111B08" w14:paraId="5F16E5F1" w14:textId="77777777">
      <w:pPr>
        <w:jc w:val="center"/>
        <w:rPr>
          <w:b/>
        </w:rPr>
      </w:pPr>
      <w:r w:rsidRPr="005E0BE0">
        <w:rPr>
          <w:b/>
        </w:rPr>
        <w:t>(END OF ATTACHMENT A)</w:t>
      </w:r>
    </w:p>
    <w:p w:rsidRPr="005E0BE0" w:rsidR="00111B08" w:rsidP="00111B08" w:rsidRDefault="00111B08" w14:paraId="0C8040F8" w14:textId="77777777">
      <w:pPr>
        <w:jc w:val="center"/>
        <w:rPr>
          <w:b/>
        </w:rPr>
      </w:pPr>
    </w:p>
    <w:p w:rsidRPr="005E0BE0" w:rsidR="00111B08" w:rsidP="00111B08" w:rsidRDefault="00111B08" w14:paraId="2F492B95" w14:textId="77777777">
      <w:pPr>
        <w:jc w:val="center"/>
        <w:rPr>
          <w:b/>
        </w:rPr>
      </w:pPr>
    </w:p>
    <w:p w:rsidRPr="005E0BE0" w:rsidR="00111B08" w:rsidP="00111B08" w:rsidRDefault="00111B08" w14:paraId="2519C387" w14:textId="77777777">
      <w:pPr>
        <w:jc w:val="center"/>
        <w:rPr>
          <w:b/>
        </w:rPr>
      </w:pPr>
    </w:p>
    <w:p w:rsidRPr="005E0BE0" w:rsidR="00111B08" w:rsidP="00111B08" w:rsidRDefault="00111B08" w14:paraId="686EE80F" w14:textId="77777777">
      <w:pPr>
        <w:jc w:val="center"/>
        <w:rPr>
          <w:b/>
        </w:rPr>
      </w:pPr>
    </w:p>
    <w:p w:rsidRPr="005E0BE0" w:rsidR="00111B08" w:rsidP="00111B08" w:rsidRDefault="00111B08" w14:paraId="01C97560" w14:textId="77777777">
      <w:pPr>
        <w:jc w:val="center"/>
        <w:rPr>
          <w:b/>
        </w:rPr>
      </w:pPr>
    </w:p>
    <w:p w:rsidRPr="005E0BE0" w:rsidR="00111B08" w:rsidP="00111B08" w:rsidRDefault="00111B08" w14:paraId="28A882E6" w14:textId="77777777">
      <w:pPr>
        <w:sectPr w:rsidRPr="005E0BE0" w:rsidR="00111B08" w:rsidSect="00725641">
          <w:headerReference w:type="default" r:id="rId22"/>
          <w:footerReference w:type="default" r:id="rId23"/>
          <w:headerReference w:type="first" r:id="rId24"/>
          <w:footerReference w:type="first" r:id="rId25"/>
          <w:pgSz w:w="12240" w:h="15840" w:code="1"/>
          <w:pgMar w:top="1152" w:right="1440" w:bottom="1440" w:left="1440" w:header="720" w:footer="720" w:gutter="0"/>
          <w:pgNumType w:start="1"/>
          <w:cols w:space="720"/>
        </w:sectPr>
      </w:pPr>
    </w:p>
    <w:p w:rsidRPr="005E0BE0" w:rsidR="00111B08" w:rsidP="00111B08" w:rsidRDefault="00111B08" w14:paraId="63B26CAC" w14:textId="77777777">
      <w:pPr>
        <w:jc w:val="center"/>
        <w:rPr>
          <w:b/>
        </w:rPr>
      </w:pPr>
      <w:r w:rsidRPr="005E0BE0">
        <w:rPr>
          <w:b/>
        </w:rPr>
        <w:lastRenderedPageBreak/>
        <w:t>ATTACHMENT B</w:t>
      </w:r>
    </w:p>
    <w:p w:rsidRPr="005E0BE0" w:rsidR="00111B08" w:rsidP="00111B08" w:rsidRDefault="00111B08" w14:paraId="4EFFFF64" w14:textId="77777777"/>
    <w:p w:rsidRPr="005E0BE0" w:rsidR="00111B08" w:rsidP="00111B08" w:rsidRDefault="00111B08" w14:paraId="4DF5714D" w14:textId="77777777">
      <w:pPr>
        <w:pStyle w:val="standard0"/>
        <w:spacing w:line="240" w:lineRule="auto"/>
        <w:ind w:firstLine="0"/>
        <w:jc w:val="center"/>
        <w:rPr>
          <w:b/>
        </w:rPr>
      </w:pPr>
      <w:r w:rsidRPr="005E0BE0">
        <w:rPr>
          <w:b/>
        </w:rPr>
        <w:t>REQUIREMENTS APPLICABLE TO COMPETITIVE LOCAL EXCHANGE CARRIERS AND INTEREXCHANGE CARRIERS</w:t>
      </w:r>
    </w:p>
    <w:p w:rsidRPr="005E0BE0" w:rsidR="00111B08" w:rsidP="00111B08" w:rsidRDefault="00111B08" w14:paraId="5C0865DF" w14:textId="77777777"/>
    <w:p w:rsidR="00111B08" w:rsidP="008A41DA" w:rsidRDefault="00775D0B" w14:paraId="4939001E" w14:textId="2676C4D2">
      <w:pPr>
        <w:pStyle w:val="num1"/>
        <w:numPr>
          <w:ilvl w:val="0"/>
          <w:numId w:val="15"/>
        </w:numPr>
        <w:tabs>
          <w:tab w:val="clear" w:pos="-720"/>
          <w:tab w:val="clear" w:pos="360"/>
          <w:tab w:val="left" w:pos="720"/>
        </w:tabs>
        <w:ind w:left="0" w:firstLine="360"/>
      </w:pPr>
      <w:r>
        <w:t>Velocity Fiber, LLC (Velocity)</w:t>
      </w:r>
      <w:r w:rsidRPr="005E0BE0" w:rsidR="00111B08">
        <w:t xml:space="preserve"> must file</w:t>
      </w:r>
      <w:r w:rsidRPr="00D766EF" w:rsidR="00111B08">
        <w:t>, in this docket with reference to this decision number,</w:t>
      </w:r>
      <w:r w:rsidRPr="005E0BE0" w:rsidR="00111B08">
        <w:t xml:space="preserve"> a written acceptance of the certificate </w:t>
      </w:r>
      <w:r w:rsidR="003A30C0">
        <w:t xml:space="preserve">of public convenience and necessity (CPCN) </w:t>
      </w:r>
      <w:r w:rsidRPr="005E0BE0" w:rsidR="00111B08">
        <w:t>granted in this proceeding within 30 days of the effective date of this order.</w:t>
      </w:r>
      <w:r w:rsidR="007678CF">
        <w:t xml:space="preserve"> Written acceptance filed in this docket does not reopen this proceeding.</w:t>
      </w:r>
    </w:p>
    <w:p w:rsidRPr="005E0BE0" w:rsidR="00111B08" w:rsidP="008A41DA" w:rsidRDefault="00111B08" w14:paraId="2AC64C27" w14:textId="51BD22B2">
      <w:pPr>
        <w:pStyle w:val="num1"/>
        <w:numPr>
          <w:ilvl w:val="0"/>
          <w:numId w:val="15"/>
        </w:numPr>
        <w:tabs>
          <w:tab w:val="clear" w:pos="-720"/>
          <w:tab w:val="clear" w:pos="360"/>
          <w:tab w:val="left" w:pos="720"/>
        </w:tabs>
        <w:ind w:left="0" w:firstLine="360"/>
      </w:pPr>
      <w:r w:rsidRPr="00C33B72">
        <w:t xml:space="preserve">The certificate granted and the authority to render service under the rates, charges and rules authorized will expire if not exercised within 12 months of the date of this </w:t>
      </w:r>
      <w:r w:rsidR="007678CF">
        <w:t>decision</w:t>
      </w:r>
      <w:r w:rsidRPr="00C33B72">
        <w:t>.</w:t>
      </w:r>
    </w:p>
    <w:p w:rsidRPr="005E0BE0" w:rsidR="00111B08" w:rsidP="008A41DA" w:rsidRDefault="007678CF" w14:paraId="14643210" w14:textId="26E4CE4E">
      <w:pPr>
        <w:pStyle w:val="num1"/>
        <w:numPr>
          <w:ilvl w:val="0"/>
          <w:numId w:val="15"/>
        </w:numPr>
        <w:tabs>
          <w:tab w:val="clear" w:pos="-720"/>
          <w:tab w:val="clear" w:pos="360"/>
          <w:tab w:val="left" w:pos="720"/>
        </w:tabs>
        <w:ind w:left="0" w:firstLine="360"/>
      </w:pPr>
      <w:r>
        <w:t>Velocity</w:t>
      </w:r>
      <w:r w:rsidRPr="005E0BE0" w:rsidR="00111B08">
        <w:t xml:space="preserve"> is subject to the following fees and surcharges that must be regularly remitted</w:t>
      </w:r>
      <w:r w:rsidR="00775D0B">
        <w:t xml:space="preserve">. </w:t>
      </w:r>
      <w:r w:rsidRPr="005E0BE0" w:rsidR="00111B08">
        <w:t>Per the instructions in Exhibit E to Decision (D.) 00</w:t>
      </w:r>
      <w:r w:rsidRPr="005E0BE0" w:rsidR="00111B08">
        <w:noBreakHyphen/>
        <w:t>10</w:t>
      </w:r>
      <w:r w:rsidRPr="005E0BE0" w:rsidR="00111B08">
        <w:noBreakHyphen/>
        <w:t>028, the Combined California PUC Telephone Surcharge Transmittal Form must be submitted even if the amount due is $0.</w:t>
      </w:r>
    </w:p>
    <w:p w:rsidRPr="005E0BE0" w:rsidR="00111B08" w:rsidP="00111B08" w:rsidRDefault="00111B08" w14:paraId="62E144A3" w14:textId="27853CD2">
      <w:pPr>
        <w:pStyle w:val="Quote1"/>
        <w:ind w:left="1080" w:hanging="360"/>
      </w:pPr>
      <w:r w:rsidRPr="005E0BE0">
        <w:t>a.</w:t>
      </w:r>
      <w:r w:rsidRPr="005E0BE0">
        <w:tab/>
        <w:t>The Universal Lifeline Telephone Service Trust Administrative Committee Fund (Pub</w:t>
      </w:r>
      <w:r w:rsidR="00B06F9F">
        <w:t>lic Utilities (Pub. Util.)</w:t>
      </w:r>
      <w:r w:rsidRPr="005E0BE0">
        <w:t xml:space="preserve"> Code </w:t>
      </w:r>
      <w:r w:rsidR="00775D0B">
        <w:t>Section</w:t>
      </w:r>
      <w:r w:rsidRPr="005E0BE0">
        <w:t> 879);</w:t>
      </w:r>
    </w:p>
    <w:p w:rsidRPr="005E0BE0" w:rsidR="00111B08" w:rsidP="00111B08" w:rsidRDefault="00111B08" w14:paraId="7712FD39" w14:textId="29E225C0">
      <w:pPr>
        <w:pStyle w:val="Quote1"/>
        <w:ind w:left="1080" w:hanging="360"/>
      </w:pPr>
      <w:r w:rsidRPr="005E0BE0">
        <w:t>b.</w:t>
      </w:r>
      <w:r w:rsidRPr="005E0BE0">
        <w:tab/>
        <w:t xml:space="preserve">The California Relay Service and Communications Devices Fund (Pub. Util. Code </w:t>
      </w:r>
      <w:r w:rsidR="00775D0B">
        <w:t>Section</w:t>
      </w:r>
      <w:r w:rsidRPr="005E0BE0">
        <w:t> 2881; D.98</w:t>
      </w:r>
      <w:r w:rsidRPr="005E0BE0">
        <w:noBreakHyphen/>
        <w:t>12</w:t>
      </w:r>
      <w:r w:rsidRPr="005E0BE0">
        <w:noBreakHyphen/>
        <w:t>073);</w:t>
      </w:r>
    </w:p>
    <w:p w:rsidRPr="005E0BE0" w:rsidR="00111B08" w:rsidP="00111B08" w:rsidRDefault="00111B08" w14:paraId="2E897602" w14:textId="1CE84F75">
      <w:pPr>
        <w:pStyle w:val="Quote1"/>
        <w:ind w:left="1080" w:hanging="360"/>
      </w:pPr>
      <w:r w:rsidRPr="005E0BE0">
        <w:t>c.</w:t>
      </w:r>
      <w:r w:rsidRPr="005E0BE0">
        <w:tab/>
        <w:t>The California High Cost Fund</w:t>
      </w:r>
      <w:r w:rsidRPr="005E0BE0">
        <w:noBreakHyphen/>
        <w:t xml:space="preserve">A (Pub. Util. Code </w:t>
      </w:r>
      <w:r w:rsidR="00775D0B">
        <w:t>Section</w:t>
      </w:r>
      <w:r w:rsidRPr="005E0BE0">
        <w:t> 739.3; D.96</w:t>
      </w:r>
      <w:r w:rsidRPr="005E0BE0">
        <w:noBreakHyphen/>
        <w:t>10</w:t>
      </w:r>
      <w:r w:rsidRPr="005E0BE0">
        <w:noBreakHyphen/>
        <w:t>066</w:t>
      </w:r>
      <w:r w:rsidR="00775D0B">
        <w:t>,</w:t>
      </w:r>
      <w:r w:rsidRPr="005E0BE0">
        <w:t xml:space="preserve"> at 3</w:t>
      </w:r>
      <w:r w:rsidRPr="005E0BE0">
        <w:noBreakHyphen/>
        <w:t>4, App. B, Rule 1.C);</w:t>
      </w:r>
    </w:p>
    <w:p w:rsidRPr="005E0BE0" w:rsidR="00111B08" w:rsidP="00111B08" w:rsidRDefault="00111B08" w14:paraId="6A80FFC5" w14:textId="77777777">
      <w:pPr>
        <w:pStyle w:val="Quote1"/>
        <w:ind w:left="1080" w:hanging="360"/>
      </w:pPr>
      <w:r w:rsidRPr="005E0BE0">
        <w:t>d.</w:t>
      </w:r>
      <w:r w:rsidRPr="005E0BE0">
        <w:tab/>
        <w:t>The California High Cost Fund</w:t>
      </w:r>
      <w:r w:rsidRPr="005E0BE0">
        <w:noBreakHyphen/>
        <w:t>B (D.96</w:t>
      </w:r>
      <w:r w:rsidRPr="005E0BE0">
        <w:noBreakHyphen/>
        <w:t>10</w:t>
      </w:r>
      <w:r w:rsidRPr="005E0BE0">
        <w:noBreakHyphen/>
        <w:t>066, at 191, App. B, Rule 6.F.; D.07</w:t>
      </w:r>
      <w:r w:rsidRPr="005E0BE0">
        <w:noBreakHyphen/>
        <w:t>12</w:t>
      </w:r>
      <w:r w:rsidRPr="005E0BE0">
        <w:noBreakHyphen/>
        <w:t>054);</w:t>
      </w:r>
    </w:p>
    <w:p w:rsidRPr="005E0BE0" w:rsidR="00111B08" w:rsidP="00111B08" w:rsidRDefault="00111B08" w14:paraId="71E1089F" w14:textId="77777777">
      <w:pPr>
        <w:pStyle w:val="Quote1"/>
        <w:ind w:left="1080" w:hanging="360"/>
      </w:pPr>
      <w:r w:rsidRPr="005E0BE0">
        <w:t>e.</w:t>
      </w:r>
      <w:r w:rsidRPr="005E0BE0">
        <w:tab/>
        <w:t>The California Advanced Services Fund (D.07</w:t>
      </w:r>
      <w:r w:rsidRPr="005E0BE0">
        <w:noBreakHyphen/>
        <w:t>12</w:t>
      </w:r>
      <w:r w:rsidRPr="005E0BE0">
        <w:noBreakHyphen/>
        <w:t>054);</w:t>
      </w:r>
    </w:p>
    <w:p w:rsidRPr="005E0BE0" w:rsidR="00111B08" w:rsidP="00111B08" w:rsidRDefault="00111B08" w14:paraId="6114B6B8" w14:textId="1BD07502">
      <w:pPr>
        <w:pStyle w:val="Quote1"/>
        <w:ind w:left="1080" w:hanging="360"/>
      </w:pPr>
      <w:r w:rsidRPr="005E0BE0">
        <w:t>f.</w:t>
      </w:r>
      <w:r w:rsidRPr="005E0BE0">
        <w:tab/>
        <w:t xml:space="preserve">The California </w:t>
      </w:r>
      <w:proofErr w:type="spellStart"/>
      <w:r w:rsidRPr="005E0BE0">
        <w:t>Teleconnect</w:t>
      </w:r>
      <w:proofErr w:type="spellEnd"/>
      <w:r w:rsidRPr="005E0BE0">
        <w:t xml:space="preserve"> Fund (D.96</w:t>
      </w:r>
      <w:r w:rsidRPr="005E0BE0">
        <w:noBreakHyphen/>
        <w:t>10</w:t>
      </w:r>
      <w:r w:rsidRPr="005E0BE0">
        <w:noBreakHyphen/>
        <w:t>066, at 88, App. B, Rule 8.G)</w:t>
      </w:r>
      <w:r w:rsidR="00775D0B">
        <w:t>;</w:t>
      </w:r>
    </w:p>
    <w:p w:rsidRPr="005E0BE0" w:rsidR="00111B08" w:rsidP="00111B08" w:rsidRDefault="00111B08" w14:paraId="72B28D87" w14:textId="50A2EC49">
      <w:pPr>
        <w:pStyle w:val="Quote1"/>
        <w:ind w:left="1080" w:hanging="360"/>
      </w:pPr>
      <w:r w:rsidRPr="005E0BE0">
        <w:lastRenderedPageBreak/>
        <w:t>g.</w:t>
      </w:r>
      <w:r w:rsidRPr="005E0BE0">
        <w:tab/>
        <w:t xml:space="preserve">The User Fee provided in </w:t>
      </w:r>
      <w:r w:rsidR="008667AB">
        <w:t>Pub</w:t>
      </w:r>
      <w:r w:rsidR="00B06F9F">
        <w:t>. Util.</w:t>
      </w:r>
      <w:r w:rsidRPr="005E0BE0">
        <w:t xml:space="preserve"> Code </w:t>
      </w:r>
      <w:r w:rsidR="00775D0B">
        <w:t>Sections</w:t>
      </w:r>
      <w:r w:rsidRPr="005E0BE0">
        <w:t> 431</w:t>
      </w:r>
      <w:r w:rsidRPr="005E0BE0">
        <w:noBreakHyphen/>
        <w:t>435. The minimum annual User Fee is $100, as set forth in D.13-05-035.</w:t>
      </w:r>
    </w:p>
    <w:p w:rsidRPr="005E0BE0" w:rsidR="00111B08" w:rsidP="00111B08" w:rsidRDefault="00111B08" w14:paraId="46EC6855" w14:textId="62E67488">
      <w:pPr>
        <w:pStyle w:val="standard0"/>
        <w:spacing w:after="120" w:line="240" w:lineRule="auto"/>
        <w:ind w:left="720" w:right="1440" w:firstLine="0"/>
      </w:pPr>
      <w:r w:rsidRPr="00B049EC">
        <w:t>Note:  These fees change periodically.  In compliance with</w:t>
      </w:r>
      <w:r w:rsidRPr="005E0BE0">
        <w:t xml:space="preserve"> Resolution T</w:t>
      </w:r>
      <w:r w:rsidRPr="005E0BE0">
        <w:noBreakHyphen/>
        <w:t xml:space="preserve">16901, December 2, 2004, </w:t>
      </w:r>
      <w:r w:rsidR="00B06F9F">
        <w:t>Velocity</w:t>
      </w:r>
      <w:r w:rsidRPr="005E0BE0">
        <w:t xml:space="preserve"> must check the joint tariff for surcharges and fees filed by Pacific Bell Telephone Company (d</w:t>
      </w:r>
      <w:r w:rsidR="00775D0B">
        <w:t>oing business as</w:t>
      </w:r>
      <w:r w:rsidRPr="005E0BE0">
        <w:t xml:space="preserve"> AT&amp;T California) and apply the current surcharge and fee amounts in that joint tariff on end</w:t>
      </w:r>
      <w:r w:rsidRPr="005E0BE0">
        <w:noBreakHyphen/>
        <w:t xml:space="preserve">user bills until further revised.  Current and historical surcharge rates can be found at </w:t>
      </w:r>
      <w:hyperlink w:history="1" r:id="rId26">
        <w:r w:rsidRPr="00C33B72">
          <w:rPr>
            <w:rStyle w:val="Hyperlink"/>
          </w:rPr>
          <w:t>http://www.cpuc.ca.gov/General.aspx?id=1124</w:t>
        </w:r>
      </w:hyperlink>
      <w:r w:rsidRPr="005E0BE0">
        <w:t>.</w:t>
      </w:r>
      <w:r>
        <w:t xml:space="preserve"> </w:t>
      </w:r>
      <w:r w:rsidRPr="005E0BE0">
        <w:t xml:space="preserve"> </w:t>
      </w:r>
    </w:p>
    <w:p w:rsidRPr="005E0BE0" w:rsidR="00111B08" w:rsidP="008A41DA" w:rsidRDefault="00111B08" w14:paraId="766B5B1E" w14:textId="09507BFD">
      <w:pPr>
        <w:pStyle w:val="standard0"/>
        <w:numPr>
          <w:ilvl w:val="0"/>
          <w:numId w:val="21"/>
        </w:numPr>
        <w:spacing w:after="120" w:line="240" w:lineRule="auto"/>
        <w:ind w:right="1440"/>
      </w:pPr>
      <w:r w:rsidRPr="005E0BE0">
        <w:t>Carriers must report and remit C</w:t>
      </w:r>
      <w:r w:rsidR="00775D0B">
        <w:t>alifornia Public Utilities Commission (C</w:t>
      </w:r>
      <w:r w:rsidR="00E47110">
        <w:t>ommission</w:t>
      </w:r>
      <w:r w:rsidR="00775D0B">
        <w:t>)</w:t>
      </w:r>
      <w:r w:rsidRPr="005E0BE0">
        <w:t xml:space="preserve"> telephone program surcharges online using the C</w:t>
      </w:r>
      <w:r w:rsidR="00E47110">
        <w:t>ommission</w:t>
      </w:r>
      <w:r w:rsidRPr="005E0BE0">
        <w:t xml:space="preserve"> Telecommunications and User Fees Filing System (TUFFS).  Information and instructions for online reporting and payment of surcharges are available at </w:t>
      </w:r>
      <w:hyperlink w:history="1" r:id="rId27">
        <w:r w:rsidRPr="00C33B72">
          <w:rPr>
            <w:rStyle w:val="Hyperlink"/>
          </w:rPr>
          <w:t>http://www.cpuc.ca.gov/General.aspx?id=1010</w:t>
        </w:r>
      </w:hyperlink>
      <w:r w:rsidRPr="005E0BE0">
        <w:t>.  To request a user ID and password for TUFFS online filing and for questions, please e</w:t>
      </w:r>
      <w:r w:rsidRPr="005E0BE0">
        <w:noBreakHyphen/>
        <w:t xml:space="preserve">mail </w:t>
      </w:r>
      <w:hyperlink w:history="1" r:id="rId28">
        <w:r w:rsidRPr="00A36539" w:rsidR="004E2D01">
          <w:rPr>
            <w:rStyle w:val="Hyperlink"/>
          </w:rPr>
          <w:t>TelcoSurcharge@cpuc.ca.gov</w:t>
        </w:r>
      </w:hyperlink>
      <w:r w:rsidRPr="005E0BE0">
        <w:t>.</w:t>
      </w:r>
      <w:r>
        <w:t xml:space="preserve"> </w:t>
      </w:r>
      <w:r w:rsidRPr="005E0BE0">
        <w:t xml:space="preserve"> </w:t>
      </w:r>
    </w:p>
    <w:p w:rsidRPr="005E0BE0" w:rsidR="00111B08" w:rsidP="008A41DA" w:rsidRDefault="00111B08" w14:paraId="0F9390BA" w14:textId="2BF47961">
      <w:pPr>
        <w:pStyle w:val="standard0"/>
        <w:numPr>
          <w:ilvl w:val="0"/>
          <w:numId w:val="21"/>
        </w:numPr>
        <w:spacing w:after="120" w:line="240" w:lineRule="auto"/>
        <w:ind w:right="1440"/>
      </w:pPr>
      <w:r w:rsidRPr="005E0BE0">
        <w:t xml:space="preserve">Carriers must </w:t>
      </w:r>
      <w:r w:rsidR="00E47110">
        <w:t>submit</w:t>
      </w:r>
      <w:r w:rsidRPr="005E0BE0">
        <w:t xml:space="preserve"> and pay the PUC User Fee (see item </w:t>
      </w:r>
      <w:r w:rsidR="00E47110">
        <w:t>3.</w:t>
      </w:r>
      <w:r w:rsidRPr="005E0BE0">
        <w:t>g</w:t>
      </w:r>
      <w:r w:rsidR="00E47110">
        <w:t xml:space="preserve"> above</w:t>
      </w:r>
      <w:r w:rsidRPr="005E0BE0">
        <w:t>) upon receiving the User Fee statement sent by the Commission.  Instructions for reporting</w:t>
      </w:r>
      <w:r w:rsidR="00E47110">
        <w:t xml:space="preserve"> and</w:t>
      </w:r>
      <w:r w:rsidRPr="005E0BE0">
        <w:t xml:space="preserve"> filing are available at </w:t>
      </w:r>
      <w:hyperlink w:history="1" r:id="rId29">
        <w:r w:rsidRPr="00C33B72">
          <w:rPr>
            <w:rStyle w:val="Hyperlink"/>
          </w:rPr>
          <w:t>http://www.cpuc.ca.gov/General.aspx?id=1009</w:t>
        </w:r>
      </w:hyperlink>
      <w:r w:rsidRPr="005E0BE0">
        <w:t xml:space="preserve">.  Please </w:t>
      </w:r>
      <w:r w:rsidR="00E47110">
        <w:t>send an email to userfees@cpuc.ca.gov</w:t>
      </w:r>
      <w:r w:rsidRPr="005E0BE0">
        <w:t xml:space="preserve"> for questions regarding User Fee reporting and payment. </w:t>
      </w:r>
    </w:p>
    <w:p w:rsidRPr="005E0BE0" w:rsidR="00111B08" w:rsidP="008A41DA" w:rsidRDefault="00E47110" w14:paraId="1BA48B34" w14:textId="254372F1">
      <w:pPr>
        <w:pStyle w:val="num1"/>
        <w:numPr>
          <w:ilvl w:val="0"/>
          <w:numId w:val="15"/>
        </w:numPr>
        <w:tabs>
          <w:tab w:val="clear" w:pos="360"/>
          <w:tab w:val="num" w:pos="720"/>
        </w:tabs>
        <w:ind w:left="0" w:firstLine="360"/>
      </w:pPr>
      <w:r>
        <w:t>Velocity</w:t>
      </w:r>
      <w:r w:rsidRPr="005E0BE0" w:rsidR="00111B08">
        <w:t xml:space="preserve"> is a competitive local exchange carrier. The effectiveness of </w:t>
      </w:r>
      <w:r w:rsidR="00C5324F">
        <w:t>any</w:t>
      </w:r>
      <w:r w:rsidRPr="005E0BE0" w:rsidR="00111B08">
        <w:t xml:space="preserve"> future tariffs is subject to the requirements of General Order </w:t>
      </w:r>
      <w:r w:rsidR="008667AB">
        <w:t xml:space="preserve">(GO) </w:t>
      </w:r>
      <w:r w:rsidRPr="005E0BE0" w:rsidR="00111B08">
        <w:t>96</w:t>
      </w:r>
      <w:r w:rsidRPr="005E0BE0" w:rsidR="00111B08">
        <w:noBreakHyphen/>
        <w:t>B and the Telecommunications Industry Rules (D.07</w:t>
      </w:r>
      <w:r w:rsidRPr="005E0BE0" w:rsidR="00111B08">
        <w:noBreakHyphen/>
        <w:t>09</w:t>
      </w:r>
      <w:r w:rsidRPr="005E0BE0" w:rsidR="00111B08">
        <w:noBreakHyphen/>
        <w:t>019).</w:t>
      </w:r>
    </w:p>
    <w:p w:rsidRPr="005E0BE0" w:rsidR="00111B08" w:rsidP="008A41DA" w:rsidRDefault="00111B08" w14:paraId="127D1CFD" w14:textId="2A615FDD">
      <w:pPr>
        <w:pStyle w:val="num1"/>
        <w:numPr>
          <w:ilvl w:val="0"/>
          <w:numId w:val="15"/>
        </w:numPr>
        <w:tabs>
          <w:tab w:val="clear" w:pos="360"/>
          <w:tab w:val="num" w:pos="720"/>
        </w:tabs>
        <w:ind w:left="0" w:firstLine="360"/>
      </w:pPr>
      <w:r w:rsidRPr="005E0BE0">
        <w:t xml:space="preserve"> </w:t>
      </w:r>
      <w:r w:rsidR="00C5324F">
        <w:t>Any future t</w:t>
      </w:r>
      <w:r w:rsidRPr="005E0BE0">
        <w:t xml:space="preserve">ariff filings must reflect all fees and surcharges to which </w:t>
      </w:r>
      <w:r w:rsidR="00C5324F">
        <w:t>Velocity</w:t>
      </w:r>
      <w:r w:rsidRPr="005E0BE0">
        <w:t xml:space="preserve"> is subject, as reflected in</w:t>
      </w:r>
      <w:r w:rsidR="00C5324F">
        <w:t xml:space="preserve"> Item 3</w:t>
      </w:r>
      <w:r w:rsidRPr="005E0BE0">
        <w:t xml:space="preserve"> above.</w:t>
      </w:r>
    </w:p>
    <w:p w:rsidRPr="005E0BE0" w:rsidR="00111B08" w:rsidP="008A41DA" w:rsidRDefault="00111B08" w14:paraId="64CDDA3E" w14:textId="7FFA08A3">
      <w:pPr>
        <w:pStyle w:val="num1"/>
        <w:numPr>
          <w:ilvl w:val="0"/>
          <w:numId w:val="15"/>
        </w:numPr>
        <w:tabs>
          <w:tab w:val="clear" w:pos="360"/>
          <w:tab w:val="num" w:pos="720"/>
        </w:tabs>
        <w:ind w:left="0" w:firstLine="360"/>
      </w:pPr>
      <w:r w:rsidRPr="005E0BE0">
        <w:lastRenderedPageBreak/>
        <w:t xml:space="preserve"> </w:t>
      </w:r>
      <w:r w:rsidR="00E62BD2">
        <w:t>Velocity</w:t>
      </w:r>
      <w:r w:rsidRPr="005E0BE0">
        <w:t xml:space="preserve"> must </w:t>
      </w:r>
      <w:r w:rsidR="00E62BD2">
        <w:t>submit to the Commission’s Communications Division</w:t>
      </w:r>
      <w:r w:rsidRPr="005E0BE0">
        <w:t xml:space="preserve"> a service area map as part of </w:t>
      </w:r>
      <w:r w:rsidR="00E62BD2">
        <w:t>any</w:t>
      </w:r>
      <w:r w:rsidRPr="005E0BE0">
        <w:t xml:space="preserve"> </w:t>
      </w:r>
      <w:r w:rsidR="00E62BD2">
        <w:t xml:space="preserve">future </w:t>
      </w:r>
      <w:r w:rsidRPr="005E0BE0">
        <w:t>initial tariff.</w:t>
      </w:r>
    </w:p>
    <w:p w:rsidRPr="00C33B72" w:rsidR="00111B08" w:rsidP="008A41DA" w:rsidRDefault="00111B08" w14:paraId="483A6F8A" w14:textId="1FAC5972">
      <w:pPr>
        <w:pStyle w:val="num1"/>
        <w:numPr>
          <w:ilvl w:val="0"/>
          <w:numId w:val="15"/>
        </w:numPr>
        <w:tabs>
          <w:tab w:val="clear" w:pos="360"/>
          <w:tab w:val="num" w:pos="720"/>
        </w:tabs>
        <w:ind w:left="0" w:firstLine="360"/>
      </w:pPr>
      <w:r w:rsidRPr="005E0BE0">
        <w:t xml:space="preserve"> </w:t>
      </w:r>
      <w:r w:rsidR="00E62BD2">
        <w:t>Velocity</w:t>
      </w:r>
      <w:r w:rsidRPr="00C33B72">
        <w:t xml:space="preserve"> must obtain a performance bond of at least $25,000 in accordance with D</w:t>
      </w:r>
      <w:r w:rsidR="00344A71">
        <w:t>.</w:t>
      </w:r>
      <w:r w:rsidRPr="00C33B72">
        <w:t xml:space="preserve">13-05-035.  The performance bond must be a continuous bond (i.e., there is no termination date on the bond) issued by a corporate surety company authorized to transact surety business in California, and the Commission must be listed as the </w:t>
      </w:r>
      <w:proofErr w:type="spellStart"/>
      <w:r w:rsidRPr="00C33B72">
        <w:t>obligee</w:t>
      </w:r>
      <w:proofErr w:type="spellEnd"/>
      <w:r w:rsidRPr="00C33B72">
        <w:t xml:space="preserve"> on the bond.  Within five days of acceptance of its certificate of public convenience and necessity authority, </w:t>
      </w:r>
      <w:r w:rsidR="00E62BD2">
        <w:t>Velocity</w:t>
      </w:r>
      <w:r w:rsidRPr="00C33B72">
        <w:t xml:space="preserve"> must submit a Tier-1 advice letter to the </w:t>
      </w:r>
      <w:r w:rsidR="00E62BD2">
        <w:t>Commission’s</w:t>
      </w:r>
      <w:r w:rsidRPr="00C33B72">
        <w:t xml:space="preserve"> Communications</w:t>
      </w:r>
      <w:r w:rsidR="00E62BD2">
        <w:t xml:space="preserve"> Division</w:t>
      </w:r>
      <w:r w:rsidRPr="00C33B72">
        <w:t xml:space="preserve">, containing a copy of the license holder’s executed bond, and submit a Tier-1 advice letter annually, but not later than March 31, with a copy of the executed bond. </w:t>
      </w:r>
    </w:p>
    <w:p w:rsidRPr="00C33B72" w:rsidR="00111B08" w:rsidP="008A41DA" w:rsidRDefault="00E62BD2" w14:paraId="04D5D402" w14:textId="70695C63">
      <w:pPr>
        <w:pStyle w:val="num1"/>
        <w:numPr>
          <w:ilvl w:val="0"/>
          <w:numId w:val="15"/>
        </w:numPr>
        <w:tabs>
          <w:tab w:val="clear" w:pos="360"/>
          <w:tab w:val="num" w:pos="720"/>
        </w:tabs>
        <w:ind w:left="0" w:firstLine="360"/>
      </w:pPr>
      <w:r>
        <w:t>Velocity</w:t>
      </w:r>
      <w:r w:rsidRPr="00C33B72" w:rsidR="00111B08">
        <w:t xml:space="preserve"> must not allow its performance bond to lapse during any period of its operation. Pursuant to D</w:t>
      </w:r>
      <w:r w:rsidR="00344A71">
        <w:t>.</w:t>
      </w:r>
      <w:r w:rsidRPr="00C33B72" w:rsidR="00111B08">
        <w:t xml:space="preserve">13-05-035, the Commission may revoke a certificate of public convenience and necessity if a carrier is more than 120 days late in providing the </w:t>
      </w:r>
      <w:r>
        <w:t>Commission’s</w:t>
      </w:r>
      <w:r w:rsidRPr="00C33B72" w:rsidR="00111B08">
        <w:t xml:space="preserve"> Communications Division a copy of its executed performance bond and the carrier has not been granted an extension of time by the </w:t>
      </w:r>
      <w:r>
        <w:t xml:space="preserve">Commission’s </w:t>
      </w:r>
      <w:r w:rsidRPr="00C33B72" w:rsidR="00111B08">
        <w:t>Communications Division.</w:t>
      </w:r>
    </w:p>
    <w:p w:rsidR="00B90CA2" w:rsidP="008A41DA" w:rsidRDefault="00111B08" w14:paraId="0E5B185D" w14:textId="77777777">
      <w:pPr>
        <w:pStyle w:val="num1"/>
        <w:numPr>
          <w:ilvl w:val="0"/>
          <w:numId w:val="15"/>
        </w:numPr>
        <w:tabs>
          <w:tab w:val="clear" w:pos="360"/>
          <w:tab w:val="num" w:pos="720"/>
        </w:tabs>
        <w:ind w:left="0" w:firstLine="360"/>
      </w:pPr>
      <w:r w:rsidRPr="005E0BE0">
        <w:t xml:space="preserve">Prior to initiating service, </w:t>
      </w:r>
      <w:r w:rsidR="00E62BD2">
        <w:t>Velocity</w:t>
      </w:r>
      <w:r w:rsidRPr="005E0BE0">
        <w:rPr>
          <w:b/>
        </w:rPr>
        <w:t xml:space="preserve"> </w:t>
      </w:r>
      <w:r w:rsidRPr="005E0BE0">
        <w:t>must provide the Commission’s Consumer Affairs Branch with the name</w:t>
      </w:r>
      <w:r w:rsidR="00B90CA2">
        <w:t>(s),</w:t>
      </w:r>
      <w:r w:rsidRPr="005E0BE0">
        <w:t xml:space="preserve"> address</w:t>
      </w:r>
      <w:r w:rsidR="00B90CA2">
        <w:t>(es), and telephone number(s)</w:t>
      </w:r>
      <w:r w:rsidRPr="005E0BE0">
        <w:t xml:space="preserve"> of its designated contact person(s) for purposes of resolving consumer complaints. </w:t>
      </w:r>
      <w:r w:rsidR="00B90CA2">
        <w:t>This information must be updated if the name(s), address(es), and telephone number(s) change, or at least annually.</w:t>
      </w:r>
    </w:p>
    <w:p w:rsidRPr="005E0BE0" w:rsidR="00111B08" w:rsidP="008A41DA" w:rsidRDefault="00B90CA2" w14:paraId="1A330029" w14:textId="5692ED16">
      <w:pPr>
        <w:pStyle w:val="num1"/>
        <w:numPr>
          <w:ilvl w:val="0"/>
          <w:numId w:val="15"/>
        </w:numPr>
        <w:tabs>
          <w:tab w:val="clear" w:pos="360"/>
          <w:tab w:val="num" w:pos="720"/>
        </w:tabs>
        <w:ind w:left="0" w:firstLine="360"/>
      </w:pPr>
      <w:r>
        <w:t>Velocity</w:t>
      </w:r>
      <w:r w:rsidRPr="005E0BE0" w:rsidR="00111B08">
        <w:t xml:space="preserve"> must provide the Commission’s Communications Division with the name</w:t>
      </w:r>
      <w:r>
        <w:t>(s),</w:t>
      </w:r>
      <w:r w:rsidRPr="005E0BE0" w:rsidR="00111B08">
        <w:t xml:space="preserve"> address</w:t>
      </w:r>
      <w:r>
        <w:t>(es), and telephone number(s)</w:t>
      </w:r>
      <w:r w:rsidRPr="005E0BE0" w:rsidR="00111B08">
        <w:t xml:space="preserve"> of its designated regulatory/official contact persons(s).  This information must be provided electronically, using the “Regulatory/Official Contact Information Update </w:t>
      </w:r>
      <w:r w:rsidR="00255E08">
        <w:t>Form</w:t>
      </w:r>
      <w:r w:rsidRPr="005E0BE0" w:rsidR="00111B08">
        <w:t xml:space="preserve">” </w:t>
      </w:r>
      <w:r w:rsidRPr="005E0BE0" w:rsidR="00111B08">
        <w:lastRenderedPageBreak/>
        <w:t xml:space="preserve">found at </w:t>
      </w:r>
      <w:hyperlink w:history="1" r:id="rId30">
        <w:r w:rsidRPr="002C6D27" w:rsidR="00111B08">
          <w:rPr>
            <w:rStyle w:val="Hyperlink"/>
          </w:rPr>
          <w:t>http://www.cpuc.ca.gov/communications.</w:t>
        </w:r>
      </w:hyperlink>
      <w:r w:rsidR="00111B08">
        <w:rPr>
          <w:rFonts w:ascii="Arial" w:hAnsi="Arial" w:cs="Arial"/>
          <w:sz w:val="19"/>
          <w:szCs w:val="19"/>
          <w:lang w:val="en"/>
        </w:rPr>
        <w:t xml:space="preserve">  </w:t>
      </w:r>
      <w:r w:rsidRPr="005E0BE0" w:rsidR="00111B08">
        <w:t>This information must be updated if the name</w:t>
      </w:r>
      <w:r>
        <w:t>(s), address(es), or</w:t>
      </w:r>
      <w:r w:rsidRPr="005E0BE0" w:rsidR="00111B08">
        <w:t xml:space="preserve"> telephone number</w:t>
      </w:r>
      <w:r>
        <w:t>(s)</w:t>
      </w:r>
      <w:r w:rsidRPr="005E0BE0" w:rsidR="00111B08">
        <w:t xml:space="preserve"> change, or at least annually.</w:t>
      </w:r>
    </w:p>
    <w:p w:rsidRPr="005E0BE0" w:rsidR="00111B08" w:rsidP="008A41DA" w:rsidRDefault="00B90CA2" w14:paraId="3199D78C" w14:textId="4AEA887C">
      <w:pPr>
        <w:pStyle w:val="num1"/>
        <w:numPr>
          <w:ilvl w:val="0"/>
          <w:numId w:val="15"/>
        </w:numPr>
        <w:tabs>
          <w:tab w:val="clear" w:pos="360"/>
          <w:tab w:val="num" w:pos="720"/>
        </w:tabs>
        <w:ind w:left="0" w:firstLine="360"/>
      </w:pPr>
      <w:r>
        <w:t>Velocity</w:t>
      </w:r>
      <w:r w:rsidRPr="005E0BE0" w:rsidR="00111B08">
        <w:t xml:space="preserve"> must notify the Director of the </w:t>
      </w:r>
      <w:r>
        <w:t xml:space="preserve">Commission’s </w:t>
      </w:r>
      <w:r w:rsidRPr="005E0BE0" w:rsidR="00111B08">
        <w:t xml:space="preserve">Communications Division in writing </w:t>
      </w:r>
      <w:r>
        <w:t xml:space="preserve">submitted by email to </w:t>
      </w:r>
      <w:hyperlink w:history="1" r:id="rId31">
        <w:r w:rsidRPr="003F3238">
          <w:rPr>
            <w:rStyle w:val="Hyperlink"/>
          </w:rPr>
          <w:t>cdcompliance@cpuc.ca.gov</w:t>
        </w:r>
      </w:hyperlink>
      <w:r>
        <w:t xml:space="preserve">, no later than five days after service begins, </w:t>
      </w:r>
      <w:r w:rsidRPr="005E0BE0" w:rsidR="00111B08">
        <w:t>of the date that local exchange service is first rendered to the public.</w:t>
      </w:r>
    </w:p>
    <w:p w:rsidRPr="005E0BE0" w:rsidR="00111B08" w:rsidP="008A41DA" w:rsidRDefault="00B90CA2" w14:paraId="75EEE79A" w14:textId="24A8D3EC">
      <w:pPr>
        <w:pStyle w:val="num2"/>
        <w:numPr>
          <w:ilvl w:val="0"/>
          <w:numId w:val="15"/>
        </w:numPr>
        <w:tabs>
          <w:tab w:val="clear" w:pos="360"/>
          <w:tab w:val="num" w:pos="720"/>
        </w:tabs>
        <w:ind w:left="0" w:firstLine="270"/>
      </w:pPr>
      <w:r>
        <w:t>Velocity</w:t>
      </w:r>
      <w:r w:rsidRPr="005E0BE0" w:rsidR="00111B08">
        <w:t xml:space="preserve"> must keep its books and records in accordance with the Generally Accepted Accounting Principles.</w:t>
      </w:r>
    </w:p>
    <w:p w:rsidRPr="005E0BE0" w:rsidR="00111B08" w:rsidP="008A41DA" w:rsidRDefault="00111B08" w14:paraId="693805AA" w14:textId="063CC5D3">
      <w:pPr>
        <w:pStyle w:val="num1"/>
        <w:numPr>
          <w:ilvl w:val="0"/>
          <w:numId w:val="15"/>
        </w:numPr>
        <w:tabs>
          <w:tab w:val="clear" w:pos="-720"/>
          <w:tab w:val="left" w:pos="720"/>
        </w:tabs>
        <w:ind w:left="0" w:firstLine="270"/>
      </w:pPr>
      <w:r w:rsidRPr="005E0BE0">
        <w:t xml:space="preserve">In the event </w:t>
      </w:r>
      <w:r w:rsidR="00B90CA2">
        <w:t>Velocity</w:t>
      </w:r>
      <w:r w:rsidRPr="005E0BE0">
        <w:t xml:space="preserve">’s books and records are required for inspection by the Commission or its staff, </w:t>
      </w:r>
      <w:r w:rsidR="00B90CA2">
        <w:t>Velocity</w:t>
      </w:r>
      <w:r w:rsidRPr="005E0BE0">
        <w:t xml:space="preserve"> must either produce such records at the Commission’s offices or reimburse the Commission for the reasonable costs incurred in having Commission staff travel to </w:t>
      </w:r>
      <w:r w:rsidR="00B90CA2">
        <w:t>Velocity’s</w:t>
      </w:r>
      <w:r w:rsidRPr="005E0BE0">
        <w:t xml:space="preserve"> office.</w:t>
      </w:r>
    </w:p>
    <w:p w:rsidRPr="005E0BE0" w:rsidR="00111B08" w:rsidP="008A41DA" w:rsidRDefault="00B90CA2" w14:paraId="253E3B61" w14:textId="221EAB4A">
      <w:pPr>
        <w:pStyle w:val="num1"/>
        <w:numPr>
          <w:ilvl w:val="0"/>
          <w:numId w:val="15"/>
        </w:numPr>
        <w:tabs>
          <w:tab w:val="clear" w:pos="-720"/>
          <w:tab w:val="left" w:pos="720"/>
        </w:tabs>
        <w:ind w:left="0" w:firstLine="270"/>
      </w:pPr>
      <w:r>
        <w:t>Velocity</w:t>
      </w:r>
      <w:r w:rsidRPr="005E0BE0" w:rsidR="00111B08">
        <w:t xml:space="preserve"> must </w:t>
      </w:r>
      <w:r w:rsidR="008667AB">
        <w:t>submit</w:t>
      </w:r>
      <w:r w:rsidRPr="005E0BE0" w:rsidR="00111B08">
        <w:t xml:space="preserve"> an annual report </w:t>
      </w:r>
      <w:r w:rsidR="008667AB">
        <w:t>to</w:t>
      </w:r>
      <w:r w:rsidRPr="005E0BE0" w:rsidR="00111B08">
        <w:t xml:space="preserve"> the Director of the </w:t>
      </w:r>
      <w:r w:rsidR="008667AB">
        <w:t xml:space="preserve">Commission’s </w:t>
      </w:r>
      <w:r w:rsidRPr="005E0BE0" w:rsidR="00111B08">
        <w:t>Communications Division</w:t>
      </w:r>
      <w:r w:rsidR="008667AB">
        <w:t xml:space="preserve"> at cdcompliance@cpuc.ca.gov, </w:t>
      </w:r>
      <w:r w:rsidRPr="005E0BE0" w:rsidR="00111B08">
        <w:t xml:space="preserve"> in compliance with GO 104</w:t>
      </w:r>
      <w:r w:rsidRPr="005E0BE0" w:rsidR="00111B08">
        <w:noBreakHyphen/>
        <w:t>A, on a calendar</w:t>
      </w:r>
      <w:r w:rsidRPr="005E0BE0" w:rsidR="00111B08">
        <w:noBreakHyphen/>
        <w:t>year basis with the information contained in Attachment C to this decision.</w:t>
      </w:r>
    </w:p>
    <w:p w:rsidRPr="005E0BE0" w:rsidR="00111B08" w:rsidP="008A41DA" w:rsidRDefault="008667AB" w14:paraId="5F78ABF0" w14:textId="3D4025CF">
      <w:pPr>
        <w:pStyle w:val="num1"/>
        <w:numPr>
          <w:ilvl w:val="0"/>
          <w:numId w:val="15"/>
        </w:numPr>
        <w:tabs>
          <w:tab w:val="clear" w:pos="-720"/>
          <w:tab w:val="clear" w:pos="360"/>
          <w:tab w:val="left" w:pos="720"/>
        </w:tabs>
        <w:ind w:left="0" w:firstLine="270"/>
      </w:pPr>
      <w:r>
        <w:t>Velocity</w:t>
      </w:r>
      <w:r w:rsidRPr="005E0BE0" w:rsidR="00111B08">
        <w:t xml:space="preserve"> must </w:t>
      </w:r>
      <w:r>
        <w:t>submit</w:t>
      </w:r>
      <w:r w:rsidRPr="005E0BE0" w:rsidR="00111B08">
        <w:t xml:space="preserve"> an affiliate transaction report </w:t>
      </w:r>
      <w:r>
        <w:t>to</w:t>
      </w:r>
      <w:r w:rsidRPr="005E0BE0" w:rsidR="00111B08">
        <w:t xml:space="preserve"> the Director of the </w:t>
      </w:r>
      <w:r>
        <w:t xml:space="preserve">Commission’s </w:t>
      </w:r>
      <w:r w:rsidRPr="005E0BE0" w:rsidR="00111B08">
        <w:t>Communications Division</w:t>
      </w:r>
      <w:r>
        <w:t xml:space="preserve"> at </w:t>
      </w:r>
      <w:hyperlink w:history="1" r:id="rId32">
        <w:r w:rsidRPr="003F3238">
          <w:rPr>
            <w:rStyle w:val="Hyperlink"/>
          </w:rPr>
          <w:t>cdcompliance@cpuc.ca.gov</w:t>
        </w:r>
      </w:hyperlink>
      <w:r>
        <w:t>, i</w:t>
      </w:r>
      <w:r w:rsidRPr="005E0BE0" w:rsidR="00111B08">
        <w:t>n compliance with D.93</w:t>
      </w:r>
      <w:r w:rsidRPr="005E0BE0" w:rsidR="00111B08">
        <w:noBreakHyphen/>
        <w:t>02</w:t>
      </w:r>
      <w:r w:rsidRPr="005E0BE0" w:rsidR="00111B08">
        <w:noBreakHyphen/>
        <w:t>019, on a calendar</w:t>
      </w:r>
      <w:r w:rsidRPr="005E0BE0" w:rsidR="00111B08">
        <w:noBreakHyphen/>
        <w:t>year basis using the form contained in Attachment D</w:t>
      </w:r>
      <w:r>
        <w:t xml:space="preserve"> to this decision</w:t>
      </w:r>
      <w:r w:rsidRPr="005E0BE0" w:rsidR="00111B08">
        <w:t>.</w:t>
      </w:r>
    </w:p>
    <w:p w:rsidRPr="005E0BE0" w:rsidR="00111B08" w:rsidP="008A41DA" w:rsidRDefault="008667AB" w14:paraId="3368FCC4" w14:textId="43781475">
      <w:pPr>
        <w:pStyle w:val="num1"/>
        <w:numPr>
          <w:ilvl w:val="0"/>
          <w:numId w:val="15"/>
        </w:numPr>
        <w:tabs>
          <w:tab w:val="clear" w:pos="-720"/>
          <w:tab w:val="clear" w:pos="360"/>
          <w:tab w:val="left" w:pos="720"/>
        </w:tabs>
        <w:ind w:left="0" w:firstLine="270"/>
      </w:pPr>
      <w:r>
        <w:t>Velocity</w:t>
      </w:r>
      <w:r w:rsidRPr="005E0BE0" w:rsidR="00111B08">
        <w:t xml:space="preserve"> must ensure that its employees comply with the provisions of Pub. Util. Code </w:t>
      </w:r>
      <w:r>
        <w:t>Section</w:t>
      </w:r>
      <w:r w:rsidRPr="005E0BE0" w:rsidR="00111B08">
        <w:t xml:space="preserve"> 2889.5 regarding solicitation of customers.</w:t>
      </w:r>
    </w:p>
    <w:p w:rsidRPr="005E0BE0" w:rsidR="00111B08" w:rsidP="008A41DA" w:rsidRDefault="00111B08" w14:paraId="5DB5B83A" w14:textId="6DB6343B">
      <w:pPr>
        <w:pStyle w:val="num1"/>
        <w:numPr>
          <w:ilvl w:val="0"/>
          <w:numId w:val="15"/>
        </w:numPr>
        <w:tabs>
          <w:tab w:val="clear" w:pos="-720"/>
          <w:tab w:val="clear" w:pos="360"/>
          <w:tab w:val="left" w:pos="720"/>
        </w:tabs>
        <w:ind w:left="0" w:firstLine="270"/>
      </w:pPr>
      <w:r w:rsidRPr="005E0BE0">
        <w:t xml:space="preserve">Within 60 days of the effective date of this order, </w:t>
      </w:r>
      <w:r w:rsidR="008667AB">
        <w:t>Velocity</w:t>
      </w:r>
      <w:r w:rsidRPr="005E0BE0">
        <w:t xml:space="preserve"> must comply with Pub. Util. Code </w:t>
      </w:r>
      <w:r w:rsidR="008667AB">
        <w:t>Section</w:t>
      </w:r>
      <w:r w:rsidRPr="005E0BE0">
        <w:t xml:space="preserve"> 708, Employee Identification Cards, and notify the </w:t>
      </w:r>
      <w:r w:rsidRPr="005E0BE0">
        <w:lastRenderedPageBreak/>
        <w:t xml:space="preserve">Director of the </w:t>
      </w:r>
      <w:r w:rsidR="008667AB">
        <w:t xml:space="preserve">Commission’s </w:t>
      </w:r>
      <w:r w:rsidRPr="005E0BE0">
        <w:t>Communications Division in writing of its compliance</w:t>
      </w:r>
      <w:r w:rsidR="008667AB">
        <w:t xml:space="preserve"> by email to </w:t>
      </w:r>
      <w:hyperlink w:history="1" r:id="rId33">
        <w:r w:rsidRPr="003F3238" w:rsidR="008667AB">
          <w:rPr>
            <w:rStyle w:val="Hyperlink"/>
          </w:rPr>
          <w:t>cdcompliance@cpuc.ca.gov</w:t>
        </w:r>
      </w:hyperlink>
      <w:r w:rsidR="008667AB">
        <w:t xml:space="preserve">. </w:t>
      </w:r>
    </w:p>
    <w:p w:rsidRPr="005E0BE0" w:rsidR="00111B08" w:rsidP="008A41DA" w:rsidRDefault="00111B08" w14:paraId="1F697EC9" w14:textId="570D042B">
      <w:pPr>
        <w:pStyle w:val="num1"/>
        <w:numPr>
          <w:ilvl w:val="0"/>
          <w:numId w:val="15"/>
        </w:numPr>
        <w:tabs>
          <w:tab w:val="clear" w:pos="-720"/>
          <w:tab w:val="clear" w:pos="360"/>
          <w:tab w:val="left" w:pos="720"/>
        </w:tabs>
        <w:ind w:left="0" w:firstLine="270"/>
      </w:pPr>
      <w:r w:rsidRPr="005E0BE0">
        <w:t xml:space="preserve">If </w:t>
      </w:r>
      <w:r w:rsidR="003A30C0">
        <w:t>Velocity</w:t>
      </w:r>
      <w:r w:rsidRPr="005E0BE0">
        <w:t xml:space="preserve"> is 90 days or more late in </w:t>
      </w:r>
      <w:r w:rsidR="003A30C0">
        <w:t>submitt</w:t>
      </w:r>
      <w:r w:rsidRPr="005E0BE0">
        <w:t>ing an annual report, or in remitting the surcharges and fee</w:t>
      </w:r>
      <w:r w:rsidR="003A30C0">
        <w:t>s</w:t>
      </w:r>
      <w:r w:rsidRPr="005E0BE0">
        <w:t xml:space="preserve"> listed in</w:t>
      </w:r>
      <w:r w:rsidR="003A30C0">
        <w:t xml:space="preserve"> Item 3</w:t>
      </w:r>
      <w:r w:rsidRPr="005E0BE0">
        <w:t xml:space="preserve">  above, and has not received written permission from the </w:t>
      </w:r>
      <w:r w:rsidR="00344A71">
        <w:t xml:space="preserve">Commission’s </w:t>
      </w:r>
      <w:r w:rsidRPr="005E0BE0">
        <w:t xml:space="preserve">Communications Division to file or remit late, the </w:t>
      </w:r>
      <w:r w:rsidR="00344A71">
        <w:t xml:space="preserve">Commission’s </w:t>
      </w:r>
      <w:r w:rsidRPr="005E0BE0">
        <w:t xml:space="preserve">Communications Division must prepare for Commission consideration a resolution that revokes </w:t>
      </w:r>
      <w:r w:rsidR="003A30C0">
        <w:t>Velocity</w:t>
      </w:r>
      <w:r w:rsidRPr="005E0BE0">
        <w:t>’s CPCN.</w:t>
      </w:r>
    </w:p>
    <w:p w:rsidRPr="005E0BE0" w:rsidR="00111B08" w:rsidP="008A41DA" w:rsidRDefault="003A30C0" w14:paraId="2D31A635" w14:textId="2965CF0C">
      <w:pPr>
        <w:pStyle w:val="num1"/>
        <w:numPr>
          <w:ilvl w:val="0"/>
          <w:numId w:val="15"/>
        </w:numPr>
        <w:tabs>
          <w:tab w:val="clear" w:pos="-720"/>
          <w:tab w:val="left" w:pos="720"/>
        </w:tabs>
        <w:ind w:left="0" w:firstLine="270"/>
      </w:pPr>
      <w:r>
        <w:t>Velocity</w:t>
      </w:r>
      <w:r w:rsidRPr="005E0BE0" w:rsidR="00111B08">
        <w:t xml:space="preserve"> is exempt from Rule 3.1(b) of the Commission</w:t>
      </w:r>
      <w:r>
        <w:t>’s</w:t>
      </w:r>
      <w:r w:rsidRPr="005E0BE0" w:rsidR="00111B08">
        <w:t xml:space="preserve"> Rules of Practice and Procedure</w:t>
      </w:r>
      <w:r w:rsidR="00344A71">
        <w:t>.</w:t>
      </w:r>
      <w:r w:rsidRPr="005E0BE0" w:rsidR="00111B08">
        <w:t> </w:t>
      </w:r>
    </w:p>
    <w:p w:rsidRPr="005E0BE0" w:rsidR="00111B08" w:rsidP="008A41DA" w:rsidRDefault="003A30C0" w14:paraId="64C21A24" w14:textId="0D29AB0E">
      <w:pPr>
        <w:pStyle w:val="num1"/>
        <w:numPr>
          <w:ilvl w:val="0"/>
          <w:numId w:val="15"/>
        </w:numPr>
        <w:tabs>
          <w:tab w:val="clear" w:pos="-720"/>
          <w:tab w:val="left" w:pos="720"/>
        </w:tabs>
        <w:ind w:left="0" w:firstLine="270"/>
      </w:pPr>
      <w:r>
        <w:t>Velocity</w:t>
      </w:r>
      <w:r w:rsidRPr="005E0BE0" w:rsidR="00111B08">
        <w:t xml:space="preserve"> is exempt from Pub. Util. Code </w:t>
      </w:r>
      <w:r>
        <w:t>Sections</w:t>
      </w:r>
      <w:r w:rsidRPr="005E0BE0" w:rsidR="00111B08">
        <w:t> 816</w:t>
      </w:r>
      <w:r w:rsidRPr="005E0BE0" w:rsidR="00111B08">
        <w:noBreakHyphen/>
        <w:t>830</w:t>
      </w:r>
      <w:r>
        <w:t xml:space="preserve"> and 851</w:t>
      </w:r>
      <w:r w:rsidRPr="005E0BE0" w:rsidR="00111B08">
        <w:t>.</w:t>
      </w:r>
    </w:p>
    <w:p w:rsidRPr="005E0BE0" w:rsidR="00111B08" w:rsidP="008A41DA" w:rsidRDefault="00111B08" w14:paraId="7782C32F" w14:textId="47440964">
      <w:pPr>
        <w:pStyle w:val="num1"/>
        <w:numPr>
          <w:ilvl w:val="0"/>
          <w:numId w:val="15"/>
        </w:numPr>
        <w:tabs>
          <w:tab w:val="clear" w:pos="-720"/>
          <w:tab w:val="left" w:pos="720"/>
        </w:tabs>
        <w:ind w:left="0" w:firstLine="270"/>
      </w:pPr>
      <w:r w:rsidRPr="005E0BE0">
        <w:t xml:space="preserve">If </w:t>
      </w:r>
      <w:r w:rsidR="003A30C0">
        <w:t>Velocity</w:t>
      </w:r>
      <w:r w:rsidRPr="005E0BE0">
        <w:t xml:space="preserve"> decides to discontinue service or file for bankruptcy, it must immediately notify the </w:t>
      </w:r>
      <w:r w:rsidR="003A30C0">
        <w:t xml:space="preserve">Commission </w:t>
      </w:r>
      <w:r w:rsidRPr="005E0BE0">
        <w:t>Communications Division’s Bankruptcy Coordinator.</w:t>
      </w:r>
    </w:p>
    <w:p w:rsidRPr="005E0BE0" w:rsidR="00111B08" w:rsidP="008A41DA" w:rsidRDefault="00344A71" w14:paraId="6E86DBE8" w14:textId="39D56FFD">
      <w:pPr>
        <w:pStyle w:val="num1"/>
        <w:numPr>
          <w:ilvl w:val="0"/>
          <w:numId w:val="15"/>
        </w:numPr>
        <w:tabs>
          <w:tab w:val="clear" w:pos="-720"/>
          <w:tab w:val="left" w:pos="720"/>
        </w:tabs>
        <w:ind w:left="0" w:firstLine="270"/>
        <w:rPr>
          <w:b/>
        </w:rPr>
      </w:pPr>
      <w:r>
        <w:t>Velocity</w:t>
      </w:r>
      <w:r w:rsidRPr="005E0BE0" w:rsidR="00111B08">
        <w:t xml:space="preserve"> must send a copy of this decision to </w:t>
      </w:r>
      <w:r w:rsidR="00C63BAE">
        <w:t xml:space="preserve">the </w:t>
      </w:r>
      <w:r w:rsidRPr="005E0BE0" w:rsidR="00111B08">
        <w:t>concerned local permitting agencies no later than 30 days from the date of this order.</w:t>
      </w:r>
    </w:p>
    <w:p w:rsidRPr="005E0BE0" w:rsidR="00111B08" w:rsidP="00111B08" w:rsidRDefault="00111B08" w14:paraId="46AF3A9B" w14:textId="77777777">
      <w:pPr>
        <w:pStyle w:val="standard0"/>
        <w:spacing w:line="240" w:lineRule="auto"/>
        <w:jc w:val="center"/>
        <w:rPr>
          <w:b/>
        </w:rPr>
      </w:pPr>
    </w:p>
    <w:p w:rsidRPr="005E0BE0" w:rsidR="00111B08" w:rsidP="00111B08" w:rsidRDefault="00111B08" w14:paraId="4B6838BB" w14:textId="77777777">
      <w:pPr>
        <w:pStyle w:val="standard0"/>
        <w:spacing w:line="240" w:lineRule="auto"/>
        <w:jc w:val="center"/>
        <w:rPr>
          <w:b/>
        </w:rPr>
      </w:pPr>
    </w:p>
    <w:p w:rsidRPr="005E0BE0" w:rsidR="00111B08" w:rsidP="00111B08" w:rsidRDefault="00111B08" w14:paraId="78553167" w14:textId="77777777">
      <w:pPr>
        <w:pStyle w:val="standard0"/>
        <w:spacing w:line="240" w:lineRule="auto"/>
        <w:jc w:val="center"/>
        <w:rPr>
          <w:b/>
        </w:rPr>
      </w:pPr>
    </w:p>
    <w:p w:rsidRPr="005E0BE0" w:rsidR="00111B08" w:rsidP="00111B08" w:rsidRDefault="00111B08" w14:paraId="77552397" w14:textId="77777777">
      <w:pPr>
        <w:jc w:val="center"/>
        <w:rPr>
          <w:b/>
        </w:rPr>
      </w:pPr>
      <w:r w:rsidRPr="005E0BE0">
        <w:rPr>
          <w:b/>
        </w:rPr>
        <w:t>(END OF ATTACHMENT B)</w:t>
      </w:r>
    </w:p>
    <w:p w:rsidRPr="005E0BE0" w:rsidR="00111B08" w:rsidP="00111B08" w:rsidRDefault="00111B08" w14:paraId="18435CB5" w14:textId="77777777">
      <w:pPr>
        <w:jc w:val="center"/>
        <w:rPr>
          <w:b/>
        </w:rPr>
        <w:sectPr w:rsidRPr="005E0BE0" w:rsidR="00111B08" w:rsidSect="00725641">
          <w:headerReference w:type="default" r:id="rId34"/>
          <w:footerReference w:type="default" r:id="rId35"/>
          <w:pgSz w:w="12240" w:h="15840" w:code="1"/>
          <w:pgMar w:top="1152" w:right="1440" w:bottom="1440" w:left="1440" w:header="720" w:footer="720" w:gutter="0"/>
          <w:pgNumType w:start="1"/>
          <w:cols w:space="720"/>
        </w:sectPr>
      </w:pPr>
    </w:p>
    <w:p w:rsidRPr="005E0BE0" w:rsidR="00111B08" w:rsidP="00111B08" w:rsidRDefault="00111B08" w14:paraId="6B48412D" w14:textId="77777777">
      <w:pPr>
        <w:jc w:val="center"/>
        <w:rPr>
          <w:b/>
        </w:rPr>
      </w:pPr>
      <w:r w:rsidRPr="005E0BE0">
        <w:rPr>
          <w:b/>
        </w:rPr>
        <w:lastRenderedPageBreak/>
        <w:t>ATTACHMENT C</w:t>
      </w:r>
    </w:p>
    <w:p w:rsidRPr="005E0BE0" w:rsidR="00111B08" w:rsidP="00111B08" w:rsidRDefault="00111B08" w14:paraId="4DF948BE" w14:textId="77777777">
      <w:pPr>
        <w:jc w:val="center"/>
        <w:rPr>
          <w:b/>
        </w:rPr>
      </w:pPr>
    </w:p>
    <w:p w:rsidRPr="005E0BE0" w:rsidR="00111B08" w:rsidP="00111B08" w:rsidRDefault="00111B08" w14:paraId="6F68825A" w14:textId="77777777">
      <w:pPr>
        <w:jc w:val="center"/>
        <w:rPr>
          <w:b/>
        </w:rPr>
      </w:pPr>
      <w:r w:rsidRPr="005E0BE0">
        <w:rPr>
          <w:b/>
        </w:rPr>
        <w:t>ANNUAL REPORT</w:t>
      </w:r>
    </w:p>
    <w:p w:rsidRPr="005E0BE0" w:rsidR="00111B08" w:rsidP="00111B08" w:rsidRDefault="00111B08" w14:paraId="175DB507" w14:textId="77777777">
      <w:pPr>
        <w:jc w:val="center"/>
        <w:rPr>
          <w:b/>
        </w:rPr>
      </w:pPr>
    </w:p>
    <w:p w:rsidRPr="005E0BE0" w:rsidR="00111B08" w:rsidP="00111B08" w:rsidRDefault="003C23D0" w14:paraId="00F68A9D" w14:textId="21434989">
      <w:pPr>
        <w:spacing w:after="80"/>
        <w:rPr>
          <w:szCs w:val="26"/>
        </w:rPr>
      </w:pPr>
      <w:r>
        <w:rPr>
          <w:szCs w:val="26"/>
        </w:rPr>
        <w:t xml:space="preserve">In addition to the annual reports requirement pursuant to General Order 104-A, submit the following information electronically via email to </w:t>
      </w:r>
      <w:hyperlink w:history="1" r:id="rId36">
        <w:r w:rsidRPr="00A36539">
          <w:rPr>
            <w:rStyle w:val="Hyperlink"/>
            <w:szCs w:val="26"/>
          </w:rPr>
          <w:t>cdcompliance@cpuc.ca.gov</w:t>
        </w:r>
      </w:hyperlink>
      <w:r>
        <w:rPr>
          <w:szCs w:val="26"/>
        </w:rPr>
        <w:t xml:space="preserve"> </w:t>
      </w:r>
      <w:r w:rsidRPr="005E0BE0" w:rsidR="00111B08">
        <w:rPr>
          <w:szCs w:val="26"/>
        </w:rPr>
        <w:t>no later than March 31 of the year following the calendar year for which the annual report is submitted.</w:t>
      </w:r>
    </w:p>
    <w:p w:rsidRPr="005E0BE0" w:rsidR="00111B08" w:rsidP="00111B08" w:rsidRDefault="00111B08" w14:paraId="0D305DF0" w14:textId="450C7E1B">
      <w:pPr>
        <w:pStyle w:val="standard0"/>
      </w:pPr>
      <w:r w:rsidRPr="005E0BE0">
        <w:t xml:space="preserve">Failure to </w:t>
      </w:r>
      <w:r w:rsidR="00255E08">
        <w:t>submit</w:t>
      </w:r>
      <w:r w:rsidRPr="005E0BE0">
        <w:t xml:space="preserve"> this information on time may result in a penalty as provided for in Pub</w:t>
      </w:r>
      <w:r w:rsidR="00FA52F8">
        <w:t>lic Utilities</w:t>
      </w:r>
      <w:r w:rsidRPr="005E0BE0">
        <w:t xml:space="preserve"> Code</w:t>
      </w:r>
      <w:r w:rsidR="00FA52F8">
        <w:t xml:space="preserve"> Sections</w:t>
      </w:r>
      <w:r w:rsidRPr="005E0BE0">
        <w:t xml:space="preserve"> 2107 and 2108.</w:t>
      </w:r>
    </w:p>
    <w:p w:rsidRPr="005E0BE0" w:rsidR="00111B08" w:rsidP="00111B08" w:rsidRDefault="00111B08" w14:paraId="13907CCF" w14:textId="77777777">
      <w:pPr>
        <w:spacing w:before="40" w:after="80"/>
        <w:rPr>
          <w:szCs w:val="26"/>
        </w:rPr>
      </w:pPr>
      <w:r w:rsidRPr="005E0BE0">
        <w:rPr>
          <w:szCs w:val="26"/>
        </w:rPr>
        <w:t>Required information:</w:t>
      </w:r>
    </w:p>
    <w:p w:rsidRPr="005E0BE0" w:rsidR="00111B08" w:rsidP="008A41DA" w:rsidRDefault="00111B08" w14:paraId="2910CE28" w14:textId="77777777">
      <w:pPr>
        <w:pStyle w:val="num1"/>
        <w:numPr>
          <w:ilvl w:val="0"/>
          <w:numId w:val="11"/>
        </w:numPr>
        <w:spacing w:after="60" w:line="240" w:lineRule="auto"/>
        <w:ind w:left="720" w:hanging="360"/>
        <w:rPr>
          <w:szCs w:val="26"/>
        </w:rPr>
      </w:pPr>
      <w:r w:rsidRPr="005E0BE0">
        <w:rPr>
          <w:szCs w:val="26"/>
        </w:rPr>
        <w:t>Exact legal name and U # of the reporting utility.</w:t>
      </w:r>
    </w:p>
    <w:p w:rsidRPr="005E0BE0" w:rsidR="00111B08" w:rsidP="008A41DA" w:rsidRDefault="00111B08" w14:paraId="04C1922A" w14:textId="77777777">
      <w:pPr>
        <w:pStyle w:val="num1"/>
        <w:numPr>
          <w:ilvl w:val="0"/>
          <w:numId w:val="11"/>
        </w:numPr>
        <w:spacing w:after="60" w:line="240" w:lineRule="auto"/>
        <w:ind w:left="720" w:hanging="360"/>
        <w:rPr>
          <w:szCs w:val="26"/>
        </w:rPr>
      </w:pPr>
      <w:r w:rsidRPr="005E0BE0">
        <w:rPr>
          <w:szCs w:val="26"/>
        </w:rPr>
        <w:t>Address.</w:t>
      </w:r>
    </w:p>
    <w:p w:rsidRPr="005E0BE0" w:rsidR="00111B08" w:rsidP="008A41DA" w:rsidRDefault="00111B08" w14:paraId="111104E1" w14:textId="77777777">
      <w:pPr>
        <w:pStyle w:val="num1"/>
        <w:numPr>
          <w:ilvl w:val="0"/>
          <w:numId w:val="11"/>
        </w:numPr>
        <w:spacing w:after="60" w:line="240" w:lineRule="auto"/>
        <w:ind w:left="720" w:hanging="360"/>
        <w:rPr>
          <w:szCs w:val="26"/>
        </w:rPr>
      </w:pPr>
      <w:r w:rsidRPr="005E0BE0">
        <w:rPr>
          <w:szCs w:val="26"/>
        </w:rPr>
        <w:t>Name, title, address, and telephone number of the person to be contacted concerning the reported information.</w:t>
      </w:r>
    </w:p>
    <w:p w:rsidRPr="005E0BE0" w:rsidR="00111B08" w:rsidP="008A41DA" w:rsidRDefault="00111B08" w14:paraId="54F4DCA1" w14:textId="77777777">
      <w:pPr>
        <w:pStyle w:val="num1"/>
        <w:numPr>
          <w:ilvl w:val="0"/>
          <w:numId w:val="11"/>
        </w:numPr>
        <w:spacing w:after="60" w:line="240" w:lineRule="auto"/>
        <w:ind w:left="720" w:hanging="360"/>
        <w:rPr>
          <w:szCs w:val="26"/>
        </w:rPr>
      </w:pPr>
      <w:r w:rsidRPr="005E0BE0">
        <w:rPr>
          <w:szCs w:val="26"/>
        </w:rPr>
        <w:t>Name and title of the officer having custody of the general books of account and the address of the office where such books are kept.</w:t>
      </w:r>
    </w:p>
    <w:p w:rsidRPr="005E0BE0" w:rsidR="00111B08" w:rsidP="008A41DA" w:rsidRDefault="00111B08" w14:paraId="50C0E71D" w14:textId="77777777">
      <w:pPr>
        <w:pStyle w:val="num1"/>
        <w:numPr>
          <w:ilvl w:val="0"/>
          <w:numId w:val="11"/>
        </w:numPr>
        <w:spacing w:after="60" w:line="240" w:lineRule="auto"/>
        <w:ind w:left="720" w:hanging="360"/>
        <w:rPr>
          <w:szCs w:val="26"/>
        </w:rPr>
      </w:pPr>
      <w:r w:rsidRPr="005E0BE0">
        <w:rPr>
          <w:szCs w:val="26"/>
        </w:rPr>
        <w:t>Type of organization (</w:t>
      </w:r>
      <w:r w:rsidRPr="005E0BE0">
        <w:rPr>
          <w:i/>
          <w:iCs/>
          <w:szCs w:val="26"/>
        </w:rPr>
        <w:t>e.g.,</w:t>
      </w:r>
      <w:r w:rsidRPr="005E0BE0">
        <w:rPr>
          <w:szCs w:val="26"/>
        </w:rPr>
        <w:t xml:space="preserve"> corporation, partnership, sole proprietorship, etc.).</w:t>
      </w:r>
    </w:p>
    <w:p w:rsidRPr="005E0BE0" w:rsidR="00111B08" w:rsidP="00FA52F8" w:rsidRDefault="00111B08" w14:paraId="136F24CC" w14:textId="77777777">
      <w:pPr>
        <w:suppressAutoHyphens/>
        <w:spacing w:after="60" w:line="240" w:lineRule="auto"/>
        <w:ind w:left="1800" w:hanging="1080"/>
        <w:rPr>
          <w:szCs w:val="26"/>
        </w:rPr>
      </w:pPr>
      <w:r w:rsidRPr="005E0BE0">
        <w:rPr>
          <w:szCs w:val="26"/>
        </w:rPr>
        <w:t>If incorporated, specify:</w:t>
      </w:r>
    </w:p>
    <w:p w:rsidRPr="005E0BE0" w:rsidR="00111B08" w:rsidP="00FA52F8" w:rsidRDefault="00111B08" w14:paraId="29E350BF" w14:textId="77777777">
      <w:pPr>
        <w:spacing w:line="240" w:lineRule="auto"/>
        <w:ind w:left="1080" w:hanging="360"/>
        <w:rPr>
          <w:szCs w:val="26"/>
        </w:rPr>
      </w:pPr>
      <w:r w:rsidRPr="005E0BE0">
        <w:rPr>
          <w:szCs w:val="26"/>
        </w:rPr>
        <w:t>a.</w:t>
      </w:r>
      <w:r w:rsidRPr="005E0BE0">
        <w:rPr>
          <w:szCs w:val="26"/>
        </w:rPr>
        <w:tab/>
        <w:t>Date of filing articles of incorporation with the Secretary of State.</w:t>
      </w:r>
    </w:p>
    <w:p w:rsidRPr="005E0BE0" w:rsidR="00111B08" w:rsidP="00FA52F8" w:rsidRDefault="00111B08" w14:paraId="109D706D" w14:textId="77777777">
      <w:pPr>
        <w:spacing w:after="120" w:line="240" w:lineRule="auto"/>
        <w:ind w:left="1080" w:hanging="360"/>
        <w:rPr>
          <w:szCs w:val="26"/>
        </w:rPr>
      </w:pPr>
      <w:r w:rsidRPr="005E0BE0">
        <w:rPr>
          <w:szCs w:val="26"/>
        </w:rPr>
        <w:t>b.</w:t>
      </w:r>
      <w:r w:rsidRPr="005E0BE0">
        <w:rPr>
          <w:szCs w:val="26"/>
        </w:rPr>
        <w:tab/>
        <w:t>State in which incorporated.</w:t>
      </w:r>
    </w:p>
    <w:p w:rsidRPr="005E0BE0" w:rsidR="00111B08" w:rsidP="008A41DA" w:rsidRDefault="00111B08" w14:paraId="02EED28E" w14:textId="1906EBD7">
      <w:pPr>
        <w:pStyle w:val="num1"/>
        <w:numPr>
          <w:ilvl w:val="0"/>
          <w:numId w:val="11"/>
        </w:numPr>
        <w:spacing w:after="60" w:line="240" w:lineRule="auto"/>
        <w:ind w:left="720" w:hanging="360"/>
        <w:rPr>
          <w:szCs w:val="26"/>
        </w:rPr>
      </w:pPr>
      <w:r w:rsidRPr="005E0BE0">
        <w:rPr>
          <w:szCs w:val="26"/>
        </w:rPr>
        <w:t xml:space="preserve">Number and date of the </w:t>
      </w:r>
      <w:r w:rsidR="00FA52F8">
        <w:rPr>
          <w:szCs w:val="26"/>
        </w:rPr>
        <w:t xml:space="preserve">California Public Utilities </w:t>
      </w:r>
      <w:r w:rsidRPr="005E0BE0">
        <w:rPr>
          <w:szCs w:val="26"/>
        </w:rPr>
        <w:t>Commission decision granting the Certificate of Public Convenience and Necessity.</w:t>
      </w:r>
    </w:p>
    <w:p w:rsidRPr="005E0BE0" w:rsidR="00111B08" w:rsidP="008A41DA" w:rsidRDefault="00111B08" w14:paraId="1F10339B" w14:textId="77777777">
      <w:pPr>
        <w:pStyle w:val="num1"/>
        <w:numPr>
          <w:ilvl w:val="0"/>
          <w:numId w:val="11"/>
        </w:numPr>
        <w:spacing w:after="60" w:line="240" w:lineRule="auto"/>
        <w:ind w:left="720" w:hanging="360"/>
        <w:rPr>
          <w:szCs w:val="26"/>
        </w:rPr>
      </w:pPr>
      <w:r w:rsidRPr="005E0BE0">
        <w:rPr>
          <w:szCs w:val="26"/>
        </w:rPr>
        <w:t>Date operations were begun.</w:t>
      </w:r>
    </w:p>
    <w:p w:rsidRPr="005E0BE0" w:rsidR="00111B08" w:rsidP="008A41DA" w:rsidRDefault="00111B08" w14:paraId="4B98869F" w14:textId="77777777">
      <w:pPr>
        <w:pStyle w:val="num1"/>
        <w:numPr>
          <w:ilvl w:val="0"/>
          <w:numId w:val="11"/>
        </w:numPr>
        <w:spacing w:after="60" w:line="240" w:lineRule="auto"/>
        <w:ind w:left="720" w:hanging="360"/>
        <w:rPr>
          <w:szCs w:val="26"/>
        </w:rPr>
      </w:pPr>
      <w:r w:rsidRPr="005E0BE0">
        <w:rPr>
          <w:szCs w:val="26"/>
        </w:rPr>
        <w:t>Description of other business activities in which the utility is engaged.</w:t>
      </w:r>
    </w:p>
    <w:p w:rsidRPr="005E0BE0" w:rsidR="00111B08" w:rsidP="008A41DA" w:rsidRDefault="00111B08" w14:paraId="35714CEA" w14:textId="77777777">
      <w:pPr>
        <w:pStyle w:val="num1"/>
        <w:numPr>
          <w:ilvl w:val="0"/>
          <w:numId w:val="11"/>
        </w:numPr>
        <w:spacing w:after="60" w:line="240" w:lineRule="auto"/>
        <w:ind w:left="720" w:hanging="360"/>
        <w:rPr>
          <w:szCs w:val="26"/>
        </w:rPr>
      </w:pPr>
      <w:r w:rsidRPr="005E0BE0">
        <w:rPr>
          <w:szCs w:val="26"/>
        </w:rPr>
        <w:t>List of all affiliated companies and their relationship to the utility.  State if affiliate is a:</w:t>
      </w:r>
    </w:p>
    <w:p w:rsidRPr="005E0BE0" w:rsidR="00111B08" w:rsidP="003C23D0" w:rsidRDefault="00111B08" w14:paraId="56A08DF7" w14:textId="77777777">
      <w:pPr>
        <w:spacing w:line="240" w:lineRule="auto"/>
        <w:ind w:left="1080" w:hanging="360"/>
        <w:rPr>
          <w:szCs w:val="26"/>
        </w:rPr>
      </w:pPr>
      <w:r w:rsidRPr="005E0BE0">
        <w:rPr>
          <w:szCs w:val="26"/>
        </w:rPr>
        <w:t>a.</w:t>
      </w:r>
      <w:r w:rsidRPr="005E0BE0">
        <w:rPr>
          <w:szCs w:val="26"/>
        </w:rPr>
        <w:tab/>
        <w:t>Regulated public utility.</w:t>
      </w:r>
    </w:p>
    <w:p w:rsidRPr="005E0BE0" w:rsidR="00111B08" w:rsidP="003C23D0" w:rsidRDefault="00111B08" w14:paraId="68731837" w14:textId="77777777">
      <w:pPr>
        <w:spacing w:after="120" w:line="240" w:lineRule="auto"/>
        <w:ind w:left="1080" w:hanging="360"/>
        <w:rPr>
          <w:szCs w:val="26"/>
        </w:rPr>
      </w:pPr>
      <w:r w:rsidRPr="005E0BE0">
        <w:rPr>
          <w:szCs w:val="26"/>
        </w:rPr>
        <w:t>b.</w:t>
      </w:r>
      <w:r w:rsidRPr="005E0BE0">
        <w:rPr>
          <w:szCs w:val="26"/>
        </w:rPr>
        <w:tab/>
        <w:t>Publicly held corporation.</w:t>
      </w:r>
    </w:p>
    <w:p w:rsidRPr="005E0BE0" w:rsidR="00111B08" w:rsidP="008A41DA" w:rsidRDefault="00111B08" w14:paraId="2274EDDE" w14:textId="51906A37">
      <w:pPr>
        <w:pStyle w:val="num2"/>
        <w:numPr>
          <w:ilvl w:val="0"/>
          <w:numId w:val="16"/>
        </w:numPr>
        <w:tabs>
          <w:tab w:val="clear" w:pos="720"/>
        </w:tabs>
        <w:spacing w:after="60" w:line="240" w:lineRule="auto"/>
        <w:ind w:left="734" w:hanging="547"/>
        <w:rPr>
          <w:szCs w:val="26"/>
        </w:rPr>
      </w:pPr>
      <w:r w:rsidRPr="005E0BE0">
        <w:rPr>
          <w:szCs w:val="26"/>
        </w:rPr>
        <w:lastRenderedPageBreak/>
        <w:t>Balance sheet as of December 31 of the year for which information is submitted.</w:t>
      </w:r>
    </w:p>
    <w:p w:rsidRPr="005E0BE0" w:rsidR="00111B08" w:rsidP="008A41DA" w:rsidRDefault="00111B08" w14:paraId="7AD62919" w14:textId="77777777">
      <w:pPr>
        <w:pStyle w:val="num2"/>
        <w:numPr>
          <w:ilvl w:val="0"/>
          <w:numId w:val="16"/>
        </w:numPr>
        <w:tabs>
          <w:tab w:val="clear" w:pos="720"/>
        </w:tabs>
        <w:spacing w:after="60" w:line="240" w:lineRule="auto"/>
        <w:ind w:left="734" w:hanging="547"/>
        <w:rPr>
          <w:szCs w:val="26"/>
        </w:rPr>
      </w:pPr>
      <w:r w:rsidRPr="005E0BE0">
        <w:rPr>
          <w:szCs w:val="26"/>
        </w:rPr>
        <w:t>Income statement for California operations for the calendar year for which information is submitted.</w:t>
      </w:r>
    </w:p>
    <w:p w:rsidRPr="005E0BE0" w:rsidR="00111B08" w:rsidP="008A41DA" w:rsidRDefault="00111B08" w14:paraId="04F3A0EB" w14:textId="5543382A">
      <w:pPr>
        <w:pStyle w:val="num2"/>
        <w:numPr>
          <w:ilvl w:val="0"/>
          <w:numId w:val="16"/>
        </w:numPr>
        <w:tabs>
          <w:tab w:val="clear" w:pos="720"/>
        </w:tabs>
        <w:spacing w:after="60" w:line="240" w:lineRule="auto"/>
        <w:ind w:left="734" w:hanging="547"/>
        <w:rPr>
          <w:szCs w:val="26"/>
        </w:rPr>
      </w:pPr>
      <w:r w:rsidRPr="005E0BE0">
        <w:rPr>
          <w:szCs w:val="24"/>
        </w:rPr>
        <w:t xml:space="preserve">Cash Flow statement </w:t>
      </w:r>
      <w:r w:rsidR="000F76B7">
        <w:rPr>
          <w:szCs w:val="24"/>
        </w:rPr>
        <w:t xml:space="preserve">for California operations </w:t>
      </w:r>
      <w:r w:rsidRPr="005E0BE0">
        <w:rPr>
          <w:szCs w:val="24"/>
        </w:rPr>
        <w:t>as of December 31 of the calendar year for which information is submitted.</w:t>
      </w:r>
    </w:p>
    <w:p w:rsidR="000F76B7" w:rsidP="00111B08" w:rsidRDefault="000F76B7" w14:paraId="56D46235" w14:textId="77777777">
      <w:pPr>
        <w:spacing w:before="40" w:after="80"/>
        <w:rPr>
          <w:szCs w:val="26"/>
        </w:rPr>
      </w:pPr>
    </w:p>
    <w:p w:rsidRPr="005E0BE0" w:rsidR="00111B08" w:rsidP="00111B08" w:rsidRDefault="000F76B7" w14:paraId="1170FC2A" w14:textId="41B9D29D">
      <w:pPr>
        <w:spacing w:before="40" w:after="80"/>
        <w:rPr>
          <w:szCs w:val="26"/>
        </w:rPr>
      </w:pPr>
      <w:r>
        <w:rPr>
          <w:szCs w:val="26"/>
        </w:rPr>
        <w:t xml:space="preserve">For any questions concerning this report, please send an email to </w:t>
      </w:r>
      <w:hyperlink w:history="1" r:id="rId37">
        <w:r w:rsidRPr="003F3238">
          <w:rPr>
            <w:rStyle w:val="Hyperlink"/>
            <w:szCs w:val="26"/>
          </w:rPr>
          <w:t>cdcompliance@cpuc.ca.gov</w:t>
        </w:r>
      </w:hyperlink>
      <w:r>
        <w:rPr>
          <w:szCs w:val="26"/>
        </w:rPr>
        <w:t xml:space="preserve"> with a subject line that includes: “CD Annual Reports.”</w:t>
      </w:r>
    </w:p>
    <w:p w:rsidRPr="005E0BE0" w:rsidR="00111B08" w:rsidP="00111B08" w:rsidRDefault="00111B08" w14:paraId="368691DA" w14:textId="77777777">
      <w:pPr>
        <w:spacing w:before="40" w:after="80"/>
        <w:rPr>
          <w:szCs w:val="26"/>
        </w:rPr>
      </w:pPr>
    </w:p>
    <w:p w:rsidRPr="005E0BE0" w:rsidR="00111B08" w:rsidP="00111B08" w:rsidRDefault="00111B08" w14:paraId="639633AE" w14:textId="77777777">
      <w:pPr>
        <w:spacing w:before="40" w:after="80"/>
        <w:rPr>
          <w:szCs w:val="26"/>
        </w:rPr>
      </w:pPr>
    </w:p>
    <w:p w:rsidRPr="005E0BE0" w:rsidR="00111B08" w:rsidP="00111B08" w:rsidRDefault="00111B08" w14:paraId="14499219" w14:textId="77777777">
      <w:pPr>
        <w:jc w:val="center"/>
        <w:rPr>
          <w:b/>
        </w:rPr>
      </w:pPr>
      <w:r w:rsidRPr="005E0BE0">
        <w:rPr>
          <w:b/>
        </w:rPr>
        <w:t>(END OF ATTACHMENT C)</w:t>
      </w:r>
    </w:p>
    <w:p w:rsidRPr="005E0BE0" w:rsidR="00111B08" w:rsidP="00111B08" w:rsidRDefault="00111B08" w14:paraId="65769488" w14:textId="77777777">
      <w:pPr>
        <w:jc w:val="center"/>
        <w:rPr>
          <w:b/>
        </w:rPr>
      </w:pPr>
    </w:p>
    <w:p w:rsidRPr="005E0BE0" w:rsidR="00111B08" w:rsidP="00111B08" w:rsidRDefault="00111B08" w14:paraId="112D223D" w14:textId="77777777">
      <w:pPr>
        <w:jc w:val="center"/>
        <w:rPr>
          <w:b/>
        </w:rPr>
        <w:sectPr w:rsidRPr="005E0BE0" w:rsidR="00111B08" w:rsidSect="00725641">
          <w:headerReference w:type="default" r:id="rId38"/>
          <w:footerReference w:type="default" r:id="rId39"/>
          <w:pgSz w:w="12240" w:h="15840" w:code="1"/>
          <w:pgMar w:top="1152" w:right="1440" w:bottom="1440" w:left="1440" w:header="720" w:footer="720" w:gutter="0"/>
          <w:pgNumType w:start="1"/>
          <w:cols w:space="720"/>
        </w:sectPr>
      </w:pPr>
    </w:p>
    <w:p w:rsidRPr="005E0BE0" w:rsidR="00111B08" w:rsidP="00111B08" w:rsidRDefault="00111B08" w14:paraId="0B87492B" w14:textId="77777777">
      <w:pPr>
        <w:jc w:val="center"/>
        <w:rPr>
          <w:b/>
        </w:rPr>
      </w:pPr>
      <w:r w:rsidRPr="005E0BE0">
        <w:rPr>
          <w:b/>
        </w:rPr>
        <w:lastRenderedPageBreak/>
        <w:t>ATTACHMENT D</w:t>
      </w:r>
    </w:p>
    <w:p w:rsidRPr="005E0BE0" w:rsidR="00111B08" w:rsidP="00111B08" w:rsidRDefault="00111B08" w14:paraId="600EA347" w14:textId="77777777">
      <w:pPr>
        <w:jc w:val="center"/>
        <w:rPr>
          <w:b/>
        </w:rPr>
      </w:pPr>
    </w:p>
    <w:p w:rsidRPr="005E0BE0" w:rsidR="00111B08" w:rsidP="00111B08" w:rsidRDefault="00111B08" w14:paraId="2C9ABE86" w14:textId="77777777">
      <w:pPr>
        <w:spacing w:after="120"/>
        <w:jc w:val="center"/>
        <w:rPr>
          <w:b/>
        </w:rPr>
      </w:pPr>
      <w:r w:rsidRPr="005E0BE0">
        <w:rPr>
          <w:b/>
        </w:rPr>
        <w:t>CALENDAR YEAR AFFILIATE TRANSACTION REPORT</w:t>
      </w:r>
    </w:p>
    <w:p w:rsidRPr="005E0BE0" w:rsidR="00111B08" w:rsidP="00111B08" w:rsidRDefault="00111B08" w14:paraId="478BEB74" w14:textId="77777777">
      <w:pPr>
        <w:spacing w:after="120"/>
        <w:jc w:val="center"/>
        <w:rPr>
          <w:b/>
        </w:rPr>
      </w:pPr>
    </w:p>
    <w:p w:rsidRPr="000F76B7" w:rsidR="00111B08" w:rsidP="00111B08" w:rsidRDefault="003C23D0" w14:paraId="5DD493A3" w14:textId="191091B5">
      <w:pPr>
        <w:spacing w:after="80"/>
        <w:rPr>
          <w:bCs/>
          <w:szCs w:val="26"/>
        </w:rPr>
      </w:pPr>
      <w:r>
        <w:rPr>
          <w:bCs/>
          <w:szCs w:val="26"/>
        </w:rPr>
        <w:t xml:space="preserve">Submit the following information electronically via email to </w:t>
      </w:r>
      <w:hyperlink w:history="1" r:id="rId40">
        <w:r w:rsidRPr="00A36539">
          <w:rPr>
            <w:rStyle w:val="Hyperlink"/>
            <w:bCs/>
            <w:szCs w:val="26"/>
          </w:rPr>
          <w:t>cdcompliance@cpuc.ca.gov</w:t>
        </w:r>
      </w:hyperlink>
      <w:r>
        <w:rPr>
          <w:bCs/>
          <w:szCs w:val="26"/>
        </w:rPr>
        <w:t xml:space="preserve"> </w:t>
      </w:r>
      <w:r w:rsidRPr="000F76B7" w:rsidR="00111B08">
        <w:rPr>
          <w:bCs/>
          <w:szCs w:val="26"/>
        </w:rPr>
        <w:t>no later than May 1 of the year following the calendar year for which the annual report is submitted.</w:t>
      </w:r>
      <w:r w:rsidR="000F76B7">
        <w:rPr>
          <w:bCs/>
          <w:szCs w:val="26"/>
        </w:rPr>
        <w:t xml:space="preserve"> </w:t>
      </w:r>
    </w:p>
    <w:p w:rsidRPr="007619CC" w:rsidR="00111B08" w:rsidP="00111B08" w:rsidRDefault="00111B08" w14:paraId="3F30AD88" w14:textId="77777777">
      <w:pPr>
        <w:spacing w:after="120"/>
        <w:rPr>
          <w:sz w:val="14"/>
          <w:szCs w:val="14"/>
        </w:rPr>
      </w:pPr>
    </w:p>
    <w:p w:rsidRPr="005E0BE0" w:rsidR="00111B08" w:rsidP="008A41DA" w:rsidRDefault="00111B08" w14:paraId="497E01AA" w14:textId="77777777">
      <w:pPr>
        <w:pStyle w:val="num1"/>
        <w:numPr>
          <w:ilvl w:val="0"/>
          <w:numId w:val="17"/>
        </w:numPr>
        <w:tabs>
          <w:tab w:val="clear" w:pos="720"/>
        </w:tabs>
        <w:ind w:left="0" w:firstLine="540"/>
      </w:pPr>
      <w:r w:rsidRPr="005E0BE0">
        <w:t>Each utility must list and provide the following information for each affiliated entity and regulated subsidiary that the utility had during the period covered by the Annual Affiliate Transaction Report.</w:t>
      </w:r>
    </w:p>
    <w:p w:rsidRPr="009A3980" w:rsidR="00111B08" w:rsidP="008A41DA" w:rsidRDefault="00111B08" w14:paraId="0212A6A3" w14:textId="215836C8">
      <w:pPr>
        <w:pStyle w:val="bullets"/>
        <w:numPr>
          <w:ilvl w:val="0"/>
          <w:numId w:val="12"/>
        </w:numPr>
        <w:ind w:right="1440"/>
        <w:rPr>
          <w:bCs/>
        </w:rPr>
      </w:pPr>
      <w:r w:rsidRPr="005E0BE0">
        <w:t>Form of organization (</w:t>
      </w:r>
      <w:r w:rsidRPr="005E0BE0">
        <w:rPr>
          <w:i/>
          <w:iCs/>
        </w:rPr>
        <w:t>e.g.,</w:t>
      </w:r>
      <w:r w:rsidRPr="005E0BE0">
        <w:t xml:space="preserve"> corporation, partnership, joint venture, strategic alliance, etc.);</w:t>
      </w:r>
    </w:p>
    <w:p w:rsidR="009A3980" w:rsidP="008A41DA" w:rsidRDefault="00111B08" w14:paraId="58B0B765" w14:textId="4F5429D0">
      <w:pPr>
        <w:pStyle w:val="bullets"/>
        <w:numPr>
          <w:ilvl w:val="0"/>
          <w:numId w:val="12"/>
        </w:numPr>
        <w:ind w:right="1440"/>
        <w:rPr>
          <w:bCs/>
        </w:rPr>
      </w:pPr>
      <w:r w:rsidRPr="005E0BE0">
        <w:t>Brief description of business activities engaged in;</w:t>
      </w:r>
    </w:p>
    <w:p w:rsidR="009A3980" w:rsidP="008A41DA" w:rsidRDefault="009A3980" w14:paraId="5B78CC86" w14:textId="77777777">
      <w:pPr>
        <w:pStyle w:val="bullets"/>
        <w:numPr>
          <w:ilvl w:val="0"/>
          <w:numId w:val="12"/>
        </w:numPr>
        <w:ind w:right="1440"/>
        <w:rPr>
          <w:bCs/>
        </w:rPr>
      </w:pPr>
      <w:r>
        <w:rPr>
          <w:bCs/>
        </w:rPr>
        <w:t xml:space="preserve">Relationship to the utility </w:t>
      </w:r>
      <w:r w:rsidRPr="005E0BE0">
        <w:t>(</w:t>
      </w:r>
      <w:r w:rsidRPr="005E0BE0">
        <w:rPr>
          <w:i/>
          <w:iCs/>
        </w:rPr>
        <w:t>e.g.,</w:t>
      </w:r>
      <w:r w:rsidRPr="005E0BE0">
        <w:t xml:space="preserve"> controlling corporation, subsidiary, regulated subsidiary, affiliate);</w:t>
      </w:r>
      <w:r>
        <w:rPr>
          <w:bCs/>
        </w:rPr>
        <w:t xml:space="preserve"> </w:t>
      </w:r>
    </w:p>
    <w:p w:rsidRPr="005E0BE0" w:rsidR="009A3980" w:rsidP="008A41DA" w:rsidRDefault="009A3980" w14:paraId="20CB7075" w14:textId="0EEC3AD2">
      <w:pPr>
        <w:pStyle w:val="bullets"/>
        <w:numPr>
          <w:ilvl w:val="0"/>
          <w:numId w:val="12"/>
        </w:numPr>
        <w:ind w:right="1440"/>
        <w:rPr>
          <w:bCs/>
        </w:rPr>
      </w:pPr>
      <w:r w:rsidRPr="005E0BE0">
        <w:t>Ownership of the utility (including type and percent ownership)</w:t>
      </w:r>
      <w:r>
        <w:t>;</w:t>
      </w:r>
    </w:p>
    <w:p w:rsidR="00111B08" w:rsidP="008A41DA" w:rsidRDefault="00111B08" w14:paraId="20269ED5" w14:textId="6AA78D0C">
      <w:pPr>
        <w:pStyle w:val="bullets"/>
        <w:numPr>
          <w:ilvl w:val="0"/>
          <w:numId w:val="12"/>
        </w:numPr>
        <w:ind w:right="1440"/>
        <w:rPr>
          <w:bCs/>
        </w:rPr>
      </w:pPr>
      <w:r w:rsidRPr="005E0BE0">
        <w:t xml:space="preserve"> </w:t>
      </w:r>
      <w:r w:rsidR="009A3980">
        <w:t>Voting rights held by the utility and percent; and</w:t>
      </w:r>
    </w:p>
    <w:p w:rsidRPr="009A3980" w:rsidR="009A3980" w:rsidP="008A41DA" w:rsidRDefault="009A3980" w14:paraId="38DB02CA" w14:textId="4E2466C0">
      <w:pPr>
        <w:pStyle w:val="bullets"/>
        <w:numPr>
          <w:ilvl w:val="0"/>
          <w:numId w:val="12"/>
        </w:numPr>
        <w:ind w:right="1440"/>
        <w:rPr>
          <w:bCs/>
        </w:rPr>
      </w:pPr>
      <w:r>
        <w:rPr>
          <w:bCs/>
        </w:rPr>
        <w:t>Corporate officer.</w:t>
      </w:r>
    </w:p>
    <w:p w:rsidRPr="005E0BE0" w:rsidR="00111B08" w:rsidP="009A3980" w:rsidRDefault="00111B08" w14:paraId="04A8089B" w14:textId="55A09686">
      <w:pPr>
        <w:pStyle w:val="bullets"/>
        <w:numPr>
          <w:ilvl w:val="0"/>
          <w:numId w:val="0"/>
        </w:numPr>
        <w:ind w:left="1080" w:right="1440"/>
        <w:rPr>
          <w:bCs/>
        </w:rPr>
      </w:pPr>
    </w:p>
    <w:p w:rsidRPr="005E0BE0" w:rsidR="00111B08" w:rsidP="008A41DA" w:rsidRDefault="007C31B1" w14:paraId="3D5ED0C4" w14:textId="26E42502">
      <w:pPr>
        <w:pStyle w:val="num1"/>
        <w:numPr>
          <w:ilvl w:val="0"/>
          <w:numId w:val="17"/>
        </w:numPr>
        <w:tabs>
          <w:tab w:val="clear" w:pos="720"/>
        </w:tabs>
        <w:ind w:left="0" w:firstLine="540"/>
      </w:pPr>
      <w:r>
        <w:t>Each</w:t>
      </w:r>
      <w:r w:rsidRPr="005E0BE0" w:rsidR="00111B08">
        <w:t xml:space="preserve"> utility must prepare and submit a corporate organization chart showing any and all corporate relationships between the utility and its affiliated entities and regulated subsidiaries in </w:t>
      </w:r>
      <w:r>
        <w:t>Item 1</w:t>
      </w:r>
      <w:r w:rsidRPr="005E0BE0" w:rsidR="00111B08">
        <w:t xml:space="preserve"> above.  The chart must have the controlling corporation (if any) at the top of the chart, the utility and any subsidiaries and/or affiliates of the controlling corporation in the middle levels of the chart, and all secondary subsidiaries and affiliates (e.g., a subsidiary that in </w:t>
      </w:r>
      <w:r w:rsidRPr="005E0BE0" w:rsidR="00111B08">
        <w:lastRenderedPageBreak/>
        <w:t>turn is owned by another subsidiary and/or affiliate) in the lower levels.  Any regulated subsidiary must be clearly noted.</w:t>
      </w:r>
    </w:p>
    <w:p w:rsidRPr="005E0BE0" w:rsidR="00111B08" w:rsidP="008A41DA" w:rsidRDefault="00111B08" w14:paraId="797BBA5A" w14:textId="42628228">
      <w:pPr>
        <w:pStyle w:val="num1"/>
        <w:numPr>
          <w:ilvl w:val="0"/>
          <w:numId w:val="17"/>
        </w:numPr>
        <w:tabs>
          <w:tab w:val="clear" w:pos="720"/>
        </w:tabs>
        <w:ind w:left="0" w:firstLine="540"/>
      </w:pPr>
      <w:r w:rsidRPr="005E0BE0">
        <w:t xml:space="preserve">For a utility that has individuals who are classified as “controlling corporations” of the competitive utility, the utility must only report under the requirements of </w:t>
      </w:r>
      <w:r w:rsidR="007C31B1">
        <w:t xml:space="preserve">Items </w:t>
      </w:r>
      <w:r w:rsidRPr="005E0BE0">
        <w:t>1 and 2 above any affiliated entity that either (a) is a public utility or (b) transacts any business with the utility filing the annual report excluding the provision of tariff services.</w:t>
      </w:r>
    </w:p>
    <w:p w:rsidRPr="005E0BE0" w:rsidR="00111B08" w:rsidP="008A41DA" w:rsidRDefault="00111B08" w14:paraId="1AA91605" w14:textId="3AE8818B">
      <w:pPr>
        <w:pStyle w:val="num1"/>
        <w:numPr>
          <w:ilvl w:val="0"/>
          <w:numId w:val="17"/>
        </w:numPr>
        <w:tabs>
          <w:tab w:val="clear" w:pos="720"/>
        </w:tabs>
        <w:ind w:left="0" w:firstLine="540"/>
      </w:pPr>
      <w:r w:rsidRPr="005E0BE0">
        <w:t xml:space="preserve">Each annual report must be signed by a corporate officer of the utility stating under penalty of perjury under the laws of the State of California </w:t>
      </w:r>
      <w:r w:rsidRPr="005E0BE0">
        <w:br/>
      </w:r>
      <w:r w:rsidR="007C31B1">
        <w:t>pursuant to Code of Civil Procedure Section</w:t>
      </w:r>
      <w:r w:rsidRPr="005E0BE0">
        <w:t xml:space="preserve"> 2015.5 that the annual report is complete and accurate with no material omissions.</w:t>
      </w:r>
    </w:p>
    <w:p w:rsidRPr="005E0BE0" w:rsidR="00111B08" w:rsidP="008A41DA" w:rsidRDefault="00111B08" w14:paraId="63BE7317" w14:textId="77777777">
      <w:pPr>
        <w:pStyle w:val="num1"/>
        <w:numPr>
          <w:ilvl w:val="0"/>
          <w:numId w:val="17"/>
        </w:numPr>
        <w:tabs>
          <w:tab w:val="clear" w:pos="720"/>
        </w:tabs>
        <w:ind w:left="0" w:firstLine="540"/>
      </w:pPr>
      <w:r w:rsidRPr="005E0BE0">
        <w:t>Any required material that a utility is unable to provide must be reasonably described and the reasons the data cannot be obtained, as well as the efforts expended to obtain the information, must be set forth in the utility’s Annual Affiliate Transaction Report and verified in accordance with Section I</w:t>
      </w:r>
      <w:r w:rsidRPr="005E0BE0">
        <w:noBreakHyphen/>
        <w:t>F of Decision 93</w:t>
      </w:r>
      <w:r w:rsidRPr="005E0BE0">
        <w:noBreakHyphen/>
        <w:t>02</w:t>
      </w:r>
      <w:r w:rsidRPr="005E0BE0">
        <w:noBreakHyphen/>
        <w:t>019.</w:t>
      </w:r>
    </w:p>
    <w:p w:rsidR="005C4333" w:rsidP="008A41DA" w:rsidRDefault="00111B08" w14:paraId="734C2934" w14:textId="77777777">
      <w:pPr>
        <w:pStyle w:val="num1"/>
        <w:numPr>
          <w:ilvl w:val="0"/>
          <w:numId w:val="17"/>
        </w:numPr>
        <w:tabs>
          <w:tab w:val="clear" w:pos="720"/>
        </w:tabs>
        <w:ind w:left="0" w:firstLine="540"/>
        <w:sectPr w:rsidR="005C4333" w:rsidSect="005C4333">
          <w:headerReference w:type="default" r:id="rId41"/>
          <w:footerReference w:type="default" r:id="rId42"/>
          <w:headerReference w:type="first" r:id="rId43"/>
          <w:footerReference w:type="first" r:id="rId44"/>
          <w:footnotePr>
            <w:numRestart w:val="eachSect"/>
          </w:footnotePr>
          <w:pgSz w:w="12240" w:h="15840" w:code="1"/>
          <w:pgMar w:top="1152" w:right="1440" w:bottom="1440" w:left="1440" w:header="720" w:footer="720" w:gutter="0"/>
          <w:cols w:space="720"/>
          <w:titlePg/>
        </w:sectPr>
      </w:pPr>
      <w:r w:rsidRPr="005E0BE0">
        <w:t xml:space="preserve">Utilities that do not have affiliated entities must </w:t>
      </w:r>
      <w:r w:rsidR="007C31B1">
        <w:t>submit</w:t>
      </w:r>
      <w:r w:rsidRPr="005E0BE0">
        <w:t xml:space="preserve">, in lieu of the annual transaction report, an annual statement to the Commission stating that the utility had no affiliated entities during the report period. This statement must be signed by a corporate officer of the utility, stating under penalty of perjury under the laws of the State of California </w:t>
      </w:r>
      <w:r w:rsidR="007C31B1">
        <w:t>pursuant to Code of Civil Procedure Section</w:t>
      </w:r>
      <w:r w:rsidRPr="005E0BE0">
        <w:t> 2015.5 that the annual report is complete and accurate with no material omissions.</w:t>
      </w:r>
    </w:p>
    <w:p w:rsidRPr="005E0BE0" w:rsidR="00372382" w:rsidP="00372382" w:rsidRDefault="00372382" w14:paraId="0F333D59" w14:textId="5DDD723C">
      <w:pPr>
        <w:pStyle w:val="num1"/>
        <w:ind w:left="540" w:firstLine="0"/>
      </w:pPr>
      <w:r>
        <w:lastRenderedPageBreak/>
        <w:t xml:space="preserve">For any questions concerning this report, please send an email to </w:t>
      </w:r>
      <w:hyperlink w:history="1" r:id="rId45">
        <w:r w:rsidRPr="003F3238">
          <w:rPr>
            <w:rStyle w:val="Hyperlink"/>
          </w:rPr>
          <w:t>cdcompliance@cpuc.ca.gov</w:t>
        </w:r>
      </w:hyperlink>
      <w:r>
        <w:t xml:space="preserve"> with a subject line that includes: “CD Annual Reports.”</w:t>
      </w:r>
    </w:p>
    <w:p w:rsidRPr="005C4333" w:rsidR="0098655A" w:rsidP="005C4333" w:rsidRDefault="00111B08" w14:paraId="55139876" w14:textId="10475F93">
      <w:pPr>
        <w:jc w:val="center"/>
        <w:rPr>
          <w:sz w:val="2"/>
          <w:szCs w:val="2"/>
        </w:rPr>
      </w:pPr>
      <w:r w:rsidRPr="005E0BE0">
        <w:rPr>
          <w:b/>
        </w:rPr>
        <w:t>(END OF ATTACHMENT D)</w:t>
      </w:r>
      <w:bookmarkEnd w:id="3"/>
      <w:bookmarkEnd w:id="4"/>
    </w:p>
    <w:sectPr w:rsidRPr="005C4333" w:rsidR="0098655A" w:rsidSect="005C4333">
      <w:headerReference w:type="first" r:id="rId46"/>
      <w:footerReference w:type="first" r:id="rId47"/>
      <w:footnotePr>
        <w:numRestart w:val="eachSect"/>
      </w:footnotePr>
      <w:pgSz w:w="12240" w:h="15840" w:code="1"/>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30B7" w14:textId="77777777" w:rsidR="007A3AAE" w:rsidRDefault="007A3AAE" w:rsidP="0098138E">
      <w:pPr>
        <w:spacing w:line="240" w:lineRule="auto"/>
      </w:pPr>
      <w:r>
        <w:separator/>
      </w:r>
    </w:p>
  </w:endnote>
  <w:endnote w:type="continuationSeparator" w:id="0">
    <w:p w14:paraId="3106545D" w14:textId="77777777" w:rsidR="007A3AAE" w:rsidRDefault="007A3AAE"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F3D7" w14:textId="77777777" w:rsidR="008B5F06" w:rsidRDefault="008B5F06" w:rsidP="00725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4E2A43" w14:textId="77777777" w:rsidR="008B5F06" w:rsidRDefault="008B5F06" w:rsidP="0072564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4A1D" w14:textId="77777777" w:rsidR="008B5F06" w:rsidRDefault="008B5F06" w:rsidP="0062168B">
    <w:pPr>
      <w:pStyle w:val="Footer"/>
      <w:ind w:firstLine="0"/>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397C" w14:textId="5AA434B9" w:rsidR="008B5F06" w:rsidRDefault="005C4333" w:rsidP="005C4333">
    <w:pPr>
      <w:tabs>
        <w:tab w:val="center" w:pos="4680"/>
      </w:tabs>
      <w:ind w:firstLine="0"/>
      <w:jc w:val="center"/>
    </w:pPr>
    <w:r>
      <w:t>D-2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09BC" w14:textId="77777777" w:rsidR="005C4333" w:rsidRDefault="007A3AAE" w:rsidP="007E0FEE">
    <w:pPr>
      <w:tabs>
        <w:tab w:val="center" w:pos="4680"/>
      </w:tabs>
      <w:ind w:firstLine="0"/>
      <w:rPr>
        <w:noProof/>
      </w:rPr>
    </w:pPr>
    <w:sdt>
      <w:sdtPr>
        <w:id w:val="-1863350617"/>
        <w:docPartObj>
          <w:docPartGallery w:val="Page Numbers (Bottom of Page)"/>
          <w:docPartUnique/>
        </w:docPartObj>
      </w:sdtPr>
      <w:sdtEndPr>
        <w:rPr>
          <w:noProof/>
        </w:rPr>
      </w:sdtEndPr>
      <w:sdtContent>
        <w:r w:rsidR="005C4333">
          <w:rPr>
            <w:rFonts w:ascii="Arial" w:hAnsi="Arial" w:cs="Arial"/>
            <w:sz w:val="16"/>
            <w:szCs w:val="16"/>
          </w:rPr>
          <w:tab/>
        </w:r>
        <w:r w:rsidR="005C4333">
          <w:t>D-1</w:t>
        </w:r>
      </w:sdtContent>
    </w:sdt>
    <w:r w:rsidR="005C4333">
      <w:rPr>
        <w:noProof/>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49BC" w14:textId="15C9AD82" w:rsidR="005C4333" w:rsidRDefault="007A3AAE" w:rsidP="007E0FEE">
    <w:pPr>
      <w:tabs>
        <w:tab w:val="center" w:pos="4680"/>
      </w:tabs>
      <w:ind w:firstLine="0"/>
      <w:rPr>
        <w:noProof/>
      </w:rPr>
    </w:pPr>
    <w:sdt>
      <w:sdtPr>
        <w:id w:val="321556273"/>
        <w:docPartObj>
          <w:docPartGallery w:val="Page Numbers (Bottom of Page)"/>
          <w:docPartUnique/>
        </w:docPartObj>
      </w:sdtPr>
      <w:sdtEndPr>
        <w:rPr>
          <w:noProof/>
        </w:rPr>
      </w:sdtEndPr>
      <w:sdtContent>
        <w:r w:rsidR="005C4333">
          <w:rPr>
            <w:rFonts w:ascii="Arial" w:hAnsi="Arial" w:cs="Arial"/>
            <w:sz w:val="16"/>
            <w:szCs w:val="16"/>
          </w:rPr>
          <w:tab/>
        </w:r>
        <w:r w:rsidR="005C4333">
          <w:t>D-3</w:t>
        </w:r>
      </w:sdtContent>
    </w:sdt>
    <w:r w:rsidR="005C4333">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252878"/>
      <w:docPartObj>
        <w:docPartGallery w:val="Page Numbers (Bottom of Page)"/>
        <w:docPartUnique/>
      </w:docPartObj>
    </w:sdtPr>
    <w:sdtEndPr>
      <w:rPr>
        <w:noProof/>
      </w:rPr>
    </w:sdtEndPr>
    <w:sdtContent>
      <w:p w14:paraId="38D54A86" w14:textId="265C11CD" w:rsidR="008B5F06" w:rsidRDefault="008B5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55AFF" w14:textId="4ED83E3F" w:rsidR="008B5F06" w:rsidRPr="009E1726" w:rsidRDefault="008B5F06" w:rsidP="00725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6180" w14:textId="589FDFC2" w:rsidR="00821C11" w:rsidRPr="00821C11" w:rsidRDefault="00821C11" w:rsidP="00821C11">
    <w:pPr>
      <w:pStyle w:val="Footer"/>
      <w:ind w:firstLine="0"/>
      <w:rPr>
        <w:szCs w:val="26"/>
      </w:rPr>
    </w:pPr>
    <w:r w:rsidRPr="00821C11">
      <w:rPr>
        <w:sz w:val="16"/>
        <w:szCs w:val="16"/>
      </w:rPr>
      <w:t>343874911</w:t>
    </w:r>
    <w:r w:rsidRPr="00821C11">
      <w:rPr>
        <w:sz w:val="16"/>
        <w:szCs w:val="16"/>
      </w:rPr>
      <w:tab/>
    </w:r>
    <w:r>
      <w:rPr>
        <w:sz w:val="16"/>
        <w:szCs w:val="16"/>
      </w:rPr>
      <w:t xml:space="preserve">- </w:t>
    </w:r>
    <w:r w:rsidRPr="00821C11">
      <w:rPr>
        <w:szCs w:val="26"/>
      </w:rPr>
      <w:fldChar w:fldCharType="begin"/>
    </w:r>
    <w:r w:rsidRPr="00821C11">
      <w:rPr>
        <w:szCs w:val="26"/>
      </w:rPr>
      <w:instrText xml:space="preserve"> PAGE   \* MERGEFORMAT </w:instrText>
    </w:r>
    <w:r w:rsidRPr="00821C11">
      <w:rPr>
        <w:szCs w:val="26"/>
      </w:rPr>
      <w:fldChar w:fldCharType="separate"/>
    </w:r>
    <w:r w:rsidRPr="00821C11">
      <w:rPr>
        <w:noProof/>
        <w:szCs w:val="26"/>
      </w:rPr>
      <w:t>1</w:t>
    </w:r>
    <w:r w:rsidRPr="00821C11">
      <w:rPr>
        <w:noProof/>
        <w:szCs w:val="26"/>
      </w:rPr>
      <w:fldChar w:fldCharType="end"/>
    </w:r>
    <w:r>
      <w:rPr>
        <w:noProof/>
        <w:szCs w:val="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344359"/>
      <w:docPartObj>
        <w:docPartGallery w:val="Page Numbers (Bottom of Page)"/>
        <w:docPartUnique/>
      </w:docPartObj>
    </w:sdtPr>
    <w:sdtEndPr>
      <w:rPr>
        <w:noProof/>
      </w:rPr>
    </w:sdtEndPr>
    <w:sdtContent>
      <w:p w14:paraId="1B827234" w14:textId="40083BCB" w:rsidR="008B5F06" w:rsidRDefault="008B5F06" w:rsidP="00DC5FD0">
        <w:pPr>
          <w:pStyle w:val="Footer"/>
          <w:ind w:firstLine="0"/>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66405CF" w14:textId="77777777" w:rsidR="008B5F06" w:rsidRPr="00084221" w:rsidRDefault="008B5F06" w:rsidP="00725641">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BB2A" w14:textId="10B40F12" w:rsidR="008B5F06" w:rsidRPr="009E1726" w:rsidRDefault="008B5F06" w:rsidP="00770DD4">
    <w:pPr>
      <w:pStyle w:val="Footer"/>
      <w:ind w:firstLine="0"/>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72541"/>
      <w:docPartObj>
        <w:docPartGallery w:val="Page Numbers (Bottom of Page)"/>
        <w:docPartUnique/>
      </w:docPartObj>
    </w:sdtPr>
    <w:sdtEndPr>
      <w:rPr>
        <w:noProof/>
      </w:rPr>
    </w:sdtEndPr>
    <w:sdtContent>
      <w:p w14:paraId="7E1A1F0E" w14:textId="04F176A6" w:rsidR="008B5F06" w:rsidRDefault="008B5F06" w:rsidP="00770DD4">
        <w:pPr>
          <w:pStyle w:val="Footer"/>
          <w:ind w:firstLine="0"/>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B264E5A" w14:textId="77777777" w:rsidR="008B5F06" w:rsidRPr="00084221" w:rsidRDefault="008B5F06" w:rsidP="00725641">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5AC4" w14:textId="76408D38" w:rsidR="008B5F06" w:rsidRDefault="008B5F06" w:rsidP="00FA52F8">
    <w:pPr>
      <w:pStyle w:val="Footer"/>
      <w:jc w:val="center"/>
    </w:pPr>
    <w:r>
      <w:t>A-1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70E6" w14:textId="77777777" w:rsidR="008B5F06" w:rsidRDefault="008B5F06">
    <w:pPr>
      <w:pStyle w:val="Footer"/>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045" w14:textId="77777777" w:rsidR="008B5F06" w:rsidRDefault="008B5F06" w:rsidP="00FB249C">
    <w:pPr>
      <w:pStyle w:val="Footer"/>
      <w:ind w:firstLine="0"/>
      <w:jc w:val="cen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3551" w14:textId="77777777" w:rsidR="007A3AAE" w:rsidRDefault="007A3AAE" w:rsidP="00DF58E7">
      <w:pPr>
        <w:spacing w:line="240" w:lineRule="auto"/>
        <w:ind w:firstLine="0"/>
      </w:pPr>
      <w:r>
        <w:separator/>
      </w:r>
    </w:p>
  </w:footnote>
  <w:footnote w:type="continuationSeparator" w:id="0">
    <w:p w14:paraId="43D1E09E" w14:textId="77777777" w:rsidR="007A3AAE" w:rsidRDefault="007A3AAE" w:rsidP="00DF58E7">
      <w:pPr>
        <w:spacing w:line="240" w:lineRule="auto"/>
        <w:ind w:firstLine="0"/>
      </w:pPr>
      <w:r>
        <w:continuationSeparator/>
      </w:r>
    </w:p>
  </w:footnote>
  <w:footnote w:type="continuationNotice" w:id="1">
    <w:p w14:paraId="360C5B25" w14:textId="77777777" w:rsidR="007A3AAE" w:rsidRPr="00DF58E7" w:rsidRDefault="007A3AAE" w:rsidP="00DF58E7">
      <w:pPr>
        <w:spacing w:line="240" w:lineRule="auto"/>
        <w:ind w:firstLine="0"/>
        <w:jc w:val="right"/>
        <w:rPr>
          <w:i/>
          <w:sz w:val="22"/>
        </w:rPr>
      </w:pPr>
      <w:r w:rsidRPr="00DF58E7">
        <w:rPr>
          <w:i/>
          <w:sz w:val="22"/>
        </w:rPr>
        <w:t>Footnote continued on next page.</w:t>
      </w:r>
    </w:p>
  </w:footnote>
  <w:footnote w:id="2">
    <w:p w14:paraId="42D62CAE" w14:textId="2DC788CC" w:rsidR="008B5F06" w:rsidRDefault="008B5F06">
      <w:pPr>
        <w:pStyle w:val="FootnoteText"/>
      </w:pPr>
      <w:r>
        <w:rPr>
          <w:rStyle w:val="FootnoteReference"/>
        </w:rPr>
        <w:footnoteRef/>
      </w:r>
      <w:r>
        <w:t xml:space="preserve"> Velocity’s January 31, 2020 Application as supplemented by its April 9, 2020 response to the Ruling is referred to in this decision as the Application.</w:t>
      </w:r>
    </w:p>
  </w:footnote>
  <w:footnote w:id="3">
    <w:p w14:paraId="656E3131" w14:textId="50599951" w:rsidR="008B5F06" w:rsidRPr="001365AC" w:rsidRDefault="008B5F06" w:rsidP="00111B08">
      <w:pPr>
        <w:pStyle w:val="FootnoteText"/>
        <w:rPr>
          <w:i/>
          <w:szCs w:val="22"/>
        </w:rPr>
      </w:pPr>
      <w:r w:rsidRPr="001365AC">
        <w:rPr>
          <w:rStyle w:val="FootnoteReference"/>
          <w:szCs w:val="22"/>
        </w:rPr>
        <w:footnoteRef/>
      </w:r>
      <w:r w:rsidRPr="001365AC">
        <w:rPr>
          <w:szCs w:val="22"/>
        </w:rPr>
        <w:t xml:space="preserve">  Public Resources Code </w:t>
      </w:r>
      <w:r>
        <w:rPr>
          <w:szCs w:val="22"/>
        </w:rPr>
        <w:t>Section</w:t>
      </w:r>
      <w:r w:rsidRPr="001365AC">
        <w:rPr>
          <w:szCs w:val="22"/>
        </w:rPr>
        <w:t xml:space="preserve"> 21000 </w:t>
      </w:r>
      <w:r w:rsidRPr="001365AC">
        <w:rPr>
          <w:i/>
          <w:szCs w:val="22"/>
        </w:rPr>
        <w:t>et seq.</w:t>
      </w:r>
    </w:p>
  </w:footnote>
  <w:footnote w:id="4">
    <w:p w14:paraId="4F620C47" w14:textId="0C7683A3" w:rsidR="008B5F06" w:rsidRPr="001365AC" w:rsidRDefault="008B5F06" w:rsidP="00111B08">
      <w:pPr>
        <w:pStyle w:val="FootnoteText"/>
        <w:rPr>
          <w:szCs w:val="22"/>
        </w:rPr>
      </w:pPr>
      <w:r w:rsidRPr="001365AC">
        <w:rPr>
          <w:rStyle w:val="FootnoteReference"/>
          <w:szCs w:val="22"/>
        </w:rPr>
        <w:footnoteRef/>
      </w:r>
      <w:r w:rsidRPr="001365AC">
        <w:rPr>
          <w:szCs w:val="22"/>
        </w:rPr>
        <w:t xml:space="preserve">  </w:t>
      </w:r>
      <w:r>
        <w:rPr>
          <w:szCs w:val="22"/>
        </w:rPr>
        <w:t xml:space="preserve">The Commission’s Rules of Practice and Procedure are in </w:t>
      </w:r>
      <w:r w:rsidRPr="001365AC">
        <w:rPr>
          <w:szCs w:val="22"/>
        </w:rPr>
        <w:t>Title 20, California Code of Regulations</w:t>
      </w:r>
      <w:r>
        <w:rPr>
          <w:szCs w:val="22"/>
        </w:rPr>
        <w:t xml:space="preserve"> (CCR)</w:t>
      </w:r>
      <w:r w:rsidRPr="001365AC">
        <w:rPr>
          <w:szCs w:val="22"/>
        </w:rPr>
        <w:t>, Division 1, Chapter 1</w:t>
      </w:r>
      <w:r>
        <w:rPr>
          <w:szCs w:val="22"/>
        </w:rPr>
        <w:t>. In this decision, any reference to a Rule shall be to a Rule in the Commission’s Rules of Practice and Procedure.</w:t>
      </w:r>
    </w:p>
  </w:footnote>
  <w:footnote w:id="5">
    <w:p w14:paraId="02D723D6" w14:textId="185B96B0" w:rsidR="008B5F06" w:rsidRDefault="008B5F06">
      <w:pPr>
        <w:pStyle w:val="FootnoteText"/>
      </w:pPr>
      <w:r>
        <w:rPr>
          <w:rStyle w:val="FootnoteReference"/>
        </w:rPr>
        <w:footnoteRef/>
      </w:r>
      <w:r>
        <w:t xml:space="preserve"> 14 CCR Section 15303.</w:t>
      </w:r>
    </w:p>
  </w:footnote>
  <w:footnote w:id="6">
    <w:p w14:paraId="7D252D91" w14:textId="1E5797BF" w:rsidR="008B5F06" w:rsidRDefault="008B5F06">
      <w:pPr>
        <w:pStyle w:val="FootnoteText"/>
      </w:pPr>
      <w:r>
        <w:rPr>
          <w:rStyle w:val="FootnoteReference"/>
        </w:rPr>
        <w:footnoteRef/>
      </w:r>
      <w:r>
        <w:t xml:space="preserve"> 14 CCR Section 15304.</w:t>
      </w:r>
    </w:p>
  </w:footnote>
  <w:footnote w:id="7">
    <w:p w14:paraId="0E4F8569" w14:textId="2A7966C7" w:rsidR="008B5F06" w:rsidRDefault="008B5F06">
      <w:pPr>
        <w:pStyle w:val="FootnoteText"/>
      </w:pPr>
      <w:r>
        <w:rPr>
          <w:rStyle w:val="FootnoteReference"/>
        </w:rPr>
        <w:footnoteRef/>
      </w:r>
      <w:r>
        <w:t xml:space="preserve"> 14 CCR Section 15332.</w:t>
      </w:r>
    </w:p>
  </w:footnote>
  <w:footnote w:id="8">
    <w:p w14:paraId="362059CE" w14:textId="3B47AFBA" w:rsidR="008B5F06" w:rsidRDefault="008B5F06">
      <w:pPr>
        <w:pStyle w:val="FootnoteText"/>
      </w:pPr>
      <w:r>
        <w:rPr>
          <w:rStyle w:val="FootnoteReference"/>
        </w:rPr>
        <w:footnoteRef/>
      </w:r>
      <w:r>
        <w:t xml:space="preserve"> </w:t>
      </w:r>
      <w:r w:rsidRPr="00F14E6B">
        <w:rPr>
          <w:i/>
        </w:rPr>
        <w:t>See</w:t>
      </w:r>
      <w:r w:rsidRPr="005E0BE0">
        <w:t xml:space="preserve">, </w:t>
      </w:r>
      <w:r w:rsidRPr="00D41956">
        <w:rPr>
          <w:i/>
          <w:iCs/>
        </w:rPr>
        <w:t>e.g,</w:t>
      </w:r>
      <w:r w:rsidRPr="005E0BE0">
        <w:t xml:space="preserve"> </w:t>
      </w:r>
      <w:r w:rsidR="00C83FC7">
        <w:t>Decision (</w:t>
      </w:r>
      <w:r w:rsidRPr="005E0BE0">
        <w:t>D.</w:t>
      </w:r>
      <w:r w:rsidR="00C83FC7">
        <w:t xml:space="preserve">) </w:t>
      </w:r>
      <w:r w:rsidRPr="005E0BE0">
        <w:t>06</w:t>
      </w:r>
      <w:r w:rsidRPr="005E0BE0">
        <w:noBreakHyphen/>
        <w:t>04</w:t>
      </w:r>
      <w:r w:rsidRPr="005E0BE0">
        <w:noBreakHyphen/>
        <w:t>063 (</w:t>
      </w:r>
      <w:r w:rsidRPr="005E0BE0">
        <w:rPr>
          <w:i/>
        </w:rPr>
        <w:t>ClearLinx Network Corporation</w:t>
      </w:r>
      <w:r w:rsidRPr="005E0BE0">
        <w:t>); D.06</w:t>
      </w:r>
      <w:r w:rsidRPr="005E0BE0">
        <w:noBreakHyphen/>
        <w:t>04</w:t>
      </w:r>
      <w:r w:rsidRPr="005E0BE0">
        <w:noBreakHyphen/>
        <w:t>067 (</w:t>
      </w:r>
      <w:r w:rsidRPr="005E0BE0">
        <w:rPr>
          <w:i/>
        </w:rPr>
        <w:t>CA</w:t>
      </w:r>
      <w:r w:rsidRPr="005E0BE0">
        <w:rPr>
          <w:i/>
        </w:rPr>
        <w:noBreakHyphen/>
        <w:t>CLEC LLC</w:t>
      </w:r>
      <w:r w:rsidRPr="005E0BE0">
        <w:t>).</w:t>
      </w:r>
    </w:p>
  </w:footnote>
  <w:footnote w:id="9">
    <w:p w14:paraId="0ABB035A" w14:textId="31263CFE" w:rsidR="008B5F06" w:rsidRDefault="008B5F06">
      <w:pPr>
        <w:pStyle w:val="FootnoteText"/>
      </w:pPr>
      <w:r>
        <w:rPr>
          <w:rStyle w:val="FootnoteReference"/>
        </w:rPr>
        <w:footnoteRef/>
      </w:r>
      <w:r>
        <w:t xml:space="preserve"> Rulemaking (R.)</w:t>
      </w:r>
      <w:r w:rsidR="00A2402D">
        <w:t xml:space="preserve"> </w:t>
      </w:r>
      <w:r>
        <w:t>95-04-043/Investigation (I.)</w:t>
      </w:r>
      <w:r w:rsidR="00A2402D">
        <w:t xml:space="preserve"> </w:t>
      </w:r>
      <w:r>
        <w:t>95-04-044.</w:t>
      </w:r>
    </w:p>
  </w:footnote>
  <w:footnote w:id="10">
    <w:p w14:paraId="7F7DD3B6" w14:textId="581A54B0" w:rsidR="008B5F06" w:rsidRPr="001365AC" w:rsidRDefault="008B5F06" w:rsidP="00111B08">
      <w:pPr>
        <w:pStyle w:val="FootnoteText"/>
        <w:rPr>
          <w:szCs w:val="22"/>
        </w:rPr>
      </w:pPr>
      <w:r w:rsidRPr="001365AC">
        <w:rPr>
          <w:rStyle w:val="FootnoteReference"/>
          <w:szCs w:val="22"/>
        </w:rPr>
        <w:footnoteRef/>
      </w:r>
      <w:r w:rsidRPr="001365AC">
        <w:rPr>
          <w:szCs w:val="22"/>
        </w:rPr>
        <w:t xml:space="preserve">  The financial requirement for Competitive Local </w:t>
      </w:r>
      <w:r>
        <w:rPr>
          <w:szCs w:val="22"/>
        </w:rPr>
        <w:t xml:space="preserve">Exchange </w:t>
      </w:r>
      <w:r w:rsidRPr="001365AC">
        <w:rPr>
          <w:szCs w:val="22"/>
        </w:rPr>
        <w:t xml:space="preserve">Carriers </w:t>
      </w:r>
      <w:r>
        <w:rPr>
          <w:szCs w:val="22"/>
        </w:rPr>
        <w:t xml:space="preserve">(CLECs) </w:t>
      </w:r>
      <w:r w:rsidRPr="001365AC">
        <w:rPr>
          <w:szCs w:val="22"/>
        </w:rPr>
        <w:t>is contained in D.95</w:t>
      </w:r>
      <w:r>
        <w:rPr>
          <w:szCs w:val="22"/>
        </w:rPr>
        <w:t>-</w:t>
      </w:r>
      <w:r w:rsidRPr="001365AC">
        <w:rPr>
          <w:szCs w:val="22"/>
        </w:rPr>
        <w:t>12</w:t>
      </w:r>
      <w:r w:rsidRPr="001365AC">
        <w:rPr>
          <w:szCs w:val="22"/>
        </w:rPr>
        <w:noBreakHyphen/>
        <w:t>056, Appendix C.  The financial requirement for Non</w:t>
      </w:r>
      <w:r w:rsidRPr="001365AC">
        <w:rPr>
          <w:szCs w:val="22"/>
        </w:rPr>
        <w:noBreakHyphen/>
        <w:t>Dominant Interexchange Carriers</w:t>
      </w:r>
      <w:r>
        <w:rPr>
          <w:szCs w:val="22"/>
        </w:rPr>
        <w:t xml:space="preserve"> (NDIECs)</w:t>
      </w:r>
      <w:r w:rsidRPr="001365AC">
        <w:rPr>
          <w:szCs w:val="22"/>
        </w:rPr>
        <w:t xml:space="preserve"> is contained in D.91</w:t>
      </w:r>
      <w:r>
        <w:rPr>
          <w:szCs w:val="22"/>
        </w:rPr>
        <w:t>-</w:t>
      </w:r>
      <w:r w:rsidRPr="001365AC">
        <w:rPr>
          <w:szCs w:val="22"/>
        </w:rPr>
        <w:t>10</w:t>
      </w:r>
      <w:r w:rsidRPr="001365AC">
        <w:rPr>
          <w:szCs w:val="22"/>
        </w:rPr>
        <w:noBreakHyphen/>
        <w:t>041.</w:t>
      </w:r>
    </w:p>
  </w:footnote>
  <w:footnote w:id="11">
    <w:p w14:paraId="192FD7BE" w14:textId="40399A78" w:rsidR="008B5F06" w:rsidRPr="001365AC" w:rsidRDefault="008B5F06" w:rsidP="00111B08">
      <w:pPr>
        <w:pStyle w:val="FootnoteText"/>
        <w:rPr>
          <w:szCs w:val="22"/>
        </w:rPr>
      </w:pPr>
      <w:r w:rsidRPr="001365AC">
        <w:rPr>
          <w:rStyle w:val="FootnoteReference"/>
          <w:szCs w:val="22"/>
        </w:rPr>
        <w:footnoteRef/>
      </w:r>
      <w:r w:rsidRPr="001365AC">
        <w:rPr>
          <w:szCs w:val="22"/>
        </w:rPr>
        <w:t xml:space="preserve">  The requirement for C</w:t>
      </w:r>
      <w:r>
        <w:rPr>
          <w:szCs w:val="22"/>
        </w:rPr>
        <w:t>LCs</w:t>
      </w:r>
      <w:r w:rsidRPr="001365AC">
        <w:rPr>
          <w:szCs w:val="22"/>
        </w:rPr>
        <w:t xml:space="preserve"> to demonstrate that they have additional financial resources to meet any deposits required by underlying LEC</w:t>
      </w:r>
      <w:r>
        <w:rPr>
          <w:szCs w:val="22"/>
        </w:rPr>
        <w:t>s</w:t>
      </w:r>
      <w:r w:rsidRPr="001365AC">
        <w:rPr>
          <w:szCs w:val="22"/>
        </w:rPr>
        <w:t xml:space="preserve"> and/or IECs is set forth in D.95</w:t>
      </w:r>
      <w:r>
        <w:rPr>
          <w:szCs w:val="22"/>
        </w:rPr>
        <w:t>-</w:t>
      </w:r>
      <w:r w:rsidRPr="001365AC">
        <w:rPr>
          <w:szCs w:val="22"/>
        </w:rPr>
        <w:t>12</w:t>
      </w:r>
      <w:r>
        <w:rPr>
          <w:szCs w:val="22"/>
        </w:rPr>
        <w:t>-</w:t>
      </w:r>
      <w:r w:rsidRPr="001365AC">
        <w:rPr>
          <w:szCs w:val="22"/>
        </w:rPr>
        <w:t>056, Appendix C.  For NDIECs, the requirement is found in D.93</w:t>
      </w:r>
      <w:r>
        <w:rPr>
          <w:szCs w:val="22"/>
        </w:rPr>
        <w:t>-</w:t>
      </w:r>
      <w:r w:rsidRPr="001365AC">
        <w:rPr>
          <w:szCs w:val="22"/>
        </w:rPr>
        <w:t>05</w:t>
      </w:r>
      <w:r>
        <w:rPr>
          <w:szCs w:val="22"/>
        </w:rPr>
        <w:t>-</w:t>
      </w:r>
      <w:r w:rsidRPr="001365AC">
        <w:rPr>
          <w:szCs w:val="22"/>
        </w:rPr>
        <w:t>010.</w:t>
      </w:r>
    </w:p>
  </w:footnote>
  <w:footnote w:id="12">
    <w:p w14:paraId="5B7459C8" w14:textId="77777777" w:rsidR="008B5F06" w:rsidRPr="001365AC" w:rsidRDefault="008B5F06" w:rsidP="00111B08">
      <w:pPr>
        <w:pStyle w:val="FootnoteText"/>
        <w:rPr>
          <w:szCs w:val="22"/>
        </w:rPr>
      </w:pPr>
      <w:r w:rsidRPr="001365AC">
        <w:rPr>
          <w:rStyle w:val="FootnoteReference"/>
          <w:szCs w:val="22"/>
        </w:rPr>
        <w:footnoteRef/>
      </w:r>
      <w:r w:rsidRPr="001365AC">
        <w:rPr>
          <w:szCs w:val="22"/>
        </w:rPr>
        <w:t xml:space="preserve">  D.95</w:t>
      </w:r>
      <w:r>
        <w:rPr>
          <w:szCs w:val="22"/>
        </w:rPr>
        <w:t>-</w:t>
      </w:r>
      <w:r w:rsidRPr="001365AC">
        <w:rPr>
          <w:szCs w:val="22"/>
        </w:rPr>
        <w:t>12</w:t>
      </w:r>
      <w:r>
        <w:rPr>
          <w:szCs w:val="22"/>
        </w:rPr>
        <w:t>-</w:t>
      </w:r>
      <w:r w:rsidRPr="001365AC">
        <w:rPr>
          <w:szCs w:val="22"/>
        </w:rPr>
        <w:t xml:space="preserve">056 at Appendix C, Rule 4.A.  </w:t>
      </w:r>
    </w:p>
  </w:footnote>
  <w:footnote w:id="13">
    <w:p w14:paraId="289E0513" w14:textId="1F6A39BC" w:rsidR="008B5F06" w:rsidRDefault="008B5F06">
      <w:pPr>
        <w:pStyle w:val="FootnoteText"/>
      </w:pPr>
      <w:r>
        <w:rPr>
          <w:rStyle w:val="FootnoteReference"/>
        </w:rPr>
        <w:footnoteRef/>
      </w:r>
      <w:r>
        <w:t xml:space="preserve"> These certifications are required by D.13-05-035, Ordering Paragraph 14.</w:t>
      </w:r>
    </w:p>
  </w:footnote>
  <w:footnote w:id="14">
    <w:p w14:paraId="19A52B9E" w14:textId="3166EE41" w:rsidR="008B5F06" w:rsidRPr="001365AC" w:rsidRDefault="008B5F06" w:rsidP="00111B08">
      <w:pPr>
        <w:pStyle w:val="FootnoteText"/>
        <w:rPr>
          <w:szCs w:val="22"/>
        </w:rPr>
      </w:pPr>
      <w:r w:rsidRPr="001365AC">
        <w:rPr>
          <w:rStyle w:val="FootnoteReference"/>
          <w:szCs w:val="22"/>
        </w:rPr>
        <w:footnoteRef/>
      </w:r>
      <w:r w:rsidRPr="001365AC">
        <w:rPr>
          <w:szCs w:val="22"/>
        </w:rPr>
        <w:t xml:space="preserve">  D.95</w:t>
      </w:r>
      <w:r>
        <w:rPr>
          <w:szCs w:val="22"/>
        </w:rPr>
        <w:t>-</w:t>
      </w:r>
      <w:r w:rsidRPr="001365AC">
        <w:rPr>
          <w:szCs w:val="22"/>
        </w:rPr>
        <w:t>12</w:t>
      </w:r>
      <w:r>
        <w:rPr>
          <w:szCs w:val="22"/>
        </w:rPr>
        <w:t>-</w:t>
      </w:r>
      <w:r w:rsidRPr="001365AC">
        <w:rPr>
          <w:szCs w:val="22"/>
        </w:rPr>
        <w:noBreakHyphen/>
        <w:t>056 at Appendix</w:t>
      </w:r>
      <w:r>
        <w:rPr>
          <w:szCs w:val="22"/>
        </w:rPr>
        <w:t xml:space="preserve"> </w:t>
      </w:r>
      <w:r w:rsidRPr="001365AC">
        <w:rPr>
          <w:szCs w:val="22"/>
        </w:rPr>
        <w:t>C, Rule</w:t>
      </w:r>
      <w:r>
        <w:rPr>
          <w:szCs w:val="22"/>
        </w:rPr>
        <w:t xml:space="preserve"> </w:t>
      </w:r>
      <w:r w:rsidRPr="001365AC">
        <w:rPr>
          <w:szCs w:val="22"/>
        </w:rPr>
        <w:t>4.</w:t>
      </w:r>
      <w:r>
        <w:rPr>
          <w:szCs w:val="22"/>
        </w:rPr>
        <w:t>F</w:t>
      </w:r>
      <w:r w:rsidRPr="001365AC">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2970" w14:textId="22B438E3" w:rsidR="008B5F06" w:rsidRDefault="008B5F06" w:rsidP="00725641">
    <w:pPr>
      <w:pStyle w:val="Header"/>
    </w:pPr>
    <w:r>
      <w:t>A.20-01-014  ALJ/PWI/xxx</w:t>
    </w:r>
  </w:p>
  <w:p w14:paraId="077B5C26" w14:textId="77777777" w:rsidR="008B5F06" w:rsidRDefault="008B5F06">
    <w:pPr>
      <w:pStyle w:val="Header"/>
    </w:pPr>
  </w:p>
  <w:p w14:paraId="228AC299" w14:textId="77777777" w:rsidR="008B5F06" w:rsidRDefault="008B5F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13D9" w14:textId="77777777" w:rsidR="00A6506D" w:rsidRDefault="00A6506D" w:rsidP="00A6506D">
    <w:pPr>
      <w:pStyle w:val="Header"/>
      <w:tabs>
        <w:tab w:val="clear" w:pos="4680"/>
      </w:tabs>
      <w:ind w:firstLine="0"/>
      <w:rPr>
        <w:b/>
      </w:rPr>
    </w:pPr>
    <w:r>
      <w:t>A.20-01-014  ALJ/PW1/</w:t>
    </w:r>
    <w:proofErr w:type="spellStart"/>
    <w:r>
      <w:t>avs</w:t>
    </w:r>
    <w:proofErr w:type="spellEnd"/>
    <w:r>
      <w:tab/>
    </w:r>
    <w:r>
      <w:rPr>
        <w:b/>
      </w:rPr>
      <w:t>PROPOSED DECISION (REV. 1)</w:t>
    </w:r>
  </w:p>
  <w:p w14:paraId="70EC85D8" w14:textId="77777777" w:rsidR="005C4333" w:rsidRDefault="005C4333" w:rsidP="0062168B">
    <w:pPr>
      <w:pStyle w:val="Header"/>
      <w:ind w:firstLine="0"/>
    </w:pPr>
  </w:p>
  <w:p w14:paraId="3CD7A0E9" w14:textId="77777777" w:rsidR="005C4333" w:rsidRPr="008240A9" w:rsidRDefault="005C4333" w:rsidP="0062168B">
    <w:pPr>
      <w:pStyle w:val="Header"/>
      <w:ind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F211" w14:textId="77777777" w:rsidR="00826C59" w:rsidRDefault="00826C59" w:rsidP="00826C59">
    <w:pPr>
      <w:pStyle w:val="Header"/>
      <w:tabs>
        <w:tab w:val="clear" w:pos="4680"/>
      </w:tabs>
      <w:ind w:firstLine="0"/>
      <w:rPr>
        <w:b/>
      </w:rPr>
    </w:pPr>
    <w:r>
      <w:t>A.20-01-014  ALJ/PW1/</w:t>
    </w:r>
    <w:proofErr w:type="spellStart"/>
    <w:r>
      <w:t>avs</w:t>
    </w:r>
    <w:proofErr w:type="spellEnd"/>
    <w:r>
      <w:tab/>
    </w:r>
    <w:r>
      <w:rPr>
        <w:b/>
      </w:rPr>
      <w:t>PROPOSED DECISION (REV. 1)</w:t>
    </w:r>
  </w:p>
  <w:p w14:paraId="6C6BD2D5" w14:textId="77777777" w:rsidR="005C4333" w:rsidRDefault="005C4333" w:rsidP="005C4333">
    <w:pPr>
      <w:pStyle w:val="Header"/>
      <w:ind w:firstLine="0"/>
    </w:pPr>
  </w:p>
  <w:p w14:paraId="7F841968" w14:textId="77777777" w:rsidR="005C4333" w:rsidRPr="008240A9" w:rsidRDefault="005C4333" w:rsidP="005C4333">
    <w:pPr>
      <w:pStyle w:val="Header"/>
      <w:ind w:firstLine="0"/>
    </w:pPr>
  </w:p>
  <w:p w14:paraId="71D27465" w14:textId="77777777" w:rsidR="005C4333" w:rsidRPr="005C4333" w:rsidRDefault="005C4333" w:rsidP="005C4333">
    <w:pPr>
      <w:pStyle w:val="Heade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CDC9" w14:textId="77777777" w:rsidR="00A6506D" w:rsidRDefault="00A6506D" w:rsidP="00A6506D">
    <w:pPr>
      <w:pStyle w:val="Header"/>
      <w:tabs>
        <w:tab w:val="clear" w:pos="4680"/>
      </w:tabs>
      <w:ind w:firstLine="0"/>
      <w:rPr>
        <w:b/>
      </w:rPr>
    </w:pPr>
    <w:r>
      <w:t>A.20-01-014  ALJ/PW1/</w:t>
    </w:r>
    <w:proofErr w:type="spellStart"/>
    <w:r>
      <w:t>avs</w:t>
    </w:r>
    <w:proofErr w:type="spellEnd"/>
    <w:r>
      <w:tab/>
    </w:r>
    <w:r>
      <w:rPr>
        <w:b/>
      </w:rPr>
      <w:t>PROPOSED DECISION (REV. 1)</w:t>
    </w:r>
  </w:p>
  <w:p w14:paraId="19D88822" w14:textId="77777777" w:rsidR="005C4333" w:rsidRDefault="005C4333" w:rsidP="005C4333">
    <w:pPr>
      <w:pStyle w:val="Header"/>
      <w:ind w:firstLine="0"/>
    </w:pPr>
  </w:p>
  <w:p w14:paraId="22EB3C85" w14:textId="77777777" w:rsidR="005C4333" w:rsidRPr="008240A9" w:rsidRDefault="005C4333" w:rsidP="005C4333">
    <w:pPr>
      <w:pStyle w:val="Header"/>
      <w:ind w:firstLine="0"/>
    </w:pPr>
  </w:p>
  <w:p w14:paraId="357D8EB0" w14:textId="77777777" w:rsidR="005C4333" w:rsidRPr="005C4333" w:rsidRDefault="005C4333" w:rsidP="005C433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B7A6" w14:textId="77777777" w:rsidR="008B5F06" w:rsidRPr="00BA2609" w:rsidRDefault="008B5F06" w:rsidP="00BA2609">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95CE" w14:textId="3143677D" w:rsidR="00E45FF6" w:rsidRDefault="00E45FF6" w:rsidP="00E45FF6">
    <w:pPr>
      <w:pStyle w:val="Header"/>
      <w:tabs>
        <w:tab w:val="clear" w:pos="4680"/>
      </w:tabs>
      <w:ind w:firstLine="0"/>
      <w:rPr>
        <w:b/>
      </w:rPr>
    </w:pPr>
    <w:r>
      <w:t>A.20-01-014  ALJ/PW1/</w:t>
    </w:r>
    <w:proofErr w:type="spellStart"/>
    <w:r>
      <w:t>avs</w:t>
    </w:r>
    <w:proofErr w:type="spellEnd"/>
    <w:r>
      <w:tab/>
    </w:r>
    <w:r>
      <w:rPr>
        <w:b/>
      </w:rPr>
      <w:t>PROPOSED DECISION</w:t>
    </w:r>
    <w:r w:rsidR="00826C59">
      <w:rPr>
        <w:b/>
      </w:rPr>
      <w:t xml:space="preserve"> (REV. 1)</w:t>
    </w:r>
  </w:p>
  <w:p w14:paraId="04CAD9C9" w14:textId="77777777" w:rsidR="00E45FF6" w:rsidRDefault="00E45FF6" w:rsidP="00E45FF6">
    <w:pPr>
      <w:pStyle w:val="Header"/>
      <w:ind w:firstLine="0"/>
    </w:pPr>
  </w:p>
  <w:p w14:paraId="7511A326" w14:textId="77777777" w:rsidR="00E45FF6" w:rsidRPr="008240A9" w:rsidRDefault="00E45FF6" w:rsidP="00E45FF6">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CF24" w14:textId="7B9958F4" w:rsidR="006A7C7F" w:rsidRDefault="006A7C7F" w:rsidP="006A7C7F">
    <w:pPr>
      <w:pStyle w:val="Header"/>
      <w:tabs>
        <w:tab w:val="clear" w:pos="4680"/>
      </w:tabs>
      <w:ind w:firstLine="0"/>
      <w:rPr>
        <w:b/>
      </w:rPr>
    </w:pPr>
    <w:r>
      <w:t>A.20-01-014  ALJ/PW1/</w:t>
    </w:r>
    <w:proofErr w:type="spellStart"/>
    <w:r>
      <w:t>avs</w:t>
    </w:r>
    <w:proofErr w:type="spellEnd"/>
    <w:r>
      <w:tab/>
    </w:r>
    <w:r>
      <w:rPr>
        <w:b/>
      </w:rPr>
      <w:t>PROPOSED DECISION</w:t>
    </w:r>
    <w:r w:rsidR="00826C59">
      <w:rPr>
        <w:b/>
      </w:rPr>
      <w:t xml:space="preserve"> (REV. 1)</w:t>
    </w:r>
  </w:p>
  <w:p w14:paraId="1C2DB087" w14:textId="77777777" w:rsidR="006A7C7F" w:rsidRDefault="006A7C7F" w:rsidP="006A7C7F">
    <w:pPr>
      <w:pStyle w:val="Header"/>
      <w:ind w:firstLine="0"/>
    </w:pPr>
  </w:p>
  <w:p w14:paraId="1FD9D9BA" w14:textId="77777777" w:rsidR="006A7C7F" w:rsidRPr="008240A9" w:rsidRDefault="006A7C7F" w:rsidP="006A7C7F">
    <w:pPr>
      <w:pStyle w:val="Header"/>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CC4F" w14:textId="53BD18C0" w:rsidR="00E45FF6" w:rsidRDefault="00E45FF6" w:rsidP="00E45FF6">
    <w:pPr>
      <w:pStyle w:val="Header"/>
      <w:tabs>
        <w:tab w:val="clear" w:pos="4680"/>
      </w:tabs>
      <w:ind w:firstLine="0"/>
      <w:rPr>
        <w:b/>
      </w:rPr>
    </w:pPr>
    <w:r>
      <w:t>A.20-01-014  ALJ/PW1/</w:t>
    </w:r>
    <w:proofErr w:type="spellStart"/>
    <w:r>
      <w:t>avs</w:t>
    </w:r>
    <w:proofErr w:type="spellEnd"/>
    <w:r>
      <w:tab/>
    </w:r>
    <w:r>
      <w:rPr>
        <w:b/>
      </w:rPr>
      <w:t>PROPOSED DECISION</w:t>
    </w:r>
    <w:r w:rsidR="00826C59">
      <w:rPr>
        <w:b/>
      </w:rPr>
      <w:t xml:space="preserve"> (REV. 1)</w:t>
    </w:r>
  </w:p>
  <w:p w14:paraId="65115AFA" w14:textId="77777777" w:rsidR="00E45FF6" w:rsidRDefault="00E45FF6" w:rsidP="00E45FF6">
    <w:pPr>
      <w:pStyle w:val="Header"/>
      <w:ind w:firstLine="0"/>
    </w:pPr>
  </w:p>
  <w:p w14:paraId="65DC2101" w14:textId="77777777" w:rsidR="00E45FF6" w:rsidRPr="008240A9" w:rsidRDefault="00E45FF6" w:rsidP="00E45FF6">
    <w:pPr>
      <w:pStyle w:val="Header"/>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180E" w14:textId="77777777" w:rsidR="00826C59" w:rsidRDefault="00826C59" w:rsidP="00826C59">
    <w:pPr>
      <w:pStyle w:val="Header"/>
      <w:tabs>
        <w:tab w:val="clear" w:pos="4680"/>
      </w:tabs>
      <w:ind w:firstLine="0"/>
      <w:rPr>
        <w:b/>
      </w:rPr>
    </w:pPr>
    <w:r>
      <w:t>A.20-01-014  ALJ/PW1/</w:t>
    </w:r>
    <w:proofErr w:type="spellStart"/>
    <w:r>
      <w:t>avs</w:t>
    </w:r>
    <w:proofErr w:type="spellEnd"/>
    <w:r>
      <w:tab/>
    </w:r>
    <w:r>
      <w:rPr>
        <w:b/>
      </w:rPr>
      <w:t>PROPOSED DECISION (REV. 1)</w:t>
    </w:r>
  </w:p>
  <w:p w14:paraId="04342FE0" w14:textId="77777777" w:rsidR="008B5F06" w:rsidRDefault="008B5F06">
    <w:pPr>
      <w:pStyle w:val="Header"/>
    </w:pPr>
  </w:p>
  <w:p w14:paraId="611D5EE4" w14:textId="77777777" w:rsidR="008B5F06" w:rsidRDefault="008B5F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D25B" w14:textId="77777777" w:rsidR="008B5F06" w:rsidRDefault="008B5F06">
    <w:pPr>
      <w:pStyle w:val="Header"/>
      <w:rPr>
        <w:b/>
      </w:rPr>
    </w:pPr>
    <w:r>
      <w:tab/>
    </w:r>
  </w:p>
  <w:p w14:paraId="77C2F31A" w14:textId="77777777" w:rsidR="008B5F06" w:rsidRDefault="008B5F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417F" w14:textId="77777777" w:rsidR="00826C59" w:rsidRDefault="00826C59" w:rsidP="00826C59">
    <w:pPr>
      <w:pStyle w:val="Header"/>
      <w:tabs>
        <w:tab w:val="clear" w:pos="4680"/>
      </w:tabs>
      <w:ind w:firstLine="0"/>
      <w:rPr>
        <w:b/>
      </w:rPr>
    </w:pPr>
    <w:r>
      <w:t>A.20-01-014  ALJ/PW1/</w:t>
    </w:r>
    <w:proofErr w:type="spellStart"/>
    <w:r>
      <w:t>avs</w:t>
    </w:r>
    <w:proofErr w:type="spellEnd"/>
    <w:r>
      <w:tab/>
    </w:r>
    <w:r>
      <w:rPr>
        <w:b/>
      </w:rPr>
      <w:t>PROPOSED DECISION (REV. 1)</w:t>
    </w:r>
  </w:p>
  <w:p w14:paraId="28B9BF7F" w14:textId="7C64C0F2" w:rsidR="008B5F06" w:rsidRDefault="008B5F06" w:rsidP="008240A9">
    <w:pPr>
      <w:pStyle w:val="Header"/>
    </w:pPr>
  </w:p>
  <w:p w14:paraId="404AED30" w14:textId="77777777" w:rsidR="001120E8" w:rsidRPr="008240A9" w:rsidRDefault="001120E8" w:rsidP="008240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68FC" w14:textId="77777777" w:rsidR="00826C59" w:rsidRDefault="00826C59" w:rsidP="00826C59">
    <w:pPr>
      <w:pStyle w:val="Header"/>
      <w:tabs>
        <w:tab w:val="clear" w:pos="4680"/>
      </w:tabs>
      <w:ind w:firstLine="0"/>
      <w:rPr>
        <w:b/>
      </w:rPr>
    </w:pPr>
    <w:r>
      <w:t>A.20-01-014  ALJ/PW1/</w:t>
    </w:r>
    <w:proofErr w:type="spellStart"/>
    <w:r>
      <w:t>avs</w:t>
    </w:r>
    <w:proofErr w:type="spellEnd"/>
    <w:r>
      <w:tab/>
    </w:r>
    <w:r>
      <w:rPr>
        <w:b/>
      </w:rPr>
      <w:t>PROPOSED DECISION (REV. 1)</w:t>
    </w:r>
  </w:p>
  <w:p w14:paraId="07FD53CE" w14:textId="06049732" w:rsidR="008B5F06" w:rsidRDefault="008B5F06" w:rsidP="0062168B">
    <w:pPr>
      <w:pStyle w:val="Header"/>
      <w:ind w:firstLine="0"/>
    </w:pPr>
  </w:p>
  <w:p w14:paraId="79290ECF" w14:textId="77777777" w:rsidR="0062168B" w:rsidRPr="008240A9" w:rsidRDefault="0062168B" w:rsidP="0062168B">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94D3F"/>
    <w:multiLevelType w:val="hybridMultilevel"/>
    <w:tmpl w:val="58D2C710"/>
    <w:lvl w:ilvl="0" w:tplc="4F54DD50">
      <w:start w:val="1"/>
      <w:numFmt w:val="decimal"/>
      <w:pStyle w:val="Style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262E9"/>
    <w:multiLevelType w:val="singleLevel"/>
    <w:tmpl w:val="0409001F"/>
    <w:lvl w:ilvl="0">
      <w:start w:val="1"/>
      <w:numFmt w:val="decimal"/>
      <w:lvlText w:val="%1."/>
      <w:legacy w:legacy="1" w:legacySpace="144" w:legacyIndent="0"/>
      <w:lvlJc w:val="left"/>
    </w:lvl>
  </w:abstractNum>
  <w:abstractNum w:abstractNumId="3" w15:restartNumberingAfterBreak="0">
    <w:nsid w:val="11261C0B"/>
    <w:multiLevelType w:val="singleLevel"/>
    <w:tmpl w:val="0409001F"/>
    <w:lvl w:ilvl="0">
      <w:start w:val="1"/>
      <w:numFmt w:val="decimal"/>
      <w:lvlText w:val="%1."/>
      <w:legacy w:legacy="1" w:legacySpace="144" w:legacyIndent="0"/>
      <w:lvlJc w:val="left"/>
    </w:lvl>
  </w:abstractNum>
  <w:abstractNum w:abstractNumId="4" w15:restartNumberingAfterBreak="0">
    <w:nsid w:val="125D3837"/>
    <w:multiLevelType w:val="multilevel"/>
    <w:tmpl w:val="E46EE110"/>
    <w:lvl w:ilvl="0">
      <w:start w:val="1"/>
      <w:numFmt w:val="decimal"/>
      <w:suff w:val="space"/>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5F056CB"/>
    <w:multiLevelType w:val="multilevel"/>
    <w:tmpl w:val="18F4A5AC"/>
    <w:numStyleLink w:val="FoFCoLOP"/>
  </w:abstractNum>
  <w:abstractNum w:abstractNumId="7" w15:restartNumberingAfterBreak="0">
    <w:nsid w:val="20551D2E"/>
    <w:multiLevelType w:val="hybridMultilevel"/>
    <w:tmpl w:val="356CD3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1B0D2A"/>
    <w:multiLevelType w:val="hybridMultilevel"/>
    <w:tmpl w:val="88CA4752"/>
    <w:lvl w:ilvl="0" w:tplc="062C0616">
      <w:start w:val="1"/>
      <w:numFmt w:val="decimal"/>
      <w:lvlText w:val="%1."/>
      <w:lvlJc w:val="left"/>
      <w:pPr>
        <w:tabs>
          <w:tab w:val="num" w:pos="720"/>
        </w:tabs>
        <w:ind w:left="720" w:hanging="360"/>
      </w:pPr>
    </w:lvl>
    <w:lvl w:ilvl="1" w:tplc="B986C308" w:tentative="1">
      <w:start w:val="1"/>
      <w:numFmt w:val="lowerLetter"/>
      <w:lvlText w:val="%2."/>
      <w:lvlJc w:val="left"/>
      <w:pPr>
        <w:tabs>
          <w:tab w:val="num" w:pos="1440"/>
        </w:tabs>
        <w:ind w:left="1440" w:hanging="360"/>
      </w:pPr>
    </w:lvl>
    <w:lvl w:ilvl="2" w:tplc="A2DA0578" w:tentative="1">
      <w:start w:val="1"/>
      <w:numFmt w:val="lowerRoman"/>
      <w:lvlText w:val="%3."/>
      <w:lvlJc w:val="right"/>
      <w:pPr>
        <w:tabs>
          <w:tab w:val="num" w:pos="2160"/>
        </w:tabs>
        <w:ind w:left="2160" w:hanging="180"/>
      </w:pPr>
    </w:lvl>
    <w:lvl w:ilvl="3" w:tplc="34AE54BC" w:tentative="1">
      <w:start w:val="1"/>
      <w:numFmt w:val="decimal"/>
      <w:lvlText w:val="%4."/>
      <w:lvlJc w:val="left"/>
      <w:pPr>
        <w:tabs>
          <w:tab w:val="num" w:pos="2880"/>
        </w:tabs>
        <w:ind w:left="2880" w:hanging="360"/>
      </w:pPr>
    </w:lvl>
    <w:lvl w:ilvl="4" w:tplc="113466F2" w:tentative="1">
      <w:start w:val="1"/>
      <w:numFmt w:val="lowerLetter"/>
      <w:lvlText w:val="%5."/>
      <w:lvlJc w:val="left"/>
      <w:pPr>
        <w:tabs>
          <w:tab w:val="num" w:pos="3600"/>
        </w:tabs>
        <w:ind w:left="3600" w:hanging="360"/>
      </w:pPr>
    </w:lvl>
    <w:lvl w:ilvl="5" w:tplc="BFE2CB9A" w:tentative="1">
      <w:start w:val="1"/>
      <w:numFmt w:val="lowerRoman"/>
      <w:lvlText w:val="%6."/>
      <w:lvlJc w:val="right"/>
      <w:pPr>
        <w:tabs>
          <w:tab w:val="num" w:pos="4320"/>
        </w:tabs>
        <w:ind w:left="4320" w:hanging="180"/>
      </w:pPr>
    </w:lvl>
    <w:lvl w:ilvl="6" w:tplc="5582DC62" w:tentative="1">
      <w:start w:val="1"/>
      <w:numFmt w:val="decimal"/>
      <w:lvlText w:val="%7."/>
      <w:lvlJc w:val="left"/>
      <w:pPr>
        <w:tabs>
          <w:tab w:val="num" w:pos="5040"/>
        </w:tabs>
        <w:ind w:left="5040" w:hanging="360"/>
      </w:pPr>
    </w:lvl>
    <w:lvl w:ilvl="7" w:tplc="320A0506" w:tentative="1">
      <w:start w:val="1"/>
      <w:numFmt w:val="lowerLetter"/>
      <w:lvlText w:val="%8."/>
      <w:lvlJc w:val="left"/>
      <w:pPr>
        <w:tabs>
          <w:tab w:val="num" w:pos="5760"/>
        </w:tabs>
        <w:ind w:left="5760" w:hanging="360"/>
      </w:pPr>
    </w:lvl>
    <w:lvl w:ilvl="8" w:tplc="32622D10" w:tentative="1">
      <w:start w:val="1"/>
      <w:numFmt w:val="lowerRoman"/>
      <w:lvlText w:val="%9."/>
      <w:lvlJc w:val="right"/>
      <w:pPr>
        <w:tabs>
          <w:tab w:val="num" w:pos="6480"/>
        </w:tabs>
        <w:ind w:left="6480" w:hanging="180"/>
      </w:pPr>
    </w:lvl>
  </w:abstractNum>
  <w:abstractNum w:abstractNumId="9" w15:restartNumberingAfterBreak="0">
    <w:nsid w:val="28DF34D3"/>
    <w:multiLevelType w:val="hybridMultilevel"/>
    <w:tmpl w:val="8D628144"/>
    <w:lvl w:ilvl="0" w:tplc="29BC7D22">
      <w:start w:val="1"/>
      <w:numFmt w:val="decimal"/>
      <w:lvlText w:val="%1."/>
      <w:lvlJc w:val="left"/>
      <w:pPr>
        <w:tabs>
          <w:tab w:val="num" w:pos="1440"/>
        </w:tabs>
        <w:ind w:left="1440" w:hanging="360"/>
      </w:pPr>
      <w:rPr>
        <w:rFonts w:ascii="Palatino" w:eastAsia="Times New Roman" w:hAnsi="Palatino" w:cs="Times New Roman"/>
      </w:rPr>
    </w:lvl>
    <w:lvl w:ilvl="1" w:tplc="7CC4D50C">
      <w:start w:val="1"/>
      <w:numFmt w:val="lowerLetter"/>
      <w:lvlText w:val="(%2)"/>
      <w:lvlJc w:val="left"/>
      <w:pPr>
        <w:tabs>
          <w:tab w:val="num" w:pos="1980"/>
        </w:tabs>
        <w:ind w:left="1980" w:hanging="360"/>
      </w:pPr>
      <w:rPr>
        <w:rFonts w:ascii="Palatino" w:eastAsia="Times New Roman" w:hAnsi="Palatino" w:cs="Times New Roman"/>
      </w:rPr>
    </w:lvl>
    <w:lvl w:ilvl="2" w:tplc="FFFFFFFF">
      <w:start w:val="1"/>
      <w:numFmt w:val="bullet"/>
      <w:lvlText w:val=""/>
      <w:lvlJc w:val="left"/>
      <w:pPr>
        <w:tabs>
          <w:tab w:val="num" w:pos="2880"/>
        </w:tabs>
        <w:ind w:left="2880" w:hanging="360"/>
      </w:pPr>
      <w:rPr>
        <w:rFonts w:ascii="Symbol" w:hAnsi="Symbol" w:hint="default"/>
      </w:rPr>
    </w:lvl>
    <w:lvl w:ilvl="3" w:tplc="FFFFFFFF">
      <w:start w:val="1"/>
      <w:numFmt w:val="bullet"/>
      <w:lvlText w:val="o"/>
      <w:lvlJc w:val="left"/>
      <w:pPr>
        <w:tabs>
          <w:tab w:val="num" w:pos="3600"/>
        </w:tabs>
        <w:ind w:left="3600" w:hanging="360"/>
      </w:pPr>
      <w:rPr>
        <w:rFonts w:ascii="Courier New" w:hAnsi="Courier New" w:cs="Courier New" w:hint="default"/>
      </w:rPr>
    </w:lvl>
    <w:lvl w:ilvl="4" w:tplc="FFFFFFFF">
      <w:start w:val="1"/>
      <w:numFmt w:val="bullet"/>
      <w:lvlText w:val=""/>
      <w:lvlJc w:val="left"/>
      <w:pPr>
        <w:tabs>
          <w:tab w:val="num" w:pos="4320"/>
        </w:tabs>
        <w:ind w:left="4320" w:hanging="360"/>
      </w:pPr>
      <w:rPr>
        <w:rFonts w:ascii="Symbol" w:hAnsi="Symbol" w:hint="default"/>
      </w:rPr>
    </w:lvl>
    <w:lvl w:ilvl="5" w:tplc="FFFFFFFF">
      <w:start w:val="1"/>
      <w:numFmt w:val="bullet"/>
      <w:lvlText w:val="o"/>
      <w:lvlJc w:val="left"/>
      <w:pPr>
        <w:tabs>
          <w:tab w:val="num" w:pos="5040"/>
        </w:tabs>
        <w:ind w:left="5040" w:hanging="360"/>
      </w:pPr>
      <w:rPr>
        <w:rFonts w:ascii="Courier New" w:hAnsi="Courier New" w:cs="Courier New"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2DD46003"/>
    <w:multiLevelType w:val="singleLevel"/>
    <w:tmpl w:val="2FB6A734"/>
    <w:lvl w:ilvl="0">
      <w:start w:val="1"/>
      <w:numFmt w:val="decimal"/>
      <w:pStyle w:val="bullet1"/>
      <w:lvlText w:val="%1."/>
      <w:legacy w:legacy="1" w:legacySpace="144" w:legacyIndent="0"/>
      <w:lvlJc w:val="left"/>
    </w:lvl>
  </w:abstractNum>
  <w:abstractNum w:abstractNumId="11" w15:restartNumberingAfterBreak="0">
    <w:nsid w:val="2E941542"/>
    <w:multiLevelType w:val="hybridMultilevel"/>
    <w:tmpl w:val="929AA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B91C23"/>
    <w:multiLevelType w:val="hybridMultilevel"/>
    <w:tmpl w:val="5E44AE42"/>
    <w:lvl w:ilvl="0" w:tplc="97702A00">
      <w:start w:val="1"/>
      <w:numFmt w:val="lowerRoman"/>
      <w:lvlText w:val="%1."/>
      <w:lvlJc w:val="left"/>
      <w:pPr>
        <w:ind w:left="1440" w:hanging="360"/>
      </w:pPr>
      <w:rPr>
        <w:rFonts w:ascii="Palatino" w:eastAsia="Times New Roman" w:hAnsi="Palatino"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4410"/>
        </w:tabs>
        <w:ind w:left="505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4500"/>
        </w:tabs>
        <w:ind w:left="536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4761A6"/>
    <w:multiLevelType w:val="singleLevel"/>
    <w:tmpl w:val="0409001F"/>
    <w:lvl w:ilvl="0">
      <w:start w:val="1"/>
      <w:numFmt w:val="decimal"/>
      <w:lvlText w:val="%1."/>
      <w:legacy w:legacy="1" w:legacySpace="144" w:legacyIndent="0"/>
      <w:lvlJc w:val="left"/>
    </w:lvl>
  </w:abstractNum>
  <w:abstractNum w:abstractNumId="16" w15:restartNumberingAfterBreak="0">
    <w:nsid w:val="43B13269"/>
    <w:multiLevelType w:val="hybridMultilevel"/>
    <w:tmpl w:val="93AC9A74"/>
    <w:lvl w:ilvl="0" w:tplc="C3E23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35FE6"/>
    <w:multiLevelType w:val="hybridMultilevel"/>
    <w:tmpl w:val="8DDEFB9C"/>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B83F26"/>
    <w:multiLevelType w:val="hybridMultilevel"/>
    <w:tmpl w:val="42FC541C"/>
    <w:lvl w:ilvl="0" w:tplc="3974A480">
      <w:start w:val="1"/>
      <w:numFmt w:val="lowerLetter"/>
      <w:lvlText w:val="%1."/>
      <w:lvlJc w:val="left"/>
      <w:pPr>
        <w:tabs>
          <w:tab w:val="num" w:pos="1440"/>
        </w:tabs>
        <w:ind w:left="1440" w:hanging="360"/>
      </w:pPr>
      <w:rPr>
        <w:rFonts w:ascii="Palatino" w:eastAsia="Times New Roman" w:hAnsi="Palatino" w:cs="Times New Roman"/>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5D2246"/>
    <w:multiLevelType w:val="singleLevel"/>
    <w:tmpl w:val="7C2ACC44"/>
    <w:lvl w:ilvl="0">
      <w:start w:val="1"/>
      <w:numFmt w:val="decimal"/>
      <w:pStyle w:val="Style1"/>
      <w:lvlText w:val="%1."/>
      <w:lvlJc w:val="left"/>
      <w:pPr>
        <w:tabs>
          <w:tab w:val="num" w:pos="72"/>
        </w:tabs>
        <w:ind w:left="288" w:hanging="288"/>
      </w:pPr>
      <w:rPr>
        <w:rFonts w:hint="default"/>
      </w:rPr>
    </w:lvl>
  </w:abstractNum>
  <w:abstractNum w:abstractNumId="20" w15:restartNumberingAfterBreak="0">
    <w:nsid w:val="4DCA06CD"/>
    <w:multiLevelType w:val="multilevel"/>
    <w:tmpl w:val="81169AF6"/>
    <w:numStyleLink w:val="Headings"/>
  </w:abstractNum>
  <w:abstractNum w:abstractNumId="21" w15:restartNumberingAfterBreak="0">
    <w:nsid w:val="57720367"/>
    <w:multiLevelType w:val="hybridMultilevel"/>
    <w:tmpl w:val="8EEA4890"/>
    <w:lvl w:ilvl="0" w:tplc="6952E1BC">
      <w:start w:val="1"/>
      <w:numFmt w:val="decimal"/>
      <w:pStyle w:val="Style2"/>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11CD9"/>
    <w:multiLevelType w:val="hybridMultilevel"/>
    <w:tmpl w:val="F74A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042D7"/>
    <w:multiLevelType w:val="multilevel"/>
    <w:tmpl w:val="18F4A5AC"/>
    <w:numStyleLink w:val="FoFCoLOP"/>
  </w:abstractNum>
  <w:abstractNum w:abstractNumId="24" w15:restartNumberingAfterBreak="0">
    <w:nsid w:val="74093EA4"/>
    <w:multiLevelType w:val="singleLevel"/>
    <w:tmpl w:val="E250AA46"/>
    <w:lvl w:ilvl="0">
      <w:start w:val="1"/>
      <w:numFmt w:val="decimal"/>
      <w:lvlText w:val="%1."/>
      <w:legacy w:legacy="1" w:legacySpace="0" w:legacyIndent="0"/>
      <w:lvlJc w:val="left"/>
    </w:lvl>
  </w:abstractNum>
  <w:abstractNum w:abstractNumId="25" w15:restartNumberingAfterBreak="0">
    <w:nsid w:val="789A0AFE"/>
    <w:multiLevelType w:val="multilevel"/>
    <w:tmpl w:val="18F4A5AC"/>
    <w:numStyleLink w:val="FoFCoLOP"/>
  </w:abstractNum>
  <w:abstractNum w:abstractNumId="26" w15:restartNumberingAfterBreak="0">
    <w:nsid w:val="78BE7108"/>
    <w:multiLevelType w:val="singleLevel"/>
    <w:tmpl w:val="ADFAE366"/>
    <w:lvl w:ilvl="0">
      <w:start w:val="1"/>
      <w:numFmt w:val="decimal"/>
      <w:lvlText w:val="%1."/>
      <w:lvlJc w:val="left"/>
      <w:pPr>
        <w:tabs>
          <w:tab w:val="num" w:pos="360"/>
        </w:tabs>
        <w:ind w:left="360" w:hanging="360"/>
      </w:pPr>
      <w:rPr>
        <w:b w:val="0"/>
        <w:bCs/>
      </w:rPr>
    </w:lvl>
  </w:abstractNum>
  <w:num w:numId="1">
    <w:abstractNumId w:val="5"/>
  </w:num>
  <w:num w:numId="2">
    <w:abstractNumId w:val="23"/>
  </w:num>
  <w:num w:numId="3">
    <w:abstractNumId w:val="6"/>
  </w:num>
  <w:num w:numId="4">
    <w:abstractNumId w:val="25"/>
  </w:num>
  <w:num w:numId="5">
    <w:abstractNumId w:val="13"/>
  </w:num>
  <w:num w:numId="6">
    <w:abstractNumId w:val="0"/>
  </w:num>
  <w:num w:numId="7">
    <w:abstractNumId w:val="14"/>
  </w:num>
  <w:num w:numId="8">
    <w:abstractNumId w:val="20"/>
  </w:num>
  <w:num w:numId="9">
    <w:abstractNumId w:val="10"/>
  </w:num>
  <w:num w:numId="10">
    <w:abstractNumId w:val="19"/>
  </w:num>
  <w:num w:numId="11">
    <w:abstractNumId w:val="24"/>
  </w:num>
  <w:num w:numId="12">
    <w:abstractNumId w:val="18"/>
  </w:num>
  <w:num w:numId="13">
    <w:abstractNumId w:val="7"/>
  </w:num>
  <w:num w:numId="14">
    <w:abstractNumId w:val="9"/>
  </w:num>
  <w:num w:numId="15">
    <w:abstractNumId w:val="26"/>
  </w:num>
  <w:num w:numId="16">
    <w:abstractNumId w:val="17"/>
  </w:num>
  <w:num w:numId="17">
    <w:abstractNumId w:val="8"/>
  </w:num>
  <w:num w:numId="18">
    <w:abstractNumId w:val="4"/>
  </w:num>
  <w:num w:numId="19">
    <w:abstractNumId w:val="21"/>
  </w:num>
  <w:num w:numId="20">
    <w:abstractNumId w:val="1"/>
  </w:num>
  <w:num w:numId="21">
    <w:abstractNumId w:val="12"/>
  </w:num>
  <w:num w:numId="22">
    <w:abstractNumId w:val="2"/>
  </w:num>
  <w:num w:numId="23">
    <w:abstractNumId w:val="15"/>
  </w:num>
  <w:num w:numId="24">
    <w:abstractNumId w:val="3"/>
  </w:num>
  <w:num w:numId="25">
    <w:abstractNumId w:val="22"/>
  </w:num>
  <w:num w:numId="26">
    <w:abstractNumId w:val="1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49"/>
    <w:rsid w:val="00000F6A"/>
    <w:rsid w:val="00001ADE"/>
    <w:rsid w:val="00003243"/>
    <w:rsid w:val="00005138"/>
    <w:rsid w:val="00023BF1"/>
    <w:rsid w:val="000244E1"/>
    <w:rsid w:val="00024654"/>
    <w:rsid w:val="00037813"/>
    <w:rsid w:val="00043204"/>
    <w:rsid w:val="0005011D"/>
    <w:rsid w:val="00050349"/>
    <w:rsid w:val="000503DE"/>
    <w:rsid w:val="00056BB7"/>
    <w:rsid w:val="00061E84"/>
    <w:rsid w:val="00066607"/>
    <w:rsid w:val="0006744B"/>
    <w:rsid w:val="000702C3"/>
    <w:rsid w:val="0007115A"/>
    <w:rsid w:val="0007260F"/>
    <w:rsid w:val="00072CA2"/>
    <w:rsid w:val="00074E22"/>
    <w:rsid w:val="00075030"/>
    <w:rsid w:val="0007784D"/>
    <w:rsid w:val="00080845"/>
    <w:rsid w:val="00080EBF"/>
    <w:rsid w:val="00082968"/>
    <w:rsid w:val="0008361B"/>
    <w:rsid w:val="00084704"/>
    <w:rsid w:val="00092CBD"/>
    <w:rsid w:val="000945DA"/>
    <w:rsid w:val="00094E3E"/>
    <w:rsid w:val="000973C8"/>
    <w:rsid w:val="000A079D"/>
    <w:rsid w:val="000A13E5"/>
    <w:rsid w:val="000A193A"/>
    <w:rsid w:val="000A2854"/>
    <w:rsid w:val="000A2AA9"/>
    <w:rsid w:val="000A51A1"/>
    <w:rsid w:val="000A56F2"/>
    <w:rsid w:val="000A6E05"/>
    <w:rsid w:val="000B12FA"/>
    <w:rsid w:val="000B60D6"/>
    <w:rsid w:val="000C08BF"/>
    <w:rsid w:val="000C0B9D"/>
    <w:rsid w:val="000C1D78"/>
    <w:rsid w:val="000C3B9A"/>
    <w:rsid w:val="000D1817"/>
    <w:rsid w:val="000D25A8"/>
    <w:rsid w:val="000D4009"/>
    <w:rsid w:val="000D761E"/>
    <w:rsid w:val="000E4C53"/>
    <w:rsid w:val="000E5F79"/>
    <w:rsid w:val="000E7848"/>
    <w:rsid w:val="000F76B7"/>
    <w:rsid w:val="000F7EAF"/>
    <w:rsid w:val="001002FF"/>
    <w:rsid w:val="00101D25"/>
    <w:rsid w:val="00111B08"/>
    <w:rsid w:val="001120E8"/>
    <w:rsid w:val="00117B00"/>
    <w:rsid w:val="00121089"/>
    <w:rsid w:val="00124041"/>
    <w:rsid w:val="00130DCB"/>
    <w:rsid w:val="001311A7"/>
    <w:rsid w:val="00131581"/>
    <w:rsid w:val="001315C7"/>
    <w:rsid w:val="001320A2"/>
    <w:rsid w:val="00132C8B"/>
    <w:rsid w:val="00141471"/>
    <w:rsid w:val="001425F6"/>
    <w:rsid w:val="00145BEB"/>
    <w:rsid w:val="001541C4"/>
    <w:rsid w:val="00155739"/>
    <w:rsid w:val="00156723"/>
    <w:rsid w:val="001572AB"/>
    <w:rsid w:val="00157610"/>
    <w:rsid w:val="001579E0"/>
    <w:rsid w:val="0017264D"/>
    <w:rsid w:val="00184B28"/>
    <w:rsid w:val="00190F18"/>
    <w:rsid w:val="001913CB"/>
    <w:rsid w:val="00192ABA"/>
    <w:rsid w:val="00194745"/>
    <w:rsid w:val="00196D13"/>
    <w:rsid w:val="001A1D2D"/>
    <w:rsid w:val="001A5CB9"/>
    <w:rsid w:val="001B56D0"/>
    <w:rsid w:val="001C363F"/>
    <w:rsid w:val="001D0BA1"/>
    <w:rsid w:val="001E0778"/>
    <w:rsid w:val="001E2A62"/>
    <w:rsid w:val="001E3D54"/>
    <w:rsid w:val="001E5B29"/>
    <w:rsid w:val="001E5ED5"/>
    <w:rsid w:val="001E6D39"/>
    <w:rsid w:val="001F2819"/>
    <w:rsid w:val="001F3D1E"/>
    <w:rsid w:val="001F7F06"/>
    <w:rsid w:val="00202071"/>
    <w:rsid w:val="00202301"/>
    <w:rsid w:val="00203D6B"/>
    <w:rsid w:val="002043EC"/>
    <w:rsid w:val="0020446C"/>
    <w:rsid w:val="00211B89"/>
    <w:rsid w:val="00212B1D"/>
    <w:rsid w:val="00212EE9"/>
    <w:rsid w:val="002141AE"/>
    <w:rsid w:val="00214965"/>
    <w:rsid w:val="002245AF"/>
    <w:rsid w:val="002258A0"/>
    <w:rsid w:val="0024106C"/>
    <w:rsid w:val="002410FE"/>
    <w:rsid w:val="00241788"/>
    <w:rsid w:val="0024203B"/>
    <w:rsid w:val="00242A6A"/>
    <w:rsid w:val="00243DC0"/>
    <w:rsid w:val="00247477"/>
    <w:rsid w:val="00247934"/>
    <w:rsid w:val="00250393"/>
    <w:rsid w:val="00255E08"/>
    <w:rsid w:val="00260888"/>
    <w:rsid w:val="002650F6"/>
    <w:rsid w:val="00270440"/>
    <w:rsid w:val="002707DD"/>
    <w:rsid w:val="00271270"/>
    <w:rsid w:val="00284182"/>
    <w:rsid w:val="00293DEE"/>
    <w:rsid w:val="002943DD"/>
    <w:rsid w:val="00297128"/>
    <w:rsid w:val="002A01E1"/>
    <w:rsid w:val="002A0B5D"/>
    <w:rsid w:val="002A6B47"/>
    <w:rsid w:val="002A7120"/>
    <w:rsid w:val="002B1122"/>
    <w:rsid w:val="002B6965"/>
    <w:rsid w:val="002C20B8"/>
    <w:rsid w:val="002C7FE9"/>
    <w:rsid w:val="002D1BBA"/>
    <w:rsid w:val="002D4EFD"/>
    <w:rsid w:val="002E461F"/>
    <w:rsid w:val="002E5628"/>
    <w:rsid w:val="002F0536"/>
    <w:rsid w:val="002F62A0"/>
    <w:rsid w:val="00304A3D"/>
    <w:rsid w:val="0030558B"/>
    <w:rsid w:val="00306D94"/>
    <w:rsid w:val="00313A04"/>
    <w:rsid w:val="00314238"/>
    <w:rsid w:val="003153B6"/>
    <w:rsid w:val="00316071"/>
    <w:rsid w:val="0031734F"/>
    <w:rsid w:val="0031741E"/>
    <w:rsid w:val="00322937"/>
    <w:rsid w:val="00322C6D"/>
    <w:rsid w:val="0033220D"/>
    <w:rsid w:val="00342326"/>
    <w:rsid w:val="00343E5C"/>
    <w:rsid w:val="00344A71"/>
    <w:rsid w:val="003453E1"/>
    <w:rsid w:val="003501AC"/>
    <w:rsid w:val="003536F7"/>
    <w:rsid w:val="003538E8"/>
    <w:rsid w:val="00354036"/>
    <w:rsid w:val="003559A1"/>
    <w:rsid w:val="0036017B"/>
    <w:rsid w:val="00361309"/>
    <w:rsid w:val="00362003"/>
    <w:rsid w:val="00362349"/>
    <w:rsid w:val="00362755"/>
    <w:rsid w:val="0036691A"/>
    <w:rsid w:val="003679E0"/>
    <w:rsid w:val="00367AD5"/>
    <w:rsid w:val="00372382"/>
    <w:rsid w:val="0037329C"/>
    <w:rsid w:val="00373B93"/>
    <w:rsid w:val="0038153D"/>
    <w:rsid w:val="00383B7D"/>
    <w:rsid w:val="0039724F"/>
    <w:rsid w:val="003A0C10"/>
    <w:rsid w:val="003A30C0"/>
    <w:rsid w:val="003A38F0"/>
    <w:rsid w:val="003A5256"/>
    <w:rsid w:val="003A5279"/>
    <w:rsid w:val="003A73D7"/>
    <w:rsid w:val="003B2D32"/>
    <w:rsid w:val="003C04E5"/>
    <w:rsid w:val="003C23D0"/>
    <w:rsid w:val="003C5A49"/>
    <w:rsid w:val="003C7997"/>
    <w:rsid w:val="003D0627"/>
    <w:rsid w:val="003D4CBE"/>
    <w:rsid w:val="003E20A2"/>
    <w:rsid w:val="003E7BF5"/>
    <w:rsid w:val="003F3551"/>
    <w:rsid w:val="003F4329"/>
    <w:rsid w:val="003F6A9A"/>
    <w:rsid w:val="00401972"/>
    <w:rsid w:val="00412534"/>
    <w:rsid w:val="00412C83"/>
    <w:rsid w:val="004135CF"/>
    <w:rsid w:val="00415851"/>
    <w:rsid w:val="00416468"/>
    <w:rsid w:val="004208F2"/>
    <w:rsid w:val="00426014"/>
    <w:rsid w:val="00432E3B"/>
    <w:rsid w:val="00437B60"/>
    <w:rsid w:val="004416D7"/>
    <w:rsid w:val="0044174A"/>
    <w:rsid w:val="00446793"/>
    <w:rsid w:val="004527BE"/>
    <w:rsid w:val="00455C86"/>
    <w:rsid w:val="00455D1A"/>
    <w:rsid w:val="00460B7D"/>
    <w:rsid w:val="00470EF1"/>
    <w:rsid w:val="004717CC"/>
    <w:rsid w:val="00472167"/>
    <w:rsid w:val="004742EB"/>
    <w:rsid w:val="004761CB"/>
    <w:rsid w:val="00480CB0"/>
    <w:rsid w:val="00484CF9"/>
    <w:rsid w:val="00485017"/>
    <w:rsid w:val="0048624C"/>
    <w:rsid w:val="00487B81"/>
    <w:rsid w:val="00491228"/>
    <w:rsid w:val="00495323"/>
    <w:rsid w:val="004B2158"/>
    <w:rsid w:val="004B286E"/>
    <w:rsid w:val="004B3268"/>
    <w:rsid w:val="004B34EA"/>
    <w:rsid w:val="004B5494"/>
    <w:rsid w:val="004C0C27"/>
    <w:rsid w:val="004C7D3A"/>
    <w:rsid w:val="004D42BF"/>
    <w:rsid w:val="004D5CF6"/>
    <w:rsid w:val="004D68C4"/>
    <w:rsid w:val="004D7A76"/>
    <w:rsid w:val="004D7CCA"/>
    <w:rsid w:val="004E2D01"/>
    <w:rsid w:val="004F2128"/>
    <w:rsid w:val="004F241C"/>
    <w:rsid w:val="004F5469"/>
    <w:rsid w:val="004F6D01"/>
    <w:rsid w:val="005018A8"/>
    <w:rsid w:val="00505A39"/>
    <w:rsid w:val="00506211"/>
    <w:rsid w:val="005131A4"/>
    <w:rsid w:val="005170FB"/>
    <w:rsid w:val="005240BF"/>
    <w:rsid w:val="00526F3E"/>
    <w:rsid w:val="005314C7"/>
    <w:rsid w:val="005324C7"/>
    <w:rsid w:val="0053374F"/>
    <w:rsid w:val="00534965"/>
    <w:rsid w:val="00534A2A"/>
    <w:rsid w:val="00536035"/>
    <w:rsid w:val="00537C88"/>
    <w:rsid w:val="00543C90"/>
    <w:rsid w:val="00545DE7"/>
    <w:rsid w:val="00550004"/>
    <w:rsid w:val="00553AA1"/>
    <w:rsid w:val="00557EBD"/>
    <w:rsid w:val="0056653B"/>
    <w:rsid w:val="00573713"/>
    <w:rsid w:val="00577E87"/>
    <w:rsid w:val="00584FF0"/>
    <w:rsid w:val="00585096"/>
    <w:rsid w:val="00585390"/>
    <w:rsid w:val="0058620F"/>
    <w:rsid w:val="0059219F"/>
    <w:rsid w:val="005939A5"/>
    <w:rsid w:val="005A10B3"/>
    <w:rsid w:val="005A148C"/>
    <w:rsid w:val="005A3E54"/>
    <w:rsid w:val="005B1F2B"/>
    <w:rsid w:val="005B5A2E"/>
    <w:rsid w:val="005C374F"/>
    <w:rsid w:val="005C4333"/>
    <w:rsid w:val="005C5CFF"/>
    <w:rsid w:val="005C5D49"/>
    <w:rsid w:val="005E3086"/>
    <w:rsid w:val="005E65B6"/>
    <w:rsid w:val="005F623C"/>
    <w:rsid w:val="005F653C"/>
    <w:rsid w:val="00612E8A"/>
    <w:rsid w:val="006130B8"/>
    <w:rsid w:val="00615A1E"/>
    <w:rsid w:val="006176A1"/>
    <w:rsid w:val="00617ED0"/>
    <w:rsid w:val="0062168B"/>
    <w:rsid w:val="00622EAE"/>
    <w:rsid w:val="00627208"/>
    <w:rsid w:val="00632207"/>
    <w:rsid w:val="0063491C"/>
    <w:rsid w:val="00634D17"/>
    <w:rsid w:val="00635DA9"/>
    <w:rsid w:val="0063721B"/>
    <w:rsid w:val="00650B11"/>
    <w:rsid w:val="00652DA1"/>
    <w:rsid w:val="00655B63"/>
    <w:rsid w:val="0065625D"/>
    <w:rsid w:val="0066566F"/>
    <w:rsid w:val="00666D4C"/>
    <w:rsid w:val="006673CE"/>
    <w:rsid w:val="0067411A"/>
    <w:rsid w:val="00676CF7"/>
    <w:rsid w:val="00687C72"/>
    <w:rsid w:val="006A5767"/>
    <w:rsid w:val="006A74FF"/>
    <w:rsid w:val="006A7C7F"/>
    <w:rsid w:val="006B091A"/>
    <w:rsid w:val="006B2248"/>
    <w:rsid w:val="006B2EE5"/>
    <w:rsid w:val="006C3787"/>
    <w:rsid w:val="006C55E6"/>
    <w:rsid w:val="006D449C"/>
    <w:rsid w:val="006E056A"/>
    <w:rsid w:val="006E0B13"/>
    <w:rsid w:val="006E17A5"/>
    <w:rsid w:val="006E5E28"/>
    <w:rsid w:val="006E6574"/>
    <w:rsid w:val="006E7666"/>
    <w:rsid w:val="006E7E74"/>
    <w:rsid w:val="006F05ED"/>
    <w:rsid w:val="006F0728"/>
    <w:rsid w:val="006F3735"/>
    <w:rsid w:val="006F3FA6"/>
    <w:rsid w:val="007045BF"/>
    <w:rsid w:val="00704EBB"/>
    <w:rsid w:val="007064FE"/>
    <w:rsid w:val="00714CF2"/>
    <w:rsid w:val="007156B9"/>
    <w:rsid w:val="00716D5E"/>
    <w:rsid w:val="00720817"/>
    <w:rsid w:val="00722850"/>
    <w:rsid w:val="00725641"/>
    <w:rsid w:val="00726898"/>
    <w:rsid w:val="007326AB"/>
    <w:rsid w:val="0073353F"/>
    <w:rsid w:val="00733EC5"/>
    <w:rsid w:val="00734D59"/>
    <w:rsid w:val="00735376"/>
    <w:rsid w:val="00735394"/>
    <w:rsid w:val="007415F1"/>
    <w:rsid w:val="00742E45"/>
    <w:rsid w:val="007447AF"/>
    <w:rsid w:val="00750816"/>
    <w:rsid w:val="007533D1"/>
    <w:rsid w:val="0076027F"/>
    <w:rsid w:val="00760B88"/>
    <w:rsid w:val="00763BAE"/>
    <w:rsid w:val="007657C1"/>
    <w:rsid w:val="007665F6"/>
    <w:rsid w:val="00766657"/>
    <w:rsid w:val="007678CF"/>
    <w:rsid w:val="00770DD4"/>
    <w:rsid w:val="007718DA"/>
    <w:rsid w:val="007727BD"/>
    <w:rsid w:val="0077413F"/>
    <w:rsid w:val="00775D0B"/>
    <w:rsid w:val="00787F38"/>
    <w:rsid w:val="0079248B"/>
    <w:rsid w:val="0079455D"/>
    <w:rsid w:val="007A08FF"/>
    <w:rsid w:val="007A3AAE"/>
    <w:rsid w:val="007A406D"/>
    <w:rsid w:val="007A62B0"/>
    <w:rsid w:val="007A6E53"/>
    <w:rsid w:val="007B211C"/>
    <w:rsid w:val="007B5691"/>
    <w:rsid w:val="007B629F"/>
    <w:rsid w:val="007B6718"/>
    <w:rsid w:val="007C2F5E"/>
    <w:rsid w:val="007C31B1"/>
    <w:rsid w:val="007C5A0C"/>
    <w:rsid w:val="007C7352"/>
    <w:rsid w:val="007C77C7"/>
    <w:rsid w:val="007D1A73"/>
    <w:rsid w:val="007D2304"/>
    <w:rsid w:val="007D4C67"/>
    <w:rsid w:val="007D5F6F"/>
    <w:rsid w:val="007E0977"/>
    <w:rsid w:val="007E0FEE"/>
    <w:rsid w:val="007E57A7"/>
    <w:rsid w:val="007E613D"/>
    <w:rsid w:val="007F2017"/>
    <w:rsid w:val="007F3EB4"/>
    <w:rsid w:val="007F4A58"/>
    <w:rsid w:val="0080188A"/>
    <w:rsid w:val="00803924"/>
    <w:rsid w:val="00807812"/>
    <w:rsid w:val="008078AE"/>
    <w:rsid w:val="008151E0"/>
    <w:rsid w:val="00815D3D"/>
    <w:rsid w:val="00816339"/>
    <w:rsid w:val="00820FB8"/>
    <w:rsid w:val="0082107C"/>
    <w:rsid w:val="00821278"/>
    <w:rsid w:val="00821C11"/>
    <w:rsid w:val="008240A9"/>
    <w:rsid w:val="00826C59"/>
    <w:rsid w:val="008339BB"/>
    <w:rsid w:val="008359ED"/>
    <w:rsid w:val="00841247"/>
    <w:rsid w:val="008412AF"/>
    <w:rsid w:val="0084264A"/>
    <w:rsid w:val="00850448"/>
    <w:rsid w:val="00850872"/>
    <w:rsid w:val="00852E2A"/>
    <w:rsid w:val="0086419A"/>
    <w:rsid w:val="0086566B"/>
    <w:rsid w:val="008667AB"/>
    <w:rsid w:val="0087023B"/>
    <w:rsid w:val="00870D1B"/>
    <w:rsid w:val="00872F83"/>
    <w:rsid w:val="00874099"/>
    <w:rsid w:val="00874393"/>
    <w:rsid w:val="00875C26"/>
    <w:rsid w:val="00881C46"/>
    <w:rsid w:val="008870C0"/>
    <w:rsid w:val="00887CB7"/>
    <w:rsid w:val="00890298"/>
    <w:rsid w:val="0089446E"/>
    <w:rsid w:val="00896F23"/>
    <w:rsid w:val="00897E31"/>
    <w:rsid w:val="008A179F"/>
    <w:rsid w:val="008A41DA"/>
    <w:rsid w:val="008A4DB8"/>
    <w:rsid w:val="008B0536"/>
    <w:rsid w:val="008B0864"/>
    <w:rsid w:val="008B162F"/>
    <w:rsid w:val="008B4E69"/>
    <w:rsid w:val="008B5F06"/>
    <w:rsid w:val="008B66DE"/>
    <w:rsid w:val="008C46D9"/>
    <w:rsid w:val="008C47EB"/>
    <w:rsid w:val="008C7413"/>
    <w:rsid w:val="008D16B7"/>
    <w:rsid w:val="008D3F8B"/>
    <w:rsid w:val="008D6328"/>
    <w:rsid w:val="008D796B"/>
    <w:rsid w:val="008E347A"/>
    <w:rsid w:val="008E65EA"/>
    <w:rsid w:val="008E6AE6"/>
    <w:rsid w:val="008F0116"/>
    <w:rsid w:val="008F1399"/>
    <w:rsid w:val="008F143D"/>
    <w:rsid w:val="008F651B"/>
    <w:rsid w:val="008F68CF"/>
    <w:rsid w:val="00904F05"/>
    <w:rsid w:val="00906303"/>
    <w:rsid w:val="00907244"/>
    <w:rsid w:val="00907E17"/>
    <w:rsid w:val="00913EDC"/>
    <w:rsid w:val="00914DE6"/>
    <w:rsid w:val="00917A03"/>
    <w:rsid w:val="00920B1A"/>
    <w:rsid w:val="0092454E"/>
    <w:rsid w:val="009266F1"/>
    <w:rsid w:val="009268DF"/>
    <w:rsid w:val="009279F7"/>
    <w:rsid w:val="00932865"/>
    <w:rsid w:val="009406A3"/>
    <w:rsid w:val="009413B0"/>
    <w:rsid w:val="0094203F"/>
    <w:rsid w:val="009474DE"/>
    <w:rsid w:val="009478FF"/>
    <w:rsid w:val="00953C2E"/>
    <w:rsid w:val="00954112"/>
    <w:rsid w:val="009558CE"/>
    <w:rsid w:val="0095759D"/>
    <w:rsid w:val="00961985"/>
    <w:rsid w:val="0096758C"/>
    <w:rsid w:val="00970A10"/>
    <w:rsid w:val="00970F36"/>
    <w:rsid w:val="00975DC0"/>
    <w:rsid w:val="00981020"/>
    <w:rsid w:val="009812DD"/>
    <w:rsid w:val="0098138E"/>
    <w:rsid w:val="0098655A"/>
    <w:rsid w:val="00990B89"/>
    <w:rsid w:val="00993058"/>
    <w:rsid w:val="00997802"/>
    <w:rsid w:val="009A05CC"/>
    <w:rsid w:val="009A0F3F"/>
    <w:rsid w:val="009A3980"/>
    <w:rsid w:val="009B4CF0"/>
    <w:rsid w:val="009B609B"/>
    <w:rsid w:val="009C2F91"/>
    <w:rsid w:val="009C33AF"/>
    <w:rsid w:val="009C415F"/>
    <w:rsid w:val="009C6E77"/>
    <w:rsid w:val="009D2014"/>
    <w:rsid w:val="009D2A97"/>
    <w:rsid w:val="009D3FC5"/>
    <w:rsid w:val="009D64A4"/>
    <w:rsid w:val="009E5AE5"/>
    <w:rsid w:val="009E7C7F"/>
    <w:rsid w:val="009F2F1D"/>
    <w:rsid w:val="009F5524"/>
    <w:rsid w:val="00A0078A"/>
    <w:rsid w:val="00A00A7A"/>
    <w:rsid w:val="00A03E90"/>
    <w:rsid w:val="00A07813"/>
    <w:rsid w:val="00A12082"/>
    <w:rsid w:val="00A15052"/>
    <w:rsid w:val="00A17CE0"/>
    <w:rsid w:val="00A20000"/>
    <w:rsid w:val="00A2402D"/>
    <w:rsid w:val="00A259A5"/>
    <w:rsid w:val="00A25B60"/>
    <w:rsid w:val="00A34D7B"/>
    <w:rsid w:val="00A405C0"/>
    <w:rsid w:val="00A40BF0"/>
    <w:rsid w:val="00A42306"/>
    <w:rsid w:val="00A43951"/>
    <w:rsid w:val="00A47A29"/>
    <w:rsid w:val="00A50CD9"/>
    <w:rsid w:val="00A552F9"/>
    <w:rsid w:val="00A55ACD"/>
    <w:rsid w:val="00A61841"/>
    <w:rsid w:val="00A63067"/>
    <w:rsid w:val="00A6506D"/>
    <w:rsid w:val="00A70E83"/>
    <w:rsid w:val="00A74F12"/>
    <w:rsid w:val="00A7797E"/>
    <w:rsid w:val="00A835B6"/>
    <w:rsid w:val="00A873BE"/>
    <w:rsid w:val="00A933D6"/>
    <w:rsid w:val="00A95ADF"/>
    <w:rsid w:val="00A95D63"/>
    <w:rsid w:val="00AA5869"/>
    <w:rsid w:val="00AB2835"/>
    <w:rsid w:val="00AB350B"/>
    <w:rsid w:val="00AB3E24"/>
    <w:rsid w:val="00AB47C9"/>
    <w:rsid w:val="00AB4C1B"/>
    <w:rsid w:val="00AB53D1"/>
    <w:rsid w:val="00AB6E1D"/>
    <w:rsid w:val="00AC2A4A"/>
    <w:rsid w:val="00AC3FFC"/>
    <w:rsid w:val="00AC5896"/>
    <w:rsid w:val="00AD2F10"/>
    <w:rsid w:val="00AD3F15"/>
    <w:rsid w:val="00AD7594"/>
    <w:rsid w:val="00AD7D73"/>
    <w:rsid w:val="00AE2D15"/>
    <w:rsid w:val="00AE573D"/>
    <w:rsid w:val="00AE5770"/>
    <w:rsid w:val="00AF421B"/>
    <w:rsid w:val="00B01F7E"/>
    <w:rsid w:val="00B03CCB"/>
    <w:rsid w:val="00B06F9F"/>
    <w:rsid w:val="00B10190"/>
    <w:rsid w:val="00B10A6C"/>
    <w:rsid w:val="00B21804"/>
    <w:rsid w:val="00B21B3B"/>
    <w:rsid w:val="00B22017"/>
    <w:rsid w:val="00B23820"/>
    <w:rsid w:val="00B3076A"/>
    <w:rsid w:val="00B3087D"/>
    <w:rsid w:val="00B32CA8"/>
    <w:rsid w:val="00B345DD"/>
    <w:rsid w:val="00B34794"/>
    <w:rsid w:val="00B3502F"/>
    <w:rsid w:val="00B35F6F"/>
    <w:rsid w:val="00B3725D"/>
    <w:rsid w:val="00B42178"/>
    <w:rsid w:val="00B46CE4"/>
    <w:rsid w:val="00B4706D"/>
    <w:rsid w:val="00B47D6F"/>
    <w:rsid w:val="00B5198A"/>
    <w:rsid w:val="00B51DFE"/>
    <w:rsid w:val="00B53F66"/>
    <w:rsid w:val="00B60421"/>
    <w:rsid w:val="00B629B0"/>
    <w:rsid w:val="00B640C4"/>
    <w:rsid w:val="00B700AE"/>
    <w:rsid w:val="00B70CFD"/>
    <w:rsid w:val="00B721DD"/>
    <w:rsid w:val="00B74AFC"/>
    <w:rsid w:val="00B7515E"/>
    <w:rsid w:val="00B751B6"/>
    <w:rsid w:val="00B81A3E"/>
    <w:rsid w:val="00B82F8B"/>
    <w:rsid w:val="00B83F22"/>
    <w:rsid w:val="00B90CA2"/>
    <w:rsid w:val="00B90E9A"/>
    <w:rsid w:val="00B97D85"/>
    <w:rsid w:val="00BA1668"/>
    <w:rsid w:val="00BA2609"/>
    <w:rsid w:val="00BA5816"/>
    <w:rsid w:val="00BA6BB4"/>
    <w:rsid w:val="00BB0243"/>
    <w:rsid w:val="00BB14E0"/>
    <w:rsid w:val="00BB5350"/>
    <w:rsid w:val="00BC2127"/>
    <w:rsid w:val="00BC3B4C"/>
    <w:rsid w:val="00BC602B"/>
    <w:rsid w:val="00BD22CA"/>
    <w:rsid w:val="00BD2EED"/>
    <w:rsid w:val="00BD54AE"/>
    <w:rsid w:val="00BD6003"/>
    <w:rsid w:val="00BE062F"/>
    <w:rsid w:val="00BE26C5"/>
    <w:rsid w:val="00BE2734"/>
    <w:rsid w:val="00BE63C4"/>
    <w:rsid w:val="00BE703C"/>
    <w:rsid w:val="00BE7368"/>
    <w:rsid w:val="00BF38A1"/>
    <w:rsid w:val="00BF5C36"/>
    <w:rsid w:val="00BF6A54"/>
    <w:rsid w:val="00C0319F"/>
    <w:rsid w:val="00C039E1"/>
    <w:rsid w:val="00C04EFE"/>
    <w:rsid w:val="00C07F1F"/>
    <w:rsid w:val="00C10B5F"/>
    <w:rsid w:val="00C11ECF"/>
    <w:rsid w:val="00C1278D"/>
    <w:rsid w:val="00C171B3"/>
    <w:rsid w:val="00C17721"/>
    <w:rsid w:val="00C17CE8"/>
    <w:rsid w:val="00C25608"/>
    <w:rsid w:val="00C2657F"/>
    <w:rsid w:val="00C31A66"/>
    <w:rsid w:val="00C326E3"/>
    <w:rsid w:val="00C348A1"/>
    <w:rsid w:val="00C3491B"/>
    <w:rsid w:val="00C4188B"/>
    <w:rsid w:val="00C4589F"/>
    <w:rsid w:val="00C45E29"/>
    <w:rsid w:val="00C52D15"/>
    <w:rsid w:val="00C5324F"/>
    <w:rsid w:val="00C61C07"/>
    <w:rsid w:val="00C61F99"/>
    <w:rsid w:val="00C63BAE"/>
    <w:rsid w:val="00C66EE4"/>
    <w:rsid w:val="00C675B7"/>
    <w:rsid w:val="00C7360F"/>
    <w:rsid w:val="00C7363D"/>
    <w:rsid w:val="00C8096E"/>
    <w:rsid w:val="00C81F90"/>
    <w:rsid w:val="00C83FC7"/>
    <w:rsid w:val="00C913A1"/>
    <w:rsid w:val="00C92E2F"/>
    <w:rsid w:val="00C93A33"/>
    <w:rsid w:val="00CA03D7"/>
    <w:rsid w:val="00CA143E"/>
    <w:rsid w:val="00CA4EA7"/>
    <w:rsid w:val="00CB2C7A"/>
    <w:rsid w:val="00CB7155"/>
    <w:rsid w:val="00CC0DAC"/>
    <w:rsid w:val="00CC1AE2"/>
    <w:rsid w:val="00CC36D0"/>
    <w:rsid w:val="00CC6A99"/>
    <w:rsid w:val="00CD0DD9"/>
    <w:rsid w:val="00CD240B"/>
    <w:rsid w:val="00CD4A91"/>
    <w:rsid w:val="00CE2C8D"/>
    <w:rsid w:val="00CE3989"/>
    <w:rsid w:val="00CF1918"/>
    <w:rsid w:val="00CF27C4"/>
    <w:rsid w:val="00CF4315"/>
    <w:rsid w:val="00CF53E8"/>
    <w:rsid w:val="00CF6881"/>
    <w:rsid w:val="00D00AA3"/>
    <w:rsid w:val="00D03235"/>
    <w:rsid w:val="00D07F73"/>
    <w:rsid w:val="00D12ED1"/>
    <w:rsid w:val="00D17E39"/>
    <w:rsid w:val="00D2041C"/>
    <w:rsid w:val="00D25ADE"/>
    <w:rsid w:val="00D3190D"/>
    <w:rsid w:val="00D32686"/>
    <w:rsid w:val="00D35C85"/>
    <w:rsid w:val="00D41956"/>
    <w:rsid w:val="00D421C8"/>
    <w:rsid w:val="00D42CF4"/>
    <w:rsid w:val="00D43297"/>
    <w:rsid w:val="00D44DB6"/>
    <w:rsid w:val="00D50119"/>
    <w:rsid w:val="00D5379C"/>
    <w:rsid w:val="00D56729"/>
    <w:rsid w:val="00D65621"/>
    <w:rsid w:val="00D725A9"/>
    <w:rsid w:val="00D74560"/>
    <w:rsid w:val="00D74F63"/>
    <w:rsid w:val="00D82A43"/>
    <w:rsid w:val="00D8411C"/>
    <w:rsid w:val="00D90013"/>
    <w:rsid w:val="00D910FA"/>
    <w:rsid w:val="00D91895"/>
    <w:rsid w:val="00D94BAB"/>
    <w:rsid w:val="00DA3A50"/>
    <w:rsid w:val="00DA4F99"/>
    <w:rsid w:val="00DA5FD3"/>
    <w:rsid w:val="00DA767C"/>
    <w:rsid w:val="00DA7B5D"/>
    <w:rsid w:val="00DB67F5"/>
    <w:rsid w:val="00DB6A3E"/>
    <w:rsid w:val="00DC134A"/>
    <w:rsid w:val="00DC5FD0"/>
    <w:rsid w:val="00DC6200"/>
    <w:rsid w:val="00DC7042"/>
    <w:rsid w:val="00DE007D"/>
    <w:rsid w:val="00DF5846"/>
    <w:rsid w:val="00DF58E7"/>
    <w:rsid w:val="00E05C14"/>
    <w:rsid w:val="00E11876"/>
    <w:rsid w:val="00E133C6"/>
    <w:rsid w:val="00E16770"/>
    <w:rsid w:val="00E21454"/>
    <w:rsid w:val="00E22288"/>
    <w:rsid w:val="00E22AB1"/>
    <w:rsid w:val="00E23CBB"/>
    <w:rsid w:val="00E25A49"/>
    <w:rsid w:val="00E3112C"/>
    <w:rsid w:val="00E328AF"/>
    <w:rsid w:val="00E332CA"/>
    <w:rsid w:val="00E37B59"/>
    <w:rsid w:val="00E40E24"/>
    <w:rsid w:val="00E4146E"/>
    <w:rsid w:val="00E4505C"/>
    <w:rsid w:val="00E45FF6"/>
    <w:rsid w:val="00E47110"/>
    <w:rsid w:val="00E62BD2"/>
    <w:rsid w:val="00E668E4"/>
    <w:rsid w:val="00E74179"/>
    <w:rsid w:val="00E75E25"/>
    <w:rsid w:val="00E76919"/>
    <w:rsid w:val="00E803FE"/>
    <w:rsid w:val="00E8278A"/>
    <w:rsid w:val="00E85AD5"/>
    <w:rsid w:val="00E86B4F"/>
    <w:rsid w:val="00E9674B"/>
    <w:rsid w:val="00E9738B"/>
    <w:rsid w:val="00EA05A3"/>
    <w:rsid w:val="00EA316C"/>
    <w:rsid w:val="00EA342C"/>
    <w:rsid w:val="00EA36C6"/>
    <w:rsid w:val="00EA58FB"/>
    <w:rsid w:val="00EB179D"/>
    <w:rsid w:val="00EC0FCA"/>
    <w:rsid w:val="00EC50E7"/>
    <w:rsid w:val="00ED0739"/>
    <w:rsid w:val="00ED1AD8"/>
    <w:rsid w:val="00ED325D"/>
    <w:rsid w:val="00ED38CA"/>
    <w:rsid w:val="00ED5725"/>
    <w:rsid w:val="00ED7031"/>
    <w:rsid w:val="00ED7255"/>
    <w:rsid w:val="00EE3060"/>
    <w:rsid w:val="00EE346F"/>
    <w:rsid w:val="00EE4315"/>
    <w:rsid w:val="00EF52AF"/>
    <w:rsid w:val="00EF5ED9"/>
    <w:rsid w:val="00EF649F"/>
    <w:rsid w:val="00EF7704"/>
    <w:rsid w:val="00F0246F"/>
    <w:rsid w:val="00F06227"/>
    <w:rsid w:val="00F110CC"/>
    <w:rsid w:val="00F24892"/>
    <w:rsid w:val="00F26618"/>
    <w:rsid w:val="00F2670C"/>
    <w:rsid w:val="00F269BB"/>
    <w:rsid w:val="00F26ED3"/>
    <w:rsid w:val="00F3078F"/>
    <w:rsid w:val="00F31C50"/>
    <w:rsid w:val="00F34DD0"/>
    <w:rsid w:val="00F35D6B"/>
    <w:rsid w:val="00F42B57"/>
    <w:rsid w:val="00F50313"/>
    <w:rsid w:val="00F52843"/>
    <w:rsid w:val="00F52DA9"/>
    <w:rsid w:val="00F5571E"/>
    <w:rsid w:val="00F57C10"/>
    <w:rsid w:val="00F60A7D"/>
    <w:rsid w:val="00F62B7A"/>
    <w:rsid w:val="00F6397D"/>
    <w:rsid w:val="00F66009"/>
    <w:rsid w:val="00F6715D"/>
    <w:rsid w:val="00F7293E"/>
    <w:rsid w:val="00F74FD5"/>
    <w:rsid w:val="00F76650"/>
    <w:rsid w:val="00F84A77"/>
    <w:rsid w:val="00F86D07"/>
    <w:rsid w:val="00F9187B"/>
    <w:rsid w:val="00F92385"/>
    <w:rsid w:val="00F9322C"/>
    <w:rsid w:val="00FA10C4"/>
    <w:rsid w:val="00FA1B4F"/>
    <w:rsid w:val="00FA37F6"/>
    <w:rsid w:val="00FA52F8"/>
    <w:rsid w:val="00FB072E"/>
    <w:rsid w:val="00FB15FF"/>
    <w:rsid w:val="00FB249C"/>
    <w:rsid w:val="00FC3680"/>
    <w:rsid w:val="00FC393B"/>
    <w:rsid w:val="00FC47F9"/>
    <w:rsid w:val="00FC5C2F"/>
    <w:rsid w:val="00FC606D"/>
    <w:rsid w:val="00FD01C6"/>
    <w:rsid w:val="00FD572F"/>
    <w:rsid w:val="00FD6569"/>
    <w:rsid w:val="00FD6680"/>
    <w:rsid w:val="00FE17DD"/>
    <w:rsid w:val="00FE21B7"/>
    <w:rsid w:val="00FE4182"/>
    <w:rsid w:val="00FE4680"/>
    <w:rsid w:val="00FE5580"/>
    <w:rsid w:val="00FE5D60"/>
    <w:rsid w:val="00FE6739"/>
    <w:rsid w:val="00FF110C"/>
    <w:rsid w:val="00FF3DB4"/>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EB227"/>
  <w15:chartTrackingRefBased/>
  <w15:docId w15:val="{B4B59EFE-DEED-4313-BDC1-A01DD8F75F4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A56F2"/>
    <w:pPr>
      <w:numPr>
        <w:numId w:val="8"/>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8"/>
      </w:numPr>
      <w:tabs>
        <w:tab w:val="clear" w:pos="4410"/>
        <w:tab w:val="num" w:pos="720"/>
      </w:tabs>
      <w:outlineLvl w:val="1"/>
    </w:pPr>
  </w:style>
  <w:style w:type="paragraph" w:styleId="Heading3">
    <w:name w:val="heading 3"/>
    <w:basedOn w:val="Dummy"/>
    <w:next w:val="Standard"/>
    <w:link w:val="Heading3Char"/>
    <w:qFormat/>
    <w:rsid w:val="000A56F2"/>
    <w:pPr>
      <w:numPr>
        <w:ilvl w:val="2"/>
        <w:numId w:val="8"/>
      </w:numPr>
      <w:tabs>
        <w:tab w:val="clear" w:pos="4500"/>
        <w:tab w:val="num" w:pos="1440"/>
      </w:tabs>
      <w:outlineLvl w:val="2"/>
    </w:pPr>
    <w:rPr>
      <w:rFonts w:eastAsiaTheme="majorEastAsia" w:cstheme="majorBidi"/>
      <w:szCs w:val="24"/>
    </w:rPr>
  </w:style>
  <w:style w:type="paragraph" w:styleId="Heading4">
    <w:name w:val="heading 4"/>
    <w:basedOn w:val="Dummy"/>
    <w:next w:val="Standard"/>
    <w:link w:val="Heading4Char"/>
    <w:qFormat/>
    <w:rsid w:val="000A56F2"/>
    <w:pPr>
      <w:numPr>
        <w:ilvl w:val="3"/>
        <w:numId w:val="8"/>
      </w:numPr>
      <w:outlineLvl w:val="3"/>
    </w:pPr>
    <w:rPr>
      <w:rFonts w:eastAsiaTheme="majorEastAsia" w:cstheme="majorBidi"/>
      <w:iCs/>
    </w:rPr>
  </w:style>
  <w:style w:type="paragraph" w:styleId="Heading5">
    <w:name w:val="heading 5"/>
    <w:basedOn w:val="Dummy"/>
    <w:next w:val="Standard"/>
    <w:link w:val="Heading5Char"/>
    <w:qFormat/>
    <w:rsid w:val="000A56F2"/>
    <w:pPr>
      <w:numPr>
        <w:ilvl w:val="4"/>
        <w:numId w:val="8"/>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8"/>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
    <w:basedOn w:val="DefaultParagraphFont"/>
    <w:unhideWhenUsed/>
    <w:rsid w:val="00DF58E7"/>
    <w:rPr>
      <w:vertAlign w:val="superscript"/>
    </w:rPr>
  </w:style>
  <w:style w:type="paragraph" w:customStyle="1" w:styleId="FoF">
    <w:name w:val="FoF"/>
    <w:basedOn w:val="Standard"/>
    <w:uiPriority w:val="6"/>
    <w:qFormat/>
    <w:rsid w:val="001E2A62"/>
    <w:pPr>
      <w:numPr>
        <w:numId w:val="2"/>
      </w:numPr>
      <w:ind w:firstLine="547"/>
    </w:pPr>
  </w:style>
  <w:style w:type="paragraph" w:customStyle="1" w:styleId="CoL">
    <w:name w:val="CoL"/>
    <w:basedOn w:val="Standard"/>
    <w:uiPriority w:val="7"/>
    <w:qFormat/>
    <w:rsid w:val="001E2A62"/>
    <w:pPr>
      <w:numPr>
        <w:numId w:val="3"/>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C7D3A"/>
    <w:rPr>
      <w:rFonts w:ascii="Segoe UI" w:hAnsi="Segoe UI" w:cs="Segoe UI"/>
      <w:sz w:val="18"/>
      <w:szCs w:val="18"/>
    </w:rPr>
  </w:style>
  <w:style w:type="numbering" w:customStyle="1" w:styleId="Headings">
    <w:name w:val="Headings"/>
    <w:uiPriority w:val="99"/>
    <w:rsid w:val="000A56F2"/>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8"/>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nhideWhenUsed/>
    <w:rsid w:val="00E133C6"/>
    <w:pPr>
      <w:tabs>
        <w:tab w:val="left" w:pos="1728"/>
        <w:tab w:val="right" w:leader="dot" w:pos="9350"/>
      </w:tabs>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standard0">
    <w:name w:val="standard"/>
    <w:basedOn w:val="Normal"/>
    <w:link w:val="standardChar"/>
    <w:rsid w:val="00BF5C36"/>
    <w:rPr>
      <w:rFonts w:ascii="Palatino" w:eastAsia="Times New Roman" w:hAnsi="Palatino" w:cs="Times New Roman"/>
      <w:szCs w:val="20"/>
    </w:rPr>
  </w:style>
  <w:style w:type="paragraph" w:styleId="Subtitle">
    <w:name w:val="Subtitle"/>
    <w:basedOn w:val="Normal"/>
    <w:link w:val="SubtitleChar"/>
    <w:qFormat/>
    <w:rsid w:val="00BF5C36"/>
    <w:pPr>
      <w:spacing w:after="60" w:line="240" w:lineRule="auto"/>
      <w:ind w:firstLine="0"/>
      <w:jc w:val="center"/>
    </w:pPr>
    <w:rPr>
      <w:rFonts w:ascii="Arial" w:eastAsia="Times New Roman" w:hAnsi="Arial" w:cs="Times New Roman"/>
      <w:szCs w:val="20"/>
    </w:rPr>
  </w:style>
  <w:style w:type="character" w:customStyle="1" w:styleId="SubtitleChar">
    <w:name w:val="Subtitle Char"/>
    <w:basedOn w:val="DefaultParagraphFont"/>
    <w:link w:val="Subtitle"/>
    <w:rsid w:val="00BF5C36"/>
    <w:rPr>
      <w:rFonts w:ascii="Arial" w:eastAsia="Times New Roman" w:hAnsi="Arial" w:cs="Times New Roman"/>
      <w:sz w:val="26"/>
      <w:szCs w:val="20"/>
    </w:rPr>
  </w:style>
  <w:style w:type="paragraph" w:customStyle="1" w:styleId="Quote1">
    <w:name w:val="Quote1"/>
    <w:basedOn w:val="standard0"/>
    <w:next w:val="standard0"/>
    <w:rsid w:val="00BF5C36"/>
    <w:pPr>
      <w:spacing w:after="120" w:line="240" w:lineRule="auto"/>
      <w:ind w:left="720" w:right="1440" w:firstLine="0"/>
    </w:pPr>
  </w:style>
  <w:style w:type="paragraph" w:customStyle="1" w:styleId="letter">
    <w:name w:val="letter"/>
    <w:basedOn w:val="num1"/>
    <w:rsid w:val="00BF5C36"/>
    <w:pPr>
      <w:spacing w:after="120" w:line="240" w:lineRule="auto"/>
      <w:ind w:left="994" w:hanging="274"/>
    </w:pPr>
  </w:style>
  <w:style w:type="paragraph" w:customStyle="1" w:styleId="main0">
    <w:name w:val="main"/>
    <w:basedOn w:val="Normal"/>
    <w:link w:val="mainChar"/>
    <w:rsid w:val="00BF5C36"/>
    <w:pPr>
      <w:spacing w:line="240" w:lineRule="auto"/>
      <w:ind w:firstLine="0"/>
      <w:jc w:val="center"/>
    </w:pPr>
    <w:rPr>
      <w:rFonts w:ascii="Helvetica" w:eastAsia="Times New Roman" w:hAnsi="Helvetica" w:cs="Times New Roman"/>
      <w:b/>
      <w:szCs w:val="20"/>
    </w:rPr>
  </w:style>
  <w:style w:type="paragraph" w:customStyle="1" w:styleId="mainex0">
    <w:name w:val="mainex"/>
    <w:basedOn w:val="main0"/>
    <w:rsid w:val="00BF5C36"/>
    <w:pPr>
      <w:keepNext/>
    </w:pPr>
    <w:rPr>
      <w:spacing w:val="120"/>
    </w:rPr>
  </w:style>
  <w:style w:type="paragraph" w:customStyle="1" w:styleId="num1">
    <w:name w:val="num1"/>
    <w:basedOn w:val="Normal"/>
    <w:link w:val="num1Char"/>
    <w:rsid w:val="00BF5C36"/>
    <w:pPr>
      <w:tabs>
        <w:tab w:val="left" w:pos="-720"/>
      </w:tabs>
      <w:suppressAutoHyphens/>
      <w:ind w:firstLine="360"/>
    </w:pPr>
    <w:rPr>
      <w:rFonts w:ascii="Palatino" w:eastAsia="Times New Roman" w:hAnsi="Palatino" w:cs="Times New Roman"/>
      <w:szCs w:val="20"/>
    </w:rPr>
  </w:style>
  <w:style w:type="paragraph" w:customStyle="1" w:styleId="num2">
    <w:name w:val="num2"/>
    <w:basedOn w:val="num1"/>
    <w:rsid w:val="00BF5C36"/>
    <w:pPr>
      <w:ind w:firstLine="270"/>
    </w:pPr>
  </w:style>
  <w:style w:type="paragraph" w:customStyle="1" w:styleId="sub1">
    <w:name w:val="sub1"/>
    <w:basedOn w:val="Normal"/>
    <w:rsid w:val="00BF5C36"/>
    <w:pPr>
      <w:ind w:firstLine="1440"/>
    </w:pPr>
    <w:rPr>
      <w:rFonts w:ascii="Palatino" w:eastAsia="Times New Roman" w:hAnsi="Palatino" w:cs="Times New Roman"/>
      <w:szCs w:val="20"/>
    </w:rPr>
  </w:style>
  <w:style w:type="paragraph" w:customStyle="1" w:styleId="titlebar">
    <w:name w:val="title bar"/>
    <w:basedOn w:val="main0"/>
    <w:rsid w:val="00BF5C36"/>
    <w:pPr>
      <w:keepNext/>
      <w:suppressAutoHyphens/>
    </w:pPr>
  </w:style>
  <w:style w:type="character" w:styleId="PageNumber">
    <w:name w:val="page number"/>
    <w:basedOn w:val="DefaultParagraphFont"/>
    <w:rsid w:val="00BF5C36"/>
  </w:style>
  <w:style w:type="paragraph" w:customStyle="1" w:styleId="sub2">
    <w:name w:val="sub2"/>
    <w:basedOn w:val="Normal"/>
    <w:rsid w:val="00BF5C36"/>
    <w:pPr>
      <w:ind w:firstLine="2160"/>
    </w:pPr>
    <w:rPr>
      <w:rFonts w:ascii="Palatino" w:eastAsia="Times New Roman" w:hAnsi="Palatino" w:cs="Times New Roman"/>
      <w:szCs w:val="20"/>
    </w:rPr>
  </w:style>
  <w:style w:type="paragraph" w:customStyle="1" w:styleId="sub3">
    <w:name w:val="sub3"/>
    <w:basedOn w:val="Normal"/>
    <w:rsid w:val="00BF5C36"/>
    <w:pPr>
      <w:ind w:firstLine="2880"/>
    </w:pPr>
    <w:rPr>
      <w:rFonts w:ascii="Palatino" w:eastAsia="Times New Roman" w:hAnsi="Palatino" w:cs="Times New Roman"/>
      <w:szCs w:val="20"/>
    </w:rPr>
  </w:style>
  <w:style w:type="paragraph" w:customStyle="1" w:styleId="sub4">
    <w:name w:val="sub4"/>
    <w:basedOn w:val="Normal"/>
    <w:rsid w:val="00BF5C36"/>
    <w:pPr>
      <w:spacing w:line="240" w:lineRule="auto"/>
      <w:ind w:firstLine="3600"/>
    </w:pPr>
    <w:rPr>
      <w:rFonts w:ascii="Palatino" w:eastAsia="Times New Roman" w:hAnsi="Palatino" w:cs="Times New Roman"/>
      <w:szCs w:val="20"/>
    </w:rPr>
  </w:style>
  <w:style w:type="paragraph" w:customStyle="1" w:styleId="dummy0">
    <w:name w:val="dummy"/>
    <w:basedOn w:val="Heading1"/>
    <w:rsid w:val="00BF5C36"/>
    <w:pPr>
      <w:numPr>
        <w:numId w:val="0"/>
      </w:numPr>
      <w:ind w:left="360" w:hanging="360"/>
      <w:outlineLvl w:val="9"/>
    </w:pPr>
    <w:rPr>
      <w:rFonts w:ascii="Helvetica" w:eastAsia="Times New Roman" w:hAnsi="Helvetica" w:cs="Times New Roman"/>
      <w:kern w:val="28"/>
      <w:szCs w:val="20"/>
    </w:rPr>
  </w:style>
  <w:style w:type="character" w:customStyle="1" w:styleId="standardChar">
    <w:name w:val="standard Char"/>
    <w:link w:val="standard0"/>
    <w:rsid w:val="00BF5C36"/>
    <w:rPr>
      <w:rFonts w:ascii="Palatino" w:eastAsia="Times New Roman" w:hAnsi="Palatino" w:cs="Times New Roman"/>
      <w:sz w:val="26"/>
      <w:szCs w:val="20"/>
    </w:rPr>
  </w:style>
  <w:style w:type="paragraph" w:styleId="BodyTextIndent">
    <w:name w:val="Body Text Indent"/>
    <w:basedOn w:val="Normal"/>
    <w:link w:val="BodyTextIndentChar"/>
    <w:rsid w:val="00BF5C36"/>
    <w:pPr>
      <w:spacing w:after="120" w:line="240" w:lineRule="auto"/>
      <w:ind w:left="360" w:firstLine="0"/>
    </w:pPr>
    <w:rPr>
      <w:rFonts w:ascii="Palatino" w:eastAsia="Times New Roman" w:hAnsi="Palatino" w:cs="Times New Roman"/>
      <w:szCs w:val="20"/>
    </w:rPr>
  </w:style>
  <w:style w:type="character" w:customStyle="1" w:styleId="BodyTextIndentChar">
    <w:name w:val="Body Text Indent Char"/>
    <w:basedOn w:val="DefaultParagraphFont"/>
    <w:link w:val="BodyTextIndent"/>
    <w:rsid w:val="00BF5C36"/>
    <w:rPr>
      <w:rFonts w:ascii="Palatino" w:eastAsia="Times New Roman" w:hAnsi="Palatino" w:cs="Times New Roman"/>
      <w:sz w:val="26"/>
      <w:szCs w:val="20"/>
    </w:rPr>
  </w:style>
  <w:style w:type="character" w:customStyle="1" w:styleId="mainChar">
    <w:name w:val="main Char"/>
    <w:link w:val="main0"/>
    <w:rsid w:val="00BF5C36"/>
    <w:rPr>
      <w:rFonts w:ascii="Helvetica" w:eastAsia="Times New Roman" w:hAnsi="Helvetica" w:cs="Times New Roman"/>
      <w:b/>
      <w:sz w:val="26"/>
      <w:szCs w:val="20"/>
    </w:rPr>
  </w:style>
  <w:style w:type="paragraph" w:customStyle="1" w:styleId="StyleHeading2NotItalic">
    <w:name w:val="Style Heading 2 + Not Italic"/>
    <w:basedOn w:val="Heading2"/>
    <w:rsid w:val="00BF5C36"/>
    <w:pPr>
      <w:numPr>
        <w:ilvl w:val="0"/>
        <w:numId w:val="0"/>
      </w:numPr>
      <w:ind w:left="1354" w:hanging="634"/>
    </w:pPr>
    <w:rPr>
      <w:rFonts w:ascii="Helvetica" w:eastAsia="Times New Roman" w:hAnsi="Helvetica" w:cs="Times New Roman"/>
      <w:bCs/>
      <w:i/>
      <w:szCs w:val="20"/>
    </w:rPr>
  </w:style>
  <w:style w:type="paragraph" w:customStyle="1" w:styleId="StyleHeading2NotItalic1">
    <w:name w:val="Style Heading 2 + Not Italic1"/>
    <w:basedOn w:val="Heading2"/>
    <w:rsid w:val="00BF5C36"/>
    <w:pPr>
      <w:numPr>
        <w:ilvl w:val="0"/>
        <w:numId w:val="0"/>
      </w:numPr>
      <w:ind w:left="1354" w:hanging="634"/>
    </w:pPr>
    <w:rPr>
      <w:rFonts w:ascii="Helvetica" w:eastAsia="Times New Roman" w:hAnsi="Helvetica" w:cs="Times New Roman"/>
      <w:bCs/>
      <w:i/>
      <w:szCs w:val="20"/>
    </w:rPr>
  </w:style>
  <w:style w:type="paragraph" w:styleId="ListParagraph">
    <w:name w:val="List Paragraph"/>
    <w:basedOn w:val="Normal"/>
    <w:uiPriority w:val="34"/>
    <w:qFormat/>
    <w:rsid w:val="00BF5C36"/>
    <w:pPr>
      <w:spacing w:line="240" w:lineRule="auto"/>
      <w:ind w:left="720" w:firstLine="0"/>
      <w:contextualSpacing/>
    </w:pPr>
    <w:rPr>
      <w:rFonts w:ascii="Palatino" w:eastAsia="Times New Roman" w:hAnsi="Palatino" w:cs="Times New Roman"/>
      <w:szCs w:val="20"/>
    </w:rPr>
  </w:style>
  <w:style w:type="paragraph" w:customStyle="1" w:styleId="bullets">
    <w:name w:val="bullets"/>
    <w:basedOn w:val="sub1"/>
    <w:rsid w:val="00BF5C36"/>
    <w:pPr>
      <w:numPr>
        <w:numId w:val="7"/>
      </w:numPr>
      <w:spacing w:after="120" w:line="240" w:lineRule="auto"/>
      <w:ind w:right="720"/>
    </w:pPr>
  </w:style>
  <w:style w:type="character" w:styleId="CommentReference">
    <w:name w:val="annotation reference"/>
    <w:basedOn w:val="DefaultParagraphFont"/>
    <w:semiHidden/>
    <w:unhideWhenUsed/>
    <w:rsid w:val="00BF5C36"/>
    <w:rPr>
      <w:sz w:val="16"/>
      <w:szCs w:val="16"/>
    </w:rPr>
  </w:style>
  <w:style w:type="paragraph" w:styleId="CommentText">
    <w:name w:val="annotation text"/>
    <w:basedOn w:val="Normal"/>
    <w:link w:val="CommentTextChar"/>
    <w:semiHidden/>
    <w:unhideWhenUsed/>
    <w:rsid w:val="00BF5C36"/>
    <w:pPr>
      <w:spacing w:line="240" w:lineRule="auto"/>
      <w:ind w:firstLine="0"/>
    </w:pPr>
    <w:rPr>
      <w:rFonts w:ascii="Palatino" w:eastAsia="Times New Roman" w:hAnsi="Palatino" w:cs="Times New Roman"/>
      <w:sz w:val="20"/>
      <w:szCs w:val="20"/>
    </w:rPr>
  </w:style>
  <w:style w:type="character" w:customStyle="1" w:styleId="CommentTextChar">
    <w:name w:val="Comment Text Char"/>
    <w:basedOn w:val="DefaultParagraphFont"/>
    <w:link w:val="CommentText"/>
    <w:semiHidden/>
    <w:rsid w:val="00BF5C36"/>
    <w:rPr>
      <w:rFonts w:ascii="Palatino" w:eastAsia="Times New Roman" w:hAnsi="Palatino" w:cs="Times New Roman"/>
      <w:sz w:val="20"/>
      <w:szCs w:val="20"/>
    </w:rPr>
  </w:style>
  <w:style w:type="paragraph" w:styleId="CommentSubject">
    <w:name w:val="annotation subject"/>
    <w:basedOn w:val="CommentText"/>
    <w:next w:val="CommentText"/>
    <w:link w:val="CommentSubjectChar"/>
    <w:semiHidden/>
    <w:unhideWhenUsed/>
    <w:rsid w:val="00BF5C36"/>
    <w:rPr>
      <w:b/>
      <w:bCs/>
    </w:rPr>
  </w:style>
  <w:style w:type="character" w:customStyle="1" w:styleId="CommentSubjectChar">
    <w:name w:val="Comment Subject Char"/>
    <w:basedOn w:val="CommentTextChar"/>
    <w:link w:val="CommentSubject"/>
    <w:semiHidden/>
    <w:rsid w:val="00BF5C36"/>
    <w:rPr>
      <w:rFonts w:ascii="Palatino" w:eastAsia="Times New Roman" w:hAnsi="Palatino" w:cs="Times New Roman"/>
      <w:b/>
      <w:bCs/>
      <w:sz w:val="20"/>
      <w:szCs w:val="20"/>
    </w:rPr>
  </w:style>
  <w:style w:type="character" w:styleId="UnresolvedMention">
    <w:name w:val="Unresolved Mention"/>
    <w:basedOn w:val="DefaultParagraphFont"/>
    <w:uiPriority w:val="99"/>
    <w:semiHidden/>
    <w:unhideWhenUsed/>
    <w:rsid w:val="00BF5C36"/>
    <w:rPr>
      <w:color w:val="605E5C"/>
      <w:shd w:val="clear" w:color="auto" w:fill="E1DFDD"/>
    </w:rPr>
  </w:style>
  <w:style w:type="paragraph" w:styleId="Revision">
    <w:name w:val="Revision"/>
    <w:hidden/>
    <w:uiPriority w:val="99"/>
    <w:semiHidden/>
    <w:rsid w:val="003C04E5"/>
    <w:pPr>
      <w:spacing w:after="0" w:line="240" w:lineRule="auto"/>
    </w:pPr>
    <w:rPr>
      <w:rFonts w:ascii="Book Antiqua" w:hAnsi="Book Antiqua"/>
      <w:sz w:val="26"/>
    </w:rPr>
  </w:style>
  <w:style w:type="paragraph" w:styleId="BodyText">
    <w:name w:val="Body Text"/>
    <w:basedOn w:val="Normal"/>
    <w:link w:val="BodyTextChar"/>
    <w:rsid w:val="00B47D6F"/>
    <w:pPr>
      <w:spacing w:line="240" w:lineRule="auto"/>
      <w:ind w:firstLine="0"/>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B47D6F"/>
    <w:rPr>
      <w:rFonts w:ascii="Times New Roman" w:eastAsia="Times New Roman" w:hAnsi="Times New Roman" w:cs="Times New Roman"/>
      <w:sz w:val="32"/>
      <w:szCs w:val="20"/>
    </w:rPr>
  </w:style>
  <w:style w:type="paragraph" w:customStyle="1" w:styleId="PageXofY">
    <w:name w:val="Page X of Y"/>
    <w:rsid w:val="00B47D6F"/>
    <w:pPr>
      <w:spacing w:after="0" w:line="240" w:lineRule="auto"/>
    </w:pPr>
    <w:rPr>
      <w:rFonts w:ascii="Times New Roman" w:eastAsia="Times New Roman" w:hAnsi="Times New Roman" w:cs="Times New Roman"/>
      <w:sz w:val="20"/>
      <w:szCs w:val="20"/>
    </w:rPr>
  </w:style>
  <w:style w:type="character" w:customStyle="1" w:styleId="num1Char">
    <w:name w:val="num1 Char"/>
    <w:link w:val="num1"/>
    <w:rsid w:val="00B47D6F"/>
    <w:rPr>
      <w:rFonts w:ascii="Palatino" w:eastAsia="Times New Roman" w:hAnsi="Palatino" w:cs="Times New Roman"/>
      <w:sz w:val="26"/>
      <w:szCs w:val="20"/>
    </w:rPr>
  </w:style>
  <w:style w:type="paragraph" w:customStyle="1" w:styleId="bullet1">
    <w:name w:val="bullet1"/>
    <w:basedOn w:val="bullets"/>
    <w:rsid w:val="00B47D6F"/>
    <w:pPr>
      <w:numPr>
        <w:numId w:val="9"/>
      </w:numPr>
      <w:ind w:left="0" w:right="0" w:firstLine="0"/>
    </w:pPr>
    <w:rPr>
      <w:bCs/>
    </w:rPr>
  </w:style>
  <w:style w:type="paragraph" w:customStyle="1" w:styleId="Style1">
    <w:name w:val="Style1"/>
    <w:basedOn w:val="Heading1"/>
    <w:autoRedefine/>
    <w:rsid w:val="00B47D6F"/>
    <w:pPr>
      <w:keepNext w:val="0"/>
      <w:keepLines w:val="0"/>
      <w:numPr>
        <w:numId w:val="10"/>
      </w:numPr>
      <w:spacing w:before="120"/>
    </w:pPr>
    <w:rPr>
      <w:rFonts w:ascii="Helvetica" w:eastAsia="Times New Roman" w:hAnsi="Helvetica" w:cs="Times New Roman"/>
      <w:szCs w:val="20"/>
    </w:rPr>
  </w:style>
  <w:style w:type="paragraph" w:customStyle="1" w:styleId="Style2">
    <w:name w:val="Style2"/>
    <w:basedOn w:val="Heading1"/>
    <w:autoRedefine/>
    <w:rsid w:val="00B47D6F"/>
    <w:pPr>
      <w:keepNext w:val="0"/>
      <w:keepLines w:val="0"/>
      <w:numPr>
        <w:numId w:val="19"/>
      </w:numPr>
      <w:spacing w:before="120"/>
    </w:pPr>
    <w:rPr>
      <w:rFonts w:ascii="Helvetica" w:eastAsia="Times New Roman" w:hAnsi="Helvetica" w:cs="Times New Roman"/>
      <w:szCs w:val="20"/>
    </w:rPr>
  </w:style>
  <w:style w:type="paragraph" w:customStyle="1" w:styleId="Style3">
    <w:name w:val="Style3"/>
    <w:basedOn w:val="Heading1"/>
    <w:autoRedefine/>
    <w:rsid w:val="00B47D6F"/>
    <w:pPr>
      <w:keepNext w:val="0"/>
      <w:keepLines w:val="0"/>
      <w:numPr>
        <w:numId w:val="0"/>
      </w:numPr>
      <w:spacing w:after="0"/>
      <w:ind w:left="1080"/>
    </w:pPr>
    <w:rPr>
      <w:rFonts w:ascii="Palatino" w:eastAsia="Times New Roman" w:hAnsi="Palatino" w:cs="Times New Roman"/>
      <w:b w:val="0"/>
      <w:color w:val="0000FF"/>
      <w:szCs w:val="20"/>
    </w:rPr>
  </w:style>
  <w:style w:type="paragraph" w:customStyle="1" w:styleId="Style4">
    <w:name w:val="Style4"/>
    <w:basedOn w:val="Heading1"/>
    <w:autoRedefine/>
    <w:rsid w:val="00B47D6F"/>
    <w:pPr>
      <w:keepNext w:val="0"/>
      <w:keepLines w:val="0"/>
      <w:numPr>
        <w:numId w:val="20"/>
      </w:numPr>
      <w:spacing w:before="120"/>
    </w:pPr>
    <w:rPr>
      <w:rFonts w:ascii="Helvetica" w:eastAsia="Times New Roman" w:hAnsi="Helvetica" w:cs="Times New Roman"/>
      <w:szCs w:val="20"/>
    </w:rPr>
  </w:style>
  <w:style w:type="paragraph" w:customStyle="1" w:styleId="Style5">
    <w:name w:val="Style5"/>
    <w:basedOn w:val="Style3"/>
    <w:autoRedefine/>
    <w:rsid w:val="00B47D6F"/>
  </w:style>
  <w:style w:type="character" w:styleId="Strong">
    <w:name w:val="Strong"/>
    <w:uiPriority w:val="22"/>
    <w:qFormat/>
    <w:rsid w:val="00B47D6F"/>
    <w:rPr>
      <w:b/>
      <w:bCs/>
    </w:rPr>
  </w:style>
  <w:style w:type="character" w:customStyle="1" w:styleId="cosearchterm1">
    <w:name w:val="co_searchterm1"/>
    <w:rsid w:val="00B47D6F"/>
    <w:rPr>
      <w:b/>
      <w:bCs/>
      <w:shd w:val="clear" w:color="auto" w:fill="FFFF66"/>
    </w:rPr>
  </w:style>
  <w:style w:type="character" w:styleId="FollowedHyperlink">
    <w:name w:val="FollowedHyperlink"/>
    <w:basedOn w:val="DefaultParagraphFont"/>
    <w:rsid w:val="00B47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cpuc.ca.gov/General.aspx?id=1124" TargetMode="External"/><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dcompliance@cpuc.ca.gov" TargetMode="External"/><Relationship Id="rId29" Type="http://schemas.openxmlformats.org/officeDocument/2006/relationships/hyperlink" Target="http://www.cpuc.ca.gov/General.aspx?id=1009" TargetMode="Externa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mailto:cdcompliance@cpuc.ca.gov" TargetMode="External"/><Relationship Id="rId37" Type="http://schemas.openxmlformats.org/officeDocument/2006/relationships/hyperlink" Target="mailto:cdcompliance@cpuc.ca.gov" TargetMode="External"/><Relationship Id="rId40" Type="http://schemas.openxmlformats.org/officeDocument/2006/relationships/hyperlink" Target="mailto:cdcompliance@cpuc.ca.gov" TargetMode="External"/><Relationship Id="rId45" Type="http://schemas.openxmlformats.org/officeDocument/2006/relationships/hyperlink" Target="mailto:cdcompliance@cpuc.ca.gov" TargetMode="External"/><Relationship Id="rId5" Type="http://schemas.openxmlformats.org/officeDocument/2006/relationships/webSettings" Target="webSettings.xml"/><Relationship Id="rId15" Type="http://schemas.openxmlformats.org/officeDocument/2006/relationships/hyperlink" Target="http://www.cpuc.ca.gov/communications/" TargetMode="External"/><Relationship Id="rId23" Type="http://schemas.openxmlformats.org/officeDocument/2006/relationships/footer" Target="footer7.xml"/><Relationship Id="rId28" Type="http://schemas.openxmlformats.org/officeDocument/2006/relationships/hyperlink" Target="mailto:TelcoSurcharge@cpuc.ca.gov" TargetMode="External"/><Relationship Id="rId36" Type="http://schemas.openxmlformats.org/officeDocument/2006/relationships/hyperlink" Target="mailto:cdcompliance@cpuc.ca.gov"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mailto:cdcompliance@cpuc.ca.gov" TargetMode="Externa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yperlink" Target="http://www.cpuc.ca.gov/General.aspx?id=1010" TargetMode="External"/><Relationship Id="rId30" Type="http://schemas.openxmlformats.org/officeDocument/2006/relationships/hyperlink" Target="http://www.cpuc.ca.gov/communications." TargetMode="Externa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cdcompliance@cpuc.ca.gov" TargetMode="External"/><Relationship Id="rId25" Type="http://schemas.openxmlformats.org/officeDocument/2006/relationships/footer" Target="footer8.xml"/><Relationship Id="rId33" Type="http://schemas.openxmlformats.org/officeDocument/2006/relationships/hyperlink" Target="mailto:cdcompliance@cpuc.ca.gov" TargetMode="External"/><Relationship Id="rId38" Type="http://schemas.openxmlformats.org/officeDocument/2006/relationships/header" Target="header9.xml"/><Relationship Id="rId46" Type="http://schemas.openxmlformats.org/officeDocument/2006/relationships/header" Target="header12.xml"/><Relationship Id="rId20" Type="http://schemas.openxmlformats.org/officeDocument/2006/relationships/header" Target="head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69D8-3409-44BC-87BB-6B41140A3F8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36</ap:Pages>
  <ap:Words>7815</ap:Words>
  <ap:Characters>44551</ap:Characters>
  <ap:Application>Microsoft Office Word</ap:Application>
  <ap:DocSecurity>0</ap:DocSecurity>
  <ap:Lines>371</ap:Lines>
  <ap:Paragraphs>104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52262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2020-03-07T18:44:00Z</cp:lastPrinted>
  <dcterms:created xsi:type="dcterms:W3CDTF">2020-07-15T15:21:36Z</dcterms:created>
  <dcterms:modified xsi:type="dcterms:W3CDTF">2020-07-15T15:21:36Z</dcterms:modified>
</cp:coreProperties>
</file>